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February 2, 2016</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2000"/>
          </w:cols>
          <w:pgMar w:left="320" w:top="368" w:right="57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4"/>
          <w:szCs w:val="14"/>
          <w:b w:val="1"/>
          <w:bCs w:val="1"/>
          <w:color w:val="auto"/>
        </w:rPr>
        <w:t>(IRS Employer</w:t>
      </w:r>
    </w:p>
    <w:p>
      <w:pPr>
        <w:jc w:val="center"/>
        <w:ind w:right="10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20" w:space="720"/>
            <w:col w:w="2820" w:space="720"/>
            <w:col w:w="2120"/>
          </w:cols>
          <w:pgMar w:left="320" w:top="368" w:right="579" w:bottom="1440" w:gutter="0" w:footer="0" w:header="0"/>
          <w:type w:val="continuous"/>
        </w:sectPr>
      </w:pPr>
    </w:p>
    <w:p>
      <w:pPr>
        <w:spacing w:after="0" w:line="32" w:lineRule="exact"/>
        <w:rPr>
          <w:sz w:val="24"/>
          <w:szCs w:val="24"/>
          <w:color w:val="auto"/>
        </w:rPr>
      </w:pPr>
    </w:p>
    <w:p>
      <w:pPr>
        <w:ind w:left="980"/>
        <w:spacing w:after="0"/>
        <w:rPr>
          <w:sz w:val="20"/>
          <w:szCs w:val="20"/>
          <w:color w:val="auto"/>
        </w:rPr>
      </w:pPr>
      <w:r>
        <w:rPr>
          <w:rFonts w:ascii="Arial" w:cs="Arial" w:eastAsia="Arial" w:hAnsi="Arial"/>
          <w:sz w:val="16"/>
          <w:szCs w:val="16"/>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40" w:space="720"/>
            <w:col w:w="2740"/>
          </w:cols>
          <w:pgMar w:left="320" w:top="368" w:right="57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40" w:space="720"/>
            <w:col w:w="2840"/>
          </w:cols>
          <w:pgMar w:left="320" w:top="368" w:right="579" w:bottom="1440" w:gutter="0" w:footer="0" w:header="0"/>
          <w:type w:val="continuous"/>
        </w:sect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On February 2, 2016, PennantPark Floating Rate Capital Ltd. (the “Company”) held its annual meeting of stockholders (the “Annual Meeting”) and submitted two matters to the vote of stockholders. The proposals are described in detail in the Company’s definitive proxy statement filed with the Securities and Exchange Commission on December 2, 2015. As of November 20, 2015, the record date, 26,730,074 shares of common stock were eligible to vote. A summary of the matters voted upon by the stockholders is set forth below.</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two Class II directors of the Company, who will each serve until the 2019 Annual Meeting and until his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2, 2016, as certified by the inspector of election, are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520" w:type="dxa"/>
            <w:vAlign w:val="bottom"/>
            <w:vMerge w:val="restart"/>
          </w:tcPr>
          <w:p>
            <w:pPr>
              <w:spacing w:after="0"/>
              <w:rPr>
                <w:sz w:val="14"/>
                <w:szCs w:val="14"/>
                <w:color w:val="auto"/>
              </w:rPr>
            </w:pPr>
          </w:p>
        </w:tc>
        <w:tc>
          <w:tcPr>
            <w:tcW w:w="12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For</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Withheld</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752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Non Vote</w:t>
            </w:r>
          </w:p>
        </w:tc>
        <w:tc>
          <w:tcPr>
            <w:tcW w:w="0" w:type="dxa"/>
            <w:vAlign w:val="bottom"/>
          </w:tcPr>
          <w:p>
            <w:pPr>
              <w:spacing w:after="0"/>
              <w:rPr>
                <w:sz w:val="1"/>
                <w:szCs w:val="1"/>
                <w:color w:val="auto"/>
              </w:rPr>
            </w:pPr>
          </w:p>
        </w:tc>
      </w:tr>
      <w:tr>
        <w:trPr>
          <w:trHeight w:val="203"/>
        </w:trPr>
        <w:tc>
          <w:tcPr>
            <w:tcW w:w="7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Adam K. Bernstein</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8,108,878</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1,416,068</w:t>
            </w:r>
          </w:p>
        </w:tc>
        <w:tc>
          <w:tcPr>
            <w:tcW w:w="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13,058,691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360"/>
              <w:spacing w:after="0"/>
              <w:rPr>
                <w:sz w:val="20"/>
                <w:szCs w:val="20"/>
                <w:color w:val="auto"/>
              </w:rPr>
            </w:pPr>
            <w:r>
              <w:rPr>
                <w:rFonts w:ascii="Arial" w:cs="Arial" w:eastAsia="Arial" w:hAnsi="Arial"/>
                <w:sz w:val="18"/>
                <w:szCs w:val="18"/>
                <w:color w:val="auto"/>
              </w:rPr>
              <w:t>% of Shares Voted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85.13%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14.87%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Flug</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8,470,817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1,054,129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13,058,691</w:t>
            </w:r>
          </w:p>
        </w:tc>
        <w:tc>
          <w:tcPr>
            <w:tcW w:w="0" w:type="dxa"/>
            <w:vAlign w:val="bottom"/>
          </w:tcPr>
          <w:p>
            <w:pPr>
              <w:spacing w:after="0"/>
              <w:rPr>
                <w:sz w:val="1"/>
                <w:szCs w:val="1"/>
                <w:color w:val="auto"/>
              </w:rPr>
            </w:pPr>
          </w:p>
        </w:tc>
      </w:tr>
      <w:tr>
        <w:trPr>
          <w:trHeight w:val="230"/>
        </w:trPr>
        <w:tc>
          <w:tcPr>
            <w:tcW w:w="7900" w:type="dxa"/>
            <w:vAlign w:val="bottom"/>
            <w:gridSpan w:val="2"/>
          </w:tcPr>
          <w:p>
            <w:pPr>
              <w:ind w:left="360"/>
              <w:spacing w:after="0"/>
              <w:rPr>
                <w:sz w:val="20"/>
                <w:szCs w:val="20"/>
                <w:color w:val="auto"/>
              </w:rPr>
            </w:pPr>
            <w:r>
              <w:rPr>
                <w:rFonts w:ascii="Arial" w:cs="Arial" w:eastAsia="Arial" w:hAnsi="Arial"/>
                <w:sz w:val="18"/>
                <w:szCs w:val="18"/>
                <w:color w:val="auto"/>
              </w:rPr>
              <w:t>% of Shares Voted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88.93 %</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11.07 %</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RSM US LLP to serve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 ending September 30, 2016.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2, 2016, as certified by the inspector of election, are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For</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Abstain</w:t>
            </w:r>
          </w:p>
        </w:tc>
      </w:tr>
      <w:tr>
        <w:trPr>
          <w:trHeight w:val="210"/>
        </w:trPr>
        <w:tc>
          <w:tcPr>
            <w:tcW w:w="8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22,171,837</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332,963</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78,837</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 of Shares Voted</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98.18%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r>
    </w:tbl>
    <w:p>
      <w:pPr>
        <w:sectPr>
          <w:pgSz w:w="11900" w:h="16838" w:orient="portrait"/>
          <w:cols w:equalWidth="0" w:num="1">
            <w:col w:w="11240"/>
          </w:cols>
          <w:pgMar w:left="320" w:top="2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spacing w:after="0"/>
        <w:tabs>
          <w:tab w:leader="none" w:pos="8120" w:val="left"/>
        </w:tabs>
        <w:rPr>
          <w:sz w:val="20"/>
          <w:szCs w:val="20"/>
          <w:color w:val="auto"/>
        </w:rPr>
      </w:pPr>
      <w:r>
        <w:rPr>
          <w:rFonts w:ascii="Arial" w:cs="Arial" w:eastAsia="Arial" w:hAnsi="Arial"/>
          <w:sz w:val="18"/>
          <w:szCs w:val="18"/>
          <w:color w:val="auto"/>
        </w:rPr>
        <w:t>Dated: February 5, 2016</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2020-05-05T12:09:50Z</dcterms:created>
  <dcterms:modified xsi:type="dcterms:W3CDTF">2020-05-05T12:09:50Z</dcterms:modified>
</cp:coreProperties>
</file>