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WASHINGTON, D.C. 20549</w:t>
      </w:r>
    </w:p>
    <w:p>
      <w:pPr>
        <w:spacing w:after="0" w:line="14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ind w:left="3340" w:right="2000" w:hanging="3332"/>
        <w:spacing w:after="0" w:line="391" w:lineRule="auto"/>
        <w:tabs>
          <w:tab w:leader="none" w:pos="37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2019</w:t>
      </w:r>
    </w:p>
    <w:p>
      <w:pPr>
        <w:spacing w:after="0" w:line="284"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-97155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09" w:lineRule="exact"/>
        <w:rPr>
          <w:sz w:val="24"/>
          <w:szCs w:val="24"/>
          <w:color w:val="auto"/>
        </w:rPr>
      </w:pPr>
    </w:p>
    <w:p>
      <w:pPr>
        <w:ind w:left="322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-7620</wp:posOffset>
            </wp:positionV>
            <wp:extent cx="905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PENNANTPARK FLOATING RATE CAPITAL LTD.</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0" w:lineRule="exact"/>
        <w:rPr>
          <w:sz w:val="24"/>
          <w:szCs w:val="24"/>
          <w:color w:val="auto"/>
        </w:rPr>
      </w:pPr>
    </w:p>
    <w:tbl>
      <w:tblPr>
        <w:tblLayout w:type="fixed"/>
        <w:tblInd w:w="1260" w:type="dxa"/>
        <w:tblCellMar>
          <w:top w:w="0" w:type="dxa"/>
          <w:left w:w="0" w:type="dxa"/>
          <w:bottom w:w="0" w:type="dxa"/>
          <w:right w:w="0" w:type="dxa"/>
        </w:tblCellMar>
      </w:tblPr>
      <w:tr>
        <w:trPr>
          <w:trHeight w:val="163"/>
        </w:trPr>
        <w:tc>
          <w:tcPr>
            <w:tcW w:w="6040" w:type="dxa"/>
            <w:vAlign w:val="bottom"/>
          </w:tcPr>
          <w:p>
            <w:pPr>
              <w:jc w:val="center"/>
              <w:ind w:right="297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50"/>
        </w:trPr>
        <w:tc>
          <w:tcPr>
            <w:tcW w:w="6040" w:type="dxa"/>
            <w:vAlign w:val="bottom"/>
          </w:tcPr>
          <w:p>
            <w:pPr>
              <w:jc w:val="center"/>
              <w:ind w:right="297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267"/>
        </w:trPr>
        <w:tc>
          <w:tcPr>
            <w:tcW w:w="6040" w:type="dxa"/>
            <w:vAlign w:val="bottom"/>
          </w:tcPr>
          <w:p>
            <w:pPr>
              <w:jc w:val="center"/>
              <w:ind w:right="297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08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63"/>
        </w:trPr>
        <w:tc>
          <w:tcPr>
            <w:tcW w:w="6040" w:type="dxa"/>
            <w:vAlign w:val="bottom"/>
          </w:tcPr>
          <w:p>
            <w:pPr>
              <w:jc w:val="center"/>
              <w:ind w:right="2974"/>
              <w:spacing w:after="0"/>
              <w:rPr>
                <w:sz w:val="20"/>
                <w:szCs w:val="20"/>
                <w:color w:val="auto"/>
              </w:rPr>
            </w:pPr>
            <w:r>
              <w:rPr>
                <w:rFonts w:ascii="Arial" w:cs="Arial" w:eastAsia="Arial" w:hAnsi="Arial"/>
                <w:sz w:val="14"/>
                <w:szCs w:val="14"/>
                <w:b w:val="1"/>
                <w:bCs w:val="1"/>
                <w:color w:val="auto"/>
                <w:w w:val="97"/>
              </w:rPr>
              <w:t>New York, N.Y.</w:t>
            </w: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040" w:type="dxa"/>
            <w:vAlign w:val="bottom"/>
          </w:tcPr>
          <w:p>
            <w:pPr>
              <w:jc w:val="center"/>
              <w:ind w:right="297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457"/>
        </w:trPr>
        <w:tc>
          <w:tcPr>
            <w:tcW w:w="6040" w:type="dxa"/>
            <w:vAlign w:val="bottom"/>
          </w:tcPr>
          <w:p>
            <w:pPr>
              <w:jc w:val="right"/>
              <w:ind w:right="1154"/>
              <w:spacing w:after="0"/>
              <w:rPr>
                <w:sz w:val="20"/>
                <w:szCs w:val="20"/>
                <w:color w:val="auto"/>
              </w:rPr>
            </w:pPr>
            <w:r>
              <w:rPr>
                <w:rFonts w:ascii="Arial" w:cs="Arial" w:eastAsia="Arial" w:hAnsi="Arial"/>
                <w:sz w:val="14"/>
                <w:szCs w:val="14"/>
                <w:b w:val="1"/>
                <w:bCs w:val="1"/>
                <w:color w:val="auto"/>
              </w:rPr>
              <w:t>(212) 905-1000</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040" w:type="dxa"/>
            <w:vAlign w:val="bottom"/>
          </w:tcPr>
          <w:p>
            <w:pPr>
              <w:jc w:val="center"/>
              <w:ind w:left="26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160"/>
          </w:cols>
          <w:pgMar w:left="320" w:top="724" w:right="419" w:bottom="1440" w:gutter="0" w:footer="0" w:header="0"/>
        </w:sectPr>
      </w:pPr>
    </w:p>
    <w:p>
      <w:pPr>
        <w:spacing w:after="0" w:line="105" w:lineRule="exact"/>
        <w:rPr>
          <w:sz w:val="24"/>
          <w:szCs w:val="24"/>
          <w:color w:val="auto"/>
        </w:rPr>
      </w:pPr>
    </w:p>
    <w:p>
      <w:pPr>
        <w:jc w:val="center"/>
        <w:ind w:right="580"/>
        <w:spacing w:after="0"/>
        <w:rPr>
          <w:sz w:val="20"/>
          <w:szCs w:val="20"/>
          <w:color w:val="auto"/>
        </w:rPr>
      </w:pPr>
      <w:r>
        <w:rPr>
          <w:rFonts w:ascii="Arial" w:cs="Arial" w:eastAsia="Arial" w:hAnsi="Arial"/>
          <w:sz w:val="14"/>
          <w:szCs w:val="14"/>
          <w:b w:val="1"/>
          <w:bCs w:val="1"/>
          <w:color w:val="auto"/>
        </w:rPr>
        <w:t>Title of Each Class</w:t>
      </w:r>
    </w:p>
    <w:p>
      <w:pPr>
        <w:spacing w:after="0" w:line="4" w:lineRule="exact"/>
        <w:rPr>
          <w:sz w:val="24"/>
          <w:szCs w:val="24"/>
          <w:color w:val="auto"/>
        </w:rPr>
      </w:pPr>
    </w:p>
    <w:p>
      <w:pPr>
        <w:jc w:val="center"/>
        <w:ind w:right="580"/>
        <w:spacing w:after="0"/>
        <w:rPr>
          <w:sz w:val="20"/>
          <w:szCs w:val="20"/>
          <w:color w:val="auto"/>
        </w:rPr>
      </w:pPr>
      <w:r>
        <w:rPr>
          <w:rFonts w:ascii="Arial" w:cs="Arial" w:eastAsia="Arial" w:hAnsi="Arial"/>
          <w:sz w:val="12"/>
          <w:szCs w:val="12"/>
          <w:color w:val="auto"/>
        </w:rPr>
        <w:t>Common Stock, par value $0.001 per share</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jc w:val="center"/>
        <w:ind w:right="1040"/>
        <w:spacing w:after="0"/>
        <w:rPr>
          <w:sz w:val="20"/>
          <w:szCs w:val="20"/>
          <w:color w:val="auto"/>
        </w:rPr>
      </w:pPr>
      <w:r>
        <w:rPr>
          <w:rFonts w:ascii="Arial" w:cs="Arial" w:eastAsia="Arial" w:hAnsi="Arial"/>
          <w:sz w:val="12"/>
          <w:szCs w:val="12"/>
          <w:b w:val="1"/>
          <w:bCs w:val="1"/>
          <w:color w:val="auto"/>
        </w:rPr>
        <w:t>Trading Symbol(s)</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4"/>
          <w:szCs w:val="14"/>
          <w:color w:val="auto"/>
        </w:rPr>
        <w:t>PFLT</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jc w:val="center"/>
        <w:ind w:right="40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4"/>
          <w:szCs w:val="14"/>
          <w:color w:val="auto"/>
        </w:rPr>
        <w:t>The Nasdaq Stock Market LLC</w:t>
      </w:r>
    </w:p>
    <w:p>
      <w:pPr>
        <w:spacing w:after="0" w:line="93" w:lineRule="exact"/>
        <w:rPr>
          <w:sz w:val="24"/>
          <w:szCs w:val="24"/>
          <w:color w:val="auto"/>
        </w:rPr>
      </w:pPr>
    </w:p>
    <w:p>
      <w:pPr>
        <w:sectPr>
          <w:pgSz w:w="11900" w:h="16838" w:orient="portrait"/>
          <w:cols w:equalWidth="0" w:num="3">
            <w:col w:w="4320" w:space="720"/>
            <w:col w:w="2180" w:space="720"/>
            <w:col w:w="3220"/>
          </w:cols>
          <w:pgMar w:left="320" w:top="724" w:right="419" w:bottom="1440" w:gutter="0" w:footer="0" w:header="0"/>
          <w:type w:val="continuous"/>
        </w:sectPr>
      </w:pPr>
    </w:p>
    <w:p>
      <w:pPr>
        <w:jc w:val="center"/>
        <w:ind w:right="-99"/>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ectPr>
          <w:pgSz w:w="11900" w:h="16838" w:orient="portrait"/>
          <w:cols w:equalWidth="0" w:num="1">
            <w:col w:w="11160"/>
          </w:cols>
          <w:pgMar w:left="320" w:top="724" w:right="419" w:bottom="1440" w:gutter="0" w:footer="0" w:header="0"/>
          <w:type w:val="continuous"/>
        </w:sectPr>
      </w:pPr>
    </w:p>
    <w:p>
      <w:pPr>
        <w:spacing w:after="0" w:line="136"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22" w:lineRule="exact"/>
        <w:rPr>
          <w:sz w:val="24"/>
          <w:szCs w:val="24"/>
          <w:color w:val="auto"/>
        </w:rPr>
      </w:pPr>
    </w:p>
    <w:p>
      <w:pPr>
        <w:sectPr>
          <w:pgSz w:w="11900" w:h="16838" w:orient="portrait"/>
          <w:cols w:equalWidth="0" w:num="2">
            <w:col w:w="7480" w:space="60"/>
            <w:col w:w="3620"/>
          </w:cols>
          <w:pgMar w:left="320" w:top="724" w:right="419" w:bottom="1440" w:gutter="0" w:footer="0" w:header="0"/>
          <w:type w:val="continuous"/>
        </w:sectPr>
      </w:pPr>
    </w:p>
    <w:p>
      <w:pPr>
        <w:spacing w:after="0" w:line="27" w:lineRule="exact"/>
        <w:rPr>
          <w:sz w:val="24"/>
          <w:szCs w:val="24"/>
          <w:color w:val="auto"/>
        </w:rPr>
      </w:pPr>
    </w:p>
    <w:p>
      <w:pPr>
        <w:ind w:left="4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jc w:val="cente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159" w:lineRule="exact"/>
        <w:rPr>
          <w:sz w:val="24"/>
          <w:szCs w:val="24"/>
          <w:color w:val="auto"/>
        </w:rPr>
      </w:pPr>
    </w:p>
    <w:p>
      <w:pPr>
        <w:sectPr>
          <w:pgSz w:w="11900" w:h="16838" w:orient="portrait"/>
          <w:cols w:equalWidth="0" w:num="4">
            <w:col w:w="7600" w:space="80"/>
            <w:col w:w="120" w:space="80"/>
            <w:col w:w="180" w:space="80"/>
            <w:col w:w="3020"/>
          </w:cols>
          <w:pgMar w:left="320" w:top="724" w:right="419" w:bottom="1440" w:gutter="0" w:footer="0" w:header="0"/>
          <w:type w:val="continuous"/>
        </w:sectPr>
      </w:pPr>
    </w:p>
    <w:p>
      <w:pPr>
        <w:ind w:right="100" w:firstLine="43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72" w:lineRule="exact"/>
        <w:rPr>
          <w:sz w:val="24"/>
          <w:szCs w:val="24"/>
          <w:color w:val="auto"/>
        </w:rPr>
      </w:pPr>
    </w:p>
    <w:p>
      <w:pPr>
        <w:ind w:right="80" w:firstLine="43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72" w:lineRule="exact"/>
        <w:rPr>
          <w:sz w:val="24"/>
          <w:szCs w:val="24"/>
          <w:color w:val="auto"/>
        </w:rPr>
      </w:pPr>
    </w:p>
    <w:p>
      <w:pPr>
        <w:ind w:right="140" w:firstLine="43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2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1940"/>
              <w:spacing w:after="0"/>
              <w:rPr>
                <w:sz w:val="20"/>
                <w:szCs w:val="20"/>
                <w:color w:val="auto"/>
              </w:rPr>
            </w:pPr>
            <w:r>
              <w:rPr>
                <w:rFonts w:ascii="Arial" w:cs="Arial" w:eastAsia="Arial" w:hAnsi="Arial"/>
                <w:sz w:val="14"/>
                <w:szCs w:val="14"/>
                <w:color w:val="auto"/>
              </w:rPr>
              <w:t>Accelerated filer</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1"/>
        </w:trPr>
        <w:tc>
          <w:tcPr>
            <w:tcW w:w="2260" w:type="dxa"/>
            <w:vAlign w:val="bottom"/>
          </w:tcPr>
          <w:p>
            <w:pPr>
              <w:spacing w:after="0"/>
              <w:rPr>
                <w:sz w:val="20"/>
                <w:szCs w:val="20"/>
                <w:color w:val="auto"/>
              </w:rPr>
            </w:pPr>
            <w:r>
              <w:rPr>
                <w:rFonts w:ascii="Arial" w:cs="Arial" w:eastAsia="Arial" w:hAnsi="Arial"/>
                <w:sz w:val="14"/>
                <w:szCs w:val="14"/>
                <w:color w:val="auto"/>
              </w:rPr>
              <w:t>Non-accelerated filer</w:t>
            </w:r>
          </w:p>
        </w:tc>
        <w:tc>
          <w:tcPr>
            <w:tcW w:w="27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1940"/>
              <w:spacing w:after="0"/>
              <w:rPr>
                <w:sz w:val="20"/>
                <w:szCs w:val="20"/>
                <w:color w:val="auto"/>
              </w:rPr>
            </w:pPr>
            <w:r>
              <w:rPr>
                <w:rFonts w:ascii="Arial" w:cs="Arial" w:eastAsia="Arial" w:hAnsi="Arial"/>
                <w:sz w:val="14"/>
                <w:szCs w:val="14"/>
                <w:color w:val="auto"/>
              </w:rPr>
              <w:t>Smaller reporting company</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2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7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85" w:lineRule="exact"/>
        <w:rPr>
          <w:sz w:val="24"/>
          <w:szCs w:val="24"/>
          <w:color w:val="auto"/>
        </w:rPr>
      </w:pPr>
    </w:p>
    <w:p>
      <w:pPr>
        <w:ind w:right="60" w:firstLine="43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36" w:lineRule="exact"/>
        <w:rPr>
          <w:sz w:val="24"/>
          <w:szCs w:val="24"/>
          <w:color w:val="auto"/>
        </w:rPr>
      </w:pPr>
    </w:p>
    <w:p>
      <w:pPr>
        <w:ind w:right="40" w:firstLine="438"/>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2019 based on the closing price on that date of $12.81 on The Nasdaq Global Select Market was approximately $489 million. For the purposes of calculating the aggregate market value of common stock held by non-affiliates, all directors and executive officers of the Registrant have been treated as affiliates. There were 38,772,074 shares of the Registrant’s common stock outstanding as of November 20, 2019.</w:t>
      </w:r>
    </w:p>
    <w:p>
      <w:pPr>
        <w:spacing w:after="0" w:line="75" w:lineRule="exact"/>
        <w:rPr>
          <w:sz w:val="24"/>
          <w:szCs w:val="24"/>
          <w:color w:val="auto"/>
        </w:rPr>
      </w:pPr>
    </w:p>
    <w:p>
      <w:pPr>
        <w:ind w:right="80" w:firstLine="438"/>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2020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724"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8540" w:type="dxa"/>
            <w:vAlign w:val="bottom"/>
          </w:tcPr>
          <w:p>
            <w:pPr>
              <w:jc w:val="center"/>
              <w:ind w:left="1168"/>
              <w:spacing w:after="0"/>
              <w:rPr>
                <w:sz w:val="20"/>
                <w:szCs w:val="20"/>
                <w:color w:val="auto"/>
              </w:rPr>
            </w:pPr>
            <w:r>
              <w:rPr>
                <w:rFonts w:ascii="Arial" w:cs="Arial" w:eastAsia="Arial" w:hAnsi="Arial"/>
                <w:sz w:val="14"/>
                <w:szCs w:val="14"/>
                <w:b w:val="1"/>
                <w:bCs w:val="1"/>
                <w:color w:val="auto"/>
              </w:rPr>
              <w:t>PENNANTPARK FLOATING RATE CAPITAL LTD.</w:t>
            </w:r>
          </w:p>
        </w:tc>
        <w:tc>
          <w:tcPr>
            <w:tcW w:w="1980" w:type="dxa"/>
            <w:vAlign w:val="bottom"/>
          </w:tcPr>
          <w:p>
            <w:pPr>
              <w:spacing w:after="0"/>
              <w:rPr>
                <w:sz w:val="14"/>
                <w:szCs w:val="14"/>
                <w:color w:val="auto"/>
              </w:rPr>
            </w:pPr>
          </w:p>
        </w:tc>
      </w:tr>
      <w:tr>
        <w:trPr>
          <w:trHeight w:val="149"/>
        </w:trPr>
        <w:tc>
          <w:tcPr>
            <w:tcW w:w="740" w:type="dxa"/>
            <w:vAlign w:val="bottom"/>
          </w:tcPr>
          <w:p>
            <w:pPr>
              <w:spacing w:after="0"/>
              <w:rPr>
                <w:sz w:val="12"/>
                <w:szCs w:val="12"/>
                <w:color w:val="auto"/>
              </w:rPr>
            </w:pPr>
          </w:p>
        </w:tc>
        <w:tc>
          <w:tcPr>
            <w:tcW w:w="8540" w:type="dxa"/>
            <w:vAlign w:val="bottom"/>
          </w:tcPr>
          <w:p>
            <w:pPr>
              <w:jc w:val="center"/>
              <w:ind w:left="1168"/>
              <w:spacing w:after="0" w:line="149" w:lineRule="exact"/>
              <w:rPr>
                <w:sz w:val="20"/>
                <w:szCs w:val="20"/>
                <w:color w:val="auto"/>
              </w:rPr>
            </w:pPr>
            <w:r>
              <w:rPr>
                <w:rFonts w:ascii="Arial" w:cs="Arial" w:eastAsia="Arial" w:hAnsi="Arial"/>
                <w:sz w:val="14"/>
                <w:szCs w:val="14"/>
                <w:b w:val="1"/>
                <w:bCs w:val="1"/>
                <w:color w:val="auto"/>
              </w:rPr>
              <w:t>FORM 10-K</w:t>
            </w:r>
          </w:p>
        </w:tc>
        <w:tc>
          <w:tcPr>
            <w:tcW w:w="1980" w:type="dxa"/>
            <w:vAlign w:val="bottom"/>
          </w:tcPr>
          <w:p>
            <w:pPr>
              <w:spacing w:after="0"/>
              <w:rPr>
                <w:sz w:val="12"/>
                <w:szCs w:val="12"/>
                <w:color w:val="auto"/>
              </w:rPr>
            </w:pPr>
          </w:p>
        </w:tc>
      </w:tr>
      <w:tr>
        <w:trPr>
          <w:trHeight w:val="148"/>
        </w:trPr>
        <w:tc>
          <w:tcPr>
            <w:tcW w:w="740" w:type="dxa"/>
            <w:vAlign w:val="bottom"/>
          </w:tcPr>
          <w:p>
            <w:pPr>
              <w:spacing w:after="0"/>
              <w:rPr>
                <w:sz w:val="12"/>
                <w:szCs w:val="12"/>
                <w:color w:val="auto"/>
              </w:rPr>
            </w:pPr>
          </w:p>
        </w:tc>
        <w:tc>
          <w:tcPr>
            <w:tcW w:w="8540" w:type="dxa"/>
            <w:vAlign w:val="bottom"/>
          </w:tcPr>
          <w:p>
            <w:pPr>
              <w:jc w:val="center"/>
              <w:ind w:left="1168"/>
              <w:spacing w:after="0" w:line="149" w:lineRule="exact"/>
              <w:rPr>
                <w:sz w:val="20"/>
                <w:szCs w:val="20"/>
                <w:color w:val="auto"/>
              </w:rPr>
            </w:pPr>
            <w:r>
              <w:rPr>
                <w:rFonts w:ascii="Arial" w:cs="Arial" w:eastAsia="Arial" w:hAnsi="Arial"/>
                <w:sz w:val="14"/>
                <w:szCs w:val="14"/>
                <w:b w:val="1"/>
                <w:bCs w:val="1"/>
                <w:color w:val="auto"/>
              </w:rPr>
              <w:t>FOR THE FISCAL YEAR ENDED SEPTEMBER 30, 2019</w:t>
            </w:r>
          </w:p>
        </w:tc>
        <w:tc>
          <w:tcPr>
            <w:tcW w:w="1980" w:type="dxa"/>
            <w:vAlign w:val="bottom"/>
          </w:tcPr>
          <w:p>
            <w:pPr>
              <w:spacing w:after="0"/>
              <w:rPr>
                <w:sz w:val="12"/>
                <w:szCs w:val="12"/>
                <w:color w:val="auto"/>
              </w:rPr>
            </w:pPr>
          </w:p>
        </w:tc>
      </w:tr>
      <w:tr>
        <w:trPr>
          <w:trHeight w:val="186"/>
        </w:trPr>
        <w:tc>
          <w:tcPr>
            <w:tcW w:w="740" w:type="dxa"/>
            <w:vAlign w:val="bottom"/>
          </w:tcPr>
          <w:p>
            <w:pPr>
              <w:spacing w:after="0"/>
              <w:rPr>
                <w:sz w:val="16"/>
                <w:szCs w:val="16"/>
                <w:color w:val="auto"/>
              </w:rPr>
            </w:pPr>
          </w:p>
        </w:tc>
        <w:tc>
          <w:tcPr>
            <w:tcW w:w="8540" w:type="dxa"/>
            <w:vAlign w:val="bottom"/>
          </w:tcPr>
          <w:p>
            <w:pPr>
              <w:jc w:val="center"/>
              <w:ind w:left="1168"/>
              <w:spacing w:after="0"/>
              <w:rPr>
                <w:sz w:val="20"/>
                <w:szCs w:val="20"/>
                <w:color w:val="auto"/>
              </w:rPr>
            </w:pPr>
            <w:r>
              <w:rPr>
                <w:rFonts w:ascii="Arial" w:cs="Arial" w:eastAsia="Arial" w:hAnsi="Arial"/>
                <w:sz w:val="14"/>
                <w:szCs w:val="14"/>
                <w:b w:val="1"/>
                <w:bCs w:val="1"/>
                <w:color w:val="auto"/>
              </w:rPr>
              <w:t>TABLE OF CONTENTS</w:t>
            </w:r>
          </w:p>
        </w:tc>
        <w:tc>
          <w:tcPr>
            <w:tcW w:w="1980" w:type="dxa"/>
            <w:vAlign w:val="bottom"/>
          </w:tcPr>
          <w:p>
            <w:pPr>
              <w:spacing w:after="0"/>
              <w:rPr>
                <w:sz w:val="16"/>
                <w:szCs w:val="16"/>
                <w:color w:val="auto"/>
              </w:rPr>
            </w:pPr>
          </w:p>
        </w:tc>
      </w:tr>
      <w:tr>
        <w:trPr>
          <w:trHeight w:val="297"/>
        </w:trPr>
        <w:tc>
          <w:tcPr>
            <w:tcW w:w="740" w:type="dxa"/>
            <w:vAlign w:val="bottom"/>
          </w:tcPr>
          <w:p>
            <w:pPr>
              <w:spacing w:after="0"/>
              <w:rPr>
                <w:sz w:val="24"/>
                <w:szCs w:val="24"/>
                <w:color w:val="auto"/>
              </w:rPr>
            </w:pPr>
          </w:p>
        </w:tc>
        <w:tc>
          <w:tcPr>
            <w:tcW w:w="8540" w:type="dxa"/>
            <w:vAlign w:val="bottom"/>
          </w:tcPr>
          <w:p>
            <w:pPr>
              <w:jc w:val="center"/>
              <w:ind w:left="140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w:t>
              </w:r>
            </w:hyperlink>
          </w:p>
        </w:tc>
        <w:tc>
          <w:tcPr>
            <w:tcW w:w="1980" w:type="dxa"/>
            <w:vAlign w:val="bottom"/>
          </w:tcPr>
          <w:p>
            <w:pPr>
              <w:spacing w:after="0"/>
              <w:rPr>
                <w:sz w:val="24"/>
                <w:szCs w:val="24"/>
                <w:color w:val="auto"/>
              </w:rPr>
            </w:pP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540" w:type="dxa"/>
            <w:vAlign w:val="bottom"/>
          </w:tcPr>
          <w:p>
            <w:pPr>
              <w:ind w:left="18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Business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8540" w:type="dxa"/>
            <w:vAlign w:val="bottom"/>
          </w:tcPr>
          <w:p>
            <w:pPr>
              <w:ind w:left="180"/>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Risk Factors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8540" w:type="dxa"/>
            <w:vAlign w:val="bottom"/>
          </w:tcPr>
          <w:p>
            <w:pPr>
              <w:ind w:left="18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Unresolved Staff Comments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8540" w:type="dxa"/>
            <w:vAlign w:val="bottom"/>
          </w:tcPr>
          <w:p>
            <w:pPr>
              <w:ind w:left="18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Properties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8540" w:type="dxa"/>
            <w:vAlign w:val="bottom"/>
          </w:tcPr>
          <w:p>
            <w:pPr>
              <w:ind w:left="18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Legal Proceedings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4.</w:t>
            </w:r>
          </w:p>
        </w:tc>
        <w:tc>
          <w:tcPr>
            <w:tcW w:w="8540" w:type="dxa"/>
            <w:vAlign w:val="bottom"/>
          </w:tcPr>
          <w:p>
            <w:pPr>
              <w:ind w:left="18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Mine Safety Disclosures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97"/>
        </w:trPr>
        <w:tc>
          <w:tcPr>
            <w:tcW w:w="740" w:type="dxa"/>
            <w:vAlign w:val="bottom"/>
          </w:tcPr>
          <w:p>
            <w:pPr>
              <w:spacing w:after="0"/>
              <w:rPr>
                <w:sz w:val="24"/>
                <w:szCs w:val="24"/>
                <w:color w:val="auto"/>
              </w:rPr>
            </w:pPr>
          </w:p>
        </w:tc>
        <w:tc>
          <w:tcPr>
            <w:tcW w:w="8540" w:type="dxa"/>
            <w:vAlign w:val="bottom"/>
          </w:tcPr>
          <w:p>
            <w:pPr>
              <w:jc w:val="center"/>
              <w:ind w:left="1428"/>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PART II</w:t>
              </w:r>
            </w:hyperlink>
          </w:p>
        </w:tc>
        <w:tc>
          <w:tcPr>
            <w:tcW w:w="1980" w:type="dxa"/>
            <w:vAlign w:val="bottom"/>
          </w:tcPr>
          <w:p>
            <w:pPr>
              <w:spacing w:after="0"/>
              <w:rPr>
                <w:sz w:val="24"/>
                <w:szCs w:val="24"/>
                <w:color w:val="auto"/>
              </w:rPr>
            </w:pP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8540" w:type="dxa"/>
            <w:vAlign w:val="bottom"/>
          </w:tcPr>
          <w:p>
            <w:pPr>
              <w:ind w:left="18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Market For Registrant’s Common Equity, Related Stockholder Matters and Issuer Purchases of Equity Securities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8540" w:type="dxa"/>
            <w:vAlign w:val="bottom"/>
          </w:tcPr>
          <w:p>
            <w:pPr>
              <w:ind w:left="180"/>
              <w:spacing w:after="0"/>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Selected Financial Data</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8540" w:type="dxa"/>
            <w:vAlign w:val="bottom"/>
          </w:tcPr>
          <w:p>
            <w:pPr>
              <w:ind w:left="180"/>
              <w:spacing w:after="0"/>
              <w:rPr>
                <w:rFonts w:ascii="Arial" w:cs="Arial" w:eastAsia="Arial" w:hAnsi="Arial"/>
                <w:sz w:val="14"/>
                <w:szCs w:val="14"/>
                <w:u w:val="single" w:color="auto"/>
                <w:color w:val="0000EE"/>
              </w:rPr>
            </w:pPr>
            <w:hyperlink w:anchor="page38">
              <w:r>
                <w:rPr>
                  <w:rFonts w:ascii="Arial" w:cs="Arial" w:eastAsia="Arial" w:hAnsi="Arial"/>
                  <w:sz w:val="14"/>
                  <w:szCs w:val="14"/>
                  <w:u w:val="single" w:color="auto"/>
                  <w:color w:val="0000EE"/>
                </w:rPr>
                <w:t>Management’s Discussion and Analysis of Financial Condition and Results of Operations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8540" w:type="dxa"/>
            <w:vAlign w:val="bottom"/>
          </w:tcPr>
          <w:p>
            <w:pPr>
              <w:ind w:left="18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Quantitative and Qualitative Disclosures About Market Risk</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8540" w:type="dxa"/>
            <w:vAlign w:val="bottom"/>
          </w:tcPr>
          <w:p>
            <w:pPr>
              <w:ind w:left="180"/>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Consolidated Financial Statements and Supplementary Data</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9.</w:t>
            </w:r>
          </w:p>
        </w:tc>
        <w:tc>
          <w:tcPr>
            <w:tcW w:w="8540" w:type="dxa"/>
            <w:vAlign w:val="bottom"/>
          </w:tcPr>
          <w:p>
            <w:pPr>
              <w:ind w:left="180"/>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Changes in and Disagreements with Accountants on Accounting and Financial Disclosure</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79</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9A.</w:t>
            </w:r>
          </w:p>
        </w:tc>
        <w:tc>
          <w:tcPr>
            <w:tcW w:w="8540" w:type="dxa"/>
            <w:vAlign w:val="bottom"/>
          </w:tcPr>
          <w:p>
            <w:pPr>
              <w:ind w:left="180"/>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Controls and Procedures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79</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9B.</w:t>
            </w:r>
          </w:p>
        </w:tc>
        <w:tc>
          <w:tcPr>
            <w:tcW w:w="8540" w:type="dxa"/>
            <w:vAlign w:val="bottom"/>
          </w:tcPr>
          <w:p>
            <w:pPr>
              <w:ind w:left="180"/>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Other Information</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79</w:t>
            </w:r>
          </w:p>
        </w:tc>
      </w:tr>
      <w:tr>
        <w:trPr>
          <w:trHeight w:val="297"/>
        </w:trPr>
        <w:tc>
          <w:tcPr>
            <w:tcW w:w="740" w:type="dxa"/>
            <w:vAlign w:val="bottom"/>
          </w:tcPr>
          <w:p>
            <w:pPr>
              <w:spacing w:after="0"/>
              <w:rPr>
                <w:sz w:val="24"/>
                <w:szCs w:val="24"/>
                <w:color w:val="auto"/>
              </w:rPr>
            </w:pPr>
          </w:p>
        </w:tc>
        <w:tc>
          <w:tcPr>
            <w:tcW w:w="8540" w:type="dxa"/>
            <w:vAlign w:val="bottom"/>
          </w:tcPr>
          <w:p>
            <w:pPr>
              <w:jc w:val="center"/>
              <w:ind w:left="1408"/>
              <w:spacing w:after="0"/>
              <w:rPr>
                <w:rFonts w:ascii="Arial" w:cs="Arial" w:eastAsia="Arial" w:hAnsi="Arial"/>
                <w:sz w:val="14"/>
                <w:szCs w:val="14"/>
                <w:b w:val="1"/>
                <w:bCs w:val="1"/>
                <w:u w:val="single" w:color="auto"/>
                <w:color w:val="0000EE"/>
              </w:rPr>
            </w:pPr>
            <w:hyperlink w:anchor="page82">
              <w:r>
                <w:rPr>
                  <w:rFonts w:ascii="Arial" w:cs="Arial" w:eastAsia="Arial" w:hAnsi="Arial"/>
                  <w:sz w:val="14"/>
                  <w:szCs w:val="14"/>
                  <w:b w:val="1"/>
                  <w:bCs w:val="1"/>
                  <w:u w:val="single" w:color="auto"/>
                  <w:color w:val="0000EE"/>
                </w:rPr>
                <w:t>PART III</w:t>
              </w:r>
            </w:hyperlink>
          </w:p>
        </w:tc>
        <w:tc>
          <w:tcPr>
            <w:tcW w:w="1980" w:type="dxa"/>
            <w:vAlign w:val="bottom"/>
          </w:tcPr>
          <w:p>
            <w:pPr>
              <w:spacing w:after="0"/>
              <w:rPr>
                <w:sz w:val="24"/>
                <w:szCs w:val="24"/>
                <w:color w:val="auto"/>
              </w:rPr>
            </w:pP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8540" w:type="dxa"/>
            <w:vAlign w:val="bottom"/>
          </w:tcPr>
          <w:p>
            <w:pPr>
              <w:ind w:left="180"/>
              <w:spacing w:after="0"/>
              <w:rPr>
                <w:rFonts w:ascii="Arial" w:cs="Arial" w:eastAsia="Arial" w:hAnsi="Arial"/>
                <w:sz w:val="14"/>
                <w:szCs w:val="14"/>
                <w:u w:val="single" w:color="auto"/>
                <w:color w:val="0000EE"/>
              </w:rPr>
            </w:pPr>
            <w:hyperlink w:anchor="page82">
              <w:r>
                <w:rPr>
                  <w:rFonts w:ascii="Arial" w:cs="Arial" w:eastAsia="Arial" w:hAnsi="Arial"/>
                  <w:sz w:val="14"/>
                  <w:szCs w:val="14"/>
                  <w:u w:val="single" w:color="auto"/>
                  <w:color w:val="0000EE"/>
                </w:rPr>
                <w:t>Directors, Executive Officers and Corporate Governance</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11.</w:t>
            </w:r>
          </w:p>
        </w:tc>
        <w:tc>
          <w:tcPr>
            <w:tcW w:w="8540" w:type="dxa"/>
            <w:vAlign w:val="bottom"/>
          </w:tcPr>
          <w:p>
            <w:pPr>
              <w:ind w:left="180"/>
              <w:spacing w:after="0"/>
              <w:rPr>
                <w:rFonts w:ascii="Arial" w:cs="Arial" w:eastAsia="Arial" w:hAnsi="Arial"/>
                <w:sz w:val="14"/>
                <w:szCs w:val="14"/>
                <w:u w:val="single" w:color="auto"/>
                <w:color w:val="0000EE"/>
              </w:rPr>
            </w:pPr>
            <w:hyperlink w:anchor="page82">
              <w:r>
                <w:rPr>
                  <w:rFonts w:ascii="Arial" w:cs="Arial" w:eastAsia="Arial" w:hAnsi="Arial"/>
                  <w:sz w:val="14"/>
                  <w:szCs w:val="14"/>
                  <w:u w:val="single" w:color="auto"/>
                  <w:color w:val="0000EE"/>
                </w:rPr>
                <w:t>Executive Compensation</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12.</w:t>
            </w:r>
          </w:p>
        </w:tc>
        <w:tc>
          <w:tcPr>
            <w:tcW w:w="8540" w:type="dxa"/>
            <w:vAlign w:val="bottom"/>
          </w:tcPr>
          <w:p>
            <w:pPr>
              <w:ind w:left="180"/>
              <w:spacing w:after="0"/>
              <w:rPr>
                <w:rFonts w:ascii="Arial" w:cs="Arial" w:eastAsia="Arial" w:hAnsi="Arial"/>
                <w:sz w:val="14"/>
                <w:szCs w:val="14"/>
                <w:u w:val="single" w:color="auto"/>
                <w:color w:val="0000EE"/>
              </w:rPr>
            </w:pPr>
            <w:hyperlink w:anchor="page82">
              <w:r>
                <w:rPr>
                  <w:rFonts w:ascii="Arial" w:cs="Arial" w:eastAsia="Arial" w:hAnsi="Arial"/>
                  <w:sz w:val="14"/>
                  <w:szCs w:val="14"/>
                  <w:u w:val="single" w:color="auto"/>
                  <w:color w:val="0000EE"/>
                </w:rPr>
                <w:t>Security Ownership of Certain Beneficial Owners and Management and Related Stockholder Matters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8540" w:type="dxa"/>
            <w:vAlign w:val="bottom"/>
          </w:tcPr>
          <w:p>
            <w:pPr>
              <w:ind w:left="180"/>
              <w:spacing w:after="0"/>
              <w:rPr>
                <w:rFonts w:ascii="Arial" w:cs="Arial" w:eastAsia="Arial" w:hAnsi="Arial"/>
                <w:sz w:val="14"/>
                <w:szCs w:val="14"/>
                <w:u w:val="single" w:color="auto"/>
                <w:color w:val="0000EE"/>
              </w:rPr>
            </w:pPr>
            <w:hyperlink w:anchor="page82">
              <w:r>
                <w:rPr>
                  <w:rFonts w:ascii="Arial" w:cs="Arial" w:eastAsia="Arial" w:hAnsi="Arial"/>
                  <w:sz w:val="14"/>
                  <w:szCs w:val="14"/>
                  <w:u w:val="single" w:color="auto"/>
                  <w:color w:val="0000EE"/>
                </w:rPr>
                <w:t>Certain Relationships and Related Transactions, and Director Independence</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8540" w:type="dxa"/>
            <w:vAlign w:val="bottom"/>
          </w:tcPr>
          <w:p>
            <w:pPr>
              <w:ind w:left="180"/>
              <w:spacing w:after="0"/>
              <w:rPr>
                <w:rFonts w:ascii="Arial" w:cs="Arial" w:eastAsia="Arial" w:hAnsi="Arial"/>
                <w:sz w:val="14"/>
                <w:szCs w:val="14"/>
                <w:u w:val="single" w:color="auto"/>
                <w:color w:val="0000EE"/>
              </w:rPr>
            </w:pPr>
            <w:hyperlink w:anchor="page82">
              <w:r>
                <w:rPr>
                  <w:rFonts w:ascii="Arial" w:cs="Arial" w:eastAsia="Arial" w:hAnsi="Arial"/>
                  <w:sz w:val="14"/>
                  <w:szCs w:val="14"/>
                  <w:u w:val="single" w:color="auto"/>
                  <w:color w:val="0000EE"/>
                </w:rPr>
                <w:t>Principal Accountant Fees and Services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80</w:t>
            </w:r>
          </w:p>
        </w:tc>
      </w:tr>
      <w:tr>
        <w:trPr>
          <w:trHeight w:val="297"/>
        </w:trPr>
        <w:tc>
          <w:tcPr>
            <w:tcW w:w="740" w:type="dxa"/>
            <w:vAlign w:val="bottom"/>
          </w:tcPr>
          <w:p>
            <w:pPr>
              <w:spacing w:after="0"/>
              <w:rPr>
                <w:sz w:val="24"/>
                <w:szCs w:val="24"/>
                <w:color w:val="auto"/>
              </w:rPr>
            </w:pPr>
          </w:p>
        </w:tc>
        <w:tc>
          <w:tcPr>
            <w:tcW w:w="8540" w:type="dxa"/>
            <w:vAlign w:val="bottom"/>
          </w:tcPr>
          <w:p>
            <w:pPr>
              <w:jc w:val="center"/>
              <w:ind w:left="1408"/>
              <w:spacing w:after="0"/>
              <w:rPr>
                <w:rFonts w:ascii="Arial" w:cs="Arial" w:eastAsia="Arial" w:hAnsi="Arial"/>
                <w:sz w:val="14"/>
                <w:szCs w:val="14"/>
                <w:b w:val="1"/>
                <w:bCs w:val="1"/>
                <w:u w:val="single" w:color="auto"/>
                <w:color w:val="0000EE"/>
              </w:rPr>
            </w:pPr>
            <w:hyperlink w:anchor="page83">
              <w:r>
                <w:rPr>
                  <w:rFonts w:ascii="Arial" w:cs="Arial" w:eastAsia="Arial" w:hAnsi="Arial"/>
                  <w:sz w:val="14"/>
                  <w:szCs w:val="14"/>
                  <w:b w:val="1"/>
                  <w:bCs w:val="1"/>
                  <w:u w:val="single" w:color="auto"/>
                  <w:color w:val="0000EE"/>
                </w:rPr>
                <w:t>PART IV</w:t>
              </w:r>
            </w:hyperlink>
          </w:p>
        </w:tc>
        <w:tc>
          <w:tcPr>
            <w:tcW w:w="1980" w:type="dxa"/>
            <w:vAlign w:val="bottom"/>
          </w:tcPr>
          <w:p>
            <w:pPr>
              <w:spacing w:after="0"/>
              <w:rPr>
                <w:sz w:val="24"/>
                <w:szCs w:val="24"/>
                <w:color w:val="auto"/>
              </w:rPr>
            </w:pPr>
          </w:p>
        </w:tc>
      </w:tr>
      <w:tr>
        <w:trPr>
          <w:trHeight w:val="297"/>
        </w:trPr>
        <w:tc>
          <w:tcPr>
            <w:tcW w:w="74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8540" w:type="dxa"/>
            <w:vAlign w:val="bottom"/>
          </w:tcPr>
          <w:p>
            <w:pPr>
              <w:ind w:left="180"/>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Exhibits and Financial Statement Schedules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81</w:t>
            </w:r>
          </w:p>
        </w:tc>
      </w:tr>
      <w:tr>
        <w:trPr>
          <w:trHeight w:val="297"/>
        </w:trPr>
        <w:tc>
          <w:tcPr>
            <w:tcW w:w="740" w:type="dxa"/>
            <w:vAlign w:val="bottom"/>
          </w:tcPr>
          <w:p>
            <w:pPr>
              <w:spacing w:after="0"/>
              <w:rPr>
                <w:sz w:val="24"/>
                <w:szCs w:val="24"/>
                <w:color w:val="auto"/>
              </w:rPr>
            </w:pPr>
          </w:p>
        </w:tc>
        <w:tc>
          <w:tcPr>
            <w:tcW w:w="8540" w:type="dxa"/>
            <w:vAlign w:val="bottom"/>
          </w:tcPr>
          <w:p>
            <w:pPr>
              <w:ind w:left="180"/>
              <w:spacing w:after="0"/>
              <w:rPr>
                <w:rFonts w:ascii="Arial" w:cs="Arial" w:eastAsia="Arial" w:hAnsi="Arial"/>
                <w:sz w:val="14"/>
                <w:szCs w:val="14"/>
                <w:u w:val="single" w:color="auto"/>
                <w:color w:val="0000EE"/>
              </w:rPr>
            </w:pPr>
            <w:hyperlink w:anchor="page85">
              <w:r>
                <w:rPr>
                  <w:rFonts w:ascii="Arial" w:cs="Arial" w:eastAsia="Arial" w:hAnsi="Arial"/>
                  <w:sz w:val="14"/>
                  <w:szCs w:val="14"/>
                  <w:u w:val="single" w:color="auto"/>
                  <w:color w:val="0000EE"/>
                </w:rPr>
                <w:t>Signatures</w:t>
              </w:r>
            </w:hyperlink>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83</w:t>
            </w:r>
          </w:p>
        </w:tc>
      </w:tr>
      <w:tr>
        <w:trPr>
          <w:trHeight w:val="1058"/>
        </w:trPr>
        <w:tc>
          <w:tcPr>
            <w:tcW w:w="74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274" w:lineRule="exact"/>
        <w:rPr>
          <w:sz w:val="20"/>
          <w:szCs w:val="20"/>
          <w:color w:val="auto"/>
        </w:rPr>
      </w:pPr>
    </w:p>
    <w:p>
      <w:pPr>
        <w:ind w:firstLine="438"/>
        <w:spacing w:after="0" w:line="151" w:lineRule="exact"/>
        <w:rPr>
          <w:sz w:val="20"/>
          <w:szCs w:val="20"/>
          <w:color w:val="auto"/>
        </w:rPr>
      </w:pPr>
      <w:r>
        <w:rPr>
          <w:rFonts w:ascii="Arial" w:cs="Arial" w:eastAsia="Arial" w:hAnsi="Arial"/>
          <w:sz w:val="12"/>
          <w:szCs w:val="12"/>
          <w:b w:val="1"/>
          <w:bCs w:val="1"/>
          <w:i w:val="1"/>
          <w:iCs w:val="1"/>
          <w:color w:val="auto"/>
        </w:rPr>
        <w:t>In this annual report on Form 10-K, or the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3.83% Series A notes due 2023; “1940 Act” refers to the Investment Company Act of 1940, as amended; “SBCAA” refers to the Small Business Credit Availability Act; “Code” refers to the Internal Revenue Code of 1986, as amended; “RIC” refers to a regulated investment company under the Code; “BDC” refers to a business development company under the 1940 Act; “MCG” refers to MCG Capital Corporation; and “Credit Facility” refers to our multi-currency senior secured revolving credit facility, as amended and restated with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1 Senior Secured Floating Rate Notes due 2031 by the Securitization Issuers in connection with the Debt Securitization; “Depositor” refers to PennantPark CLO I Depositor, LLC. References to our portfolio, our investments, our multi-currency, senior secured revolving credit facility, as amended and restated, or the Credit Facility, and our business include investments we make through our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Floating Rate Capital Ltd.</w:t>
      </w:r>
    </w:p>
    <w:p>
      <w:pPr>
        <w:spacing w:after="0" w:line="13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loans bearing a variable-rate of interest, or Floating Rate Loans, and other investments made to U.S. middle-market companies.</w:t>
      </w:r>
    </w:p>
    <w:p>
      <w:pPr>
        <w:spacing w:after="0" w:line="93"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7"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16"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in May 2011. We formed Funding I in order to establish our Credit Facility.</w:t>
      </w:r>
    </w:p>
    <w:p>
      <w:pPr>
        <w:spacing w:after="0" w:line="93"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06" w:lineRule="exact"/>
        <w:rPr>
          <w:sz w:val="20"/>
          <w:szCs w:val="20"/>
          <w:color w:val="auto"/>
        </w:rPr>
      </w:pPr>
    </w:p>
    <w:p>
      <w:pPr>
        <w:ind w:right="820" w:firstLine="438"/>
        <w:spacing w:after="0" w:line="253" w:lineRule="auto"/>
        <w:rPr>
          <w:sz w:val="20"/>
          <w:szCs w:val="20"/>
          <w:color w:val="auto"/>
        </w:rPr>
      </w:pPr>
      <w:r>
        <w:rPr>
          <w:rFonts w:ascii="Arial" w:cs="Arial" w:eastAsia="Arial" w:hAnsi="Arial"/>
          <w:sz w:val="14"/>
          <w:szCs w:val="14"/>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12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111"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123" w:lineRule="exact"/>
        <w:rPr>
          <w:sz w:val="20"/>
          <w:szCs w:val="20"/>
          <w:color w:val="auto"/>
        </w:rPr>
      </w:pPr>
    </w:p>
    <w:p>
      <w:pPr>
        <w:ind w:right="480" w:firstLine="438"/>
        <w:spacing w:after="0" w:line="253"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102" w:lineRule="exact"/>
        <w:rPr>
          <w:sz w:val="20"/>
          <w:szCs w:val="20"/>
          <w:color w:val="auto"/>
        </w:rPr>
      </w:pPr>
    </w:p>
    <w:p>
      <w:pPr>
        <w:ind w:left="920" w:right="20" w:hanging="359"/>
        <w:spacing w:after="0" w:line="297" w:lineRule="auto"/>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difficulty raising debt in private markets. </w:t>
      </w:r>
      <w:r>
        <w:rPr>
          <w:rFonts w:ascii="Arial" w:cs="Arial" w:eastAsia="Arial" w:hAnsi="Arial"/>
          <w:sz w:val="13"/>
          <w:szCs w:val="13"/>
          <w:color w:val="auto"/>
        </w:rPr>
        <w:t>From time to time, banks, finance companies, hedge funds and collateralized loan</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 or CLO, funds have withdrawn, and may again withdraw, capital from the middle-market, resulting in opportunities for alternative funding sources.</w:t>
      </w:r>
    </w:p>
    <w:p>
      <w:pPr>
        <w:spacing w:after="0" w:line="75" w:lineRule="exact"/>
        <w:rPr>
          <w:rFonts w:ascii="Arial" w:cs="Arial" w:eastAsia="Arial" w:hAnsi="Arial"/>
          <w:sz w:val="13"/>
          <w:szCs w:val="13"/>
          <w:color w:val="auto"/>
        </w:rPr>
      </w:pPr>
    </w:p>
    <w:p>
      <w:pPr>
        <w:ind w:left="920" w:right="60" w:hanging="359"/>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in raising debt through the capital markets. </w:t>
      </w:r>
      <w:r>
        <w:rPr>
          <w:rFonts w:ascii="Arial" w:cs="Arial" w:eastAsia="Arial" w:hAnsi="Arial"/>
          <w:sz w:val="14"/>
          <w:szCs w:val="14"/>
          <w:color w:val="auto"/>
        </w:rPr>
        <w:t>Many middle-market 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111" w:lineRule="exact"/>
        <w:rPr>
          <w:rFonts w:ascii="Arial" w:cs="Arial" w:eastAsia="Arial" w:hAnsi="Arial"/>
          <w:sz w:val="14"/>
          <w:szCs w:val="14"/>
          <w:color w:val="auto"/>
        </w:rPr>
      </w:pPr>
    </w:p>
    <w:p>
      <w:pPr>
        <w:ind w:left="920" w:right="40" w:hanging="359"/>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credit market dislocation for middle-market companies improves the risk-reward on our investments. </w:t>
      </w:r>
      <w:r>
        <w:rPr>
          <w:rFonts w:ascii="Arial" w:cs="Arial" w:eastAsia="Arial" w:hAnsi="Arial"/>
          <w:sz w:val="14"/>
          <w:szCs w:val="14"/>
          <w:color w:val="auto"/>
        </w:rPr>
        <w:t>From time to time, market participants have reduced</w:t>
      </w:r>
      <w:r>
        <w:rPr>
          <w:rFonts w:ascii="Arial" w:cs="Arial" w:eastAsia="Arial" w:hAnsi="Arial"/>
          <w:sz w:val="14"/>
          <w:szCs w:val="14"/>
          <w:b w:val="1"/>
          <w:bCs w:val="1"/>
          <w:color w:val="auto"/>
        </w:rPr>
        <w:t xml:space="preserve"> </w:t>
      </w:r>
      <w:r>
        <w:rPr>
          <w:rFonts w:ascii="Arial" w:cs="Arial" w:eastAsia="Arial" w:hAnsi="Arial"/>
          <w:sz w:val="14"/>
          <w:szCs w:val="14"/>
          <w:color w:val="auto"/>
        </w:rPr>
        <w:t>lending to middle-market and non-investment grade borrowers. As a result, we believe there is less competition in our market, more conservative capital structures, higher yields and stronger covenants.</w:t>
      </w:r>
    </w:p>
    <w:p>
      <w:pPr>
        <w:spacing w:after="0" w:line="111" w:lineRule="exact"/>
        <w:rPr>
          <w:rFonts w:ascii="Arial" w:cs="Arial" w:eastAsia="Arial" w:hAnsi="Arial"/>
          <w:sz w:val="14"/>
          <w:szCs w:val="14"/>
          <w:color w:val="auto"/>
        </w:rPr>
      </w:pPr>
    </w:p>
    <w:p>
      <w:pPr>
        <w:ind w:left="920" w:right="160" w:hanging="359"/>
        <w:spacing w:after="0" w:line="267" w:lineRule="auto"/>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 private equity firms will continue to be active investors in middle-market companies. These private equity funds generally seek to leverage their investments by combining their capital with loans provided by other sources, and we believe that we are well-positioned to partner with such equity investors.</w:t>
      </w:r>
    </w:p>
    <w:p>
      <w:pPr>
        <w:spacing w:after="0" w:line="95" w:lineRule="exact"/>
        <w:rPr>
          <w:rFonts w:ascii="Arial" w:cs="Arial" w:eastAsia="Arial" w:hAnsi="Arial"/>
          <w:sz w:val="13"/>
          <w:szCs w:val="13"/>
          <w:color w:val="auto"/>
        </w:rPr>
      </w:pPr>
    </w:p>
    <w:p>
      <w:pPr>
        <w:ind w:left="920" w:hanging="359"/>
        <w:spacing w:after="0" w:line="232" w:lineRule="auto"/>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maturing loans that seek refinancing. </w:t>
      </w:r>
      <w:r>
        <w:rPr>
          <w:rFonts w:ascii="Arial" w:cs="Arial" w:eastAsia="Arial" w:hAnsi="Arial"/>
          <w:sz w:val="14"/>
          <w:szCs w:val="14"/>
          <w:color w:val="auto"/>
        </w:rPr>
        <w:t>A high volume of financings will come due in the next few</w:t>
      </w:r>
      <w:r>
        <w:rPr>
          <w:rFonts w:ascii="Arial" w:cs="Arial" w:eastAsia="Arial" w:hAnsi="Arial"/>
          <w:sz w:val="14"/>
          <w:szCs w:val="14"/>
          <w:b w:val="1"/>
          <w:bCs w:val="1"/>
          <w:color w:val="auto"/>
        </w:rPr>
        <w:t xml:space="preserve"> </w:t>
      </w:r>
      <w:r>
        <w:rPr>
          <w:rFonts w:ascii="Arial" w:cs="Arial" w:eastAsia="Arial" w:hAnsi="Arial"/>
          <w:sz w:val="14"/>
          <w:szCs w:val="14"/>
          <w:color w:val="auto"/>
        </w:rPr>
        <w:t>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believe that we have the following competitive advantages over other capital providers to middle-market companies:</w:t>
      </w:r>
    </w:p>
    <w:p>
      <w:pPr>
        <w:spacing w:after="0" w:line="123" w:lineRule="exact"/>
        <w:rPr>
          <w:sz w:val="20"/>
          <w:szCs w:val="20"/>
          <w:color w:val="auto"/>
        </w:rPr>
      </w:pPr>
    </w:p>
    <w:p>
      <w:pPr>
        <w:ind w:left="920" w:hanging="359"/>
        <w:spacing w:after="0"/>
        <w:tabs>
          <w:tab w:leader="none" w:pos="920" w:val="left"/>
        </w:tabs>
        <w:numPr>
          <w:ilvl w:val="0"/>
          <w:numId w:val="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Experienced Management Team</w:t>
      </w:r>
    </w:p>
    <w:p>
      <w:pPr>
        <w:spacing w:after="0" w:line="136" w:lineRule="exact"/>
        <w:rPr>
          <w:sz w:val="20"/>
          <w:szCs w:val="20"/>
          <w:color w:val="auto"/>
        </w:rPr>
      </w:pPr>
    </w:p>
    <w:p>
      <w:pPr>
        <w:ind w:right="360" w:firstLine="438"/>
        <w:spacing w:after="0" w:line="233" w:lineRule="auto"/>
        <w:rPr>
          <w:sz w:val="20"/>
          <w:szCs w:val="20"/>
          <w:color w:val="auto"/>
        </w:rPr>
      </w:pPr>
      <w:r>
        <w:rPr>
          <w:rFonts w:ascii="Arial" w:cs="Arial" w:eastAsia="Arial" w:hAnsi="Arial"/>
          <w:sz w:val="14"/>
          <w:szCs w:val="14"/>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117" w:lineRule="exact"/>
        <w:rPr>
          <w:sz w:val="20"/>
          <w:szCs w:val="20"/>
          <w:color w:val="auto"/>
        </w:rPr>
      </w:pPr>
    </w:p>
    <w:p>
      <w:pPr>
        <w:ind w:right="240" w:firstLine="438"/>
        <w:spacing w:after="0" w:line="233" w:lineRule="auto"/>
        <w:rPr>
          <w:sz w:val="20"/>
          <w:szCs w:val="20"/>
          <w:color w:val="auto"/>
        </w:rPr>
      </w:pPr>
      <w:r>
        <w:rPr>
          <w:rFonts w:ascii="Arial" w:cs="Arial" w:eastAsia="Arial" w:hAnsi="Arial"/>
          <w:sz w:val="14"/>
          <w:szCs w:val="14"/>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117" w:lineRule="exact"/>
        <w:rPr>
          <w:sz w:val="20"/>
          <w:szCs w:val="20"/>
          <w:color w:val="auto"/>
        </w:rPr>
      </w:pPr>
    </w:p>
    <w:p>
      <w:pPr>
        <w:ind w:left="920" w:hanging="359"/>
        <w:spacing w:after="0"/>
        <w:tabs>
          <w:tab w:leader="none" w:pos="92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Disciplined Investment Approach with Strong Value Orientation</w:t>
      </w:r>
    </w:p>
    <w:p>
      <w:pPr>
        <w:spacing w:after="0" w:line="13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04"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136" w:lineRule="exact"/>
        <w:rPr>
          <w:sz w:val="20"/>
          <w:szCs w:val="20"/>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1"/>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Ability to Source and Evaluate Transactions through our Investment Adviser’s Proactive Research Capability and Established Network</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04" w:lineRule="exact"/>
        <w:rPr>
          <w:sz w:val="20"/>
          <w:szCs w:val="20"/>
          <w:color w:val="auto"/>
        </w:rPr>
      </w:pPr>
    </w:p>
    <w:p>
      <w:pPr>
        <w:ind w:left="920" w:hanging="359"/>
        <w:spacing w:after="0"/>
        <w:tabs>
          <w:tab w:leader="none" w:pos="92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Flexible Transaction Structuring</w:t>
      </w:r>
    </w:p>
    <w:p>
      <w:pPr>
        <w:spacing w:after="0" w:line="136"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 w:name="page5"/>
    <w:bookmarkEnd w:id="4"/>
    <w:p>
      <w:pPr>
        <w:ind w:right="40" w:firstLine="438"/>
        <w:spacing w:after="0" w:line="25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93"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136"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Our primary competitors provide financing to middle-market companies and include other BDCs, commercial and investment banks, commercial finance companies, CLO funds, private direct lending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94"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Leverage</w:t>
      </w:r>
    </w:p>
    <w:p>
      <w:pPr>
        <w:spacing w:after="0" w:line="136" w:lineRule="exact"/>
        <w:rPr>
          <w:sz w:val="20"/>
          <w:szCs w:val="20"/>
          <w:color w:val="auto"/>
        </w:rPr>
      </w:pPr>
    </w:p>
    <w:p>
      <w:pPr>
        <w:ind w:right="60" w:firstLine="438"/>
        <w:spacing w:after="0" w:line="241" w:lineRule="auto"/>
        <w:rPr>
          <w:sz w:val="20"/>
          <w:szCs w:val="20"/>
          <w:color w:val="auto"/>
        </w:rPr>
      </w:pPr>
      <w:r>
        <w:rPr>
          <w:rFonts w:ascii="Arial" w:cs="Arial" w:eastAsia="Arial" w:hAnsi="Arial"/>
          <w:sz w:val="13"/>
          <w:szCs w:val="13"/>
          <w:color w:val="auto"/>
        </w:rPr>
        <w:t>As of September 30, 2019, we maintained a $520 million Credit Facility, which matures in October 2023, with the lenders. During the Credit Facility’s revolving period, which extends to October 2021, it bears interest at London Interbank Offered Rate, or LIBOR, plus 200 basis points, and after the revolving period, the rate sets to LIBOR plus 425 basis points for the remaining two years. The Credit Facility is secured by all of the assets held by Funding I, under which we had $265.3 million outstanding as of September 30, 2019. The Credit Facility had a weighted average interest rate of 4.1% and 4.3%, exclusive of the fee on undrawn commitments as of September 30, 2019 and 2018, respectively. As of September 30, 2019 and 2018, we had $254.7 million and $71.3 million, respectively, of unused borrowing capacity under our Credit Facility, subject to the regulatory restrictions. We believe that our capital resources will provide us with the flexibility to take advantage of market opportunities when they arise. Our use of leverage, as calculated under the asset coverage requirements of the 1940 Act, may generally range between</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140% and 170% of our net assets, or approximately 60% to 65% of our managed assets. We cannot assure investors that our leverage will remain within the range. The amount of leverage that we employ will depend on our assessment of the market and other factors at the time of any proposed borrowing.</w:t>
      </w:r>
    </w:p>
    <w:p>
      <w:pPr>
        <w:spacing w:after="0" w:line="116" w:lineRule="exact"/>
        <w:rPr>
          <w:sz w:val="20"/>
          <w:szCs w:val="20"/>
          <w:color w:val="auto"/>
        </w:rPr>
      </w:pPr>
    </w:p>
    <w:p>
      <w:pPr>
        <w:ind w:right="80" w:firstLine="438"/>
        <w:spacing w:after="0" w:line="283" w:lineRule="auto"/>
        <w:rPr>
          <w:sz w:val="20"/>
          <w:szCs w:val="20"/>
          <w:color w:val="auto"/>
        </w:rPr>
      </w:pPr>
      <w:r>
        <w:rPr>
          <w:rFonts w:ascii="Arial" w:cs="Arial" w:eastAsia="Arial" w:hAnsi="Arial"/>
          <w:sz w:val="12"/>
          <w:szCs w:val="12"/>
          <w:color w:val="auto"/>
        </w:rPr>
        <w:t>As of September 30, 2019 we had $138.6 million in aggregate principal amount of 2023 Notes outstanding. The 2023 Notes were issued pursuant to a deed of trust between the Company and Mishmeret Trust Company, Ltd. as trustee. 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92" w:lineRule="exact"/>
        <w:rPr>
          <w:sz w:val="20"/>
          <w:szCs w:val="20"/>
          <w:color w:val="auto"/>
        </w:rPr>
      </w:pPr>
    </w:p>
    <w:p>
      <w:pPr>
        <w:ind w:right="120" w:firstLine="438"/>
        <w:spacing w:after="0" w:line="228" w:lineRule="auto"/>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the middle market loans, participation interests in middle market loans and other assets of the Securitization Issuer.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As of September 30, 2019 and 2018, the Company had $228.0 million and zero of 2031 Asset-Backed Debt outstanding, respectively, with a weighted average interest rate of 4.2%. See “Management’s Discussion and Analysis of Financial Condition and Results of Operations—Liquidity and Capital Resources” for more information.</w:t>
      </w:r>
    </w:p>
    <w:p>
      <w:pPr>
        <w:spacing w:after="0" w:line="11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See “Management’s Discussion and Analysis of Financial Condition and Results of Operations”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12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seek to create a diversified portfolio primarily of Floating Rate Loans by generally targeting an investment size of $5 million to $30 million in securities, on average, of middle-market companies. We expect this investment size to vary proportionately with the size of our capital base.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11"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Selection Criteria” for more information.</w:t>
      </w:r>
    </w:p>
    <w:p>
      <w:pPr>
        <w:spacing w:after="0" w:line="10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i w:val="1"/>
          <w:iCs w:val="1"/>
          <w:color w:val="auto"/>
        </w:rPr>
        <w:t>First Lien Secured Debt</w:t>
      </w:r>
    </w:p>
    <w:p>
      <w:pPr>
        <w:spacing w:after="0" w:line="135"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Second Lien Secured Debt</w:t>
      </w:r>
    </w:p>
    <w:p>
      <w:pPr>
        <w:spacing w:after="0" w:line="13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Subordinated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Structurally,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123"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We are committed to a value-oriented philosophy used by the senior investment professionals who manage our portfolio and seek to minimize the risk of capital loss without foregoing potential for capital appreciation.</w:t>
      </w:r>
    </w:p>
    <w:p>
      <w:pPr>
        <w:spacing w:after="0" w:line="10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115" w:lineRule="exact"/>
        <w:rPr>
          <w:sz w:val="20"/>
          <w:szCs w:val="20"/>
          <w:color w:val="auto"/>
        </w:rPr>
      </w:pPr>
    </w:p>
    <w:p>
      <w:pPr>
        <w:ind w:left="920" w:hanging="359"/>
        <w:spacing w:after="0"/>
        <w:tabs>
          <w:tab w:leader="none" w:pos="92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Leading and defensible competitive market positions</w:t>
      </w:r>
    </w:p>
    <w:p>
      <w:pPr>
        <w:spacing w:after="0" w:line="136" w:lineRule="exact"/>
        <w:rPr>
          <w:sz w:val="20"/>
          <w:szCs w:val="20"/>
          <w:color w:val="auto"/>
        </w:rPr>
      </w:pPr>
    </w:p>
    <w:p>
      <w:pPr>
        <w:jc w:val="both"/>
        <w:ind w:right="340" w:firstLine="438"/>
        <w:spacing w:after="0" w:line="238"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02" w:lineRule="exact"/>
        <w:rPr>
          <w:sz w:val="20"/>
          <w:szCs w:val="20"/>
          <w:color w:val="auto"/>
        </w:rPr>
      </w:pPr>
    </w:p>
    <w:p>
      <w:pPr>
        <w:ind w:left="920" w:hanging="359"/>
        <w:spacing w:after="0"/>
        <w:tabs>
          <w:tab w:leader="none" w:pos="92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Investing in stable borrowers with positive cash flow</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7" w:lineRule="exact"/>
        <w:rPr>
          <w:sz w:val="20"/>
          <w:szCs w:val="20"/>
          <w:color w:val="auto"/>
        </w:rPr>
      </w:pPr>
    </w:p>
    <w:p>
      <w:pPr>
        <w:ind w:left="920" w:hanging="359"/>
        <w:spacing w:after="0"/>
        <w:tabs>
          <w:tab w:leader="none" w:pos="9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Proven management teams</w:t>
      </w:r>
    </w:p>
    <w:p>
      <w:pPr>
        <w:spacing w:after="0" w:line="136"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06" w:lineRule="exact"/>
        <w:rPr>
          <w:sz w:val="20"/>
          <w:szCs w:val="20"/>
          <w:color w:val="auto"/>
        </w:rPr>
      </w:pPr>
    </w:p>
    <w:p>
      <w:pPr>
        <w:ind w:left="920" w:hanging="359"/>
        <w:spacing w:after="0"/>
        <w:tabs>
          <w:tab w:leader="none" w:pos="92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Financial sponsorship</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04" w:lineRule="exact"/>
        <w:rPr>
          <w:sz w:val="20"/>
          <w:szCs w:val="20"/>
          <w:color w:val="auto"/>
        </w:rPr>
      </w:pPr>
    </w:p>
    <w:p>
      <w:pPr>
        <w:ind w:left="920" w:hanging="359"/>
        <w:spacing w:after="0"/>
        <w:tabs>
          <w:tab w:leader="none" w:pos="92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Investments in different borrowers, industries and geographies</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115" w:lineRule="exact"/>
        <w:rPr>
          <w:sz w:val="20"/>
          <w:szCs w:val="20"/>
          <w:color w:val="auto"/>
        </w:rPr>
      </w:pPr>
    </w:p>
    <w:p>
      <w:pPr>
        <w:ind w:left="920" w:hanging="359"/>
        <w:spacing w:after="0"/>
        <w:tabs>
          <w:tab w:leader="none" w:pos="92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Viable exit strategy</w:t>
      </w:r>
    </w:p>
    <w:p>
      <w:pPr>
        <w:spacing w:after="0" w:line="136" w:lineRule="exact"/>
        <w:rPr>
          <w:sz w:val="20"/>
          <w:szCs w:val="20"/>
          <w:color w:val="auto"/>
        </w:rPr>
      </w:pPr>
    </w:p>
    <w:p>
      <w:pPr>
        <w:ind w:right="180" w:firstLine="438"/>
        <w:spacing w:after="0" w:line="231" w:lineRule="auto"/>
        <w:rPr>
          <w:sz w:val="20"/>
          <w:szCs w:val="20"/>
          <w:color w:val="auto"/>
        </w:rPr>
      </w:pPr>
      <w:r>
        <w:rPr>
          <w:rFonts w:ascii="Arial" w:cs="Arial" w:eastAsia="Arial" w:hAnsi="Arial"/>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w:t>
      </w:r>
    </w:p>
    <w:p>
      <w:pPr>
        <w:spacing w:after="0" w:line="123" w:lineRule="exact"/>
        <w:rPr>
          <w:sz w:val="20"/>
          <w:szCs w:val="20"/>
          <w:color w:val="auto"/>
        </w:rPr>
      </w:pPr>
    </w:p>
    <w:p>
      <w:pPr>
        <w:jc w:val="both"/>
        <w:ind w:right="320" w:firstLine="438"/>
        <w:spacing w:after="0" w:line="233" w:lineRule="auto"/>
        <w:rPr>
          <w:sz w:val="20"/>
          <w:szCs w:val="20"/>
          <w:color w:val="auto"/>
        </w:rPr>
      </w:pPr>
      <w:r>
        <w:rPr>
          <w:rFonts w:ascii="Arial" w:cs="Arial" w:eastAsia="Arial" w:hAnsi="Arial"/>
          <w:sz w:val="14"/>
          <w:szCs w:val="14"/>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ind w:left="440"/>
        <w:spacing w:after="0"/>
        <w:rPr>
          <w:sz w:val="20"/>
          <w:szCs w:val="20"/>
          <w:color w:val="auto"/>
        </w:rPr>
      </w:pPr>
      <w:r>
        <w:rPr>
          <w:rFonts w:ascii="Arial" w:cs="Arial" w:eastAsia="Arial" w:hAnsi="Arial"/>
          <w:sz w:val="14"/>
          <w:szCs w:val="14"/>
          <w:color w:val="auto"/>
        </w:rPr>
        <w:t>Our due diligence may include:</w:t>
      </w:r>
    </w:p>
    <w:p>
      <w:pPr>
        <w:spacing w:after="0" w:line="123" w:lineRule="exact"/>
        <w:rPr>
          <w:sz w:val="20"/>
          <w:szCs w:val="20"/>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research relating to the portfolio company’s management, industry, markets, products and services and competitors;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 of loan documents;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background checks.</w:t>
      </w:r>
    </w:p>
    <w:p>
      <w:pPr>
        <w:spacing w:after="0" w:line="136" w:lineRule="exact"/>
        <w:rPr>
          <w:sz w:val="20"/>
          <w:szCs w:val="20"/>
          <w:color w:val="auto"/>
        </w:rPr>
      </w:pPr>
    </w:p>
    <w:p>
      <w:pPr>
        <w:ind w:right="380" w:firstLine="438"/>
        <w:spacing w:after="0" w:line="25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accountants prior to the closing of the investment, as well as other outside advisers, as appropriate.</w:t>
      </w:r>
    </w:p>
    <w:p>
      <w:pPr>
        <w:spacing w:after="0" w:line="10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Structure</w:t>
      </w:r>
    </w:p>
    <w:p>
      <w:pPr>
        <w:spacing w:after="0" w:line="123" w:lineRule="exact"/>
        <w:rPr>
          <w:sz w:val="20"/>
          <w:szCs w:val="20"/>
          <w:color w:val="auto"/>
        </w:rPr>
      </w:pPr>
    </w:p>
    <w:p>
      <w:pPr>
        <w:jc w:val="both"/>
        <w:ind w:right="280" w:firstLine="438"/>
        <w:spacing w:after="0" w:line="238"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5"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06"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94"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115" w:lineRule="exact"/>
        <w:rPr>
          <w:sz w:val="20"/>
          <w:szCs w:val="20"/>
          <w:color w:val="auto"/>
        </w:rPr>
      </w:pPr>
    </w:p>
    <w:p>
      <w:pPr>
        <w:ind w:left="920" w:hanging="359"/>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in the form of a floor and potential equity appreciation) that compensates us for credit risk;</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136" w:lineRule="exact"/>
        <w:rPr>
          <w:rFonts w:ascii="Arial" w:cs="Arial" w:eastAsia="Arial" w:hAnsi="Arial"/>
          <w:sz w:val="14"/>
          <w:szCs w:val="14"/>
          <w:color w:val="auto"/>
        </w:rPr>
      </w:pPr>
    </w:p>
    <w:p>
      <w:pPr>
        <w:jc w:val="both"/>
        <w:ind w:left="920" w:right="260" w:hanging="359"/>
        <w:spacing w:after="0" w:line="238" w:lineRule="auto"/>
        <w:tabs>
          <w:tab w:leader="none" w:pos="9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15"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Monitoring</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136" w:lineRule="exact"/>
        <w:rPr>
          <w:sz w:val="20"/>
          <w:szCs w:val="20"/>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assessment of success in adhering to a portfolio company’s business plan and compliance with covenants;</w:t>
      </w:r>
    </w:p>
    <w:p>
      <w:pPr>
        <w:spacing w:after="0" w:line="136" w:lineRule="exact"/>
        <w:rPr>
          <w:rFonts w:ascii="Arial" w:cs="Arial" w:eastAsia="Arial" w:hAnsi="Arial"/>
          <w:sz w:val="14"/>
          <w:szCs w:val="14"/>
          <w:color w:val="auto"/>
        </w:rPr>
      </w:pPr>
    </w:p>
    <w:p>
      <w:pPr>
        <w:ind w:left="920" w:right="800" w:hanging="359"/>
        <w:spacing w:after="0" w:line="253" w:lineRule="auto"/>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periodic or regular contact with portfolio company management and, if appropriate, the financial or strategic sponsor, to discuss financial position, requirements and accomplishments;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 of periodic financial statements and financial projections for portfolio companies.</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7" w:name="page8"/>
    <w:bookmarkEnd w:id="7"/>
    <w:p>
      <w:pPr>
        <w:ind w:right="200" w:firstLine="438"/>
        <w:spacing w:after="0" w:line="244" w:lineRule="auto"/>
        <w:rPr>
          <w:sz w:val="20"/>
          <w:szCs w:val="20"/>
          <w:color w:val="auto"/>
        </w:rPr>
      </w:pPr>
      <w:r>
        <w:rPr>
          <w:rFonts w:ascii="Arial" w:cs="Arial" w:eastAsia="Arial" w:hAnsi="Arial"/>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2" w:lineRule="exact"/>
        <w:rPr>
          <w:sz w:val="20"/>
          <w:szCs w:val="20"/>
          <w:color w:val="auto"/>
        </w:rPr>
      </w:pPr>
    </w:p>
    <w:p>
      <w:pPr>
        <w:ind w:right="180" w:firstLine="8"/>
        <w:spacing w:after="0" w:line="237" w:lineRule="auto"/>
        <w:tabs>
          <w:tab w:leader="none" w:pos="204"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136"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We offer significant managerial assistance to our portfolio companies. As a BDC, we are required to make available such significant managerial assistance within the meaning of Section 2(a)(47) of the 1940 Act. See “Regulation” for more information.</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Staffing</w:t>
      </w:r>
    </w:p>
    <w:p>
      <w:pPr>
        <w:spacing w:after="0" w:line="123"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Information</w:t>
      </w:r>
    </w:p>
    <w:p>
      <w:pPr>
        <w:spacing w:after="0" w:line="136"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 xml:space="preserve">Our administrative and principal executive offices are located at 590 Madison Avenue, 15th Floor, New York, NY 10022. Our common stock is quoted on The Nasdaq Global Select Market and the Tel Aviv Stock Exchange, or TASE, under the symbol “PFLT.” Our phone number is (212) 905-1000, and our Internet website address is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that contains material that we file with the SEC on the EDGAR Database.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w:t>
      </w:r>
    </w:p>
    <w:p>
      <w:pPr>
        <w:spacing w:after="0" w:line="136"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0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60"/>
              <w:spacing w:after="0"/>
              <w:rPr>
                <w:sz w:val="20"/>
                <w:szCs w:val="20"/>
                <w:color w:val="auto"/>
              </w:rPr>
            </w:pPr>
            <w:r>
              <w:rPr>
                <w:rFonts w:ascii="Arial" w:cs="Arial" w:eastAsia="Arial" w:hAnsi="Arial"/>
                <w:sz w:val="14"/>
                <w:szCs w:val="14"/>
                <w:color w:val="auto"/>
              </w:rPr>
              <w:t>Aerospace and Defense</w:t>
            </w:r>
          </w:p>
        </w:tc>
        <w:tc>
          <w:tcPr>
            <w:tcW w:w="1020" w:type="dxa"/>
            <w:vAlign w:val="bottom"/>
          </w:tcPr>
          <w:p>
            <w:pPr>
              <w:ind w:left="900"/>
              <w:spacing w:after="0"/>
              <w:rPr>
                <w:sz w:val="20"/>
                <w:szCs w:val="20"/>
                <w:color w:val="auto"/>
              </w:rPr>
            </w:pPr>
            <w:r>
              <w:rPr>
                <w:rFonts w:ascii="Arial" w:cs="Arial" w:eastAsia="Arial" w:hAnsi="Arial"/>
                <w:sz w:val="14"/>
                <w:szCs w:val="14"/>
                <w:color w:val="auto"/>
              </w:rPr>
              <w:t>•</w:t>
            </w:r>
          </w:p>
        </w:tc>
        <w:tc>
          <w:tcPr>
            <w:tcW w:w="4280" w:type="dxa"/>
            <w:vAlign w:val="bottom"/>
          </w:tcPr>
          <w:p>
            <w:pPr>
              <w:ind w:left="80"/>
              <w:spacing w:after="0"/>
              <w:rPr>
                <w:sz w:val="20"/>
                <w:szCs w:val="20"/>
                <w:color w:val="auto"/>
              </w:rPr>
            </w:pPr>
            <w:r>
              <w:rPr>
                <w:rFonts w:ascii="Arial" w:cs="Arial" w:eastAsia="Arial" w:hAnsi="Arial"/>
                <w:sz w:val="14"/>
                <w:szCs w:val="14"/>
                <w:color w:val="auto"/>
              </w:rPr>
              <w:t>Energy/Utilities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60"/>
              <w:spacing w:after="0" w:line="149" w:lineRule="exact"/>
              <w:rPr>
                <w:sz w:val="20"/>
                <w:szCs w:val="20"/>
                <w:color w:val="auto"/>
              </w:rPr>
            </w:pPr>
            <w:r>
              <w:rPr>
                <w:rFonts w:ascii="Arial" w:cs="Arial" w:eastAsia="Arial" w:hAnsi="Arial"/>
                <w:sz w:val="14"/>
                <w:szCs w:val="14"/>
                <w:color w:val="auto"/>
              </w:rPr>
              <w:t>Auto Sector</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Environmental Services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Beverage, Food and Tobacco</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Financial Services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Broadcasting and Entertainment</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Grocery</w:t>
            </w:r>
          </w:p>
        </w:tc>
      </w:tr>
      <w:tr>
        <w:trPr>
          <w:trHeight w:val="176"/>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Buildings and Real Estate</w:t>
            </w:r>
          </w:p>
        </w:tc>
        <w:tc>
          <w:tcPr>
            <w:tcW w:w="5300" w:type="dxa"/>
            <w:vAlign w:val="bottom"/>
            <w:gridSpan w:val="2"/>
          </w:tcPr>
          <w:p>
            <w:pPr>
              <w:ind w:left="900"/>
              <w:spacing w:after="0"/>
              <w:rPr>
                <w:sz w:val="20"/>
                <w:szCs w:val="20"/>
                <w:color w:val="auto"/>
              </w:rPr>
            </w:pPr>
            <w:r>
              <w:rPr>
                <w:rFonts w:ascii="Arial" w:cs="Arial" w:eastAsia="Arial" w:hAnsi="Arial"/>
                <w:sz w:val="14"/>
                <w:szCs w:val="14"/>
                <w:color w:val="auto"/>
              </w:rPr>
              <w:t>•  Healthcare, Education and Childcare</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Building Materials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Business Services</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w w:val="95"/>
              </w:rPr>
              <w:t>•  Home &amp; Office Furnishings, Housewares &amp; Durable Consumer Products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Cable Television</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  Hotels, Motels, Inns and Gaming</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Capital Equipment</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Insurance</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Cargo Transportation</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  Leisure, Amusement, Motion Picture, Entertainment</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Chemicals, Plastics and Rubber</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Logistics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Communications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Manufacturing/Basic Industries</w:t>
            </w:r>
          </w:p>
        </w:tc>
      </w:tr>
      <w:tr>
        <w:trPr>
          <w:trHeight w:val="175"/>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Consumer Products</w:t>
            </w:r>
          </w:p>
        </w:tc>
        <w:tc>
          <w:tcPr>
            <w:tcW w:w="1020" w:type="dxa"/>
            <w:vAlign w:val="bottom"/>
          </w:tcPr>
          <w:p>
            <w:pPr>
              <w:ind w:left="900"/>
              <w:spacing w:after="0"/>
              <w:rPr>
                <w:sz w:val="20"/>
                <w:szCs w:val="20"/>
                <w:color w:val="auto"/>
              </w:rPr>
            </w:pPr>
            <w:r>
              <w:rPr>
                <w:rFonts w:ascii="Arial" w:cs="Arial" w:eastAsia="Arial" w:hAnsi="Arial"/>
                <w:sz w:val="14"/>
                <w:szCs w:val="14"/>
                <w:color w:val="auto"/>
              </w:rPr>
              <w:t>•</w:t>
            </w:r>
          </w:p>
        </w:tc>
        <w:tc>
          <w:tcPr>
            <w:tcW w:w="4280" w:type="dxa"/>
            <w:vAlign w:val="bottom"/>
          </w:tcPr>
          <w:p>
            <w:pPr>
              <w:ind w:left="80"/>
              <w:spacing w:after="0"/>
              <w:rPr>
                <w:sz w:val="20"/>
                <w:szCs w:val="20"/>
                <w:color w:val="auto"/>
              </w:rPr>
            </w:pPr>
            <w:r>
              <w:rPr>
                <w:rFonts w:ascii="Arial" w:cs="Arial" w:eastAsia="Arial" w:hAnsi="Arial"/>
                <w:sz w:val="14"/>
                <w:szCs w:val="14"/>
                <w:color w:val="auto"/>
              </w:rPr>
              <w:t>Media</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Consumer Services</w:t>
            </w:r>
          </w:p>
        </w:tc>
        <w:tc>
          <w:tcPr>
            <w:tcW w:w="5300" w:type="dxa"/>
            <w:vAlign w:val="bottom"/>
            <w:gridSpan w:val="2"/>
          </w:tcPr>
          <w:p>
            <w:pPr>
              <w:ind w:left="900"/>
              <w:spacing w:after="0" w:line="149" w:lineRule="exact"/>
              <w:rPr>
                <w:sz w:val="20"/>
                <w:szCs w:val="20"/>
                <w:color w:val="auto"/>
              </w:rPr>
            </w:pPr>
            <w:r>
              <w:rPr>
                <w:rFonts w:ascii="Arial" w:cs="Arial" w:eastAsia="Arial" w:hAnsi="Arial"/>
                <w:sz w:val="14"/>
                <w:szCs w:val="14"/>
                <w:color w:val="auto"/>
              </w:rPr>
              <w:t>•  Mining, Steel, Iron and Non-Precious Metals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Containers Packaging &amp; Glass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Oil and Gas</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Distribution</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Other Media</w:t>
            </w:r>
          </w:p>
        </w:tc>
      </w:tr>
      <w:tr>
        <w:trPr>
          <w:trHeight w:val="175"/>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Diversified/Conglomerate Manufacturing</w:t>
            </w:r>
          </w:p>
        </w:tc>
        <w:tc>
          <w:tcPr>
            <w:tcW w:w="5300" w:type="dxa"/>
            <w:vAlign w:val="bottom"/>
            <w:gridSpan w:val="2"/>
          </w:tcPr>
          <w:p>
            <w:pPr>
              <w:ind w:left="900"/>
              <w:spacing w:after="0"/>
              <w:rPr>
                <w:sz w:val="20"/>
                <w:szCs w:val="20"/>
                <w:color w:val="auto"/>
              </w:rPr>
            </w:pPr>
            <w:r>
              <w:rPr>
                <w:rFonts w:ascii="Arial" w:cs="Arial" w:eastAsia="Arial" w:hAnsi="Arial"/>
                <w:sz w:val="14"/>
                <w:szCs w:val="14"/>
                <w:color w:val="auto"/>
              </w:rPr>
              <w:t>•  Personal, Food and Miscellaneous Services</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Diversified/Conglomerate Services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Printing and Publishing</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Retail</w:t>
            </w:r>
          </w:p>
        </w:tc>
      </w:tr>
      <w:tr>
        <w:trPr>
          <w:trHeight w:val="148"/>
        </w:trPr>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520" w:type="dxa"/>
            <w:vAlign w:val="bottom"/>
          </w:tcPr>
          <w:p>
            <w:pPr>
              <w:ind w:left="80"/>
              <w:spacing w:after="0" w:line="149" w:lineRule="exact"/>
              <w:rPr>
                <w:sz w:val="20"/>
                <w:szCs w:val="20"/>
                <w:color w:val="auto"/>
              </w:rPr>
            </w:pPr>
            <w:r>
              <w:rPr>
                <w:rFonts w:ascii="Arial" w:cs="Arial" w:eastAsia="Arial" w:hAnsi="Arial"/>
                <w:sz w:val="14"/>
                <w:szCs w:val="14"/>
                <w:color w:val="auto"/>
              </w:rPr>
              <w:t>Education</w:t>
            </w:r>
          </w:p>
        </w:tc>
        <w:tc>
          <w:tcPr>
            <w:tcW w:w="1020" w:type="dxa"/>
            <w:vAlign w:val="bottom"/>
          </w:tcPr>
          <w:p>
            <w:pPr>
              <w:ind w:left="900"/>
              <w:spacing w:after="0" w:line="149" w:lineRule="exact"/>
              <w:rPr>
                <w:sz w:val="20"/>
                <w:szCs w:val="20"/>
                <w:color w:val="auto"/>
              </w:rPr>
            </w:pPr>
            <w:r>
              <w:rPr>
                <w:rFonts w:ascii="Arial" w:cs="Arial" w:eastAsia="Arial" w:hAnsi="Arial"/>
                <w:sz w:val="14"/>
                <w:szCs w:val="14"/>
                <w:color w:val="auto"/>
              </w:rPr>
              <w:t>•</w:t>
            </w:r>
          </w:p>
        </w:tc>
        <w:tc>
          <w:tcPr>
            <w:tcW w:w="4280" w:type="dxa"/>
            <w:vAlign w:val="bottom"/>
          </w:tcPr>
          <w:p>
            <w:pPr>
              <w:ind w:left="80"/>
              <w:spacing w:after="0" w:line="149" w:lineRule="exact"/>
              <w:rPr>
                <w:sz w:val="20"/>
                <w:szCs w:val="20"/>
                <w:color w:val="auto"/>
              </w:rPr>
            </w:pPr>
            <w:r>
              <w:rPr>
                <w:rFonts w:ascii="Arial" w:cs="Arial" w:eastAsia="Arial" w:hAnsi="Arial"/>
                <w:sz w:val="14"/>
                <w:szCs w:val="14"/>
                <w:color w:val="auto"/>
              </w:rPr>
              <w:t>Wholesale</w:t>
            </w:r>
          </w:p>
        </w:tc>
      </w:tr>
      <w:tr>
        <w:trPr>
          <w:trHeight w:val="182"/>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4520" w:type="dxa"/>
            <w:vAlign w:val="bottom"/>
          </w:tcPr>
          <w:p>
            <w:pPr>
              <w:ind w:left="80"/>
              <w:spacing w:after="0"/>
              <w:rPr>
                <w:sz w:val="20"/>
                <w:szCs w:val="20"/>
                <w:color w:val="auto"/>
              </w:rPr>
            </w:pPr>
            <w:r>
              <w:rPr>
                <w:rFonts w:ascii="Arial" w:cs="Arial" w:eastAsia="Arial" w:hAnsi="Arial"/>
                <w:sz w:val="14"/>
                <w:szCs w:val="14"/>
                <w:color w:val="auto"/>
              </w:rPr>
              <w:t>Electronics</w:t>
            </w:r>
          </w:p>
        </w:tc>
        <w:tc>
          <w:tcPr>
            <w:tcW w:w="1020" w:type="dxa"/>
            <w:vAlign w:val="bottom"/>
          </w:tcPr>
          <w:p>
            <w:pPr>
              <w:spacing w:after="0"/>
              <w:rPr>
                <w:sz w:val="15"/>
                <w:szCs w:val="15"/>
                <w:color w:val="auto"/>
              </w:rPr>
            </w:pPr>
          </w:p>
        </w:tc>
        <w:tc>
          <w:tcPr>
            <w:tcW w:w="4280" w:type="dxa"/>
            <w:vAlign w:val="bottom"/>
          </w:tcPr>
          <w:p>
            <w:pPr>
              <w:spacing w:after="0"/>
              <w:rPr>
                <w:sz w:val="15"/>
                <w:szCs w:val="15"/>
                <w:color w:val="auto"/>
              </w:rPr>
            </w:pPr>
          </w:p>
        </w:tc>
      </w:tr>
    </w:tbl>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Listed below are our top ten portfolio companies and industries represented as a percentage of our consolidated portfolio assets (excluding cash and cash equivalents) as of September 30: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Borders>
              <w:bottom w:val="single" w:sz="8" w:color="CCECFF"/>
            </w:tcBorders>
          </w:tcPr>
          <w:p>
            <w:pPr>
              <w:spacing w:after="0"/>
              <w:rPr>
                <w:sz w:val="14"/>
                <w:szCs w:val="14"/>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2"/>
                <w:szCs w:val="12"/>
                <w:b w:val="1"/>
                <w:bCs w:val="1"/>
                <w:color w:val="auto"/>
              </w:rPr>
              <w:t>(1)</w:t>
            </w:r>
          </w:p>
        </w:tc>
        <w:tc>
          <w:tcPr>
            <w:tcW w:w="280" w:type="dxa"/>
            <w:vAlign w:val="bottom"/>
            <w:tcBorders>
              <w:bottom w:val="single" w:sz="8" w:color="CCECFF"/>
            </w:tcBorders>
          </w:tcPr>
          <w:p>
            <w:pPr>
              <w:spacing w:after="0"/>
              <w:rPr>
                <w:sz w:val="14"/>
                <w:szCs w:val="1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Borders>
              <w:bottom w:val="single" w:sz="8" w:color="CCECFF"/>
            </w:tcBorders>
          </w:tcPr>
          <w:p>
            <w:pPr>
              <w:spacing w:after="0"/>
              <w:rPr>
                <w:sz w:val="14"/>
                <w:szCs w:val="14"/>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5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MeritDirect, LLC</w:t>
            </w:r>
          </w:p>
        </w:tc>
        <w:tc>
          <w:tcPr>
            <w:tcW w:w="16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ind w:left="900"/>
              <w:spacing w:after="0" w:line="155" w:lineRule="exact"/>
              <w:rPr>
                <w:sz w:val="20"/>
                <w:szCs w:val="20"/>
                <w:color w:val="auto"/>
              </w:rPr>
            </w:pPr>
            <w:r>
              <w:rPr>
                <w:rFonts w:ascii="Arial" w:cs="Arial" w:eastAsia="Arial" w:hAnsi="Arial"/>
                <w:sz w:val="14"/>
                <w:szCs w:val="14"/>
                <w:color w:val="auto"/>
              </w:rPr>
              <w:t>4%</w:t>
            </w:r>
          </w:p>
        </w:tc>
        <w:tc>
          <w:tcPr>
            <w:tcW w:w="40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Beauty Industry Group Opco, LLC</w:t>
            </w:r>
          </w:p>
        </w:tc>
        <w:tc>
          <w:tcPr>
            <w:tcW w:w="1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ind w:left="900"/>
              <w:spacing w:after="0" w:line="155"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3"/>
                <w:szCs w:val="13"/>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Cano Health, LLC</w:t>
            </w:r>
          </w:p>
        </w:tc>
        <w:tc>
          <w:tcPr>
            <w:tcW w:w="1160" w:type="dxa"/>
            <w:vAlign w:val="bottom"/>
            <w:gridSpan w:val="2"/>
          </w:tcPr>
          <w:p>
            <w:pPr>
              <w:ind w:left="1060"/>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Integrative Nutrition, LLC</w:t>
            </w:r>
          </w:p>
        </w:tc>
        <w:tc>
          <w:tcPr>
            <w:tcW w:w="1000" w:type="dxa"/>
            <w:vAlign w:val="bottom"/>
          </w:tcPr>
          <w:p>
            <w:pPr>
              <w:ind w:left="90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00" w:type="dxa"/>
            <w:vAlign w:val="bottom"/>
            <w:shd w:val="clear" w:color="auto" w:fill="CCECFF"/>
          </w:tcPr>
          <w:p>
            <w:pPr>
              <w:spacing w:after="0"/>
              <w:rPr>
                <w:sz w:val="20"/>
                <w:szCs w:val="20"/>
                <w:color w:val="auto"/>
              </w:rPr>
            </w:pPr>
            <w:r>
              <w:rPr>
                <w:rFonts w:ascii="Arial" w:cs="Arial" w:eastAsia="Arial" w:hAnsi="Arial"/>
                <w:sz w:val="14"/>
                <w:szCs w:val="14"/>
                <w:color w:val="auto"/>
              </w:rPr>
              <w:t>Douglas Products</w:t>
            </w:r>
          </w:p>
        </w:tc>
        <w:tc>
          <w:tcPr>
            <w:tcW w:w="1160" w:type="dxa"/>
            <w:vAlign w:val="bottom"/>
            <w:gridSpan w:val="2"/>
            <w:shd w:val="clear" w:color="auto" w:fill="CCECFF"/>
          </w:tcPr>
          <w:p>
            <w:pPr>
              <w:ind w:left="1060"/>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Credit Infonet, Inc.</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GSM Holdings, Inc.</w:t>
            </w:r>
          </w:p>
        </w:tc>
        <w:tc>
          <w:tcPr>
            <w:tcW w:w="1160" w:type="dxa"/>
            <w:vAlign w:val="bottom"/>
            <w:gridSpan w:val="2"/>
          </w:tcPr>
          <w:p>
            <w:pPr>
              <w:ind w:left="1060"/>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Education Networks of America, Inc.</w:t>
            </w:r>
          </w:p>
        </w:tc>
        <w:tc>
          <w:tcPr>
            <w:tcW w:w="1000" w:type="dxa"/>
            <w:vAlign w:val="bottom"/>
          </w:tcPr>
          <w:p>
            <w:pPr>
              <w:ind w:left="90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00" w:type="dxa"/>
            <w:vAlign w:val="bottom"/>
            <w:shd w:val="clear" w:color="auto" w:fill="CCECFF"/>
          </w:tcPr>
          <w:p>
            <w:pPr>
              <w:spacing w:after="0"/>
              <w:rPr>
                <w:sz w:val="20"/>
                <w:szCs w:val="20"/>
                <w:color w:val="auto"/>
              </w:rPr>
            </w:pPr>
            <w:r>
              <w:rPr>
                <w:rFonts w:ascii="Arial" w:cs="Arial" w:eastAsia="Arial" w:hAnsi="Arial"/>
                <w:sz w:val="14"/>
                <w:szCs w:val="14"/>
                <w:color w:val="auto"/>
              </w:rPr>
              <w:t>Integrative Nutrition, LLC</w:t>
            </w:r>
          </w:p>
        </w:tc>
        <w:tc>
          <w:tcPr>
            <w:tcW w:w="1160" w:type="dxa"/>
            <w:vAlign w:val="bottom"/>
            <w:gridSpan w:val="2"/>
            <w:shd w:val="clear" w:color="auto" w:fill="CCECFF"/>
          </w:tcPr>
          <w:p>
            <w:pPr>
              <w:ind w:left="1060"/>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Montreign Operating Company, LLC</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4500" w:type="dxa"/>
            <w:vAlign w:val="bottom"/>
          </w:tcPr>
          <w:p>
            <w:pPr>
              <w:spacing w:after="0" w:line="157" w:lineRule="exact"/>
              <w:rPr>
                <w:sz w:val="20"/>
                <w:szCs w:val="20"/>
                <w:color w:val="auto"/>
              </w:rPr>
            </w:pPr>
            <w:r>
              <w:rPr>
                <w:rFonts w:ascii="Arial" w:cs="Arial" w:eastAsia="Arial" w:hAnsi="Arial"/>
                <w:sz w:val="14"/>
                <w:szCs w:val="14"/>
                <w:color w:val="auto"/>
              </w:rPr>
              <w:t>Montreign Operating Company, LLC</w:t>
            </w:r>
          </w:p>
        </w:tc>
        <w:tc>
          <w:tcPr>
            <w:tcW w:w="1160" w:type="dxa"/>
            <w:vAlign w:val="bottom"/>
            <w:gridSpan w:val="2"/>
          </w:tcPr>
          <w:p>
            <w:pPr>
              <w:ind w:left="1060"/>
              <w:spacing w:after="0" w:line="157"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3"/>
                <w:szCs w:val="13"/>
                <w:color w:val="auto"/>
              </w:rPr>
            </w:pPr>
          </w:p>
        </w:tc>
        <w:tc>
          <w:tcPr>
            <w:tcW w:w="4160" w:type="dxa"/>
            <w:vAlign w:val="bottom"/>
            <w:gridSpan w:val="2"/>
          </w:tcPr>
          <w:p>
            <w:pPr>
              <w:spacing w:after="0" w:line="157" w:lineRule="exact"/>
              <w:rPr>
                <w:sz w:val="20"/>
                <w:szCs w:val="20"/>
                <w:color w:val="auto"/>
              </w:rPr>
            </w:pPr>
            <w:r>
              <w:rPr>
                <w:rFonts w:ascii="Arial" w:cs="Arial" w:eastAsia="Arial" w:hAnsi="Arial"/>
                <w:sz w:val="14"/>
                <w:szCs w:val="14"/>
                <w:color w:val="auto"/>
              </w:rPr>
              <w:t>Research Now Group, Inc. and Survey</w:t>
            </w:r>
          </w:p>
        </w:tc>
        <w:tc>
          <w:tcPr>
            <w:tcW w:w="1000" w:type="dxa"/>
            <w:vAlign w:val="bottom"/>
          </w:tcPr>
          <w:p>
            <w:pPr>
              <w:ind w:left="900"/>
              <w:spacing w:after="0" w:line="157"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60" w:type="dxa"/>
            <w:vAlign w:val="bottom"/>
            <w:gridSpan w:val="2"/>
          </w:tcPr>
          <w:p>
            <w:pPr>
              <w:ind w:left="160"/>
              <w:spacing w:after="0"/>
              <w:rPr>
                <w:sz w:val="20"/>
                <w:szCs w:val="20"/>
                <w:color w:val="auto"/>
              </w:rPr>
            </w:pPr>
            <w:r>
              <w:rPr>
                <w:rFonts w:ascii="Arial" w:cs="Arial" w:eastAsia="Arial" w:hAnsi="Arial"/>
                <w:sz w:val="14"/>
                <w:szCs w:val="14"/>
                <w:color w:val="auto"/>
              </w:rPr>
              <w:t>Sampling International LLC</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00" w:type="dxa"/>
            <w:vAlign w:val="bottom"/>
            <w:shd w:val="clear" w:color="auto" w:fill="CCECFF"/>
          </w:tcPr>
          <w:p>
            <w:pPr>
              <w:spacing w:after="0"/>
              <w:rPr>
                <w:sz w:val="20"/>
                <w:szCs w:val="20"/>
                <w:color w:val="auto"/>
              </w:rPr>
            </w:pPr>
            <w:r>
              <w:rPr>
                <w:rFonts w:ascii="Arial" w:cs="Arial" w:eastAsia="Arial" w:hAnsi="Arial"/>
                <w:sz w:val="14"/>
                <w:szCs w:val="14"/>
                <w:color w:val="auto"/>
              </w:rPr>
              <w:t>Research Now Group, Inc. and Survey</w:t>
            </w:r>
          </w:p>
        </w:tc>
        <w:tc>
          <w:tcPr>
            <w:tcW w:w="1160" w:type="dxa"/>
            <w:vAlign w:val="bottom"/>
            <w:gridSpan w:val="2"/>
            <w:shd w:val="clear" w:color="auto" w:fill="CCECFF"/>
          </w:tcPr>
          <w:p>
            <w:pPr>
              <w:ind w:left="1060"/>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Tensar Corporation</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00" w:type="dxa"/>
            <w:vAlign w:val="bottom"/>
            <w:shd w:val="clear" w:color="auto" w:fill="CCECFF"/>
          </w:tcPr>
          <w:p>
            <w:pPr>
              <w:ind w:left="160"/>
              <w:spacing w:after="0"/>
              <w:rPr>
                <w:sz w:val="20"/>
                <w:szCs w:val="20"/>
                <w:color w:val="auto"/>
              </w:rPr>
            </w:pPr>
            <w:r>
              <w:rPr>
                <w:rFonts w:ascii="Arial" w:cs="Arial" w:eastAsia="Arial" w:hAnsi="Arial"/>
                <w:sz w:val="14"/>
                <w:szCs w:val="14"/>
                <w:color w:val="auto"/>
              </w:rPr>
              <w:t>Sampling International LLC</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40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By Light Professional IT Services, LLC</w:t>
            </w:r>
          </w:p>
        </w:tc>
        <w:tc>
          <w:tcPr>
            <w:tcW w:w="1160" w:type="dxa"/>
            <w:vAlign w:val="bottom"/>
            <w:gridSpan w:val="2"/>
          </w:tcPr>
          <w:p>
            <w:pPr>
              <w:ind w:left="1060"/>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East Valley Tourist Development Authority</w:t>
            </w:r>
          </w:p>
        </w:tc>
        <w:tc>
          <w:tcPr>
            <w:tcW w:w="1000" w:type="dxa"/>
            <w:vAlign w:val="bottom"/>
          </w:tcPr>
          <w:p>
            <w:pPr>
              <w:ind w:left="90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00" w:type="dxa"/>
            <w:vAlign w:val="bottom"/>
            <w:shd w:val="clear" w:color="auto" w:fill="CCECFF"/>
          </w:tcPr>
          <w:p>
            <w:pPr>
              <w:spacing w:after="0"/>
              <w:rPr>
                <w:sz w:val="20"/>
                <w:szCs w:val="20"/>
                <w:color w:val="auto"/>
              </w:rPr>
            </w:pPr>
            <w:r>
              <w:rPr>
                <w:rFonts w:ascii="Arial" w:cs="Arial" w:eastAsia="Arial" w:hAnsi="Arial"/>
                <w:sz w:val="14"/>
                <w:szCs w:val="14"/>
                <w:color w:val="auto"/>
              </w:rPr>
              <w:t>eCommission Financial Services, Inc.</w:t>
            </w:r>
          </w:p>
        </w:tc>
        <w:tc>
          <w:tcPr>
            <w:tcW w:w="1160" w:type="dxa"/>
            <w:vAlign w:val="bottom"/>
            <w:gridSpan w:val="2"/>
            <w:shd w:val="clear" w:color="auto" w:fill="CCECFF"/>
          </w:tcPr>
          <w:p>
            <w:pPr>
              <w:ind w:left="1060"/>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Morphe, LLC</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4500" w:type="dxa"/>
            <w:vAlign w:val="bottom"/>
          </w:tcPr>
          <w:p>
            <w:pPr>
              <w:spacing w:after="0"/>
              <w:rPr>
                <w:sz w:val="20"/>
                <w:szCs w:val="20"/>
                <w:color w:val="auto"/>
              </w:rPr>
            </w:pPr>
            <w:r>
              <w:rPr>
                <w:rFonts w:ascii="Arial" w:cs="Arial" w:eastAsia="Arial" w:hAnsi="Arial"/>
                <w:sz w:val="14"/>
                <w:szCs w:val="14"/>
                <w:color w:val="auto"/>
              </w:rPr>
              <w:t>Tyto Athene, LLC</w:t>
            </w:r>
          </w:p>
        </w:tc>
        <w:tc>
          <w:tcPr>
            <w:tcW w:w="1160" w:type="dxa"/>
            <w:vAlign w:val="bottom"/>
            <w:gridSpan w:val="2"/>
          </w:tcPr>
          <w:p>
            <w:pPr>
              <w:ind w:left="1060"/>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NextiraOne Federal, LLC</w:t>
            </w:r>
          </w:p>
        </w:tc>
        <w:tc>
          <w:tcPr>
            <w:tcW w:w="1000" w:type="dxa"/>
            <w:vAlign w:val="bottom"/>
          </w:tcPr>
          <w:p>
            <w:pPr>
              <w:ind w:left="90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08"/>
        </w:trPr>
        <w:tc>
          <w:tcPr>
            <w:tcW w:w="4500" w:type="dxa"/>
            <w:vAlign w:val="bottom"/>
          </w:tcPr>
          <w:p>
            <w:pPr>
              <w:spacing w:after="0"/>
              <w:rPr>
                <w:sz w:val="24"/>
                <w:szCs w:val="24"/>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4"/>
                <w:szCs w:val="14"/>
                <w:color w:val="auto"/>
              </w:rPr>
              <w:t>6</w:t>
            </w: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9"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160" w:type="dxa"/>
            <w:vAlign w:val="bottom"/>
            <w:tcBorders>
              <w:bottom w:val="single" w:sz="8" w:color="CCECFF"/>
            </w:tcBorders>
          </w:tcPr>
          <w:p>
            <w:pPr>
              <w:spacing w:after="0"/>
              <w:rPr>
                <w:sz w:val="14"/>
                <w:szCs w:val="14"/>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2"/>
                <w:szCs w:val="12"/>
                <w:b w:val="1"/>
                <w:bCs w:val="1"/>
                <w:color w:val="auto"/>
              </w:rPr>
              <w:t>(1)</w:t>
            </w:r>
          </w:p>
        </w:tc>
        <w:tc>
          <w:tcPr>
            <w:tcW w:w="280" w:type="dxa"/>
            <w:vAlign w:val="bottom"/>
            <w:tcBorders>
              <w:bottom w:val="single" w:sz="8" w:color="CCECFF"/>
            </w:tcBorders>
          </w:tcPr>
          <w:p>
            <w:pPr>
              <w:spacing w:after="0"/>
              <w:rPr>
                <w:sz w:val="14"/>
                <w:szCs w:val="1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160" w:type="dxa"/>
            <w:vAlign w:val="bottom"/>
            <w:tcBorders>
              <w:bottom w:val="single" w:sz="8" w:color="CCECFF"/>
            </w:tcBorders>
          </w:tcPr>
          <w:p>
            <w:pPr>
              <w:spacing w:after="0"/>
              <w:rPr>
                <w:sz w:val="14"/>
                <w:szCs w:val="14"/>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r>
      <w:tr>
        <w:trPr>
          <w:trHeight w:val="156"/>
        </w:trPr>
        <w:tc>
          <w:tcPr>
            <w:tcW w:w="45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Aerospace and Defense</w:t>
            </w:r>
          </w:p>
        </w:tc>
        <w:tc>
          <w:tcPr>
            <w:tcW w:w="160" w:type="dxa"/>
            <w:vAlign w:val="bottom"/>
            <w:shd w:val="clear" w:color="auto" w:fill="CCECFF"/>
          </w:tcPr>
          <w:p>
            <w:pPr>
              <w:spacing w:after="0"/>
              <w:rPr>
                <w:sz w:val="13"/>
                <w:szCs w:val="13"/>
                <w:color w:val="auto"/>
              </w:rPr>
            </w:pPr>
          </w:p>
        </w:tc>
        <w:tc>
          <w:tcPr>
            <w:tcW w:w="1280" w:type="dxa"/>
            <w:vAlign w:val="bottom"/>
            <w:gridSpan w:val="2"/>
            <w:shd w:val="clear" w:color="auto" w:fill="CCECFF"/>
          </w:tcPr>
          <w:p>
            <w:pPr>
              <w:ind w:left="900"/>
              <w:spacing w:after="0" w:line="155" w:lineRule="exact"/>
              <w:rPr>
                <w:sz w:val="20"/>
                <w:szCs w:val="20"/>
                <w:color w:val="auto"/>
              </w:rPr>
            </w:pPr>
            <w:r>
              <w:rPr>
                <w:rFonts w:ascii="Arial" w:cs="Arial" w:eastAsia="Arial" w:hAnsi="Arial"/>
                <w:sz w:val="14"/>
                <w:szCs w:val="14"/>
                <w:color w:val="auto"/>
              </w:rPr>
              <w:t>7%</w:t>
            </w:r>
          </w:p>
        </w:tc>
        <w:tc>
          <w:tcPr>
            <w:tcW w:w="40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Consumer Goods: Non-Durable</w:t>
            </w:r>
          </w:p>
        </w:tc>
        <w:tc>
          <w:tcPr>
            <w:tcW w:w="1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w:t>
            </w: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1000" w:type="dxa"/>
            <w:vAlign w:val="bottom"/>
          </w:tcPr>
          <w:p>
            <w:pPr>
              <w:ind w:left="900"/>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6</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CFF"/>
          </w:tcPr>
          <w:p>
            <w:pPr>
              <w:spacing w:after="0"/>
              <w:rPr>
                <w:sz w:val="14"/>
                <w:szCs w:val="14"/>
                <w:color w:val="auto"/>
              </w:rPr>
            </w:pP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1000" w:type="dxa"/>
            <w:vAlign w:val="bottom"/>
          </w:tcPr>
          <w:p>
            <w:pPr>
              <w:ind w:left="900"/>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5</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Aerospace and Defense</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Capital Equipment</w:t>
            </w:r>
          </w:p>
        </w:tc>
        <w:tc>
          <w:tcPr>
            <w:tcW w:w="1000" w:type="dxa"/>
            <w:vAlign w:val="bottom"/>
          </w:tcPr>
          <w:p>
            <w:pPr>
              <w:ind w:left="900"/>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High Tech Industries</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5</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4660" w:type="dxa"/>
            <w:vAlign w:val="bottom"/>
            <w:gridSpan w:val="2"/>
          </w:tcPr>
          <w:p>
            <w:pPr>
              <w:spacing w:after="0"/>
              <w:rPr>
                <w:sz w:val="20"/>
                <w:szCs w:val="20"/>
                <w:color w:val="auto"/>
              </w:rPr>
            </w:pPr>
            <w:r>
              <w:rPr>
                <w:rFonts w:ascii="Arial" w:cs="Arial" w:eastAsia="Arial" w:hAnsi="Arial"/>
                <w:sz w:val="14"/>
                <w:szCs w:val="14"/>
                <w:color w:val="auto"/>
              </w:rPr>
              <w:t>Media</w:t>
            </w:r>
          </w:p>
        </w:tc>
        <w:tc>
          <w:tcPr>
            <w:tcW w:w="1000" w:type="dxa"/>
            <w:vAlign w:val="bottom"/>
          </w:tcPr>
          <w:p>
            <w:pPr>
              <w:ind w:left="900"/>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Capital Equipment</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4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Construction and Building</w:t>
            </w:r>
          </w:p>
        </w:tc>
        <w:tc>
          <w:tcPr>
            <w:tcW w:w="1000" w:type="dxa"/>
            <w:vAlign w:val="bottom"/>
            <w:shd w:val="clear" w:color="auto" w:fill="CCECFF"/>
          </w:tcPr>
          <w:p>
            <w:pPr>
              <w:ind w:left="900"/>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ECFF"/>
          </w:tcPr>
          <w:p>
            <w:pPr>
              <w:spacing w:after="0"/>
              <w:rPr>
                <w:sz w:val="14"/>
                <w:szCs w:val="14"/>
                <w:color w:val="auto"/>
              </w:rPr>
            </w:pPr>
          </w:p>
        </w:tc>
        <w:tc>
          <w:tcPr>
            <w:tcW w:w="41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Goods: Durable</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82"/>
        </w:trPr>
        <w:tc>
          <w:tcPr>
            <w:tcW w:w="466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1000" w:type="dxa"/>
            <w:vAlign w:val="bottom"/>
          </w:tcPr>
          <w:p>
            <w:pPr>
              <w:ind w:left="900"/>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13455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30"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2"/>
          <w:szCs w:val="12"/>
          <w:color w:val="auto"/>
        </w:rPr>
      </w:pPr>
      <w:r>
        <w:rPr>
          <w:rFonts w:ascii="Arial" w:cs="Arial" w:eastAsia="Arial" w:hAnsi="Arial"/>
          <w:sz w:val="14"/>
          <w:szCs w:val="14"/>
          <w:color w:val="auto"/>
        </w:rPr>
        <w:t>Excludes investments in PSSL.</w:t>
      </w:r>
    </w:p>
    <w:p>
      <w:pPr>
        <w:spacing w:after="0" w:line="136"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17"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123"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Floating Rate Capital Ltd.,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the Investment Adviser:</w:t>
      </w:r>
    </w:p>
    <w:p>
      <w:pPr>
        <w:spacing w:after="0" w:line="109" w:lineRule="exact"/>
        <w:rPr>
          <w:sz w:val="20"/>
          <w:szCs w:val="20"/>
          <w:color w:val="auto"/>
        </w:rPr>
      </w:pPr>
    </w:p>
    <w:p>
      <w:pPr>
        <w:ind w:left="920" w:hanging="359"/>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provides us with such other investment advisory, research and related services as we may need from time to time.</w:t>
      </w:r>
    </w:p>
    <w:p>
      <w:pPr>
        <w:spacing w:after="0" w:line="136" w:lineRule="exact"/>
        <w:rPr>
          <w:sz w:val="20"/>
          <w:szCs w:val="20"/>
          <w:color w:val="auto"/>
        </w:rPr>
      </w:pPr>
    </w:p>
    <w:p>
      <w:pPr>
        <w:ind w:right="280" w:firstLine="438"/>
        <w:spacing w:after="0" w:line="233"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123"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2019, 2018 and 2017, the Investment Adviser earned a base management fee of $10.2 million, $8.4 million and $6.9 million, respectively, from 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Gross assets as of December 31, 20XX = $160 million</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U.S. Treasury bills and temporary draws on credit facilities as of December 31, 20XX = $10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Gross assets as of March 31, 20XX = $200 million</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U.S. Treasury bills and temporary draws on credit facilities as of March 31, 20XX = $20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Adjusted gross assets as of March 31, 20XX = $180 million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ind w:right="180" w:firstLine="438"/>
        <w:spacing w:after="0" w:line="253" w:lineRule="auto"/>
        <w:rPr>
          <w:sz w:val="20"/>
          <w:szCs w:val="20"/>
          <w:color w:val="auto"/>
        </w:rPr>
      </w:pPr>
      <w:r>
        <w:rPr>
          <w:rFonts w:ascii="Arial" w:cs="Arial" w:eastAsia="Arial" w:hAnsi="Arial"/>
          <w:sz w:val="14"/>
          <w:szCs w:val="14"/>
          <w:color w:val="auto"/>
        </w:rPr>
        <w:t>Average value of adjusted gross assets as of March 31, 20XX and December 31, 20XX, which are the two most recently completed calendar quarters, and appropriately adjusted for any share issuances or repurchases during the current calendar quarter equals ($150 million + $180 million) / 2 = $165 million.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2019, 2018 and 2017, the Investment Adviser earned $7.6 million, $3.5 million and $4.9 million, respectively, in incentive fees on net investment income from us.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296545</wp:posOffset>
            </wp:positionV>
            <wp:extent cx="2254250"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542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259" w:lineRule="exact"/>
        <w:rPr>
          <w:sz w:val="20"/>
          <w:szCs w:val="20"/>
          <w:color w:val="auto"/>
        </w:rPr>
      </w:pPr>
    </w:p>
    <w:p>
      <w:pPr>
        <w:ind w:right="160" w:firstLine="438"/>
        <w:spacing w:after="0" w:line="283"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2019, 2018 and 2017, we accrued an incentive fee on capital gains of approximately zero, $(0.1) million and $0.1 million, respectively, as calculated under the Investment Management Agreement (as described above).</w:t>
      </w:r>
    </w:p>
    <w:p>
      <w:pPr>
        <w:spacing w:after="0" w:line="92" w:lineRule="exact"/>
        <w:rPr>
          <w:sz w:val="20"/>
          <w:szCs w:val="20"/>
          <w:color w:val="auto"/>
        </w:rPr>
      </w:pPr>
    </w:p>
    <w:p>
      <w:pPr>
        <w:ind w:right="40" w:firstLine="438"/>
        <w:spacing w:after="0" w:line="245" w:lineRule="auto"/>
        <w:rPr>
          <w:sz w:val="20"/>
          <w:szCs w:val="20"/>
          <w:color w:val="auto"/>
        </w:rPr>
      </w:pPr>
      <w:r>
        <w:rPr>
          <w:rFonts w:ascii="Arial" w:cs="Arial" w:eastAsia="Arial" w:hAnsi="Arial"/>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2019, 2018 and 2017 was $(1.4) million, $(1.0) million and $1.2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1.25%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 does not exceed hurdle; therefore, there is no incentive fee.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Alternative 2:</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2.70%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136" w:lineRule="exact"/>
        <w:rPr>
          <w:sz w:val="20"/>
          <w:szCs w:val="20"/>
          <w:color w:val="auto"/>
        </w:rPr>
      </w:pPr>
    </w:p>
    <w:p>
      <w:pPr>
        <w:ind w:left="1140"/>
        <w:spacing w:after="0"/>
        <w:tabs>
          <w:tab w:leader="none" w:pos="23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50% X Pre-Incentive Fee Net Investment Income, subject to “catch-up”</w:t>
      </w:r>
    </w:p>
    <w:p>
      <w:pPr>
        <w:ind w:left="2480" w:hanging="110"/>
        <w:spacing w:after="0" w:line="221" w:lineRule="auto"/>
        <w:tabs>
          <w:tab w:leader="none" w:pos="2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50% X (2.25% - 1.75%)</w:t>
      </w:r>
    </w:p>
    <w:p>
      <w:pPr>
        <w:ind w:left="2480" w:hanging="110"/>
        <w:spacing w:after="0"/>
        <w:tabs>
          <w:tab w:leader="none" w:pos="2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0.25%</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4.00%</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3.55%</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Arial" w:cs="Arial" w:eastAsia="Arial" w:hAnsi="Arial"/>
                <w:sz w:val="14"/>
                <w:szCs w:val="14"/>
                <w:color w:val="auto"/>
              </w:rPr>
              <w:t>Incentive fee</w:t>
            </w:r>
          </w:p>
        </w:tc>
        <w:tc>
          <w:tcPr>
            <w:tcW w:w="640" w:type="dxa"/>
            <w:vAlign w:val="bottom"/>
          </w:tcPr>
          <w:p>
            <w:pPr>
              <w:ind w:left="260"/>
              <w:spacing w:after="0"/>
              <w:rPr>
                <w:sz w:val="20"/>
                <w:szCs w:val="20"/>
                <w:color w:val="auto"/>
              </w:rPr>
            </w:pPr>
            <w:r>
              <w:rPr>
                <w:rFonts w:ascii="Arial" w:cs="Arial" w:eastAsia="Arial" w:hAnsi="Arial"/>
                <w:sz w:val="14"/>
                <w:szCs w:val="14"/>
                <w:color w:val="auto"/>
                <w:w w:val="89"/>
              </w:rPr>
              <w:t>= 20%</w:t>
            </w:r>
          </w:p>
        </w:tc>
        <w:tc>
          <w:tcPr>
            <w:tcW w:w="4580" w:type="dxa"/>
            <w:vAlign w:val="bottom"/>
          </w:tcPr>
          <w:p>
            <w:pPr>
              <w:ind w:left="20"/>
              <w:spacing w:after="0"/>
              <w:rPr>
                <w:sz w:val="20"/>
                <w:szCs w:val="20"/>
                <w:color w:val="auto"/>
              </w:rPr>
            </w:pPr>
            <w:r>
              <w:rPr>
                <w:rFonts w:ascii="Arial" w:cs="Arial" w:eastAsia="Arial" w:hAnsi="Arial"/>
                <w:sz w:val="14"/>
                <w:szCs w:val="14"/>
                <w:color w:val="auto"/>
              </w:rPr>
              <w:t xml:space="preserve">X Pre-Incentive Fee Net Investment Income, subject to “catch-up” </w:t>
            </w:r>
            <w:r>
              <w:rPr>
                <w:rFonts w:ascii="Arial" w:cs="Arial" w:eastAsia="Arial" w:hAnsi="Arial"/>
                <w:sz w:val="12"/>
                <w:szCs w:val="12"/>
                <w:color w:val="auto"/>
              </w:rPr>
              <w:t>(3)</w:t>
            </w:r>
          </w:p>
        </w:tc>
      </w:tr>
      <w:tr>
        <w:trPr>
          <w:trHeight w:val="148"/>
        </w:trPr>
        <w:tc>
          <w:tcPr>
            <w:tcW w:w="980" w:type="dxa"/>
            <w:vAlign w:val="bottom"/>
          </w:tcPr>
          <w:p>
            <w:pPr>
              <w:spacing w:after="0" w:line="149" w:lineRule="exact"/>
              <w:rPr>
                <w:sz w:val="20"/>
                <w:szCs w:val="20"/>
                <w:color w:val="auto"/>
              </w:rPr>
            </w:pPr>
            <w:r>
              <w:rPr>
                <w:rFonts w:ascii="Arial" w:cs="Arial" w:eastAsia="Arial" w:hAnsi="Arial"/>
                <w:sz w:val="14"/>
                <w:szCs w:val="14"/>
                <w:color w:val="auto"/>
              </w:rPr>
              <w:t>Incentive fee</w:t>
            </w:r>
          </w:p>
        </w:tc>
        <w:tc>
          <w:tcPr>
            <w:tcW w:w="640" w:type="dxa"/>
            <w:vAlign w:val="bottom"/>
          </w:tcPr>
          <w:p>
            <w:pPr>
              <w:ind w:left="260"/>
              <w:spacing w:after="0" w:line="149" w:lineRule="exact"/>
              <w:rPr>
                <w:sz w:val="20"/>
                <w:szCs w:val="20"/>
                <w:color w:val="auto"/>
              </w:rPr>
            </w:pPr>
            <w:r>
              <w:rPr>
                <w:rFonts w:ascii="Arial" w:cs="Arial" w:eastAsia="Arial" w:hAnsi="Arial"/>
                <w:sz w:val="14"/>
                <w:szCs w:val="14"/>
                <w:color w:val="auto"/>
                <w:w w:val="89"/>
              </w:rPr>
              <w:t>= 50%</w:t>
            </w:r>
          </w:p>
        </w:tc>
        <w:tc>
          <w:tcPr>
            <w:tcW w:w="4580" w:type="dxa"/>
            <w:vAlign w:val="bottom"/>
          </w:tcPr>
          <w:p>
            <w:pPr>
              <w:ind w:left="20"/>
              <w:spacing w:after="0" w:line="149" w:lineRule="exact"/>
              <w:rPr>
                <w:sz w:val="20"/>
                <w:szCs w:val="20"/>
                <w:color w:val="auto"/>
              </w:rPr>
            </w:pPr>
            <w:r>
              <w:rPr>
                <w:rFonts w:ascii="Arial" w:cs="Arial" w:eastAsia="Arial" w:hAnsi="Arial"/>
                <w:sz w:val="14"/>
                <w:szCs w:val="14"/>
                <w:color w:val="auto"/>
                <w:w w:val="94"/>
              </w:rPr>
              <w:t>X “catch-up” + (20% x (Pre-Incentive Fee Net Investment Income - 2.9167%))</w:t>
            </w:r>
          </w:p>
        </w:tc>
      </w:tr>
      <w:tr>
        <w:trPr>
          <w:trHeight w:val="161"/>
        </w:trPr>
        <w:tc>
          <w:tcPr>
            <w:tcW w:w="980" w:type="dxa"/>
            <w:vAlign w:val="bottom"/>
          </w:tcPr>
          <w:p>
            <w:pPr>
              <w:spacing w:after="0"/>
              <w:rPr>
                <w:sz w:val="20"/>
                <w:szCs w:val="20"/>
                <w:color w:val="auto"/>
              </w:rPr>
            </w:pPr>
            <w:r>
              <w:rPr>
                <w:rFonts w:ascii="Arial" w:cs="Arial" w:eastAsia="Arial" w:hAnsi="Arial"/>
                <w:sz w:val="14"/>
                <w:szCs w:val="14"/>
                <w:color w:val="auto"/>
              </w:rPr>
              <w:t>Catch-up</w:t>
            </w:r>
          </w:p>
        </w:tc>
        <w:tc>
          <w:tcPr>
            <w:tcW w:w="5220" w:type="dxa"/>
            <w:vAlign w:val="bottom"/>
            <w:gridSpan w:val="2"/>
          </w:tcPr>
          <w:p>
            <w:pPr>
              <w:ind w:left="260"/>
              <w:spacing w:after="0"/>
              <w:rPr>
                <w:sz w:val="20"/>
                <w:szCs w:val="20"/>
                <w:color w:val="auto"/>
              </w:rPr>
            </w:pPr>
            <w:r>
              <w:rPr>
                <w:rFonts w:ascii="Arial" w:cs="Arial" w:eastAsia="Arial" w:hAnsi="Arial"/>
                <w:sz w:val="14"/>
                <w:szCs w:val="14"/>
                <w:color w:val="auto"/>
              </w:rPr>
              <w:t>= 2.9167% - 1.75%</w:t>
            </w:r>
          </w:p>
        </w:tc>
      </w:tr>
    </w:tbl>
    <w:p>
      <w:pPr>
        <w:ind w:left="2480" w:hanging="110"/>
        <w:spacing w:after="0" w:line="221" w:lineRule="auto"/>
        <w:tabs>
          <w:tab w:leader="none" w:pos="24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1.1667%</w:t>
      </w:r>
    </w:p>
    <w:p>
      <w:pPr>
        <w:ind w:left="2480" w:hanging="110"/>
        <w:spacing w:after="0" w:line="221" w:lineRule="auto"/>
        <w:tabs>
          <w:tab w:leader="none" w:pos="24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(50% X 1.1667%) + (20% X (3.55% - 2.9167%))</w:t>
      </w:r>
    </w:p>
    <w:p>
      <w:pPr>
        <w:ind w:left="2480" w:hanging="110"/>
        <w:spacing w:after="0" w:line="221" w:lineRule="auto"/>
        <w:tabs>
          <w:tab w:leader="none" w:pos="24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0.5833% + (20% X 0.6333%)</w:t>
      </w:r>
    </w:p>
    <w:p>
      <w:pPr>
        <w:ind w:left="2480" w:hanging="110"/>
        <w:spacing w:after="0" w:line="221" w:lineRule="auto"/>
        <w:tabs>
          <w:tab w:leader="none" w:pos="24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0.5833% + 0.1267%</w:t>
      </w:r>
    </w:p>
    <w:p>
      <w:pPr>
        <w:ind w:left="2480" w:hanging="110"/>
        <w:spacing w:after="0"/>
        <w:tabs>
          <w:tab w:leader="none" w:pos="24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0.71%</w:t>
      </w:r>
    </w:p>
    <w:p>
      <w:pPr>
        <w:spacing w:after="0" w:line="16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3455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ind w:left="380" w:hanging="372"/>
        <w:spacing w:after="0" w:line="221" w:lineRule="auto"/>
        <w:tabs>
          <w:tab w:leader="none" w:pos="380" w:val="left"/>
        </w:tabs>
        <w:numPr>
          <w:ilvl w:val="0"/>
          <w:numId w:val="22"/>
        </w:numPr>
        <w:rPr>
          <w:rFonts w:ascii="Arial" w:cs="Arial" w:eastAsia="Arial" w:hAnsi="Arial"/>
          <w:sz w:val="12"/>
          <w:szCs w:val="12"/>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22"/>
        </w:numPr>
        <w:rPr>
          <w:rFonts w:ascii="Arial" w:cs="Arial" w:eastAsia="Arial" w:hAnsi="Arial"/>
          <w:sz w:val="12"/>
          <w:szCs w:val="12"/>
          <w:color w:val="auto"/>
        </w:rPr>
      </w:pPr>
      <w:r>
        <w:rPr>
          <w:rFonts w:ascii="Arial" w:cs="Arial" w:eastAsia="Arial" w:hAnsi="Arial"/>
          <w:sz w:val="14"/>
          <w:szCs w:val="14"/>
          <w:color w:val="auto"/>
        </w:rPr>
        <w:t>Represents 1.0% annualized base management fee.</w:t>
      </w:r>
    </w:p>
    <w:p>
      <w:pPr>
        <w:ind w:left="380" w:right="200" w:hanging="372"/>
        <w:spacing w:after="0" w:line="237" w:lineRule="auto"/>
        <w:tabs>
          <w:tab w:leader="none" w:pos="380" w:val="left"/>
        </w:tabs>
        <w:numPr>
          <w:ilvl w:val="0"/>
          <w:numId w:val="22"/>
        </w:numPr>
        <w:rPr>
          <w:rFonts w:ascii="Arial" w:cs="Arial" w:eastAsia="Arial" w:hAnsi="Arial"/>
          <w:sz w:val="12"/>
          <w:szCs w:val="12"/>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3: FMV of Investment B determined to be $25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Investment B sold for $31 million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None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$6 million capital gains incentive fee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3: None</w:t>
      </w:r>
    </w:p>
    <w:p>
      <w:pPr>
        <w:spacing w:after="0" w:line="136" w:lineRule="exact"/>
        <w:rPr>
          <w:sz w:val="20"/>
          <w:szCs w:val="20"/>
          <w:color w:val="auto"/>
        </w:rPr>
      </w:pPr>
    </w:p>
    <w:p>
      <w:pPr>
        <w:ind w:left="160"/>
        <w:spacing w:after="0" w:line="253"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$200,000 capital gains incentive fee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Alternative 2:</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36" w:lineRule="exact"/>
        <w:rPr>
          <w:sz w:val="20"/>
          <w:szCs w:val="20"/>
          <w:color w:val="auto"/>
        </w:rPr>
      </w:pPr>
    </w:p>
    <w:p>
      <w:pPr>
        <w:ind w:left="160" w:right="540"/>
        <w:spacing w:after="0" w:line="253" w:lineRule="auto"/>
        <w:rPr>
          <w:sz w:val="20"/>
          <w:szCs w:val="20"/>
          <w:color w:val="auto"/>
        </w:rPr>
      </w:pPr>
      <w:r>
        <w:rPr>
          <w:rFonts w:ascii="Arial" w:cs="Arial" w:eastAsia="Arial" w:hAnsi="Arial"/>
          <w:sz w:val="14"/>
          <w:szCs w:val="14"/>
          <w:color w:val="auto"/>
        </w:rPr>
        <w:t>Year 1: $20 million investment made in Company A (“Investment A”), $30 million investment made in Company B (“Investment B”) and $25 million investment made in Company C (“Investment C”)</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FMV of Investment B determined to be $35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5: Investment B sold for $20 million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None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2: $5 million capital gains incentive fee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Year 3: $1.4 million capital gains incentive fee </w:t>
      </w:r>
      <w:r>
        <w:rPr>
          <w:rFonts w:ascii="Arial" w:cs="Arial" w:eastAsia="Arial" w:hAnsi="Arial"/>
          <w:sz w:val="12"/>
          <w:szCs w:val="12"/>
          <w:color w:val="auto"/>
        </w:rPr>
        <w:t>(1)</w:t>
      </w:r>
    </w:p>
    <w:p>
      <w:pPr>
        <w:spacing w:after="0" w:line="136" w:lineRule="exact"/>
        <w:rPr>
          <w:sz w:val="20"/>
          <w:szCs w:val="20"/>
          <w:color w:val="auto"/>
        </w:rPr>
      </w:pPr>
    </w:p>
    <w:p>
      <w:pPr>
        <w:ind w:left="160" w:right="300"/>
        <w:spacing w:after="0" w:line="253"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4: $0.6 million capital gains incentive fee</w:t>
      </w:r>
    </w:p>
    <w:p>
      <w:pPr>
        <w:spacing w:after="0" w:line="136" w:lineRule="exact"/>
        <w:rPr>
          <w:sz w:val="20"/>
          <w:szCs w:val="20"/>
          <w:color w:val="auto"/>
        </w:rPr>
      </w:pPr>
    </w:p>
    <w:p>
      <w:pPr>
        <w:ind w:left="160" w:right="200"/>
        <w:spacing w:after="0" w:line="253" w:lineRule="auto"/>
        <w:rPr>
          <w:sz w:val="20"/>
          <w:szCs w:val="20"/>
          <w:color w:val="auto"/>
        </w:rPr>
      </w:pPr>
      <w:r>
        <w:rPr>
          <w:rFonts w:ascii="Arial" w:cs="Arial" w:eastAsia="Arial" w:hAnsi="Arial"/>
          <w:sz w:val="14"/>
          <w:szCs w:val="14"/>
          <w:color w:val="auto"/>
        </w:rPr>
        <w:t>$7 million cumulative fee (20% multiplied by $35 million ($35 million cumulative realized capital gains without regard to $5 million of unrealized appreciation)) less $6.4 million (previous cumulative capital gains fee paid in Year 2 of $5 million and Year 3 of $1.4 million)</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5: None</w:t>
      </w:r>
    </w:p>
    <w:p>
      <w:pPr>
        <w:spacing w:after="0" w:line="123" w:lineRule="exact"/>
        <w:rPr>
          <w:sz w:val="20"/>
          <w:szCs w:val="20"/>
          <w:color w:val="auto"/>
        </w:rPr>
      </w:pPr>
    </w:p>
    <w:p>
      <w:pPr>
        <w:ind w:left="160" w:right="420"/>
        <w:spacing w:after="0" w:line="253" w:lineRule="auto"/>
        <w:rPr>
          <w:sz w:val="20"/>
          <w:szCs w:val="20"/>
          <w:color w:val="auto"/>
        </w:rPr>
      </w:pPr>
      <w:r>
        <w:rPr>
          <w:rFonts w:ascii="Arial" w:cs="Arial" w:eastAsia="Arial" w:hAnsi="Arial"/>
          <w:sz w:val="14"/>
          <w:szCs w:val="14"/>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3455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40" w:lineRule="exact"/>
        <w:rPr>
          <w:sz w:val="20"/>
          <w:szCs w:val="20"/>
          <w:color w:val="auto"/>
        </w:rPr>
      </w:pPr>
    </w:p>
    <w:p>
      <w:pPr>
        <w:ind w:left="380" w:right="20" w:hanging="372"/>
        <w:spacing w:after="0" w:line="253" w:lineRule="auto"/>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As illustrated in Year 3 of Alternative 2 above, if we were to be wound up on a date other than December 31 of any year after year 3, we may have paid aggregate capital gain incentive fees that are more than the amount of such fees that would be payable if we had been wound up on December 31 of such year.</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136" w:lineRule="exact"/>
        <w:rPr>
          <w:sz w:val="20"/>
          <w:szCs w:val="20"/>
          <w:color w:val="auto"/>
        </w:rPr>
      </w:pPr>
    </w:p>
    <w:p>
      <w:pPr>
        <w:ind w:right="680" w:firstLine="438"/>
        <w:spacing w:after="0" w:line="25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Investment Management Agreement</w:t>
      </w:r>
    </w:p>
    <w:p>
      <w:pPr>
        <w:spacing w:after="0" w:line="136"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2019. Unless terminated earlier as described below, the Investment Management Agreement will continue in effect for a period of one year through February 2020.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14"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136"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2019, 2018 and 2017, we reimbursed the Investment Adviser approximately $1.9 million, $1.3 million and $1.7 million, respectively, including expenses the Investment Adviser incurred on behalf of the Administrator, for services described above.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123"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The Administration Agreement was reapproved by our board of directors, including a majority of our directors who are not interested persons of us, in February 2019. Unless terminated earlier as described below, our Administration Agreement will continue in effect for a period of one year through February 2020.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136" w:lineRule="exact"/>
        <w:rPr>
          <w:sz w:val="20"/>
          <w:szCs w:val="20"/>
          <w:color w:val="auto"/>
        </w:rPr>
      </w:pPr>
    </w:p>
    <w:p>
      <w:pPr>
        <w:ind w:right="220" w:firstLine="438"/>
        <w:spacing w:after="0" w:line="251"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PennantPark Senior Secured Loan Fund I LLC</w:t>
      </w:r>
    </w:p>
    <w:p>
      <w:pPr>
        <w:spacing w:after="0" w:line="13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September 30, 2019, PSSL had total assets of $506.7 million. As of the same date, we and Kemper had remaining commitments to fund first lien secured debt and equity interests in PSSL in an aggregate of $10.5 million. PSSL’s portfolio consisted of debt investments in 45 portfolio companies as of September 30, 2019. As of September 30, 2019, at fair value, the largest investment in a single portfolio company in PSSL was $22.0 million and the five largest investments totaled $102.9 million. PSSL invests in portfolio companies in the same industries in which we may directly invest.</w:t>
      </w:r>
    </w:p>
    <w:p>
      <w:pPr>
        <w:spacing w:after="0" w:line="103"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September 30, 2019, we and Kemper owned 87.5% and 12.5%, respectively, of each of the outstanding first lien secured debt and equity interests. As of the same date, our investment in PSSL consisted of first lien secured debt of $122.2 million and equity interests of $52.4 million. As of the same date, we had commitments to fund first lien secured debt to PSSL of $128.6 million, of which $6.4 million was unfunded. As of September 30, 2019, we had commitments to fund equity interests in PSSL of $55.1 million, of which $2.8 million was unfunded.</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Company and Regulated Investment Company Regulations</w:t>
      </w:r>
    </w:p>
    <w:p>
      <w:pPr>
        <w:spacing w:after="0" w:line="123"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07"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123" w:lineRule="exact"/>
        <w:rPr>
          <w:sz w:val="20"/>
          <w:szCs w:val="20"/>
          <w:color w:val="auto"/>
        </w:rPr>
      </w:pPr>
    </w:p>
    <w:p>
      <w:pPr>
        <w:ind w:firstLine="438"/>
        <w:spacing w:after="0" w:line="290"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4" w:lineRule="exact"/>
        <w:rPr>
          <w:sz w:val="20"/>
          <w:szCs w:val="20"/>
          <w:color w:val="auto"/>
        </w:rPr>
      </w:pPr>
    </w:p>
    <w:p>
      <w:pPr>
        <w:ind w:left="920" w:right="20" w:hanging="359"/>
        <w:spacing w:after="0" w:line="238" w:lineRule="auto"/>
        <w:tabs>
          <w:tab w:leader="none" w:pos="9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15" w:lineRule="exact"/>
        <w:rPr>
          <w:rFonts w:ascii="Arial" w:cs="Arial" w:eastAsia="Arial" w:hAnsi="Arial"/>
          <w:sz w:val="14"/>
          <w:szCs w:val="14"/>
          <w:color w:val="auto"/>
        </w:rPr>
      </w:pPr>
    </w:p>
    <w:p>
      <w:pPr>
        <w:ind w:left="1480" w:hanging="365"/>
        <w:spacing w:after="0"/>
        <w:tabs>
          <w:tab w:leader="none" w:pos="1480" w:val="left"/>
        </w:tabs>
        <w:numPr>
          <w:ilvl w:val="1"/>
          <w:numId w:val="24"/>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136" w:lineRule="exact"/>
        <w:rPr>
          <w:rFonts w:ascii="Arial" w:cs="Arial" w:eastAsia="Arial" w:hAnsi="Arial"/>
          <w:sz w:val="14"/>
          <w:szCs w:val="14"/>
          <w:color w:val="auto"/>
        </w:rPr>
      </w:pPr>
    </w:p>
    <w:p>
      <w:pPr>
        <w:ind w:left="1480" w:right="100" w:hanging="365"/>
        <w:spacing w:after="0" w:line="253" w:lineRule="auto"/>
        <w:tabs>
          <w:tab w:leader="none" w:pos="1480" w:val="left"/>
        </w:tabs>
        <w:numPr>
          <w:ilvl w:val="1"/>
          <w:numId w:val="24"/>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06" w:lineRule="exact"/>
        <w:rPr>
          <w:rFonts w:ascii="Arial" w:cs="Arial" w:eastAsia="Arial" w:hAnsi="Arial"/>
          <w:sz w:val="14"/>
          <w:szCs w:val="14"/>
          <w:color w:val="auto"/>
        </w:rPr>
      </w:pPr>
    </w:p>
    <w:p>
      <w:pPr>
        <w:ind w:left="1480" w:hanging="365"/>
        <w:spacing w:after="0"/>
        <w:tabs>
          <w:tab w:leader="none" w:pos="1480" w:val="left"/>
        </w:tabs>
        <w:numPr>
          <w:ilvl w:val="1"/>
          <w:numId w:val="24"/>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136" w:lineRule="exact"/>
        <w:rPr>
          <w:rFonts w:ascii="Arial" w:cs="Arial" w:eastAsia="Arial" w:hAnsi="Arial"/>
          <w:sz w:val="14"/>
          <w:szCs w:val="14"/>
          <w:color w:val="auto"/>
        </w:rPr>
      </w:pPr>
    </w:p>
    <w:p>
      <w:pPr>
        <w:ind w:left="2040" w:hanging="372"/>
        <w:spacing w:after="0"/>
        <w:tabs>
          <w:tab w:leader="none" w:pos="2040" w:val="left"/>
        </w:tabs>
        <w:numPr>
          <w:ilvl w:val="2"/>
          <w:numId w:val="24"/>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136" w:lineRule="exact"/>
        <w:rPr>
          <w:rFonts w:ascii="Arial" w:cs="Arial" w:eastAsia="Arial" w:hAnsi="Arial"/>
          <w:sz w:val="14"/>
          <w:szCs w:val="14"/>
          <w:color w:val="auto"/>
        </w:rPr>
      </w:pPr>
    </w:p>
    <w:p>
      <w:pPr>
        <w:ind w:left="2040" w:hanging="372"/>
        <w:spacing w:after="0"/>
        <w:tabs>
          <w:tab w:leader="none" w:pos="2040" w:val="left"/>
        </w:tabs>
        <w:numPr>
          <w:ilvl w:val="2"/>
          <w:numId w:val="24"/>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136" w:lineRule="exact"/>
        <w:rPr>
          <w:rFonts w:ascii="Arial" w:cs="Arial" w:eastAsia="Arial" w:hAnsi="Arial"/>
          <w:sz w:val="14"/>
          <w:szCs w:val="14"/>
          <w:color w:val="auto"/>
        </w:rPr>
      </w:pPr>
    </w:p>
    <w:p>
      <w:pPr>
        <w:ind w:left="2040" w:right="360" w:hanging="372"/>
        <w:spacing w:after="0" w:line="290" w:lineRule="auto"/>
        <w:tabs>
          <w:tab w:leader="none" w:pos="2040" w:val="left"/>
        </w:tabs>
        <w:numPr>
          <w:ilvl w:val="2"/>
          <w:numId w:val="24"/>
        </w:numPr>
        <w:rPr>
          <w:rFonts w:ascii="Arial" w:cs="Arial" w:eastAsia="Arial" w:hAnsi="Arial"/>
          <w:sz w:val="13"/>
          <w:szCs w:val="13"/>
          <w:color w:val="auto"/>
        </w:rPr>
      </w:pPr>
      <w:r>
        <w:rPr>
          <w:rFonts w:ascii="Arial" w:cs="Arial" w:eastAsia="Arial" w:hAnsi="Arial"/>
          <w:sz w:val="13"/>
          <w:szCs w:val="13"/>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13" w:name="page14"/>
    <w:bookmarkEnd w:id="13"/>
    <w:p>
      <w:pPr>
        <w:ind w:left="920" w:hanging="3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135" w:lineRule="exact"/>
        <w:rPr>
          <w:rFonts w:ascii="Arial" w:cs="Arial" w:eastAsia="Arial" w:hAnsi="Arial"/>
          <w:sz w:val="14"/>
          <w:szCs w:val="14"/>
          <w:color w:val="auto"/>
        </w:rPr>
      </w:pPr>
    </w:p>
    <w:p>
      <w:pPr>
        <w:ind w:left="920" w:right="160" w:hanging="359"/>
        <w:spacing w:after="0" w:line="238" w:lineRule="auto"/>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5" w:lineRule="exact"/>
        <w:rPr>
          <w:rFonts w:ascii="Arial" w:cs="Arial" w:eastAsia="Arial" w:hAnsi="Arial"/>
          <w:sz w:val="14"/>
          <w:szCs w:val="14"/>
          <w:color w:val="auto"/>
        </w:rPr>
      </w:pPr>
    </w:p>
    <w:p>
      <w:pPr>
        <w:ind w:left="920" w:right="380" w:hanging="359"/>
        <w:spacing w:after="0" w:line="253" w:lineRule="auto"/>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06" w:lineRule="exact"/>
        <w:rPr>
          <w:rFonts w:ascii="Arial" w:cs="Arial" w:eastAsia="Arial" w:hAnsi="Arial"/>
          <w:sz w:val="14"/>
          <w:szCs w:val="14"/>
          <w:color w:val="auto"/>
        </w:rPr>
      </w:pPr>
    </w:p>
    <w:p>
      <w:pPr>
        <w:ind w:left="920" w:right="220" w:hanging="359"/>
        <w:spacing w:after="0" w:line="253" w:lineRule="auto"/>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3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136"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As a BDC, we are required to make available significant managerial assistance to our portfolio companies that constitute a qualifying asset within the meaning of Section 2(a)(47)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123"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136"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136"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joint code of ethics is attached as an exhibit to this Report and is available on the EDGAR Database on the SEC’s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You may also obtain a copy of our joint code of ethics, after paying a duplicating fee, by electronic request at the following email address: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123"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Introduction</w:t>
      </w:r>
    </w:p>
    <w:p>
      <w:pPr>
        <w:spacing w:after="0" w:line="136"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Proxy Policies</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02"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ind w:left="440"/>
        <w:spacing w:after="0"/>
        <w:rPr>
          <w:sz w:val="20"/>
          <w:szCs w:val="20"/>
          <w:color w:val="auto"/>
        </w:rPr>
      </w:pPr>
      <w:r>
        <w:rPr>
          <w:rFonts w:ascii="Arial" w:cs="Arial" w:eastAsia="Arial" w:hAnsi="Arial"/>
          <w:sz w:val="14"/>
          <w:szCs w:val="14"/>
          <w:i w:val="1"/>
          <w:iCs w:val="1"/>
          <w:color w:val="auto"/>
        </w:rPr>
        <w:t>Proxy Voting Records</w:t>
      </w:r>
    </w:p>
    <w:p>
      <w:pPr>
        <w:spacing w:after="0" w:line="123"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15th Floor, New York, New York 10022.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13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93"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maintain physical, electronic and procedural safeguards designed to protect the non-public personal information of our stockholders.</w:t>
      </w:r>
    </w:p>
    <w:p>
      <w:pPr>
        <w:spacing w:after="0" w:line="124"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 xml:space="preserve">Our privacy protection policies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In addition, the privacy policy is available on the EDGAR Database on the SEC’s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filed as an exhibit to our annual report on Form 10-K (File No. 814-00891 filed on November 17, 2011</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13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23"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15"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123" w:lineRule="exact"/>
        <w:rPr>
          <w:sz w:val="20"/>
          <w:szCs w:val="20"/>
          <w:color w:val="auto"/>
        </w:rPr>
      </w:pPr>
    </w:p>
    <w:p>
      <w:pPr>
        <w:ind w:right="580" w:firstLine="438"/>
        <w:spacing w:after="0" w:line="253" w:lineRule="auto"/>
        <w:rPr>
          <w:sz w:val="20"/>
          <w:szCs w:val="20"/>
          <w:color w:val="auto"/>
        </w:rPr>
      </w:pPr>
      <w:r>
        <w:rPr>
          <w:rFonts w:ascii="Arial" w:cs="Arial" w:eastAsia="Arial" w:hAnsi="Arial"/>
          <w:sz w:val="14"/>
          <w:szCs w:val="14"/>
          <w:color w:val="auto"/>
        </w:rPr>
        <w:t>The Sarbanes-Oxley Act of 2002, as amended, or the Sarbanes-Oxley Act, imposes several regulatory requirements on publicly held companies and their insiders. Many of these requirements affect us.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 example:</w:t>
      </w:r>
    </w:p>
    <w:p>
      <w:pPr>
        <w:spacing w:after="0" w:line="136" w:lineRule="exact"/>
        <w:rPr>
          <w:sz w:val="20"/>
          <w:szCs w:val="20"/>
          <w:color w:val="auto"/>
        </w:rPr>
      </w:pPr>
    </w:p>
    <w:p>
      <w:pPr>
        <w:ind w:left="920" w:right="380" w:hanging="359"/>
        <w:spacing w:after="0" w:line="253" w:lineRule="auto"/>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47" w:lineRule="exact"/>
        <w:rPr>
          <w:rFonts w:ascii="Arial" w:cs="Arial" w:eastAsia="Arial" w:hAnsi="Arial"/>
          <w:sz w:val="13"/>
          <w:szCs w:val="13"/>
          <w:color w:val="auto"/>
        </w:rPr>
      </w:pPr>
    </w:p>
    <w:p>
      <w:pPr>
        <w:jc w:val="both"/>
        <w:ind w:left="920" w:right="160" w:hanging="359"/>
        <w:spacing w:after="0" w:line="238" w:lineRule="auto"/>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15"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to be Treated as a RIC</w:t>
      </w:r>
    </w:p>
    <w:p>
      <w:pPr>
        <w:spacing w:after="0" w:line="13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136" w:lineRule="exact"/>
        <w:rPr>
          <w:sz w:val="20"/>
          <w:szCs w:val="20"/>
          <w:color w:val="auto"/>
        </w:rPr>
      </w:pPr>
    </w:p>
    <w:p>
      <w:pPr>
        <w:ind w:left="920" w:hanging="359"/>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136" w:lineRule="exact"/>
        <w:rPr>
          <w:rFonts w:ascii="Arial" w:cs="Arial" w:eastAsia="Arial" w:hAnsi="Arial"/>
          <w:sz w:val="14"/>
          <w:szCs w:val="14"/>
          <w:color w:val="auto"/>
        </w:rPr>
      </w:pPr>
    </w:p>
    <w:p>
      <w:pPr>
        <w:ind w:left="920" w:right="120" w:hanging="359"/>
        <w:spacing w:after="0" w:line="238"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5" w:name="page16"/>
    <w:bookmarkEnd w:id="15"/>
    <w:p>
      <w:pPr>
        <w:ind w:left="920" w:hanging="359"/>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135" w:lineRule="exact"/>
        <w:rPr>
          <w:rFonts w:ascii="Arial" w:cs="Arial" w:eastAsia="Arial" w:hAnsi="Arial"/>
          <w:sz w:val="14"/>
          <w:szCs w:val="14"/>
          <w:color w:val="auto"/>
        </w:rPr>
      </w:pPr>
    </w:p>
    <w:p>
      <w:pPr>
        <w:ind w:left="1480" w:right="40" w:hanging="365"/>
        <w:spacing w:after="0" w:line="290" w:lineRule="auto"/>
        <w:tabs>
          <w:tab w:leader="none" w:pos="1480" w:val="left"/>
        </w:tabs>
        <w:numPr>
          <w:ilvl w:val="1"/>
          <w:numId w:val="28"/>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4" w:lineRule="exact"/>
        <w:rPr>
          <w:rFonts w:ascii="Arial" w:cs="Arial" w:eastAsia="Arial" w:hAnsi="Arial"/>
          <w:sz w:val="13"/>
          <w:szCs w:val="13"/>
          <w:color w:val="auto"/>
        </w:rPr>
      </w:pPr>
    </w:p>
    <w:p>
      <w:pPr>
        <w:ind w:left="1480" w:right="180" w:hanging="365"/>
        <w:spacing w:after="0" w:line="238" w:lineRule="auto"/>
        <w:tabs>
          <w:tab w:leader="none" w:pos="1480" w:val="left"/>
        </w:tabs>
        <w:numPr>
          <w:ilvl w:val="1"/>
          <w:numId w:val="28"/>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15"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1" w:lineRule="exact"/>
        <w:rPr>
          <w:sz w:val="20"/>
          <w:szCs w:val="20"/>
          <w:color w:val="auto"/>
        </w:rPr>
      </w:pPr>
    </w:p>
    <w:p>
      <w:pPr>
        <w:jc w:val="both"/>
        <w:ind w:right="240" w:firstLine="438"/>
        <w:spacing w:after="0" w:line="233" w:lineRule="auto"/>
        <w:rPr>
          <w:sz w:val="20"/>
          <w:szCs w:val="20"/>
          <w:color w:val="auto"/>
        </w:rPr>
      </w:pPr>
      <w:r>
        <w:rPr>
          <w:rFonts w:ascii="Arial" w:cs="Arial" w:eastAsia="Arial" w:hAnsi="Arial"/>
          <w:sz w:val="14"/>
          <w:szCs w:val="14"/>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17"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136"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1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0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Gain or loss realized by us from equity securities and warrants acquired by us, as well as any loss attributable to the lapse of such warrants, generally will be treated as capital gain or loss.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Such gain or loss generally will be long-term or short-term, depending on how long we held a particular warrant.</w:t>
      </w:r>
    </w:p>
    <w:p>
      <w:pPr>
        <w:spacing w:after="0" w:line="124"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0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04"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tabs>
          <w:tab w:leader="none" w:pos="9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39"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2023 Notes or any securities we may issue, may decline, and you may lose all or part of your investment.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84" w:lineRule="exact"/>
        <w:rPr>
          <w:sz w:val="20"/>
          <w:szCs w:val="20"/>
          <w:color w:val="auto"/>
        </w:rPr>
      </w:pPr>
    </w:p>
    <w:p>
      <w:pPr>
        <w:ind w:right="20" w:firstLine="438"/>
        <w:spacing w:after="0" w:line="225" w:lineRule="auto"/>
        <w:rPr>
          <w:sz w:val="20"/>
          <w:szCs w:val="20"/>
          <w:color w:val="auto"/>
        </w:rPr>
      </w:pPr>
      <w:r>
        <w:rPr>
          <w:rFonts w:ascii="Arial" w:cs="Arial" w:eastAsia="Arial" w:hAnsi="Arial"/>
          <w:sz w:val="14"/>
          <w:szCs w:val="14"/>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continuing uncertainty arising from the United Kingdom’s decision to leave the European Union (the so called “Brexit”) could lead to further market disruptions and currency volatility, potentially weakening consumer, corporate and financial confidence and resulting in lower economic growth for companies that rely significantly on Europe for their business activities and revenues. Furthermore,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Brexit or other global economic conditions could have a material adverse effect on our business,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136"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1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significant disruptions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Economic sanction laws in the United States and other jurisdictions may prohibit us and our affiliates from transacting with certain countries, individuals and companies.</w:t>
      </w:r>
    </w:p>
    <w:p>
      <w:pPr>
        <w:spacing w:after="0" w:line="148"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Economic sanction laws in the United States and other jurisdictions may prohibit us or our affiliates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spacing w:after="0" w:line="116" w:lineRule="exact"/>
        <w:rPr>
          <w:sz w:val="20"/>
          <w:szCs w:val="20"/>
          <w:color w:val="auto"/>
        </w:rPr>
      </w:pPr>
    </w:p>
    <w:p>
      <w:pPr>
        <w:ind w:right="60" w:firstLine="438"/>
        <w:spacing w:after="0" w:line="228" w:lineRule="auto"/>
        <w:rPr>
          <w:sz w:val="20"/>
          <w:szCs w:val="20"/>
          <w:color w:val="auto"/>
        </w:rPr>
      </w:pPr>
      <w:r>
        <w:rPr>
          <w:rFonts w:ascii="Arial" w:cs="Arial" w:eastAsia="Arial" w:hAnsi="Arial"/>
          <w:sz w:val="14"/>
          <w:szCs w:val="14"/>
          <w:color w:val="auto"/>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it is subject. As a result, we may be adversely affected because of our unwillingness to enter into transactions that violate any such laws or regulations.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reduced availability and/or mandatory prepayments under Funding I’s Credit Facility, our 2023 Notes, and our 2031 Asset-Backed Debt.</w:t>
      </w:r>
    </w:p>
    <w:p>
      <w:pPr>
        <w:spacing w:after="0" w:line="13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In addition to the asset coverage ratio requirements, our Credit Facility contains various covenants applicable to Funding I, which restricts our ability to borrow funds, and the deed of trust governing our 2023 Notes and the indenture governing our 2031 Asset-Backed Debt contain various covenants which, if not complied with, could accelerate repayment of the 2023 Notes and the 2031 Asset-Backed Debt, respectively. For example, the Credit Facility’s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117" w:lineRule="exact"/>
        <w:rPr>
          <w:sz w:val="20"/>
          <w:szCs w:val="20"/>
          <w:color w:val="auto"/>
        </w:rPr>
      </w:pPr>
    </w:p>
    <w:p>
      <w:pPr>
        <w:ind w:left="920" w:hanging="359"/>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requirement to retain our status as a RIC;</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 of our portfolio.</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right="60" w:firstLine="438"/>
        <w:spacing w:after="0" w:line="231" w:lineRule="auto"/>
        <w:rPr>
          <w:sz w:val="20"/>
          <w:szCs w:val="20"/>
          <w:color w:val="auto"/>
        </w:rPr>
      </w:pPr>
      <w:r>
        <w:rPr>
          <w:rFonts w:ascii="Arial" w:cs="Arial" w:eastAsia="Arial" w:hAnsi="Arial"/>
          <w:sz w:val="14"/>
          <w:szCs w:val="14"/>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or to result in the ability of the trustee and our note holders to accelerate amounts due under the deed of trust governing our 2023 Notes or the indenture governing our 2031 Asset-Backed Debt. This could have a material adverse effect on our operations, as it would reduce availability under the Credit Facility and could trigger mandatory prepayment obligations under the terms of the Credit Facility.</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136"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1"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136"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06" w:lineRule="exact"/>
        <w:rPr>
          <w:sz w:val="20"/>
          <w:szCs w:val="20"/>
          <w:color w:val="auto"/>
        </w:rPr>
      </w:pPr>
    </w:p>
    <w:p>
      <w:pPr>
        <w:ind w:right="320" w:firstLine="438"/>
        <w:spacing w:after="0" w:line="264" w:lineRule="auto"/>
        <w:rPr>
          <w:sz w:val="20"/>
          <w:szCs w:val="20"/>
          <w:color w:val="auto"/>
        </w:rPr>
      </w:pPr>
      <w:r>
        <w:rPr>
          <w:rFonts w:ascii="Arial" w:cs="Arial" w:eastAsia="Arial" w:hAnsi="Arial"/>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87"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48"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04" w:lineRule="exact"/>
        <w:rPr>
          <w:sz w:val="20"/>
          <w:szCs w:val="20"/>
          <w:color w:val="auto"/>
        </w:rPr>
      </w:pPr>
    </w:p>
    <w:p>
      <w:pPr>
        <w:ind w:right="380" w:firstLine="438"/>
        <w:spacing w:after="0" w:line="253" w:lineRule="auto"/>
        <w:rPr>
          <w:sz w:val="20"/>
          <w:szCs w:val="20"/>
          <w:color w:val="auto"/>
        </w:rPr>
      </w:pPr>
      <w:r>
        <w:rPr>
          <w:rFonts w:ascii="Arial" w:cs="Arial" w:eastAsia="Arial" w:hAnsi="Arial"/>
          <w:sz w:val="14"/>
          <w:szCs w:val="14"/>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the target of litigation.</w:t>
      </w:r>
    </w:p>
    <w:p>
      <w:pPr>
        <w:spacing w:after="0" w:line="13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We may be the target of securities litigation in the future, particularly if the trading price of our common stock and our 2023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102"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106" w:lineRule="exact"/>
        <w:rPr>
          <w:sz w:val="20"/>
          <w:szCs w:val="20"/>
          <w:color w:val="auto"/>
        </w:rPr>
      </w:pPr>
    </w:p>
    <w:p>
      <w:pPr>
        <w:ind w:right="140" w:firstLine="438"/>
        <w:spacing w:after="0" w:line="248"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3"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123"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 Quantitative and Qualitative Disclosures about Market Risk” for more information.</w:t>
      </w:r>
    </w:p>
    <w:p>
      <w:pPr>
        <w:spacing w:after="0" w:line="117"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15"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03"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16" w:lineRule="exact"/>
        <w:rPr>
          <w:sz w:val="20"/>
          <w:szCs w:val="20"/>
          <w:color w:val="auto"/>
        </w:rPr>
      </w:pPr>
    </w:p>
    <w:p>
      <w:pPr>
        <w:ind w:right="80" w:firstLine="438"/>
        <w:spacing w:after="0" w:line="228" w:lineRule="auto"/>
        <w:rPr>
          <w:sz w:val="20"/>
          <w:szCs w:val="20"/>
          <w:color w:val="auto"/>
        </w:rPr>
      </w:pPr>
      <w:r>
        <w:rPr>
          <w:rFonts w:ascii="Arial" w:cs="Arial" w:eastAsia="Arial" w:hAnsi="Arial"/>
          <w:sz w:val="14"/>
          <w:szCs w:val="14"/>
          <w:color w:val="auto"/>
        </w:rPr>
        <w:t>In July 2017, the head of the United Kingdom Financial Conduct Authority announced the desire to phase out the use of LIBOR by the end of 2021. Because the statements made by the head of the United Kingdom Financial Conduct Authority are recent in nature, there is no definitive information regarding the future utilization of LIBOR or of any particular replacement rate. As such, the potential effect of any such event on our cost of capital and net investment income cannot yet be determined. If LIBOR ceases to exist, we may need to renegotiate any credit or similar agreements extending beyond 2021 with our portfolio companies that utilize LIBOR as a factor in determining the interest rate and our Credit Facility to replace LIBOR with the new standard that is established. If the agreements with our portfolio companies are unable to be renegotiated, our investments may bear interest at a lower rate, which would decrease investment income and potentially the value of such investments. If we are unable to renegotiate our Credit Facility, amounts drawn under our Credit Facility may bear interest at a higher rate, which would increase the cost of our borrowings and, in turn, affect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123"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48" w:lineRule="exact"/>
        <w:rPr>
          <w:sz w:val="20"/>
          <w:szCs w:val="20"/>
          <w:color w:val="auto"/>
        </w:rPr>
      </w:pPr>
    </w:p>
    <w:p>
      <w:pPr>
        <w:ind w:right="380" w:firstLine="438"/>
        <w:spacing w:after="0" w:line="238" w:lineRule="auto"/>
        <w:rPr>
          <w:sz w:val="20"/>
          <w:szCs w:val="20"/>
          <w:color w:val="auto"/>
        </w:rPr>
      </w:pPr>
      <w:r>
        <w:rPr>
          <w:rFonts w:ascii="Arial" w:cs="Arial" w:eastAsia="Arial" w:hAnsi="Arial"/>
          <w:sz w:val="14"/>
          <w:szCs w:val="14"/>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replicate the historical performance of other investment companies and funds with which our senior and other investment professionals have been affiliated.</w:t>
      </w:r>
    </w:p>
    <w:p>
      <w:pPr>
        <w:spacing w:after="0" w:line="148"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123" w:lineRule="exact"/>
        <w:rPr>
          <w:sz w:val="20"/>
          <w:szCs w:val="20"/>
          <w:color w:val="auto"/>
        </w:rPr>
      </w:pPr>
    </w:p>
    <w:p>
      <w:pPr>
        <w:ind w:right="20" w:firstLine="438"/>
        <w:spacing w:after="0" w:line="290"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RIC tax status would substantially reduce our net assets and income available for debt service and distributions.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Excise Tax Avoidance Requirement.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i w:val="1"/>
          <w:iCs w:val="1"/>
          <w:color w:val="auto"/>
        </w:rPr>
        <w:t>We may have difficulty paying our Annual Distribution Requirement if we recognize income before or without receiving cash representing such income.</w:t>
      </w:r>
    </w:p>
    <w:p>
      <w:pPr>
        <w:spacing w:after="0" w:line="123"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18"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15"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123" w:lineRule="exact"/>
        <w:rPr>
          <w:sz w:val="20"/>
          <w:szCs w:val="20"/>
          <w:color w:val="auto"/>
        </w:rPr>
      </w:pPr>
    </w:p>
    <w:p>
      <w:pPr>
        <w:ind w:firstLine="438"/>
        <w:spacing w:after="0" w:line="226" w:lineRule="auto"/>
        <w:rPr>
          <w:sz w:val="20"/>
          <w:szCs w:val="20"/>
          <w:color w:val="auto"/>
        </w:rPr>
      </w:pPr>
      <w:r>
        <w:rPr>
          <w:rFonts w:ascii="Arial" w:cs="Arial" w:eastAsia="Arial" w:hAnsi="Arial"/>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04"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Regulations governing our operation as a BDC will affect our ability to, and the way in which we, raise additional capital.</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limitations.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98" w:lineRule="exact"/>
        <w:rPr>
          <w:sz w:val="20"/>
          <w:szCs w:val="20"/>
          <w:color w:val="auto"/>
        </w:rPr>
      </w:pPr>
    </w:p>
    <w:p>
      <w:pPr>
        <w:ind w:left="920" w:right="20" w:hanging="359"/>
        <w:spacing w:after="0" w:line="251" w:lineRule="auto"/>
        <w:tabs>
          <w:tab w:leader="none" w:pos="920" w:val="left"/>
        </w:tabs>
        <w:numPr>
          <w:ilvl w:val="0"/>
          <w:numId w:val="3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including our 2023 Notes, we are exposed to typical risks associated with leverage, including an increased risk of loss. If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9" w:lineRule="exact"/>
        <w:rPr>
          <w:rFonts w:ascii="Arial" w:cs="Arial" w:eastAsia="Arial" w:hAnsi="Arial"/>
          <w:sz w:val="13"/>
          <w:szCs w:val="13"/>
          <w:color w:val="auto"/>
        </w:rPr>
      </w:pPr>
    </w:p>
    <w:p>
      <w:pPr>
        <w:ind w:left="920" w:right="20" w:hanging="359"/>
        <w:spacing w:after="0" w:line="226" w:lineRule="auto"/>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Additional Common Stock. </w:t>
      </w:r>
      <w:r>
        <w:rPr>
          <w:rFonts w:ascii="Arial" w:cs="Arial" w:eastAsia="Arial" w:hAnsi="Arial"/>
          <w:sz w:val="14"/>
          <w:szCs w:val="14"/>
          <w:color w:val="auto"/>
        </w:rPr>
        <w:t>Our board of directors may decide to issue common stock to finance our operations rather than issuing debt or other senior securities. As a BDC,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0" w:name="page21"/>
    <w:bookmarkEnd w:id="20"/>
    <w:p>
      <w:pPr>
        <w:ind w:left="920" w:right="60"/>
        <w:spacing w:after="0" w:line="228" w:lineRule="auto"/>
        <w:rPr>
          <w:sz w:val="20"/>
          <w:szCs w:val="20"/>
          <w:color w:val="auto"/>
        </w:rPr>
      </w:pPr>
      <w:r>
        <w:rPr>
          <w:rFonts w:ascii="Arial" w:cs="Arial" w:eastAsia="Arial" w:hAnsi="Arial"/>
          <w:sz w:val="14"/>
          <w:szCs w:val="14"/>
          <w:color w:val="auto"/>
        </w:rPr>
        <w:t>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17" w:lineRule="exact"/>
        <w:rPr>
          <w:sz w:val="20"/>
          <w:szCs w:val="20"/>
          <w:color w:val="auto"/>
        </w:rPr>
      </w:pPr>
    </w:p>
    <w:p>
      <w:pPr>
        <w:ind w:left="920" w:right="40" w:hanging="359"/>
        <w:spacing w:after="0" w:line="248" w:lineRule="auto"/>
        <w:tabs>
          <w:tab w:leader="none" w:pos="920" w:val="left"/>
        </w:tabs>
        <w:numPr>
          <w:ilvl w:val="0"/>
          <w:numId w:val="3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As a result of the completion of the Debt Securitization, we are exposed to typical risks associated with the securitization of loans to generate cash for funding new</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investments. As applicable accounting pronouncements and SEC staff guidance requires us to consolidate the Securitization Issuers’ financial statements with our financial statements, any debt issued by the Securitization Issuers would be generally treated as if it were issued by us for purposes of the asset coverage ratio applicable to us. We retain all of the equity in the Securitization Issuers and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12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115"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Our current debt is governed by the terms of the Credit Facility, the deed of trust governing the 2023 Notes and the indenture governing the 2031 Asset-Backed Debt,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23" w:lineRule="exact"/>
        <w:rPr>
          <w:sz w:val="20"/>
          <w:szCs w:val="20"/>
          <w:color w:val="auto"/>
        </w:rPr>
      </w:pPr>
    </w:p>
    <w:p>
      <w:pPr>
        <w:ind w:right="140" w:firstLine="438"/>
        <w:spacing w:after="0" w:line="244" w:lineRule="auto"/>
        <w:rPr>
          <w:sz w:val="20"/>
          <w:szCs w:val="20"/>
          <w:color w:val="auto"/>
        </w:rPr>
      </w:pPr>
      <w:r>
        <w:rPr>
          <w:rFonts w:ascii="Arial" w:cs="Arial" w:eastAsia="Arial" w:hAnsi="Arial"/>
          <w:sz w:val="13"/>
          <w:szCs w:val="13"/>
          <w:color w:val="auto"/>
        </w:rPr>
        <w:t>We have indebtedness outstanding pursuant to our Credit Facility, 2023 Notes and the 2031 Asset-Backed Debt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4" w:lineRule="exact"/>
        <w:rPr>
          <w:sz w:val="20"/>
          <w:szCs w:val="20"/>
          <w:color w:val="auto"/>
        </w:rPr>
      </w:pPr>
    </w:p>
    <w:p>
      <w:pPr>
        <w:ind w:right="180" w:firstLine="438"/>
        <w:spacing w:after="0" w:line="264" w:lineRule="auto"/>
        <w:rPr>
          <w:sz w:val="20"/>
          <w:szCs w:val="20"/>
          <w:color w:val="auto"/>
        </w:rPr>
      </w:pPr>
      <w:r>
        <w:rPr>
          <w:rFonts w:ascii="Arial" w:cs="Arial" w:eastAsia="Arial" w:hAnsi="Arial"/>
          <w:sz w:val="13"/>
          <w:szCs w:val="13"/>
          <w:color w:val="auto"/>
        </w:rPr>
        <w:t>On April 5, 2018, our board of directors, including a “required majority” (as such term is defined in Section 57(o) of the 1940 Act), and our stockholders, respectively,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01" w:lineRule="exact"/>
        <w:rPr>
          <w:sz w:val="20"/>
          <w:szCs w:val="20"/>
          <w:color w:val="auto"/>
        </w:rPr>
      </w:pPr>
    </w:p>
    <w:p>
      <w:pPr>
        <w:ind w:right="80" w:firstLine="438"/>
        <w:spacing w:after="0" w:line="290" w:lineRule="auto"/>
        <w:rPr>
          <w:sz w:val="20"/>
          <w:szCs w:val="20"/>
          <w:color w:val="auto"/>
        </w:rPr>
      </w:pPr>
      <w:r>
        <w:rPr>
          <w:rFonts w:ascii="Arial" w:cs="Arial" w:eastAsia="Arial" w:hAnsi="Arial"/>
          <w:sz w:val="13"/>
          <w:szCs w:val="13"/>
          <w:color w:val="auto"/>
        </w:rPr>
        <w:t>As of September 30, 2019 and 2018, our asset coverage ratio, as computed in accordance with the 1940 Act, was 179% and 212%, respectively. Since our leverage was 127% and 89% of our net assets as of September 30, 2019 and 2018, respectively, we would have to receive an annual return of at least 2.3% and 1.9%, respectively, to cover annual interest payments.</w:t>
      </w:r>
    </w:p>
    <w:p>
      <w:pPr>
        <w:spacing w:after="0" w:line="84" w:lineRule="exact"/>
        <w:rPr>
          <w:sz w:val="20"/>
          <w:szCs w:val="20"/>
          <w:color w:val="auto"/>
        </w:rPr>
      </w:pPr>
    </w:p>
    <w:p>
      <w:pPr>
        <w:ind w:right="140" w:firstLine="438"/>
        <w:spacing w:after="0" w:line="255" w:lineRule="auto"/>
        <w:rPr>
          <w:sz w:val="20"/>
          <w:szCs w:val="20"/>
          <w:color w:val="auto"/>
        </w:rPr>
      </w:pPr>
      <w:r>
        <w:rPr>
          <w:rFonts w:ascii="Arial" w:cs="Arial" w:eastAsia="Arial" w:hAnsi="Arial"/>
          <w:sz w:val="13"/>
          <w:szCs w:val="13"/>
          <w:color w:val="auto"/>
        </w:rPr>
        <w:t>As of September 30, 2019, we had outstanding borrowings of $265.3 million under our Credit Facility, $138.6 million outstanding under our 2023 Notes, and $228.0 million outstanding under the 2031 Asset-Backed Debt. Our consolidated debt outstanding was $631.9 million and had a weighted average annual interest rate at the time of 4.1%, exclusive of the fees on the undrawn commitment on our Credit Facility.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stockholders.</w:t>
      </w:r>
    </w:p>
    <w:p>
      <w:pPr>
        <w:spacing w:after="0" w:line="10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September 30, 2019 of 54% of total assets (including such borrowed funds), at the current interest rate at the time of 4.1%,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1920" w:type="dxa"/>
            <w:vAlign w:val="bottom"/>
            <w:shd w:val="clear" w:color="auto" w:fill="CCECFF"/>
          </w:tcPr>
          <w:p>
            <w:pPr>
              <w:jc w:val="right"/>
              <w:ind w:right="448"/>
              <w:spacing w:after="0"/>
              <w:rPr>
                <w:sz w:val="20"/>
                <w:szCs w:val="20"/>
                <w:color w:val="auto"/>
              </w:rPr>
            </w:pPr>
            <w:r>
              <w:rPr>
                <w:rFonts w:ascii="Arial" w:cs="Arial" w:eastAsia="Arial" w:hAnsi="Arial"/>
                <w:sz w:val="14"/>
                <w:szCs w:val="14"/>
                <w:color w:val="auto"/>
              </w:rPr>
              <w:t>(10.0)%</w:t>
            </w:r>
          </w:p>
        </w:tc>
        <w:tc>
          <w:tcPr>
            <w:tcW w:w="1580" w:type="dxa"/>
            <w:vAlign w:val="bottom"/>
            <w:shd w:val="clear" w:color="auto" w:fill="CCECFF"/>
          </w:tcPr>
          <w:p>
            <w:pPr>
              <w:jc w:val="right"/>
              <w:ind w:right="508"/>
              <w:spacing w:after="0"/>
              <w:rPr>
                <w:sz w:val="20"/>
                <w:szCs w:val="20"/>
                <w:color w:val="auto"/>
              </w:rPr>
            </w:pPr>
            <w:r>
              <w:rPr>
                <w:rFonts w:ascii="Arial" w:cs="Arial" w:eastAsia="Arial" w:hAnsi="Arial"/>
                <w:sz w:val="14"/>
                <w:szCs w:val="14"/>
                <w:color w:val="auto"/>
              </w:rPr>
              <w:t>(5.0)%</w:t>
            </w:r>
          </w:p>
        </w:tc>
        <w:tc>
          <w:tcPr>
            <w:tcW w:w="156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ind w:right="468"/>
              <w:spacing w:after="0"/>
              <w:rPr>
                <w:sz w:val="20"/>
                <w:szCs w:val="20"/>
                <w:color w:val="auto"/>
              </w:rPr>
            </w:pPr>
            <w:r>
              <w:rPr>
                <w:rFonts w:ascii="Arial" w:cs="Arial" w:eastAsia="Arial" w:hAnsi="Arial"/>
                <w:sz w:val="14"/>
                <w:szCs w:val="14"/>
                <w:color w:val="auto"/>
              </w:rPr>
              <w:t>5.0%</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r>
      <w:tr>
        <w:trPr>
          <w:trHeight w:val="182"/>
        </w:trPr>
        <w:tc>
          <w:tcPr>
            <w:tcW w:w="378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(28.0)%</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(16.6)%</w:t>
            </w:r>
          </w:p>
        </w:tc>
        <w:tc>
          <w:tcPr>
            <w:tcW w:w="1560" w:type="dxa"/>
            <w:vAlign w:val="bottom"/>
          </w:tcPr>
          <w:p>
            <w:pPr>
              <w:jc w:val="right"/>
              <w:ind w:right="528"/>
              <w:spacing w:after="0"/>
              <w:rPr>
                <w:sz w:val="20"/>
                <w:szCs w:val="20"/>
                <w:color w:val="auto"/>
              </w:rPr>
            </w:pPr>
            <w:r>
              <w:rPr>
                <w:rFonts w:ascii="Arial" w:cs="Arial" w:eastAsia="Arial" w:hAnsi="Arial"/>
                <w:sz w:val="14"/>
                <w:szCs w:val="14"/>
                <w:color w:val="auto"/>
              </w:rPr>
              <w:t>(5.1)%</w:t>
            </w:r>
          </w:p>
        </w:tc>
        <w:tc>
          <w:tcPr>
            <w:tcW w:w="1440" w:type="dxa"/>
            <w:vAlign w:val="bottom"/>
          </w:tcPr>
          <w:p>
            <w:pPr>
              <w:jc w:val="right"/>
              <w:ind w:right="468"/>
              <w:spacing w:after="0"/>
              <w:rPr>
                <w:sz w:val="20"/>
                <w:szCs w:val="20"/>
                <w:color w:val="auto"/>
              </w:rPr>
            </w:pPr>
            <w:r>
              <w:rPr>
                <w:rFonts w:ascii="Arial" w:cs="Arial" w:eastAsia="Arial" w:hAnsi="Arial"/>
                <w:sz w:val="14"/>
                <w:szCs w:val="14"/>
                <w:color w:val="auto"/>
              </w:rPr>
              <w:t>6.4%</w:t>
            </w:r>
          </w:p>
        </w:tc>
        <w:tc>
          <w:tcPr>
            <w:tcW w:w="960" w:type="dxa"/>
            <w:vAlign w:val="bottom"/>
          </w:tcPr>
          <w:p>
            <w:pPr>
              <w:jc w:val="right"/>
              <w:spacing w:after="0"/>
              <w:rPr>
                <w:sz w:val="20"/>
                <w:szCs w:val="20"/>
                <w:color w:val="auto"/>
              </w:rPr>
            </w:pPr>
            <w:r>
              <w:rPr>
                <w:rFonts w:ascii="Arial" w:cs="Arial" w:eastAsia="Arial" w:hAnsi="Arial"/>
                <w:sz w:val="14"/>
                <w:szCs w:val="14"/>
                <w:color w:val="auto"/>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13455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30"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80" w:right="220" w:hanging="372"/>
        <w:spacing w:after="0" w:line="255" w:lineRule="auto"/>
        <w:tabs>
          <w:tab w:leader="none" w:pos="380" w:val="left"/>
        </w:tabs>
        <w:numPr>
          <w:ilvl w:val="0"/>
          <w:numId w:val="32"/>
        </w:numPr>
        <w:rPr>
          <w:rFonts w:ascii="Arial" w:cs="Arial" w:eastAsia="Arial" w:hAnsi="Arial"/>
          <w:sz w:val="11"/>
          <w:szCs w:val="11"/>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05" w:lineRule="exact"/>
        <w:rPr>
          <w:sz w:val="20"/>
          <w:szCs w:val="20"/>
          <w:color w:val="auto"/>
        </w:rPr>
      </w:pPr>
    </w:p>
    <w:p>
      <w:pPr>
        <w:ind w:right="520"/>
        <w:spacing w:after="0" w:line="253"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106"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123"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As a result of any issuance of debt securities and borrowings under our Credit Facility, the 2023 Notes, and the 2031 Asset-Backed Debt,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our debt securities.</w:t>
      </w:r>
    </w:p>
    <w:p>
      <w:pPr>
        <w:spacing w:after="0" w:line="136" w:lineRule="exact"/>
        <w:rPr>
          <w:sz w:val="20"/>
          <w:szCs w:val="20"/>
          <w:color w:val="auto"/>
        </w:rPr>
      </w:pPr>
    </w:p>
    <w:p>
      <w:pPr>
        <w:ind w:right="140" w:firstLine="438"/>
        <w:spacing w:after="0" w:line="283" w:lineRule="auto"/>
        <w:rPr>
          <w:sz w:val="20"/>
          <w:szCs w:val="20"/>
          <w:color w:val="auto"/>
        </w:rPr>
      </w:pPr>
      <w:r>
        <w:rPr>
          <w:rFonts w:ascii="Arial" w:cs="Arial" w:eastAsia="Arial" w:hAnsi="Arial"/>
          <w:sz w:val="12"/>
          <w:szCs w:val="12"/>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business development companies in light of the SBCAA as well as any corresponding changes to asset coverage ratios and, in certain cases, downgrade such ratings. Such a downgrade in our credit ratings may adversely affect our securities.</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48" w:lineRule="exact"/>
        <w:rPr>
          <w:sz w:val="20"/>
          <w:szCs w:val="20"/>
          <w:color w:val="auto"/>
        </w:rPr>
      </w:pPr>
    </w:p>
    <w:p>
      <w:pPr>
        <w:ind w:right="60" w:firstLine="438"/>
        <w:spacing w:after="0" w:line="245" w:lineRule="auto"/>
        <w:rPr>
          <w:sz w:val="20"/>
          <w:szCs w:val="20"/>
          <w:color w:val="auto"/>
        </w:rPr>
      </w:pPr>
      <w:r>
        <w:rPr>
          <w:rFonts w:ascii="Arial" w:cs="Arial" w:eastAsia="Arial" w:hAnsi="Arial"/>
          <w:sz w:val="13"/>
          <w:szCs w:val="13"/>
          <w:color w:val="auto"/>
        </w:rPr>
        <w:t>Our Credit Facility expires in October 2023.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interests in Funding I are subordinated.</w:t>
      </w:r>
    </w:p>
    <w:p>
      <w:pPr>
        <w:spacing w:after="0" w:line="123"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w:t>
      </w:r>
    </w:p>
    <w:p>
      <w:pPr>
        <w:spacing w:after="0" w:line="2" w:lineRule="exact"/>
        <w:rPr>
          <w:sz w:val="20"/>
          <w:szCs w:val="20"/>
          <w:color w:val="auto"/>
        </w:rPr>
      </w:pPr>
    </w:p>
    <w:p>
      <w:pPr>
        <w:ind w:right="240" w:firstLine="8"/>
        <w:spacing w:after="0" w:line="237" w:lineRule="auto"/>
        <w:tabs>
          <w:tab w:leader="none" w:pos="204"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16" w:lineRule="exact"/>
        <w:rPr>
          <w:sz w:val="20"/>
          <w:szCs w:val="20"/>
          <w:color w:val="auto"/>
        </w:rPr>
      </w:pPr>
    </w:p>
    <w:p>
      <w:pPr>
        <w:ind w:right="20" w:firstLine="438"/>
        <w:spacing w:after="0" w:line="264" w:lineRule="auto"/>
        <w:rPr>
          <w:sz w:val="20"/>
          <w:szCs w:val="20"/>
          <w:color w:val="auto"/>
        </w:rPr>
      </w:pPr>
      <w:r>
        <w:rPr>
          <w:rFonts w:ascii="Arial" w:cs="Arial" w:eastAsia="Arial" w:hAnsi="Arial"/>
          <w:sz w:val="13"/>
          <w:szCs w:val="13"/>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receive cash on our equity interests from Funding I.</w:t>
      </w:r>
    </w:p>
    <w:p>
      <w:pPr>
        <w:spacing w:after="0" w:line="123"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136" w:lineRule="exact"/>
        <w:rPr>
          <w:sz w:val="20"/>
          <w:szCs w:val="20"/>
          <w:color w:val="auto"/>
        </w:rPr>
      </w:pPr>
    </w:p>
    <w:p>
      <w:pPr>
        <w:ind w:right="80" w:firstLine="438"/>
        <w:spacing w:after="0" w:line="243" w:lineRule="auto"/>
        <w:rPr>
          <w:sz w:val="20"/>
          <w:szCs w:val="20"/>
          <w:color w:val="auto"/>
        </w:rPr>
      </w:pPr>
      <w:r>
        <w:rPr>
          <w:rFonts w:ascii="Arial" w:cs="Arial" w:eastAsia="Arial" w:hAnsi="Arial"/>
          <w:sz w:val="13"/>
          <w:szCs w:val="13"/>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04"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1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We have entered into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2" w:name="page23"/>
    <w:bookmarkEnd w:id="22"/>
    <w:p>
      <w:pPr>
        <w:jc w:val="both"/>
        <w:ind w:right="500" w:firstLine="438"/>
        <w:spacing w:after="0" w:line="238" w:lineRule="auto"/>
        <w:rPr>
          <w:sz w:val="20"/>
          <w:szCs w:val="20"/>
          <w:color w:val="auto"/>
        </w:rPr>
      </w:pPr>
      <w:r>
        <w:rPr>
          <w:rFonts w:ascii="Arial" w:cs="Arial" w:eastAsia="Arial" w:hAnsi="Arial"/>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associated with cybersecurity and cyber incidents.</w:t>
      </w:r>
    </w:p>
    <w:p>
      <w:pPr>
        <w:spacing w:after="0" w:line="136"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 In addition, the costs related to cyber or other security threats or disruptions may not be fully insured or indemnified by other means. Furthermore,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123"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of these factors, results for any period should not be relied upon as being indicative of performance in future periods.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136"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and the TASE,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NAV and market value of our common stock may become more volatile.</w:t>
      </w:r>
    </w:p>
    <w:p>
      <w:pPr>
        <w:spacing w:after="0" w:line="123"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11" w:lineRule="exact"/>
        <w:rPr>
          <w:sz w:val="20"/>
          <w:szCs w:val="20"/>
          <w:color w:val="auto"/>
        </w:rPr>
      </w:pPr>
    </w:p>
    <w:p>
      <w:pPr>
        <w:ind w:right="100" w:firstLine="438"/>
        <w:spacing w:after="0" w:line="228"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ability to sell investments held by Funding I is limited.</w:t>
      </w:r>
    </w:p>
    <w:p>
      <w:pPr>
        <w:spacing w:after="0" w:line="123"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136"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3" w:name="page24"/>
    <w:bookmarkEnd w:id="23"/>
    <w:p>
      <w:pPr>
        <w:ind w:left="440"/>
        <w:spacing w:after="0"/>
        <w:rPr>
          <w:sz w:val="20"/>
          <w:szCs w:val="20"/>
          <w:color w:val="auto"/>
        </w:rPr>
      </w:pPr>
      <w:r>
        <w:rPr>
          <w:rFonts w:ascii="Arial" w:cs="Arial" w:eastAsia="Arial" w:hAnsi="Arial"/>
          <w:sz w:val="14"/>
          <w:szCs w:val="14"/>
          <w:color w:val="auto"/>
        </w:rPr>
        <w:t>These factors include the following:</w:t>
      </w:r>
    </w:p>
    <w:p>
      <w:pPr>
        <w:spacing w:after="0" w:line="123" w:lineRule="exact"/>
        <w:rPr>
          <w:sz w:val="20"/>
          <w:szCs w:val="20"/>
          <w:color w:val="auto"/>
        </w:rPr>
      </w:pPr>
    </w:p>
    <w:p>
      <w:pPr>
        <w:ind w:left="920" w:hanging="359"/>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or similar to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36" w:lineRule="exact"/>
        <w:rPr>
          <w:sz w:val="20"/>
          <w:szCs w:val="20"/>
          <w:color w:val="auto"/>
        </w:rPr>
      </w:pPr>
    </w:p>
    <w:p>
      <w:pPr>
        <w:ind w:right="200" w:firstLine="438"/>
        <w:spacing w:after="0" w:line="290" w:lineRule="auto"/>
        <w:rPr>
          <w:sz w:val="20"/>
          <w:szCs w:val="20"/>
          <w:color w:val="auto"/>
        </w:rPr>
      </w:pPr>
      <w:r>
        <w:rPr>
          <w:rFonts w:ascii="Arial" w:cs="Arial" w:eastAsia="Arial" w:hAnsi="Arial"/>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relating to debt redemption may have a material adverse effect on the return on any debt securities.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13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15"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recent financial reform legislation on us is uncertain.</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or those of our portfolio companies may adversely affect our business.</w:t>
      </w:r>
    </w:p>
    <w:p>
      <w:pPr>
        <w:spacing w:after="0" w:line="123" w:lineRule="exact"/>
        <w:rPr>
          <w:sz w:val="20"/>
          <w:szCs w:val="20"/>
          <w:color w:val="auto"/>
        </w:rPr>
      </w:pPr>
    </w:p>
    <w:p>
      <w:pPr>
        <w:ind w:right="140" w:firstLine="438"/>
        <w:spacing w:after="0" w:line="244" w:lineRule="auto"/>
        <w:rPr>
          <w:sz w:val="20"/>
          <w:szCs w:val="20"/>
          <w:color w:val="auto"/>
        </w:rPr>
      </w:pPr>
      <w:r>
        <w:rPr>
          <w:rFonts w:ascii="Arial" w:cs="Arial" w:eastAsia="Arial" w:hAnsi="Arial"/>
          <w:sz w:val="13"/>
          <w:szCs w:val="13"/>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In particular, on December 22, 2017, the Tax Cuts and Jobs Act was signed into law. This tax legislation lowers the general corporate income tax rate from 35 percent to 21 percent, makes changes regarding the use of net operating losses, repeals the corporate alternative minimum tax and makes significant changes with respect to the U.S. international tax rules. In addition, the legislation generally requires a holder that uses the accrual method of accounting for U.S. tax purposes to include certain amounts in income no later than the time such amounts are reflected on certain financial statements, which therefore if applicable would require us to accrue income earlier than under prior law, although the precise application of this rule is un-clear at this time. The legislation also limits the amount or value of interest deductions of borrowers and in that way may potentially affect the loan market and our and our portfolio companies’ use of leverage. For individual taxpayers, the legislation reduces the maximum individual income tax rate and eliminates the deductibility of miscellaneous itemized deductions for taxable years 2018 through 2025. The impact of this new legislation is uncertain. See “Business—Regulation”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Uncertainty about presidential administration initiatives could negatively impact our business, financial condition and results of operations.</w:t>
      </w:r>
    </w:p>
    <w:p>
      <w:pPr>
        <w:spacing w:after="0" w:line="136" w:lineRule="exact"/>
        <w:rPr>
          <w:sz w:val="20"/>
          <w:szCs w:val="20"/>
          <w:color w:val="auto"/>
        </w:rPr>
      </w:pPr>
    </w:p>
    <w:p>
      <w:pPr>
        <w:ind w:right="80" w:firstLine="438"/>
        <w:spacing w:after="0" w:line="227" w:lineRule="auto"/>
        <w:rPr>
          <w:sz w:val="20"/>
          <w:szCs w:val="20"/>
          <w:color w:val="auto"/>
        </w:rPr>
      </w:pPr>
      <w:r>
        <w:rPr>
          <w:rFonts w:ascii="Arial" w:cs="Arial" w:eastAsia="Arial" w:hAnsi="Arial"/>
          <w:sz w:val="14"/>
          <w:szCs w:val="14"/>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13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4" w:name="page25"/>
    <w:bookmarkEnd w:id="24"/>
    <w:p>
      <w:pPr>
        <w:ind w:right="480"/>
        <w:spacing w:after="0" w:line="251" w:lineRule="auto"/>
        <w:rPr>
          <w:sz w:val="20"/>
          <w:szCs w:val="20"/>
          <w:color w:val="auto"/>
        </w:rPr>
      </w:pPr>
      <w:r>
        <w:rPr>
          <w:rFonts w:ascii="Arial" w:cs="Arial" w:eastAsia="Arial" w:hAnsi="Arial"/>
          <w:sz w:val="14"/>
          <w:szCs w:val="14"/>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108"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been increasing in the BDC space recently.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 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140"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106"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98"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13"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123"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115"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7" w:lineRule="exact"/>
        <w:rPr>
          <w:sz w:val="20"/>
          <w:szCs w:val="20"/>
          <w:color w:val="auto"/>
        </w:rPr>
      </w:pPr>
    </w:p>
    <w:p>
      <w:pPr>
        <w:ind w:right="160" w:firstLine="438"/>
        <w:spacing w:after="0" w:line="264" w:lineRule="auto"/>
        <w:rPr>
          <w:sz w:val="20"/>
          <w:szCs w:val="20"/>
          <w:color w:val="auto"/>
        </w:rPr>
      </w:pPr>
      <w:r>
        <w:rPr>
          <w:rFonts w:ascii="Arial" w:cs="Arial" w:eastAsia="Arial" w:hAnsi="Arial"/>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136"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7"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invest in over-the-counter securities, which have and may continue to face liquidity constraints, to provide us with liquidity.</w:t>
      </w:r>
    </w:p>
    <w:p>
      <w:pPr>
        <w:spacing w:after="0" w:line="136"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136"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We intend to invest primarily in Floating Rate Loans, which may consist of first lien secured debt, second lien secured debt, subordinated debt and selected equity investments issued by U.S. middle-market companies.</w:t>
      </w:r>
    </w:p>
    <w:p>
      <w:pPr>
        <w:spacing w:after="0" w:line="106" w:lineRule="exact"/>
        <w:rPr>
          <w:sz w:val="20"/>
          <w:szCs w:val="20"/>
          <w:color w:val="auto"/>
        </w:rPr>
      </w:pPr>
    </w:p>
    <w:p>
      <w:pPr>
        <w:ind w:left="920" w:right="20" w:hanging="359"/>
        <w:spacing w:after="0" w:line="248" w:lineRule="auto"/>
        <w:tabs>
          <w:tab w:leader="none" w:pos="920" w:val="left"/>
        </w:tabs>
        <w:numPr>
          <w:ilvl w:val="0"/>
          <w:numId w:val="3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Floating Rate Loans: </w:t>
      </w:r>
      <w:r>
        <w:rPr>
          <w:rFonts w:ascii="Arial" w:cs="Arial" w:eastAsia="Arial" w:hAnsi="Arial"/>
          <w:sz w:val="13"/>
          <w:szCs w:val="13"/>
          <w:color w:val="auto"/>
        </w:rPr>
        <w:t>The Floating Rate Loans we invest in are usually rated below investment grade or may also be unrated. Investments in Floating Rate Loans rated below</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 grade, variable-rate securities.</w:t>
      </w:r>
    </w:p>
    <w:p>
      <w:pPr>
        <w:spacing w:after="0" w:line="112" w:lineRule="exact"/>
        <w:rPr>
          <w:rFonts w:ascii="Arial" w:cs="Arial" w:eastAsia="Arial" w:hAnsi="Arial"/>
          <w:sz w:val="13"/>
          <w:szCs w:val="13"/>
          <w:color w:val="auto"/>
        </w:rPr>
      </w:pPr>
    </w:p>
    <w:p>
      <w:pPr>
        <w:ind w:left="920" w:right="40"/>
        <w:spacing w:after="0" w:line="245" w:lineRule="auto"/>
        <w:rPr>
          <w:rFonts w:ascii="Arial" w:cs="Arial" w:eastAsia="Arial" w:hAnsi="Arial"/>
          <w:sz w:val="13"/>
          <w:szCs w:val="13"/>
          <w:color w:val="auto"/>
        </w:rPr>
      </w:pPr>
      <w:r>
        <w:rPr>
          <w:rFonts w:ascii="Arial" w:cs="Arial" w:eastAsia="Arial" w:hAnsi="Arial"/>
          <w:sz w:val="13"/>
          <w:szCs w:val="13"/>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step could materially negatively affect our performance.</w:t>
      </w:r>
    </w:p>
    <w:p>
      <w:pPr>
        <w:spacing w:after="0" w:line="102" w:lineRule="exact"/>
        <w:rPr>
          <w:rFonts w:ascii="Arial" w:cs="Arial" w:eastAsia="Arial" w:hAnsi="Arial"/>
          <w:sz w:val="13"/>
          <w:szCs w:val="13"/>
          <w:color w:val="auto"/>
        </w:rPr>
      </w:pPr>
    </w:p>
    <w:p>
      <w:pPr>
        <w:ind w:left="920" w:right="100"/>
        <w:spacing w:after="0" w:line="225" w:lineRule="auto"/>
        <w:rPr>
          <w:rFonts w:ascii="Arial" w:cs="Arial" w:eastAsia="Arial" w:hAnsi="Arial"/>
          <w:sz w:val="13"/>
          <w:szCs w:val="13"/>
          <w:color w:val="auto"/>
        </w:rPr>
      </w:pPr>
      <w:r>
        <w:rPr>
          <w:rFonts w:ascii="Arial" w:cs="Arial" w:eastAsia="Arial" w:hAnsi="Arial"/>
          <w:sz w:val="14"/>
          <w:szCs w:val="14"/>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 Floating Rate Loans can be first lien secured debt, second lien secured debt or subordinated debt.</w:t>
      </w:r>
    </w:p>
    <w:p>
      <w:pPr>
        <w:spacing w:after="0" w:line="121" w:lineRule="exact"/>
        <w:rPr>
          <w:rFonts w:ascii="Arial" w:cs="Arial" w:eastAsia="Arial" w:hAnsi="Arial"/>
          <w:sz w:val="13"/>
          <w:szCs w:val="13"/>
          <w:color w:val="auto"/>
        </w:rPr>
      </w:pPr>
    </w:p>
    <w:p>
      <w:pPr>
        <w:ind w:left="920" w:right="20" w:hanging="359"/>
        <w:spacing w:after="0" w:line="227" w:lineRule="auto"/>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First Lien Secured Debt: </w:t>
      </w:r>
      <w:r>
        <w:rPr>
          <w:rFonts w:ascii="Arial" w:cs="Arial" w:eastAsia="Arial" w:hAnsi="Arial"/>
          <w:sz w:val="14"/>
          <w:szCs w:val="14"/>
          <w:color w:val="auto"/>
        </w:rPr>
        <w:t>When we extend first lien secured debt, we will generally take a security interest in the available assets of these portfolio companies, including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118" w:lineRule="exact"/>
        <w:rPr>
          <w:rFonts w:ascii="Arial" w:cs="Arial" w:eastAsia="Arial" w:hAnsi="Arial"/>
          <w:sz w:val="14"/>
          <w:szCs w:val="14"/>
          <w:color w:val="auto"/>
        </w:rPr>
      </w:pPr>
    </w:p>
    <w:p>
      <w:pPr>
        <w:ind w:left="920" w:right="60" w:hanging="359"/>
        <w:spacing w:after="0" w:line="229" w:lineRule="auto"/>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Second Lien Secured Debt: </w:t>
      </w:r>
      <w:r>
        <w:rPr>
          <w:rFonts w:ascii="Arial" w:cs="Arial" w:eastAsia="Arial" w:hAnsi="Arial"/>
          <w:sz w:val="14"/>
          <w:szCs w:val="14"/>
          <w:color w:val="auto"/>
        </w:rPr>
        <w:t>Our second lien secured debt usually ranks junior in priority of payment to first lien secured debt. Second lien secured debt holds a second priority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117" w:lineRule="exact"/>
        <w:rPr>
          <w:rFonts w:ascii="Arial" w:cs="Arial" w:eastAsia="Arial" w:hAnsi="Arial"/>
          <w:sz w:val="14"/>
          <w:szCs w:val="14"/>
          <w:color w:val="auto"/>
        </w:rPr>
      </w:pPr>
    </w:p>
    <w:p>
      <w:pPr>
        <w:ind w:left="920" w:hanging="359"/>
        <w:spacing w:after="0" w:line="229" w:lineRule="auto"/>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Subordinated Debt: </w:t>
      </w:r>
      <w:r>
        <w:rPr>
          <w:rFonts w:ascii="Arial" w:cs="Arial" w:eastAsia="Arial" w:hAnsi="Arial"/>
          <w:sz w:val="14"/>
          <w:szCs w:val="14"/>
          <w:color w:val="auto"/>
        </w:rPr>
        <w:t>Our subordinated debt usually ranks junior in priority of payment to first lien secured debt and second lien secured debt, and are often unsecured. As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117" w:lineRule="exact"/>
        <w:rPr>
          <w:rFonts w:ascii="Arial" w:cs="Arial" w:eastAsia="Arial" w:hAnsi="Arial"/>
          <w:sz w:val="14"/>
          <w:szCs w:val="14"/>
          <w:color w:val="auto"/>
        </w:rPr>
      </w:pPr>
    </w:p>
    <w:p>
      <w:pPr>
        <w:ind w:left="920" w:right="60" w:hanging="359"/>
        <w:spacing w:after="0" w:line="247" w:lineRule="auto"/>
        <w:tabs>
          <w:tab w:leader="none" w:pos="920" w:val="left"/>
        </w:tabs>
        <w:numPr>
          <w:ilvl w:val="0"/>
          <w:numId w:val="3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Equity Investments: </w:t>
      </w:r>
      <w:r>
        <w:rPr>
          <w:rFonts w:ascii="Arial" w:cs="Arial" w:eastAsia="Arial" w:hAnsi="Arial"/>
          <w:sz w:val="13"/>
          <w:szCs w:val="13"/>
          <w:color w:val="auto"/>
        </w:rPr>
        <w:t>We have made and expect to continue to make select equity investments, all of which are subordinated to debt investments. In addition, when we invest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136" w:lineRule="exact"/>
        <w:rPr>
          <w:sz w:val="20"/>
          <w:szCs w:val="20"/>
          <w:color w:val="auto"/>
        </w:rPr>
      </w:pPr>
    </w:p>
    <w:p>
      <w:pPr>
        <w:ind w:left="920" w:right="520" w:hanging="359"/>
        <w:spacing w:after="0" w:line="238" w:lineRule="auto"/>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15" w:lineRule="exact"/>
        <w:rPr>
          <w:rFonts w:ascii="Arial" w:cs="Arial" w:eastAsia="Arial" w:hAnsi="Arial"/>
          <w:sz w:val="14"/>
          <w:szCs w:val="14"/>
          <w:color w:val="auto"/>
        </w:rPr>
      </w:pPr>
    </w:p>
    <w:p>
      <w:pPr>
        <w:ind w:left="920" w:right="60" w:hanging="359"/>
        <w:spacing w:after="0" w:line="335" w:lineRule="auto"/>
        <w:tabs>
          <w:tab w:leader="none" w:pos="9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6" w:name="page27"/>
    <w:bookmarkEnd w:id="26"/>
    <w:p>
      <w:pPr>
        <w:ind w:left="920" w:right="340" w:hanging="359"/>
        <w:spacing w:after="0" w:line="251" w:lineRule="auto"/>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08" w:lineRule="exact"/>
        <w:rPr>
          <w:rFonts w:ascii="Arial" w:cs="Arial" w:eastAsia="Arial" w:hAnsi="Arial"/>
          <w:sz w:val="14"/>
          <w:szCs w:val="14"/>
          <w:color w:val="auto"/>
        </w:rPr>
      </w:pPr>
    </w:p>
    <w:p>
      <w:pPr>
        <w:ind w:left="920" w:right="200" w:hanging="359"/>
        <w:spacing w:after="0" w:line="264" w:lineRule="auto"/>
        <w:tabs>
          <w:tab w:leader="none" w:pos="9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100" w:lineRule="exact"/>
        <w:rPr>
          <w:rFonts w:ascii="Arial" w:cs="Arial" w:eastAsia="Arial" w:hAnsi="Arial"/>
          <w:sz w:val="13"/>
          <w:szCs w:val="13"/>
          <w:color w:val="auto"/>
        </w:rPr>
      </w:pPr>
    </w:p>
    <w:p>
      <w:pPr>
        <w:ind w:left="920" w:right="380" w:hanging="359"/>
        <w:spacing w:after="0" w:line="253" w:lineRule="auto"/>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they may have difficulty accessing the capital markets to meet future capital needs, which may limit their ability to grow or to refinance their outstanding indebtedness upon maturity.</w:t>
      </w:r>
    </w:p>
    <w:p>
      <w:pPr>
        <w:spacing w:after="0" w:line="106"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9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17"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13"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9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136"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3"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123" w:lineRule="exact"/>
        <w:rPr>
          <w:sz w:val="20"/>
          <w:szCs w:val="20"/>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36"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116"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0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right="400"/>
        <w:spacing w:after="0" w:line="335"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47"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 and our portfolio companies may be highly leveraged.</w:t>
      </w:r>
    </w:p>
    <w:p>
      <w:pPr>
        <w:spacing w:after="0" w:line="136"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1"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investments in distressed debt may not produce income and may require us to bear large expenses in order to protect and recover our investment.</w:t>
      </w:r>
    </w:p>
    <w:p>
      <w:pPr>
        <w:spacing w:after="0" w:line="136"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123"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9"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34"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123"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17" w:lineRule="exact"/>
        <w:rPr>
          <w:sz w:val="20"/>
          <w:szCs w:val="20"/>
          <w:color w:val="auto"/>
        </w:rPr>
      </w:pPr>
    </w:p>
    <w:p>
      <w:pPr>
        <w:ind w:right="80" w:firstLine="438"/>
        <w:spacing w:after="0" w:line="228"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123" w:lineRule="exact"/>
        <w:rPr>
          <w:sz w:val="20"/>
          <w:szCs w:val="20"/>
          <w:color w:val="auto"/>
        </w:rPr>
      </w:pPr>
    </w:p>
    <w:p>
      <w:pPr>
        <w:ind w:right="20" w:firstLine="438"/>
        <w:spacing w:after="0" w:line="277"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40"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102"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15"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18"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136"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123"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136"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i w:val="1"/>
          <w:iCs w:val="1"/>
          <w:color w:val="auto"/>
        </w:rPr>
        <w:t>Our shares may trade at discounts from NAV or at premiums that are unsustainable over the long term.</w:t>
      </w:r>
    </w:p>
    <w:p>
      <w:pPr>
        <w:spacing w:after="0" w:line="12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closed on The Nasdaq Global Select Market at $11.60 and $13.15 on September 30, 2019 and 2018, respectively. Our NAV per share was $12.97 and $13.82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136"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93" w:lineRule="exact"/>
        <w:rPr>
          <w:sz w:val="20"/>
          <w:szCs w:val="20"/>
          <w:color w:val="auto"/>
        </w:rPr>
      </w:pPr>
    </w:p>
    <w:p>
      <w:pPr>
        <w:ind w:left="920" w:right="60" w:hanging="359"/>
        <w:spacing w:after="0" w:line="253" w:lineRule="auto"/>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any loss of our BDC or RIC status;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changes in prevailing interest rates;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general national and international economic trends and other external factors;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general price and volume fluctuations in the stock markets, including as a result of short sales;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13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common stockholders may receive our stock as distributions in which case they may be required to pay taxes in excess of the cash they receive.</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123"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The Nasdaq Stock Market LLC and the clearing house guidelines of the TASE.</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48"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9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16"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auto"/>
        </w:rPr>
        <w:t>RISKS RELATING TO OUR 2023 NOTES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2023 Notes are unsecured and therefore are effectively subordinated to any secured indebtedness we have currently incurred or may incur in the future.</w:t>
      </w:r>
    </w:p>
    <w:p>
      <w:pPr>
        <w:spacing w:after="0" w:line="136"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The 2023 Notes are not secured by any of our assets or any of the assets of our subsidiaries. As a result, the 2023 Notes are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2023 Notes. As of September 30, 2019, we had $265.3 million outstanding under the Credit Facility. The Credit Facility is secured by substantially all of the assets of Funding I, and the indebtedness under the Credit Facility is therefore effectively senior in right of payment to the 2023 Notes to the extent of the value of such assets.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2023 Notes are structurally subordinated to the indebtedness and other liabilities of our subsidiaries.</w:t>
      </w:r>
    </w:p>
    <w:p>
      <w:pPr>
        <w:spacing w:after="0" w:line="123"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The 2023 Notes are obligations exclusively of PennantPark Floating Rate Capital Ltd. and not of any of our subsidiaries. None of our subsidiaries is or acts as a guarantor of the 2023 Notes and the 2023 Notes are not required to be guaranteed by any subsidiaries we may acquire or create in the future.</w:t>
      </w:r>
    </w:p>
    <w:p>
      <w:pPr>
        <w:spacing w:after="0" w:line="10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2023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2023 Notes are structurally subordinated to all indebtedness and other liabilities (including trade payables) of our subsidiaries and any subsidiaries that we may in the future acquire or establish as financing vehicles or otherwise.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2023 Notes are linked to the U.S. Dollar and therefore holders of the 2023 Notes are subject to currency risk.</w:t>
      </w:r>
    </w:p>
    <w:p>
      <w:pPr>
        <w:spacing w:after="0" w:line="123"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Payments of principal and interest under the 2023 Notes will be adjusted for increases or decreases in the representative exchange rate of the U.S. Dollar to the New Israeli Shekel, or NIS, from the time of the public offering of the 2023 Notes. Accordingly, if such exchange rate declines, the rate of interest holders of the 2023 Notes receive in NIS terms effectively will be lower than the stated interest rate of the 2023 Notes and they will be entitled to receive fewer NIS upon repayment of the 2023 Notes than the par value thereof.</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an active trading market does not develop for the 2023 Notes holders of the 2023 Notes may not be able to sell them.</w:t>
      </w:r>
    </w:p>
    <w:p>
      <w:pPr>
        <w:spacing w:after="0" w:line="13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The 2023 Notes are a new issue of debt securities, and they may trade a discount to their initial offering price depending on prevailing interest rates, foreign currency exchange rates, the market for similar securities, our credit ratings, our financial condition or other relevant factors. We cannot assure holders of the 2023 Notes that a liquid trading market will develop for the 2023 Notes, that they will be able to sell their 2023 Notes at a particular time or that the price they receive when they sell will be favorable. To the extent an active trading market does not develop, the liquidity and trading price for the 2023 Notes may be harmed. Accordingly, investors may be required to bear the financial risk of an investment in the 2023 Notes for an indefinite period of time.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the 2023 Notes may fluctuate.</w:t>
      </w:r>
    </w:p>
    <w:p>
      <w:pPr>
        <w:spacing w:after="0" w:line="136"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If an active trading market for the 2023 Notes does develop on the TASE, the 2023 Notes may trade at prices lower than the offering price. The trading price of the 2023 Notes depends on many factors, including:</w:t>
      </w:r>
    </w:p>
    <w:p>
      <w:pPr>
        <w:spacing w:after="0" w:line="106" w:lineRule="exact"/>
        <w:rPr>
          <w:sz w:val="20"/>
          <w:szCs w:val="20"/>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prevailing interest rates;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prevailing exchange rate of the U.S. Dollar to the NIS;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market for similar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general political, economic and financial market conditions in Israel and globally;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issuance of debt or preferred equity securities;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financial condition, results of operations and prospects.</w:t>
      </w:r>
    </w:p>
    <w:p>
      <w:pPr>
        <w:spacing w:after="0" w:line="136"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In addition, a downgrade, suspension or withdrawal of the credit rating assigned by a rating agency to us or the 2023 Notes, if any, or change in the debt markets could cause the liquidity or market value of the 2023 Notes to decline significantly.</w:t>
      </w:r>
    </w:p>
    <w:p>
      <w:pPr>
        <w:spacing w:after="0" w:line="93"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Our credit ratings are an assessment by rating agencies of our ability to pay our debts when due. Consequently, real or anticipated changes in our credit ratings will generally affect the market value of the 2023 Notes. These credit ratings may not reflect the potential impact of risks relating to the structure or marketing of the 2023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2023 Notes of any changes in our credit ratings. There can be no assurance that our credit ratings will remain for any given period of time or that they will not be lowered or withdrawn entirely if in the judgment of the rating agency future circumstances relating to the basis of our credit ratings, such as adverse changes in our company, so warrant. In addition, the interest rate payable under the 2023 Notes will increase in the event of certain ratings declines or if a rating agency ceases to rate the 2023 Notes for more than 21 days until such declines are reversed and/or the 2023 Notes are again rated by a rating agency.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deed of trust under which the 2023 Notes were issued contains limited protection for holders of the 2023 Notes.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The deed of trust under which the 2023 Notes were issued offers limited protection to holders of the 2023 Notes. The terms of the deed of trust and the 2023 Notes do not restrict our or any of our subsidiaries’ ability to engage in, or otherwise be a party to, a variety of corporate transactions, circumstances or events that could have an adverse impact on each holder’s investment in the 2023 Notes. In particular, subject to the satisfaction of certain financial covenants, the terms of the deed of trust and the 2023 Notes will not place any restrictions on our or our subsidiaries’ ability to:</w:t>
      </w:r>
    </w:p>
    <w:p>
      <w:pPr>
        <w:spacing w:after="0" w:line="104" w:lineRule="exact"/>
        <w:rPr>
          <w:sz w:val="20"/>
          <w:szCs w:val="20"/>
          <w:color w:val="auto"/>
        </w:rPr>
      </w:pPr>
    </w:p>
    <w:p>
      <w:pPr>
        <w:ind w:left="920" w:right="60" w:hanging="359"/>
        <w:spacing w:after="0" w:line="248" w:lineRule="auto"/>
        <w:tabs>
          <w:tab w:leader="none" w:pos="9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issue securities or otherwise incur additional indebtedness or other obligations, including (1) any indebtedness or other obligations that would be equal in right of payment to the 2023 Notes, (2) any indebtedness or other obligations that would be secured and therefore rank effectively senior in right of payment to the 2023 Notes to the extent of the values of the assets securing such debt, (3) indebtedness of ours that is guaranteed by one or more of our subsidiaries and which therefore would rank structurally senior to the 2023 Notes and (4) securities, indebtedness or other obligations issued or incurred by our subsidiaries that would be senior in right of payment to our equity interests in our subsidiaries and therefore would rank structurally senior in right of payment to the 2023 Notes with respect to the assets of our subsidiaries, in each case other than an incurrence of indebtedness or other obligation that would cause a violation of Section 18(a)(1)(A) as modified by Section 61(a)(1)-(2) of the 1940 Act or any successor provisions;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1" w:name="page32"/>
    <w:bookmarkEnd w:id="31"/>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pay dividends on, or purchase or redeem or make any payments in respect of, capital stock or other securities ranking junior in right of payment to the 2023 Notes;</w:t>
      </w:r>
    </w:p>
    <w:p>
      <w:pPr>
        <w:spacing w:after="0" w:line="135"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sell assets;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enter into sale and leaseback transactions;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make investments;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create restrictions on the payment of dividends or other amounts to us from our subsidiaries.</w:t>
      </w:r>
    </w:p>
    <w:p>
      <w:pPr>
        <w:spacing w:after="0" w:line="136" w:lineRule="exact"/>
        <w:rPr>
          <w:sz w:val="20"/>
          <w:szCs w:val="20"/>
          <w:color w:val="auto"/>
        </w:rPr>
      </w:pPr>
    </w:p>
    <w:p>
      <w:pPr>
        <w:ind w:right="60" w:firstLine="438"/>
        <w:spacing w:after="0" w:line="290" w:lineRule="auto"/>
        <w:rPr>
          <w:sz w:val="20"/>
          <w:szCs w:val="20"/>
          <w:color w:val="auto"/>
        </w:rPr>
      </w:pPr>
      <w:r>
        <w:rPr>
          <w:rFonts w:ascii="Arial" w:cs="Arial" w:eastAsia="Arial" w:hAnsi="Arial"/>
          <w:sz w:val="13"/>
          <w:szCs w:val="13"/>
          <w:color w:val="auto"/>
        </w:rPr>
        <w:t>Our ability to recapitalize, incur additional debt and take a number of other actions that are not limited by the terms of the 2023 Notes may have important consequences for holders of the 2023 Notes, including making it more difficult for us to satisfy our obligations with respect to the 2023 Notes or negatively affecting the trading value of the 2023 Notes.</w:t>
      </w:r>
    </w:p>
    <w:p>
      <w:pPr>
        <w:spacing w:after="0" w:line="71"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Other debt we issue or incur in the future could contain more protections for its holders than the deed of trust and the 2023 Notes, including additional covenants and events of default. The issuance or incurrence of any such debt with incremental protections could affect the market for and trading levels and prices of the 2023 Notes.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optional redemption provision may materially adversely affect the return on the 2023 Notes.</w:t>
      </w:r>
    </w:p>
    <w:p>
      <w:pPr>
        <w:spacing w:after="0" w:line="136" w:lineRule="exact"/>
        <w:rPr>
          <w:sz w:val="20"/>
          <w:szCs w:val="20"/>
          <w:color w:val="auto"/>
        </w:rPr>
      </w:pPr>
    </w:p>
    <w:p>
      <w:pPr>
        <w:ind w:right="500" w:firstLine="438"/>
        <w:spacing w:after="0" w:line="238" w:lineRule="auto"/>
        <w:rPr>
          <w:sz w:val="20"/>
          <w:szCs w:val="20"/>
          <w:color w:val="auto"/>
        </w:rPr>
      </w:pPr>
      <w:r>
        <w:rPr>
          <w:rFonts w:ascii="Arial" w:cs="Arial" w:eastAsia="Arial" w:hAnsi="Arial"/>
          <w:sz w:val="14"/>
          <w:szCs w:val="14"/>
          <w:color w:val="auto"/>
        </w:rPr>
        <w:t>The 2023 Notes are redeemable in whole or in part upon certain conditions at any time or from time to time at our option. We may choose to redeem the 2023 Notes at times when prevailing interest rates are lower than the interest rate paid on the 2023 Notes. In this circumstance, holders of the 2023 Notes may not be able to reinvest the redemption proceeds in a comparable security at an effective interest rate as high as the 2023 Notes being redeemed.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default on our obligations to pay our other indebtedness, we may not be able to make payments on the 2023 Notes.</w:t>
      </w:r>
    </w:p>
    <w:p>
      <w:pPr>
        <w:spacing w:after="0" w:line="136" w:lineRule="exact"/>
        <w:rPr>
          <w:sz w:val="20"/>
          <w:szCs w:val="20"/>
          <w:color w:val="auto"/>
        </w:rPr>
      </w:pPr>
    </w:p>
    <w:p>
      <w:pPr>
        <w:ind w:right="60" w:firstLine="438"/>
        <w:spacing w:after="0" w:line="225" w:lineRule="auto"/>
        <w:rPr>
          <w:sz w:val="20"/>
          <w:szCs w:val="20"/>
          <w:color w:val="auto"/>
        </w:rPr>
      </w:pPr>
      <w:r>
        <w:rPr>
          <w:rFonts w:ascii="Arial" w:cs="Arial" w:eastAsia="Arial" w:hAnsi="Arial"/>
          <w:sz w:val="14"/>
          <w:szCs w:val="14"/>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the 2023 Notes and substantially decrease the market value of the 2023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have, customary cross-default provisions, if the indebtedness thereunder or under any future credit facility is accelerated, we may be unable to repay or finance the amounts due.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FATCA withholding may apply to payments to certain foreign entities.</w:t>
      </w:r>
    </w:p>
    <w:p>
      <w:pPr>
        <w:spacing w:after="0" w:line="123"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Payments made under the 2023 Notes to a foreign financial institution or non-financial foreign entity (including such an institution or entity acting as an intermediary) may be subject to a U.S. withholding tax of 30% under the Foreign Account Tax Compliance Act (commonly known as “FATCA”) provisions of the Code. This U.S. withholding tax may apply to certain payments of interest on the 2023 Notes, unless the foreign financial institution or non-financial foreign entity complies with certain information reporting, withholding, identification, certification and related requirements imposed by FATCA. Depending upon the status of a holder and the status of an intermediary through which any notes are held, the holder could be subject to this 30% U.S. withholding tax in respect of any interest paid on the notes. Holders of the 2023 Notes should consult their own tax advisors regarding FATCA and how it may affect their investment in the notes.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It may be difficult to obtain and enforce civil judgments against us and our directors, officers and experts.</w:t>
      </w:r>
    </w:p>
    <w:p>
      <w:pPr>
        <w:spacing w:after="0" w:line="136"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We are a Maryland corporation and our principal executive offices are located in New York City. All of our assets are located outside of Israel. As a result, even though the deed of trust for the 2023 Notes is governed by Israeli law and any disputes thereunder are stipulated to be adjudicated in Israeli courts, holders of the 2023 Notes may have difficulty enforcing in Israel judgments they may obtain in an Israeli court against us.</w:t>
      </w:r>
    </w:p>
    <w:p>
      <w:pPr>
        <w:spacing w:after="0" w:line="102"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U.S. courts may refuse to hear a securities law claim of a non-U.S. investor who purchased our securities on the TASE. In addition, since our directors, officers and experts are located outside of Israel, it may be difficult serving legal process upon any of these persons. It also may be difficult enforcing judgments holders of the 2023 Notes may obtain in Israeli courts against us or those persons in any action, including actions based upon the civil liability provisions of U.S. securities laws.</w:t>
      </w:r>
    </w:p>
    <w:p>
      <w:pPr>
        <w:spacing w:after="0" w:line="115"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It may also be difficult to assert U.S. securities laws claims in original actions instituted in Israel. Israeli courts may refuse to hear a claim based on an alleged violation of U.S. securities laws reasoning that Israel is not the most appropriate forum to bring such a claim. In particular, the Israeli Securities Law expressly authorizes Israeli courts to stay a securities lawsuit against a dual-listed company while a lawsuit on similar grounds is being adjudicated in a non-Israeli court.</w:t>
      </w:r>
    </w:p>
    <w:p>
      <w:pPr>
        <w:spacing w:after="0" w:line="115"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Subject to specified time limitations and legal procedures, under the rules of private international law currently prevailing in Israel, Israeli courts may enforce a U.S. judgment in a civil matter, including a judgment based upon the civil liability provisions of the U.S. securities laws, as well as a monetary or compensatory judgment in a non-civil matter, provided that the following key conditions are met:</w:t>
      </w:r>
    </w:p>
    <w:p>
      <w:pPr>
        <w:spacing w:after="0" w:line="102" w:lineRule="exact"/>
        <w:rPr>
          <w:sz w:val="20"/>
          <w:szCs w:val="20"/>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subject to limited exceptions, the judgment is final and non-appealable;</w:t>
      </w:r>
    </w:p>
    <w:p>
      <w:pPr>
        <w:spacing w:after="0" w:line="149"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judgment was given by a court competent under the laws of the state of the court and is otherwise enforceable in such state;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judgment was rendered by a court competent under the rules of private international law applicable in Israel;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laws of the state in which the judgment was given provide for the enforcement of judgments of Israeli courts;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adequate service of process has been effected and the defendant has had a reasonable opportunity to present his arguments and evidence;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920" w:hanging="359"/>
        <w:spacing w:after="0"/>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judgment and its enforcement are not contrary to the law, public policy, security or sovereignty of the State of Israel;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judgment was not obtained by fraud and does not conflict with any other valid judgment in the same matter between the same parties;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 action between the same parties in the same matter was not pending in any Israeli court at the time the lawsuit was instituted in the U.S. court.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DEBT SECURITIZATION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certain risks as a result of our interests in connection with the Debt Securitization and our equity interest in the Securitization Issuers.</w:t>
      </w:r>
    </w:p>
    <w:p>
      <w:pPr>
        <w:spacing w:after="0" w:line="123"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On September 19, 2019, in connection with the Debt Securitization and the offering of the 2031 Asset-Backed Debt by the Securitization Issuers, we sold and/or contributed to the Depositor certain senior loans made to certain of our portfolio companies, or the Securitization Loans, which the Depositor in turn sold and/or contributed to the Securitization Issuer in exchange for 100% of the Preferred Shares of the Securitization Issuer, 100% of the Class D Secured Deferrable Floating Rate Notes issued by the Securitization Issuer, and a portion of the net cash proceeds received from the sale of the 2031 Asset-Backed Debt. Following these transfers, the Securitization Issuer, and not the Depositor or us, held all of the ownership interest in the Securitization Loans.</w:t>
      </w:r>
    </w:p>
    <w:p>
      <w:pPr>
        <w:spacing w:after="0" w:line="11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As a result of the Debt Securitization, we hold, indirectly through the Depositor, 100% of the equity interests in the Securitization Issuers. As a result, we consolidate the financial statements of the Depositor and the Securitization Issuers, as well as our other subsidiaries, in our consolidated financial statements. Because each of the Depositor and the Securitization Issuer is disregarded as an entity separate from its owners for U.S. federal income tax purposes, the sale or contribution by us to the Depositor, and by the Depositor to the Securitization Issuer, as applicable, did not constitute a taxable event for U.S. federal income tax purposes. If the IRS were to take a contrary position, there could be a material adverse effect on our business, financial condition, results of operations or cash flows.</w:t>
      </w:r>
    </w:p>
    <w:p>
      <w:pPr>
        <w:spacing w:after="0" w:line="116" w:lineRule="exact"/>
        <w:rPr>
          <w:sz w:val="20"/>
          <w:szCs w:val="20"/>
          <w:color w:val="auto"/>
        </w:rPr>
      </w:pPr>
    </w:p>
    <w:p>
      <w:pPr>
        <w:ind w:firstLine="438"/>
        <w:spacing w:after="0" w:line="226" w:lineRule="auto"/>
        <w:rPr>
          <w:sz w:val="20"/>
          <w:szCs w:val="20"/>
          <w:color w:val="auto"/>
        </w:rPr>
      </w:pPr>
      <w:r>
        <w:rPr>
          <w:rFonts w:ascii="Arial" w:cs="Arial" w:eastAsia="Arial" w:hAnsi="Arial"/>
          <w:sz w:val="14"/>
          <w:szCs w:val="14"/>
          <w:color w:val="auto"/>
        </w:rPr>
        <w:t>Further, a failure of the Securitization Issuer to be treated as a disregarded entity for U.S. federal income tax purposes would constitute an event of default pursuant to the applicable indenture under the Debt Securitization, upon which the trustee under the Debt Securitization, or the Securitization Trustee, may and will at the direction of a majority of the holders of the 2031 Asset-Backed Debt, or the Securitization Debtholders, declare the 2031 Asset-Backed Debt to be immediately due and payable and exercise remedies under the indenture, including (i) to institute proceedings for the collection of all amounts then payable on the 2031 Asset-Backed Debt, or under the indenture, enforce any judgment obtained, and collect from the Securitization Issuers and any other obligor upon the 2031 Asset-Backed Debt monies adjudged due; (ii) institute proceedings from time to time for the complete or partial foreclosure of the indenture with respect to the property of the Securitization Issuers; (iii) exercise any remedies as a secured party under the relevant Uniform Commercial Code and take other appropriate action under applicable law to protect and enforce the rights and remedies of the Securitization Trustee and the Securitization Debtholders; or (iv) sell the property of the Securitization Issuers or any portion thereof or rights or interest therein at one or more public or private sales called and conducted in any matter permitted by law. Any such exercise of remedies could have a material adverse effect on our business, financial condition, results of operations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event of default in connection with the Debt Securitization could give rise to a cross-default under our other material indebtedness.</w:t>
      </w:r>
    </w:p>
    <w:p>
      <w:pPr>
        <w:spacing w:after="0" w:line="136" w:lineRule="exact"/>
        <w:rPr>
          <w:sz w:val="20"/>
          <w:szCs w:val="20"/>
          <w:color w:val="auto"/>
        </w:rPr>
      </w:pPr>
    </w:p>
    <w:p>
      <w:pPr>
        <w:jc w:val="both"/>
        <w:ind w:right="320" w:firstLine="438"/>
        <w:spacing w:after="0" w:line="233" w:lineRule="auto"/>
        <w:rPr>
          <w:sz w:val="20"/>
          <w:szCs w:val="20"/>
          <w:color w:val="auto"/>
        </w:rPr>
      </w:pPr>
      <w:r>
        <w:rPr>
          <w:rFonts w:ascii="Arial" w:cs="Arial" w:eastAsia="Arial" w:hAnsi="Arial"/>
          <w:sz w:val="14"/>
          <w:szCs w:val="14"/>
          <w:color w:val="auto"/>
        </w:rPr>
        <w:t>The documents governing our other material indebtedness contain customary cross-default provisions that could be triggered if an event of default occurs in connection with the Debt Securitization. An event of default with respect to our other indebtedness could lead to the acceleration of such indebtedness and the exercise of other remedies as provided in the documents governing such other indebtedness. This could have a material adverse effect on our business, financial condition, results of operations and cash flows and may result in our inability to make distributions sufficient to maintain our ability to be subject to tax as a RIC.</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receive cash distributions in respect of our indirect ownership interests in the Securitization Issuers.</w:t>
      </w:r>
    </w:p>
    <w:p>
      <w:pPr>
        <w:spacing w:after="0" w:line="123" w:lineRule="exact"/>
        <w:rPr>
          <w:sz w:val="20"/>
          <w:szCs w:val="20"/>
          <w:color w:val="auto"/>
        </w:rPr>
      </w:pPr>
    </w:p>
    <w:p>
      <w:pPr>
        <w:ind w:right="20" w:firstLine="438"/>
        <w:spacing w:after="0" w:line="226" w:lineRule="auto"/>
        <w:rPr>
          <w:sz w:val="20"/>
          <w:szCs w:val="20"/>
          <w:color w:val="auto"/>
        </w:rPr>
      </w:pPr>
      <w:r>
        <w:rPr>
          <w:rFonts w:ascii="Arial" w:cs="Arial" w:eastAsia="Arial" w:hAnsi="Arial"/>
          <w:sz w:val="14"/>
          <w:szCs w:val="14"/>
          <w:color w:val="auto"/>
        </w:rPr>
        <w:t>Apart from fees payable to us in connection with our role as servicer of the Securitization Loans and the reimbursement of related amounts under the documents governing the Debt Securitization, we receive cash in connection with the Debt Securitization only to the extent that the Depositor receives payments in respect of its equity interests in the Securitization Issuers. The respective holders of the equity interests in the Securitization Issuers are the residual claimants on distributions, if any, made by the Securitization Issuers after the Securitization Debtholders and other claimants have been paid in full on each payment date or upon maturity of the 2031 Asset-Backed Debt, subject to the priority of payments under the documents governing the Debt Securitization. To the extent that the value of the Securitization Issuer’s portfolio of loans is reduced as a result of conditions in the credit markets (relevant in the event of a liquidation event), other macroeconomic factors, distressed or defaulted loans or the failure of individual portfolio companies to otherwise meet their obligations in respect of the loans, or for any other reason, the ability of the Securitization Issuers to make cash distributions in respect of the Depositor’s equity interests would be negatively affected and consequently, the value of the equity interests in the Securitization Issuers would also be reduced. In the event that we fail to receive cash indirectly from the Securitization Issuers, we could be unable to make distributions, if at all, in amounts sufficient to maintain our ability to be subject to tax as a RIC.</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interests of the Securitization Debtholders may not be aligned with our interests.</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The 2031 Asset-Backed Debt constitutes debt obligations ranking senior in right of payment to the rights of the holders of the equity interests in the Securitization Issuers, as residual claimants in respect of distributions, if any, made by the Securitization Issuers. As such, there are circumstances in which the interests of the Securitization Debtholders may not be aligned with the interests of holders of the equity interests in the Securitization Issuers. For example, under the terms of the documents governing the Debt Securitization, the Securitization Debtholders have the right to receive payments of principal and interest prior to holders of the equity interests.</w:t>
      </w:r>
    </w:p>
    <w:p>
      <w:pPr>
        <w:spacing w:after="0" w:line="104"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For as long as the 2031 Asset-Backed Debt remains outstanding, the respective Securitization Debtholders have the right to act in certain circumstances with respect to the Securitization Loans in ways that may benefit their interests but not the interests of the respective holders of the equity interests in the Securitization Issuers, including by exercising remedies under the documents governing the Debt Securitization.</w:t>
      </w:r>
    </w:p>
    <w:p>
      <w:pPr>
        <w:spacing w:after="0" w:line="115"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If an event of default occurs, the Securitization Debtholders will be entitled to determine the remedies to be exercised, subject to the terms of the documents governing the Debt Securitization. For example, upon the occurrence of an event of default with respect to the 2031 Asset-Backed Debt, the Securitization Trustee may and will at the direction of the holders of a majority of the applicable 2031 Asset-Backed Debt declare the principal, together with any accrued interest, of the debt to be immediately due and payable. This would have the effect of accelerating the principal on such debt, triggering a repayment obligation on the part of the Securitization Issuers. The 2031 Asset-Backed Debt then outstanding will be paid in full before any further payment or distribution on the equity interest is made. There can be no assurance that there will be sufficient funds through collections on the Securitization Loans or through the proceeds of the sale of the Securitization Loans in the event of a bankruptcy or insolvency to repay in full the obligations under the 2031 Asset-Backed Debt, or to make any distribution to holders of the equity interests in the Securitization Issuers.</w:t>
      </w:r>
    </w:p>
    <w:p>
      <w:pPr>
        <w:spacing w:after="0" w:line="117"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Remedies pursued by the Securitization Debtholders could be adverse to our interests as the indirect holder of the equity interests in the Securitization Issuers. The Securitization Debtholders have no obligation to consider any possible adverse effect on such other interests. Thus, there can be no assurance that any remedies pursued by the Securitization Debtholders will be consistent with the best interests of the Depositor or that we will receive, indirectly through the Depositor, any payments or distributions upon an acceleration of the 2031 Asset-Backed Debt. Any failure of the Securitization Issuers to make distributions in respect of the equity interests that we indirectly hold, whether as a result of an event of default and the acceleration of payments on the 2031 Asset-Backed Debt or otherwise, could have a material adverse effect on our business, financial condition, results of operations and cash flows and may result in our inability to make distributions sufficient to maintain our ability to be subject to tax as a RIC.</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i w:val="1"/>
          <w:iCs w:val="1"/>
          <w:color w:val="auto"/>
        </w:rPr>
        <w:t>We have certain repurchase obligations with respect to the Securitization Loans transferred in connection with the Debt Securitization.</w:t>
      </w:r>
    </w:p>
    <w:p>
      <w:pPr>
        <w:spacing w:after="0" w:line="123"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As part of each Debt Securitization, we entered into a master loan agreement under which we would be required to repurchase any Securitization Loan (or participation interest therein) which was sold to the Securitization Issuer in breach of certain customary representations and warranties made by us or by the Depositor with respect to such Securitization Loan or the legal structure of the applicable Debt Securitization. To the extent that there is a breach of such representations and warranties and we fail to satisfy any such repurchase obligation, the Securitization Trustee may, on behalf of the Securitization Issuer, bring an action against us to enforce these repurchase obligations.</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40"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As of September 30, 2019,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269" w:right="41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27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PRICE RANGE OF COMMON STOCK</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common stock is traded on The Nasdaq Global Select Market and the TASE under the symbol “PFLT.”</w:t>
      </w:r>
    </w:p>
    <w:p>
      <w:pPr>
        <w:spacing w:after="0" w:line="136" w:lineRule="exact"/>
        <w:rPr>
          <w:sz w:val="20"/>
          <w:szCs w:val="20"/>
          <w:color w:val="auto"/>
        </w:rPr>
      </w:pPr>
    </w:p>
    <w:p>
      <w:pPr>
        <w:ind w:right="200" w:firstLine="438"/>
        <w:spacing w:after="0" w:line="255"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$11.60 and $13.15 on September 30, 2019 and 2018, respectively. Our NAV per share was $12.97 and $13.82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20, 2019, we had 45 stockholders of record.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engage in any sales of unregistered securities during the year ended September 30, 2019.</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repurchase any of our common stock under our share repurchase plan during the year ended September 30, 2019.</w:t>
      </w:r>
    </w:p>
    <w:p>
      <w:pPr>
        <w:spacing w:after="0" w:line="132"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DISTRIBUTIONS</w:t>
      </w:r>
    </w:p>
    <w:p>
      <w:pPr>
        <w:spacing w:after="0" w:line="275"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17"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In January , a Form 1099-DIV will be sent to stockholders subject to information reporting that will state the amount and composition of distributions and provide information with respect to appropriate tax treatment of our distributions.</w:t>
      </w:r>
    </w:p>
    <w:p>
      <w:pPr>
        <w:spacing w:after="0" w:line="106"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tax characteristics of distributions declared, in accordance with Section 19(a) of the 1940 Act, during the years ended September 30, 2019 and 2018 from ordinary income (including short-term gains), if any, totaled $44.2 million and $42.8 million, or $1.14 and $1.14 per share, respectively, based on the weighted average shares outstanding for the respective periods. Additionally, for the year ended September 30, 2019 and 2018, we had long-term capital gain distributions of zero and $0.8 million, or zero and $0.02 per share, respectively, based on the weighted average shares outstanding.</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123" w:lineRule="exact"/>
        <w:rPr>
          <w:sz w:val="20"/>
          <w:szCs w:val="20"/>
          <w:color w:val="auto"/>
        </w:rPr>
      </w:pPr>
    </w:p>
    <w:p>
      <w:pPr>
        <w:ind w:firstLine="438"/>
        <w:spacing w:after="0" w:line="264" w:lineRule="auto"/>
        <w:rPr>
          <w:sz w:val="20"/>
          <w:szCs w:val="20"/>
          <w:color w:val="auto"/>
        </w:rPr>
      </w:pPr>
      <w:r>
        <w:rPr>
          <w:rFonts w:ascii="Arial" w:cs="Arial" w:eastAsia="Arial" w:hAnsi="Arial"/>
          <w:sz w:val="13"/>
          <w:szCs w:val="13"/>
          <w:color w:val="auto"/>
        </w:rPr>
        <w:t>This graph compares the return on our common stock with that of the Standard &amp; Poor’s 500 Stock Index and the Russell 2000 Financial Services Index, for the last five fiscal years. The graph assumes that, on September 30, 2014,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75565</wp:posOffset>
            </wp:positionV>
            <wp:extent cx="5915025" cy="4080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15025" cy="408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firstLine="438"/>
        <w:spacing w:after="0" w:line="290"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269" w:right="419" w:bottom="1440" w:gutter="0" w:footer="0" w:header="0"/>
        </w:sectPr>
      </w:pPr>
    </w:p>
    <w:bookmarkStart w:id="36" w:name="page37"/>
    <w:bookmarkEnd w:id="36"/>
    <w:p>
      <w:pPr>
        <w:spacing w:after="0"/>
        <w:tabs>
          <w:tab w:leader="none" w:pos="9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39"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We have derived the data below from our audited and unaudited financial data. The Consolidated Statements of Operations data, per share data and Consolidated Statements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September 30,</w:t>
            </w: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w w:val="96"/>
              </w:rPr>
              <w:t>2016</w:t>
            </w:r>
          </w:p>
        </w:tc>
        <w:tc>
          <w:tcPr>
            <w:tcW w:w="26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CFF"/>
            </w:tcBorders>
          </w:tcPr>
          <w:p>
            <w:pPr>
              <w:spacing w:after="0"/>
              <w:rPr>
                <w:sz w:val="13"/>
                <w:szCs w:val="13"/>
                <w:color w:val="auto"/>
              </w:rPr>
            </w:pPr>
          </w:p>
        </w:tc>
      </w:tr>
      <w:tr>
        <w:trPr>
          <w:trHeight w:val="156"/>
        </w:trPr>
        <w:tc>
          <w:tcPr>
            <w:tcW w:w="50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2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Total investment income</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92,947</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72,205</w:t>
            </w: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59,497</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6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46,301</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30,355</w:t>
            </w:r>
          </w:p>
        </w:tc>
        <w:tc>
          <w:tcPr>
            <w:tcW w:w="18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Total expenses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47,485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41,241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26,052</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18,965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12,695</w:t>
            </w:r>
          </w:p>
        </w:tc>
        <w:tc>
          <w:tcPr>
            <w:tcW w:w="18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Net investment income</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45,462</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30,964</w:t>
            </w: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33,445</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27,336</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17,660</w:t>
            </w:r>
          </w:p>
        </w:tc>
        <w:tc>
          <w:tcPr>
            <w:tcW w:w="18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Net realized and unrealized gain (loss)</w:t>
            </w:r>
          </w:p>
        </w:tc>
        <w:tc>
          <w:tcPr>
            <w:tcW w:w="2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(34,046)</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2,526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2,880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6,153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(5,156)</w:t>
            </w: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11,416</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33,490</w:t>
            </w: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36,325</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33,489</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12,504</w:t>
            </w:r>
          </w:p>
        </w:tc>
        <w:tc>
          <w:tcPr>
            <w:tcW w:w="18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b w:val="1"/>
                <w:bCs w:val="1"/>
                <w:color w:val="auto"/>
              </w:rPr>
              <w:t>Per share data:</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Net asset value</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12.97</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13.82</w:t>
            </w: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14.10</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14.06</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13.95</w:t>
            </w:r>
          </w:p>
        </w:tc>
        <w:tc>
          <w:tcPr>
            <w:tcW w:w="18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0.81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w:t>
            </w:r>
          </w:p>
        </w:tc>
        <w:tc>
          <w:tcPr>
            <w:tcW w:w="18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22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(0.88)</w:t>
            </w: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0.06</w:t>
            </w: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0.10</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0.23</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(0.31)</w:t>
            </w: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0.87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0.77</w:t>
            </w:r>
          </w:p>
        </w:tc>
        <w:tc>
          <w:tcPr>
            <w:tcW w:w="18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Distributions declared </w:t>
            </w:r>
            <w:r>
              <w:rPr>
                <w:rFonts w:ascii="Arial" w:cs="Arial" w:eastAsia="Arial" w:hAnsi="Arial"/>
                <w:sz w:val="12"/>
                <w:szCs w:val="12"/>
                <w:color w:val="auto"/>
              </w:rPr>
              <w:t>(1), (2)</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w:t>
            </w: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w:t>
            </w:r>
          </w:p>
        </w:tc>
        <w:tc>
          <w:tcPr>
            <w:tcW w:w="18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b w:val="1"/>
                <w:bCs w:val="1"/>
                <w:color w:val="auto"/>
              </w:rPr>
              <w:t>Consolidated Statements of Assets and Liabilities data:</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Total assets</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1,152,376</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1,076,443</w:t>
            </w: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747,345</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631,420</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416,120</w:t>
            </w:r>
          </w:p>
        </w:tc>
        <w:tc>
          <w:tcPr>
            <w:tcW w:w="18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Total investment portfolio</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1,081,707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1,000,613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710,499</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598,888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391,312</w:t>
            </w:r>
          </w:p>
        </w:tc>
        <w:tc>
          <w:tcPr>
            <w:tcW w:w="18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Debt payable </w:t>
            </w:r>
            <w:r>
              <w:rPr>
                <w:rFonts w:ascii="Arial" w:cs="Arial" w:eastAsia="Arial" w:hAnsi="Arial"/>
                <w:sz w:val="12"/>
                <w:szCs w:val="12"/>
                <w:color w:val="auto"/>
              </w:rPr>
              <w:t>(3)</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623,551</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467,632</w:t>
            </w: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256,858</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232,389</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29,600</w:t>
            </w:r>
          </w:p>
        </w:tc>
        <w:tc>
          <w:tcPr>
            <w:tcW w:w="18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Total net asset value</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503,058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535,842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457,906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375,907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372,890</w:t>
            </w:r>
          </w:p>
        </w:tc>
        <w:tc>
          <w:tcPr>
            <w:tcW w:w="180" w:type="dxa"/>
            <w:vAlign w:val="bottom"/>
          </w:tcPr>
          <w:p>
            <w:pPr>
              <w:spacing w:after="0"/>
              <w:rPr>
                <w:sz w:val="14"/>
                <w:szCs w:val="14"/>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Other data:</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(4)</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(1.29)%</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18.71%</w:t>
            </w:r>
          </w:p>
        </w:tc>
        <w:tc>
          <w:tcPr>
            <w:tcW w:w="3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21.77%</w:t>
            </w:r>
          </w:p>
        </w:tc>
        <w:tc>
          <w:tcPr>
            <w:tcW w:w="20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(6.01)%</w:t>
            </w: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Number of portfolio companies </w:t>
            </w:r>
            <w:r>
              <w:rPr>
                <w:rFonts w:ascii="Arial" w:cs="Arial" w:eastAsia="Arial" w:hAnsi="Arial"/>
                <w:sz w:val="12"/>
                <w:szCs w:val="12"/>
                <w:color w:val="auto"/>
              </w:rPr>
              <w:t>(5)</w:t>
            </w: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w:t>
            </w: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w:t>
            </w:r>
          </w:p>
        </w:tc>
        <w:tc>
          <w:tcPr>
            <w:tcW w:w="2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w:t>
            </w:r>
          </w:p>
        </w:tc>
        <w:tc>
          <w:tcPr>
            <w:tcW w:w="180" w:type="dxa"/>
            <w:vAlign w:val="bottom"/>
            <w:shd w:val="clear" w:color="auto" w:fill="CCECFF"/>
          </w:tcPr>
          <w:p>
            <w:pPr>
              <w:spacing w:after="0"/>
              <w:rPr>
                <w:sz w:val="14"/>
                <w:szCs w:val="14"/>
                <w:color w:val="auto"/>
              </w:rPr>
            </w:pPr>
          </w:p>
        </w:tc>
      </w:tr>
      <w:tr>
        <w:trPr>
          <w:trHeight w:val="182"/>
        </w:trPr>
        <w:tc>
          <w:tcPr>
            <w:tcW w:w="502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12"/>
                <w:szCs w:val="12"/>
                <w:color w:val="auto"/>
              </w:rPr>
              <w:t>(5)</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8.7%</w:t>
            </w:r>
          </w:p>
        </w:tc>
        <w:tc>
          <w:tcPr>
            <w:tcW w:w="2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8.8%</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8.0%</w:t>
            </w:r>
          </w:p>
        </w:tc>
        <w:tc>
          <w:tcPr>
            <w:tcW w:w="3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7.8%</w:t>
            </w:r>
          </w:p>
        </w:tc>
        <w:tc>
          <w:tcPr>
            <w:tcW w:w="20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3455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43"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00" w:hanging="372"/>
        <w:spacing w:after="0" w:line="221" w:lineRule="auto"/>
        <w:tabs>
          <w:tab w:leader="none" w:pos="380" w:val="left"/>
        </w:tabs>
        <w:numPr>
          <w:ilvl w:val="0"/>
          <w:numId w:val="45"/>
        </w:numPr>
        <w:rPr>
          <w:rFonts w:ascii="Arial" w:cs="Arial" w:eastAsia="Arial" w:hAnsi="Arial"/>
          <w:sz w:val="12"/>
          <w:szCs w:val="12"/>
          <w:color w:val="auto"/>
        </w:rPr>
      </w:pPr>
      <w:r>
        <w:rPr>
          <w:rFonts w:ascii="Arial" w:cs="Arial" w:eastAsia="Arial" w:hAnsi="Arial"/>
          <w:sz w:val="14"/>
          <w:szCs w:val="14"/>
          <w:color w:val="auto"/>
        </w:rPr>
        <w:t>The tax status of our distributions is calculated in accordance with income tax regulations, which may differ from amounts determined under GAAP and is reported on Form 1099-DIV each calendar year to stockholders subject to such information reporting.</w:t>
      </w:r>
    </w:p>
    <w:p>
      <w:pPr>
        <w:ind w:left="380" w:hanging="372"/>
        <w:spacing w:after="0" w:line="221" w:lineRule="auto"/>
        <w:tabs>
          <w:tab w:leader="none" w:pos="380" w:val="left"/>
        </w:tabs>
        <w:numPr>
          <w:ilvl w:val="0"/>
          <w:numId w:val="45"/>
        </w:numPr>
        <w:rPr>
          <w:rFonts w:ascii="Arial" w:cs="Arial" w:eastAsia="Arial" w:hAnsi="Arial"/>
          <w:sz w:val="12"/>
          <w:szCs w:val="12"/>
          <w:color w:val="auto"/>
        </w:rPr>
      </w:pPr>
      <w:r>
        <w:rPr>
          <w:rFonts w:ascii="Arial" w:cs="Arial" w:eastAsia="Arial" w:hAnsi="Arial"/>
          <w:sz w:val="14"/>
          <w:szCs w:val="14"/>
          <w:color w:val="auto"/>
        </w:rPr>
        <w:t>At fair value, excluding the 2031 Asset-Backed Debt.</w:t>
      </w:r>
    </w:p>
    <w:p>
      <w:pPr>
        <w:ind w:left="380" w:right="360" w:hanging="372"/>
        <w:spacing w:after="0" w:line="221" w:lineRule="auto"/>
        <w:tabs>
          <w:tab w:leader="none" w:pos="380" w:val="left"/>
        </w:tabs>
        <w:numPr>
          <w:ilvl w:val="0"/>
          <w:numId w:val="45"/>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 which was terminated on November 22, 2017.</w:t>
      </w:r>
    </w:p>
    <w:p>
      <w:pPr>
        <w:ind w:left="380" w:hanging="372"/>
        <w:spacing w:after="0"/>
        <w:tabs>
          <w:tab w:leader="none" w:pos="380" w:val="left"/>
        </w:tabs>
        <w:numPr>
          <w:ilvl w:val="0"/>
          <w:numId w:val="45"/>
        </w:numPr>
        <w:rPr>
          <w:rFonts w:ascii="Arial" w:cs="Arial" w:eastAsia="Arial" w:hAnsi="Arial"/>
          <w:sz w:val="12"/>
          <w:szCs w:val="12"/>
          <w:color w:val="auto"/>
        </w:rPr>
      </w:pPr>
      <w:r>
        <w:rPr>
          <w:rFonts w:ascii="Arial" w:cs="Arial" w:eastAsia="Arial" w:hAnsi="Arial"/>
          <w:sz w:val="14"/>
          <w:szCs w:val="14"/>
          <w:color w:val="auto"/>
        </w:rPr>
        <w:t>Unaudited, at year end.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tabs>
          <w:tab w:leader="none" w:pos="9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2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impact of Brexit and other world economic and political issues.</w:t>
      </w:r>
    </w:p>
    <w:p>
      <w:pPr>
        <w:spacing w:after="0" w:line="136"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15" w:lineRule="exact"/>
        <w:rPr>
          <w:sz w:val="20"/>
          <w:szCs w:val="20"/>
          <w:color w:val="auto"/>
        </w:rPr>
      </w:pPr>
    </w:p>
    <w:p>
      <w:pPr>
        <w:jc w:val="both"/>
        <w:ind w:right="2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04"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4" w:lineRule="exact"/>
        <w:rPr>
          <w:sz w:val="20"/>
          <w:szCs w:val="20"/>
          <w:color w:val="auto"/>
        </w:rPr>
      </w:pPr>
    </w:p>
    <w:p>
      <w:pPr>
        <w:ind w:right="140" w:firstLine="438"/>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8" w:name="page39"/>
    <w:bookmarkEnd w:id="38"/>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2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40" w:firstLine="438"/>
        <w:spacing w:after="0" w:line="244"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23"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cost of calculating our NAV, including the cost of any third-party valuation services;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59"/>
        <w:spacing w:after="0" w:line="253" w:lineRule="auto"/>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rFonts w:ascii="Arial" w:cs="Arial" w:eastAsia="Arial" w:hAnsi="Arial"/>
          <w:sz w:val="14"/>
          <w:szCs w:val="14"/>
          <w:color w:val="auto"/>
        </w:rPr>
      </w:pPr>
    </w:p>
    <w:p>
      <w:pPr>
        <w:jc w:val="both"/>
        <w:ind w:left="920" w:right="60" w:hanging="359"/>
        <w:spacing w:after="0" w:line="264" w:lineRule="auto"/>
        <w:tabs>
          <w:tab w:leader="none" w:pos="9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1"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2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As of September 30, 2019, our portfolio totaled $1,081.7 million and consisted of $944.9 million of first lien secured debt (including $122.2 million invested in PSSL), $34.4 million of second lien secured debt and $102.4 million of preferred and common equity (including $50.0 million invested in PSSL). Our debt portfolio consisted of 99% variable-rate investments. As of September 30, 2019, we had one portfolio company on non-accrual, representing 0.4% and zero of our overall portfolio on a cost and fair value basis, respectively. Overall, the portfolio had net unrealized depreciation of $3.5 million. Our overall portfolio consisted of 95 companies with an average investment size of $11.4 million, had a weighted average yield on debt investments of 8.7%, and was invested 87% in first lien secured debt (including 11% invested in PSSL), 3% in second lien secured debt and 10% in preferred and common equity (including 5% invested in PSSL). As of September 30, 2019, 97% of the investments held by PSSL were first lien secured debt.</w:t>
      </w:r>
    </w:p>
    <w:p>
      <w:pPr>
        <w:spacing w:after="0" w:line="118"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As of September 30, 2018, our portfolio totaled $1,000.6 million and consisted of $913.3 million of first lien secured debt (including $101.1 million invested in PSSL), $21.2 million of second lien secured debt and $66.1 million of preferred and common equity (including $44.8 million invested in PSSL). Our debt portfolio consisted of 100% variable-rate investments. As of September 30, 2018, we had no portfolio companies on non-accrual. Overall, the portfolio had net unrealized depreciation of $0.9 million. Our overall portfolio consisted of 88 companies with an average investment size of $11.4 million, had a weighted average yield on debt investments of 8.8%, and was invested 91% in first lien secured debt (including 10% invested in PSSL), 2% in second lien secured debt and 7% in preferred and common equity (including 4% invested in PSSL). As of September 30, 2018, all of the investments held by PSSL were first lien secured debt.</w:t>
      </w:r>
    </w:p>
    <w:p>
      <w:pPr>
        <w:spacing w:after="0" w:line="109"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For the year ended September 30, 2019, we invested $640.1 million of investments in 28 new and 83 existing portfolio companies with a weighted average yield on debt investments of 8.8%. Sales and repayments of investments for the same period totaled $527.3 million.</w:t>
      </w:r>
    </w:p>
    <w:p>
      <w:pPr>
        <w:spacing w:after="0" w:line="93"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For the year ended September 30, 2018, we invested $682.7 million of investments in 32 new and 66 existing portfolio companies with a weighted average yield on debt investments of 8.1%. Sales and repayments of investments for the same period totaled $391.4 million.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As of September 30, 2019, PSSL’s portfolio totaled $488.5 million, consisted of 45 companies with an average investment size of $10.9 million and had a weighted average yield on debt investments of 7.6%. As of September 30, 2018, PSSL’s portfolio totaled $425.4 million, consisted of 42 companies with an average investment size of $10.1 million and had a weighted average yield on debt investments of 7.8%.</w:t>
      </w:r>
    </w:p>
    <w:p>
      <w:pPr>
        <w:spacing w:after="0" w:line="115"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For the year ended September 30, 2019, PSSL invested $228.6 million (of which $89.6 million was purchased from the Company) in 16 new and 16 existing portfolio companies with a weighted average yield on debt investments of 8.1%. PSSL’s sales and repayments of investments for the same period totaled $159.9 million.</w:t>
      </w:r>
    </w:p>
    <w:p>
      <w:pPr>
        <w:spacing w:after="0" w:line="10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For the period ended September 30, 2018, PSSL invested $371.3 million (of which $108.0 million was purchased from the Company) in 28 new and 14 existing portfolio companies with a weighted average yield on debt investments of 7.5%. PSSL’s sales and repayments of investments for the same period totaled $45.8 million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1" w:lineRule="exact"/>
        <w:rPr>
          <w:sz w:val="20"/>
          <w:szCs w:val="20"/>
          <w:color w:val="auto"/>
        </w:rPr>
      </w:pPr>
    </w:p>
    <w:p>
      <w:pPr>
        <w:ind w:left="920" w:right="20" w:hanging="359"/>
        <w:spacing w:after="0" w:line="253" w:lineRule="auto"/>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920" w:right="60" w:hanging="359"/>
        <w:spacing w:after="0" w:line="264" w:lineRule="auto"/>
        <w:tabs>
          <w:tab w:leader="none" w:pos="9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00" w:hanging="359"/>
        <w:spacing w:after="0" w:line="238" w:lineRule="auto"/>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80" w:hanging="359"/>
        <w:spacing w:after="0" w:line="253" w:lineRule="auto"/>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0" w:name="page41"/>
    <w:bookmarkEnd w:id="40"/>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4"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28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20"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are valued using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4" w:lineRule="exact"/>
        <w:rPr>
          <w:sz w:val="20"/>
          <w:szCs w:val="20"/>
          <w:color w:val="auto"/>
        </w:rPr>
      </w:pPr>
    </w:p>
    <w:p>
      <w:pPr>
        <w:jc w:val="both"/>
        <w:ind w:right="2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2023 Notes, our 2031 Asset-Backed Debt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right="20" w:firstLine="438"/>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$4.5 million and $10.9 million relating to amendment costs on the Credit Facility and debt issuance costs on the 2023 Notes during the years ended September 30, 2019 and 2018,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2031 Asset-Backed Debt. For the years September 30, 2019 and 2018, our Credit Facility and the 2023 Notes had a net change in unrealized (appreciation) depreciation of less than $(0.1) million and, $7.8 million, respectively. As of September 30, 2019 and 2018, the net unrealized (appreciation) depreciation on our Credit Facility and the 2023 Notes totaled $4.7 million and $4.7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our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123"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03" w:lineRule="exact"/>
        <w:rPr>
          <w:sz w:val="20"/>
          <w:szCs w:val="20"/>
          <w:color w:val="auto"/>
        </w:rPr>
      </w:pPr>
    </w:p>
    <w:p>
      <w:pPr>
        <w:ind w:right="120"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6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27"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Set forth below are the results of operations for the years ended September 30, 2019 and 2018. For information regarding results of operations for the year ended September 30, 2017, see the Company's Form 10-K for the fiscal year ended September 30, 2018, as filed with the SEC on November 14, 2018.</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Investment income for the year ended September 30, 2019 was $92.9 million and was attributable to $84.0 million from first lien secured debt, $8.9 million from second lien secured debt, subordinated debt and preferred equity. The increase in investment income over the prior year was primarily due to the growth of our portfolio.</w:t>
      </w:r>
    </w:p>
    <w:p>
      <w:pPr>
        <w:spacing w:after="0" w:line="93"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Investment income for the year ended September 30, 2018 was $72.2 million and was attributable to $65.5 million from first lien secured debt, $6.7 million from second lien secured debt, subordinated debt and preferred equity. The increase in investment income over the prior year was primarily due to the growth of our portfolio.</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Expenses for the year ended September 30, 2019 totaled $47.5 million. Base management fee for the same period totaled $10.2 million, incentive fee totaled $6.2 million (including zero on realized gains and $(1.4) million on net unrealized gains accrued but not payable), debt related interest and expenses totaled $27.1 million (including $4.5 million in Credit Facility amendment fees) and general and administrative expenses totaled $4.0 million. The increase in expenses compared to the prior year was primarily due to the growth of our portfolio which resulted in higher management and financing costs in the current year.</w:t>
      </w:r>
    </w:p>
    <w:p>
      <w:pPr>
        <w:spacing w:after="0" w:line="104"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Expenses for the year ended September 30, 2018 totaled $41.2 million. Base management fee for the same period totaled $8.4 million, incentive fee totaled $2.4 million (including $(0.1) million on realized gains and $(1.0) million on net unrealized gains accrued but not payable), debt related interest and expenses totaled $25.2 million (including $10.9 million in Credit Facility amendment and debt issuance costs on the 2023 Notes), general and administrative expenses totaled $4.4 million and provision for taxes totaled $0.8 million. The increase in expenses compared to the prior year was primarily due to the expenses incurred in connection with the Credit Facility amendment and debt issuance costs on the 2023 Notes in the current year.</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jc w:val="both"/>
        <w:ind w:right="180" w:firstLine="438"/>
        <w:spacing w:after="0" w:line="238" w:lineRule="auto"/>
        <w:rPr>
          <w:sz w:val="20"/>
          <w:szCs w:val="20"/>
          <w:color w:val="auto"/>
        </w:rPr>
      </w:pPr>
      <w:r>
        <w:rPr>
          <w:rFonts w:ascii="Arial" w:cs="Arial" w:eastAsia="Arial" w:hAnsi="Arial"/>
          <w:sz w:val="14"/>
          <w:szCs w:val="14"/>
          <w:color w:val="auto"/>
        </w:rPr>
        <w:t>Net investment income totaled $45.5 million or $1.17 per share and $31.0 million or $0.81 per share for the years ended September 30, 2019 and 2018, respectively. The increase in net investment income compared to the prior year was primarily due to higher investment income in the current year as well as expenses incurred in connection with the Credit Facility amendment and debt issuance costs on the 2023 Notes in the prior year.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23"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Sales and repayments of investments for the years ended September 30, 2019 and 2018 totaled $527.3 million and $391.4 million, respectively. Net realized losses totaled $31.4 million and $2.3 million for the same periods, respectively. The change in realized gains/losses was primarily due to changes in the market conditions of our investments and the values at which they were realized.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23"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For the years ended September 30, 2019 and 2018, we reported net change in unrealized depreciation on investments of $2.6 million and $2.9 million, respectively. As of September 30, 2019 and 2018, our net unrealized depreciation on investments totaled $3.5 million and $0.9 million, respectively. The net change in unrealized appreciation/depreciation on our investments for the year ended September 30, 2019 compared to the prior year was primarily due to changes in the capital market conditions, the financial performance of certain portfolio companies and the reversal of unrealized appreciation/depreciation on investments that were realized.</w:t>
      </w:r>
    </w:p>
    <w:p>
      <w:pPr>
        <w:spacing w:after="0" w:line="117" w:lineRule="exact"/>
        <w:rPr>
          <w:sz w:val="20"/>
          <w:szCs w:val="20"/>
          <w:color w:val="auto"/>
        </w:rPr>
      </w:pPr>
    </w:p>
    <w:p>
      <w:pPr>
        <w:jc w:val="both"/>
        <w:ind w:right="220" w:firstLine="438"/>
        <w:spacing w:after="0" w:line="264" w:lineRule="auto"/>
        <w:rPr>
          <w:sz w:val="20"/>
          <w:szCs w:val="20"/>
          <w:color w:val="auto"/>
        </w:rPr>
      </w:pPr>
      <w:r>
        <w:rPr>
          <w:rFonts w:ascii="Arial" w:cs="Arial" w:eastAsia="Arial" w:hAnsi="Arial"/>
          <w:sz w:val="13"/>
          <w:szCs w:val="13"/>
          <w:color w:val="auto"/>
        </w:rPr>
        <w:t>For the year ended September 30, 2019 and 2018, our Credit Facility and the 2023 Notes had a net change in unrealized (appreciation) depreciation of less than $(0.1) million and $7.8 million, respectively. As of September 30, 2019 and 2018, our net unrealized depreciation on our Credit Facility and the 2023 Notes totaled $4.7 million and $4.7 million, respectively. The net change in unrealized depreciation for the year ended September 30, 2019 compared to the prior year was primarily due to changes in the capital markets.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23" w:lineRule="exact"/>
        <w:rPr>
          <w:sz w:val="20"/>
          <w:szCs w:val="20"/>
          <w:color w:val="auto"/>
        </w:rPr>
      </w:pPr>
    </w:p>
    <w:p>
      <w:pPr>
        <w:jc w:val="both"/>
        <w:ind w:right="520" w:firstLine="438"/>
        <w:spacing w:after="0" w:line="238" w:lineRule="auto"/>
        <w:rPr>
          <w:sz w:val="20"/>
          <w:szCs w:val="20"/>
          <w:color w:val="auto"/>
        </w:rPr>
      </w:pPr>
      <w:r>
        <w:rPr>
          <w:rFonts w:ascii="Arial" w:cs="Arial" w:eastAsia="Arial" w:hAnsi="Arial"/>
          <w:sz w:val="14"/>
          <w:szCs w:val="14"/>
          <w:color w:val="auto"/>
        </w:rPr>
        <w:t>Net change in net assets resulting from operations totaled $11.4 million or $0.29 per share and $33.5 million or $0.87 per share, for the years ended September 30, 2019 and 2018, respectively. The decrease in net assets from operations for the year ended September 30, 2019 compared to the prior year was primarily due net realized losses and change in unrealized depreciation on our investment portfolio, partially offset by an increase in investment income due to the growth of our portfolio.</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September 30, 2019, in accordance with the 1940 Act, with certain limited exceptions, we are only allowed to borrow amounts such that we are in compliance with a 150% asset coverage ratio requirement after such borrowing. For information regarding liquidity and capital resources for the year ended September 30, 2017, see the Company's Form 10-K for the fiscal year ended September 30, 2018, as filed with the SEC on November 14, 2018.</w:t>
      </w:r>
    </w:p>
    <w:p>
      <w:pPr>
        <w:spacing w:after="0" w:line="118"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requirements applicable to us for senior securities was reduced from 200% (i.e., $1 of debt outstanding for each $1 of equity) to 150% (i.e., $2 of debt outstanding for each $1 of equity), effective as of April 5, 2019, subject to compliance with certain disclosure requirements. As of September 30, 2019 and 2018, our asset coverage ratio, as computed in accordance with the 1940 Act, was 179% and 212%, respectively.</w:t>
      </w:r>
    </w:p>
    <w:p>
      <w:pPr>
        <w:spacing w:after="0" w:line="117"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The annualized weighted average cost of debt for the years ended September 30, 2019 and 2018, inclusive of the fee on the undrawn commitment on the Credit Facility, amendment costs and debt issuance costs, was 5.3% and 7.1%, respectively (excluding amendment and debt issuance costs, amounts are 4.4% and 4.1%). As of September 30, 2019 and 2018, we had $254.7 million and $71.3 million of unused borrowing capacity under our Credit Facility, respectively, subject to the regulatory restrictions.</w:t>
      </w:r>
    </w:p>
    <w:p>
      <w:pPr>
        <w:spacing w:after="0" w:line="115" w:lineRule="exact"/>
        <w:rPr>
          <w:sz w:val="20"/>
          <w:szCs w:val="20"/>
          <w:color w:val="auto"/>
        </w:rPr>
      </w:pPr>
    </w:p>
    <w:p>
      <w:pPr>
        <w:ind w:right="280" w:firstLine="438"/>
        <w:spacing w:after="0" w:line="233" w:lineRule="auto"/>
        <w:rPr>
          <w:sz w:val="20"/>
          <w:szCs w:val="20"/>
          <w:color w:val="auto"/>
        </w:rPr>
      </w:pPr>
      <w:r>
        <w:rPr>
          <w:rFonts w:ascii="Arial" w:cs="Arial" w:eastAsia="Arial" w:hAnsi="Arial"/>
          <w:sz w:val="14"/>
          <w:szCs w:val="14"/>
          <w:color w:val="auto"/>
        </w:rPr>
        <w:t>Funding I’s multi-currency Credit Facility with the Lenders was $520 million as of September 30, 2019, subject to satisfaction of certain conditions and regulatory restrictions that the 1940 Act imposes on us as a BDC, has an interest rate spread above LIBOR of 200 basis points, a maturity date of October 2023 and a revolving period that ends in October 2021. As of September 30, 2019 and 2018, Funding I had $265.3 million and $333.7 million of outstanding borrowings under the Credit Facility, respectively. The Credit Facility had a weighted average interest rate of 4.1% and 4.1%, exclusive of the fee on undrawn commitments, as of September 30, 2019 and 2018, respectively.</w:t>
      </w:r>
    </w:p>
    <w:p>
      <w:pPr>
        <w:spacing w:after="0" w:line="104"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September 30, 2019, we were in compliance with the covenants relating to our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93"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November 2017, we issued $138.6 million of our 2023 Notes. The 2023 Notes were issued pursuant to a deed of trust between the Company and Mishmeret Trust Company, Ltd.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trustee.</w:t>
      </w:r>
    </w:p>
    <w:p>
      <w:pPr>
        <w:spacing w:after="0" w:line="124" w:lineRule="exact"/>
        <w:rPr>
          <w:sz w:val="20"/>
          <w:szCs w:val="20"/>
          <w:color w:val="auto"/>
        </w:rPr>
      </w:pPr>
    </w:p>
    <w:p>
      <w:pPr>
        <w:jc w:val="both"/>
        <w:ind w:right="140" w:firstLine="438"/>
        <w:spacing w:after="0" w:line="264" w:lineRule="auto"/>
        <w:rPr>
          <w:sz w:val="20"/>
          <w:szCs w:val="20"/>
          <w:color w:val="auto"/>
        </w:rPr>
      </w:pPr>
      <w:r>
        <w:rPr>
          <w:rFonts w:ascii="Arial" w:cs="Arial" w:eastAsia="Arial" w:hAnsi="Arial"/>
          <w:sz w:val="13"/>
          <w:szCs w:val="13"/>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ind w:right="60" w:firstLine="438"/>
        <w:spacing w:after="0" w:line="152" w:lineRule="exact"/>
        <w:rPr>
          <w:sz w:val="20"/>
          <w:szCs w:val="20"/>
          <w:color w:val="auto"/>
        </w:rPr>
      </w:pPr>
      <w:r>
        <w:rPr>
          <w:rFonts w:ascii="Arial" w:cs="Arial" w:eastAsia="Arial" w:hAnsi="Arial"/>
          <w:sz w:val="13"/>
          <w:szCs w:val="13"/>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maturing 2031, which bear interest at the three-month LIBOR plus 1.80%, (ii) $15.0 million Class A-2 Senior Secured Fixed Rate Notes due 2031, which bear interest at 3.66%, (iii) $14.0 million Class B-1 Senior Secured Floating Rate Notes due 2031, which bear interest at the three-month LIBOR plus 2.90%, (iv) $16.0 million Class B-2 Senior Secured Fixed Rate Notes due 2031, which bear interest at 4.266%,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4.00%, (vi) $8.0 million Class C-2 Secured Deferrable Fixed Rate Notes due 2031, which bear interest at 5.379%, and (vii) $18.0 million Class D Secured Deferrable Floating Rate Notes due 2031, which bear interest at the three-month LIBOR plus 4.75%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Loans due 2031, which bear interest at the three-month LIBOR plus 1.80%, under a credit agreement by and among the Securitization Issuers, as borrowers, various financial institutions, as lenders, and U.S. Bank National Association, as collateral agent and as loan agent. The 2031 Asset-Backed Debt is scheduled to mature on October 15, 2031.</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our wholly 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3" w:name="page44"/>
    <w:bookmarkEnd w:id="43"/>
    <w:p>
      <w:pPr>
        <w:jc w:val="both"/>
        <w:ind w:right="240" w:firstLine="438"/>
        <w:spacing w:after="0" w:line="238" w:lineRule="auto"/>
        <w:rPr>
          <w:sz w:val="20"/>
          <w:szCs w:val="20"/>
          <w:color w:val="auto"/>
        </w:rPr>
      </w:pPr>
      <w:r>
        <w:rPr>
          <w:rFonts w:ascii="Arial" w:cs="Arial" w:eastAsia="Arial" w:hAnsi="Arial"/>
          <w:sz w:val="14"/>
          <w:szCs w:val="14"/>
          <w:color w:val="auto"/>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15"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2019 and 2018, we issued zero and 6.3 million shares, respectively. As a result, we raised approximately zero and $88.0 million in net proceeds from our issuances of our equity capital, respectively.</w:t>
      </w:r>
    </w:p>
    <w:p>
      <w:pPr>
        <w:spacing w:after="0" w:line="103"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As of September 30, 2019 and 2018, we had cash equivalents of $63.3 million and $72.2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Our operating activities used cash of $121.4 million for the year ended September 30, 2019, and our financing activities provided cash of $111.7 million for the same period. Our operating activities used cash primarily for our investment activities and our financing activities provided cash primarily from the issuance of 2031 Asset-Backed Debt.</w:t>
      </w:r>
    </w:p>
    <w:p>
      <w:pPr>
        <w:spacing w:after="0" w:line="106" w:lineRule="exact"/>
        <w:rPr>
          <w:sz w:val="20"/>
          <w:szCs w:val="20"/>
          <w:color w:val="auto"/>
        </w:rPr>
      </w:pPr>
    </w:p>
    <w:p>
      <w:pPr>
        <w:ind w:right="340" w:firstLine="438"/>
        <w:spacing w:after="0" w:line="290" w:lineRule="auto"/>
        <w:rPr>
          <w:sz w:val="20"/>
          <w:szCs w:val="20"/>
          <w:color w:val="auto"/>
        </w:rPr>
      </w:pPr>
      <w:r>
        <w:rPr>
          <w:rFonts w:ascii="Arial" w:cs="Arial" w:eastAsia="Arial" w:hAnsi="Arial"/>
          <w:sz w:val="13"/>
          <w:szCs w:val="13"/>
          <w:color w:val="auto"/>
        </w:rPr>
        <w:t>Our operating activities used cash of $208.3 million for the year ended September 30, 2018, and our financing activities provided cash of $263.6 million for the same period. Our operating activities used cash primarily for our investment activities and our financing activities provided cash primarily from a follow-on equity offering and the issuance of the 2023 Notes.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September 30, 2019, PSSL had total assets of $506.7 million. As of the same date, we and Kemper had remaining commitments to fund first lien secured debt and equity interests in PSSL in an aggregate amount of $10.5 million. PSSL invests in portfolio companies in the same industries in which we may directly invest.</w:t>
      </w:r>
    </w:p>
    <w:p>
      <w:pPr>
        <w:spacing w:after="0" w:line="10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September 30, 2019, we and Kemper owned 87.5% and 12.5%, respectively, of each of the outstanding first lien secured debt and equity interests. As of the same date, our investment in PSSL consisted of first lien secured debt of $122.2 million and equity interests of $52.4 million. As of the same date, we had commitments to fund first lien secured debt to PSSL of $128.6 million, of which $6.4 million was unfunded. As of September 30, 2019, we had commitments to fund equity interests in PSSL of $55.1 million, of which $2.8 million was unfunded.</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Additionally, PSSL has entered into a senior secured revolving credit facility, or the PSSL Credit Facility, with Capital One, N.A. through its wholly-owned subsidiary PennantPark Senior Secured Loan Facility LLC, or PSSL Subsidiary, which as of September 30, 2019 allowed PSSL Subsidiary to borrow up to $420 million at any one time outstanding, subject to leverage and borrowing base restrictions.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September 30, 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2018</w:t>
            </w:r>
          </w:p>
        </w:tc>
        <w:tc>
          <w:tcPr>
            <w:tcW w:w="20" w:type="dxa"/>
            <w:vAlign w:val="bottom"/>
          </w:tcPr>
          <w:p>
            <w:pPr>
              <w:spacing w:after="0"/>
              <w:rPr>
                <w:sz w:val="14"/>
                <w:szCs w:val="14"/>
                <w:color w:val="auto"/>
              </w:rPr>
            </w:pPr>
          </w:p>
        </w:tc>
      </w:tr>
      <w:tr>
        <w:trPr>
          <w:trHeight w:val="155"/>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6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488,549,847</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425,420,881</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7.8%</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6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7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22,026,186</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21,152,781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780" w:type="dxa"/>
            <w:vAlign w:val="bottom"/>
            <w:gridSpan w:val="2"/>
            <w:shd w:val="clear" w:color="auto" w:fill="CCECFF"/>
          </w:tcPr>
          <w:p>
            <w:pPr>
              <w:jc w:val="right"/>
              <w:ind w:right="69"/>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102,872,275</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95,941,790</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677"/>
        </w:trPr>
        <w:tc>
          <w:tcPr>
            <w:tcW w:w="4580" w:type="dxa"/>
            <w:vAlign w:val="bottom"/>
          </w:tcPr>
          <w:p>
            <w:pPr>
              <w:spacing w:after="0"/>
              <w:rPr>
                <w:sz w:val="24"/>
                <w:szCs w:val="24"/>
                <w:color w:val="auto"/>
              </w:rPr>
            </w:pPr>
          </w:p>
        </w:tc>
        <w:tc>
          <w:tcPr>
            <w:tcW w:w="2600" w:type="dxa"/>
            <w:vAlign w:val="bottom"/>
          </w:tcPr>
          <w:p>
            <w:pPr>
              <w:jc w:val="right"/>
              <w:ind w:right="1408"/>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8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9" w:right="319" w:bottom="1440" w:gutter="0" w:footer="0" w:header="0"/>
        </w:sectPr>
      </w:pPr>
    </w:p>
    <w:bookmarkStart w:id="44" w:name="page45"/>
    <w:bookmarkEnd w:id="44"/>
    <w:p>
      <w:pPr>
        <w:ind w:left="440"/>
        <w:spacing w:after="0"/>
        <w:rPr>
          <w:sz w:val="20"/>
          <w:szCs w:val="20"/>
          <w:color w:val="auto"/>
        </w:rPr>
      </w:pPr>
      <w:r>
        <w:rPr>
          <w:rFonts w:ascii="Arial" w:cs="Arial" w:eastAsia="Arial" w:hAnsi="Arial"/>
          <w:sz w:val="14"/>
          <w:szCs w:val="14"/>
          <w:color w:val="auto"/>
        </w:rPr>
        <w:t>Below is a listing of PSSL’s individual investments as of September 30, 2019:</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2019</w:t>
      </w:r>
    </w:p>
    <w:tbl>
      <w:tblPr>
        <w:tblLayout w:type="fixed"/>
        <w:tblInd w:w="0" w:type="dxa"/>
        <w:tblCellMar>
          <w:top w:w="0" w:type="dxa"/>
          <w:left w:w="0" w:type="dxa"/>
          <w:bottom w:w="0" w:type="dxa"/>
          <w:right w:w="0" w:type="dxa"/>
        </w:tblCellMar>
      </w:tblPr>
      <w:tr>
        <w:trPr>
          <w:trHeight w:val="116"/>
        </w:trPr>
        <w:tc>
          <w:tcPr>
            <w:tcW w:w="3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3"/>
          </w:tcPr>
          <w:p>
            <w:pPr>
              <w:jc w:val="center"/>
              <w:ind w:right="200"/>
              <w:spacing w:after="0" w:line="116" w:lineRule="exact"/>
              <w:rPr>
                <w:sz w:val="20"/>
                <w:szCs w:val="20"/>
                <w:color w:val="auto"/>
              </w:rPr>
            </w:pPr>
            <w:r>
              <w:rPr>
                <w:rFonts w:ascii="Arial" w:cs="Arial" w:eastAsia="Arial" w:hAnsi="Arial"/>
                <w:sz w:val="11"/>
                <w:szCs w:val="11"/>
                <w:b w:val="1"/>
                <w:bCs w:val="1"/>
                <w:color w:val="auto"/>
                <w:w w:val="86"/>
              </w:rPr>
              <w:t>Basis Point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40"/>
              <w:spacing w:after="0" w:line="122" w:lineRule="exact"/>
              <w:rPr>
                <w:sz w:val="20"/>
                <w:szCs w:val="20"/>
                <w:color w:val="auto"/>
              </w:rPr>
            </w:pPr>
            <w:r>
              <w:rPr>
                <w:rFonts w:ascii="Arial" w:cs="Arial" w:eastAsia="Arial" w:hAnsi="Arial"/>
                <w:sz w:val="11"/>
                <w:szCs w:val="11"/>
                <w:b w:val="1"/>
                <w:bCs w:val="1"/>
                <w:color w:val="auto"/>
              </w:rPr>
              <w:t>Current</w:t>
            </w:r>
          </w:p>
        </w:tc>
        <w:tc>
          <w:tcPr>
            <w:tcW w:w="96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900" w:type="dxa"/>
            <w:vAlign w:val="bottom"/>
          </w:tcPr>
          <w:p>
            <w:pPr>
              <w:ind w:left="180"/>
              <w:spacing w:after="0"/>
              <w:rPr>
                <w:sz w:val="20"/>
                <w:szCs w:val="20"/>
                <w:color w:val="auto"/>
              </w:rPr>
            </w:pPr>
            <w:r>
              <w:rPr>
                <w:rFonts w:ascii="Arial" w:cs="Arial" w:eastAsia="Arial" w:hAnsi="Arial"/>
                <w:sz w:val="11"/>
                <w:szCs w:val="11"/>
                <w:b w:val="1"/>
                <w:bCs w:val="1"/>
                <w:color w:val="auto"/>
              </w:rPr>
              <w:t>Maturity</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9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w:t>
            </w: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4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9"/>
                <w:szCs w:val="9"/>
                <w:b w:val="1"/>
                <w:bCs w:val="1"/>
                <w:color w:val="auto"/>
                <w:w w:val="95"/>
              </w:rPr>
              <w:t>(2)</w:t>
            </w:r>
          </w:p>
        </w:tc>
      </w:tr>
      <w:tr>
        <w:trPr>
          <w:trHeight w:val="128"/>
        </w:trPr>
        <w:tc>
          <w:tcPr>
            <w:tcW w:w="39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8"/>
              </w:rPr>
              <w:t>Investments in Non-Controlled, Non-Affiliated Portfolio Companies—810.7%</w:t>
            </w:r>
          </w:p>
        </w:tc>
        <w:tc>
          <w:tcPr>
            <w:tcW w:w="25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48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6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b w:val="1"/>
                <w:bCs w:val="1"/>
                <w:color w:val="auto"/>
              </w:rPr>
              <w:t>First Lien Secured Debt—830.5%</w:t>
            </w:r>
          </w:p>
        </w:tc>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07/24/2025</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8.28%</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L+600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4,927,149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American Auto Auction Group,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01/02/2024</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 Consumer</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6.85%</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L+475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7,749,274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7,674,216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7,671,781</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05/16/2022</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8.52%</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L+725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13,772,261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13,531,751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13,772,261</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Cadence Aerospace,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11/14/2023</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8.54%</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L+650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11,735,208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11,644,440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11,680,054</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Cardenas Markets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11/29/2023</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7.79%</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L+575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7,348,866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7,311,507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7,128,400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Centauri Group Holdings,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02/12/2024</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7.36%</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10,422,726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10,413,416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10,396,669</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Challenger Performance Optimization,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08/31/2023</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7.87%</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L+575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10,127,447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10,040,432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9,874,261</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Country Fresh Holdings, LLC</w:t>
            </w:r>
          </w:p>
        </w:tc>
        <w:tc>
          <w:tcPr>
            <w:tcW w:w="900" w:type="dxa"/>
            <w:vAlign w:val="bottom"/>
          </w:tcPr>
          <w:p>
            <w:pPr>
              <w:jc w:val="center"/>
              <w:ind w:right="66"/>
              <w:spacing w:after="0"/>
              <w:rPr>
                <w:sz w:val="20"/>
                <w:szCs w:val="20"/>
                <w:color w:val="auto"/>
              </w:rPr>
            </w:pPr>
            <w:r>
              <w:rPr>
                <w:rFonts w:ascii="Arial" w:cs="Arial" w:eastAsia="Arial" w:hAnsi="Arial"/>
                <w:sz w:val="11"/>
                <w:szCs w:val="11"/>
                <w:color w:val="auto"/>
                <w:w w:val="88"/>
              </w:rPr>
              <w:t>05/01/23</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7.10%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182,403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179,170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 (Revolver)</w:t>
            </w:r>
          </w:p>
        </w:tc>
        <w:tc>
          <w:tcPr>
            <w:tcW w:w="900" w:type="dxa"/>
            <w:vAlign w:val="bottom"/>
            <w:shd w:val="clear" w:color="auto" w:fill="CCECFF"/>
          </w:tcPr>
          <w:p>
            <w:pPr>
              <w:jc w:val="center"/>
              <w:ind w:right="66"/>
              <w:spacing w:after="0"/>
              <w:rPr>
                <w:sz w:val="20"/>
                <w:szCs w:val="20"/>
                <w:color w:val="auto"/>
              </w:rPr>
            </w:pPr>
            <w:r>
              <w:rPr>
                <w:rFonts w:ascii="Arial" w:cs="Arial" w:eastAsia="Arial" w:hAnsi="Arial"/>
                <w:sz w:val="11"/>
                <w:szCs w:val="11"/>
                <w:color w:val="auto"/>
                <w:w w:val="88"/>
              </w:rPr>
              <w:t>05/01/23</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L+500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126,031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126,031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126,031</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Country Fresh Holdings, LLC - (Revolver) </w:t>
            </w:r>
            <w:r>
              <w:rPr>
                <w:rFonts w:ascii="Arial" w:cs="Arial" w:eastAsia="Arial" w:hAnsi="Arial"/>
                <w:sz w:val="9"/>
                <w:szCs w:val="9"/>
                <w:color w:val="auto"/>
              </w:rPr>
              <w:t>(5)</w:t>
            </w:r>
          </w:p>
        </w:tc>
        <w:tc>
          <w:tcPr>
            <w:tcW w:w="900" w:type="dxa"/>
            <w:vAlign w:val="bottom"/>
          </w:tcPr>
          <w:p>
            <w:pPr>
              <w:jc w:val="center"/>
              <w:ind w:right="66"/>
              <w:spacing w:after="0"/>
              <w:rPr>
                <w:sz w:val="20"/>
                <w:szCs w:val="20"/>
                <w:color w:val="auto"/>
              </w:rPr>
            </w:pPr>
            <w:r>
              <w:rPr>
                <w:rFonts w:ascii="Arial" w:cs="Arial" w:eastAsia="Arial" w:hAnsi="Arial"/>
                <w:sz w:val="11"/>
                <w:szCs w:val="11"/>
                <w:color w:val="auto"/>
                <w:w w:val="88"/>
              </w:rPr>
              <w:t>05/01/23</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324,080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Deva Holdings,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10/31/2023</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9"/>
              </w:rPr>
              <w:t>Consumer Goods: Non-Durable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7.54%</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L+625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19,748,744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19,748,744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19,748,744</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10/19/2022</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7.85%</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12,312,500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12,157,345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12,189,375</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10/19/2022</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7.85%</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L+575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8,166,594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8,116,022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8,084,928</w:t>
            </w:r>
          </w:p>
        </w:tc>
        <w:tc>
          <w:tcPr>
            <w:tcW w:w="120" w:type="dxa"/>
            <w:vAlign w:val="bottom"/>
            <w:shd w:val="clear" w:color="auto" w:fill="CCECFF"/>
          </w:tcPr>
          <w:p>
            <w:pPr>
              <w:spacing w:after="0"/>
              <w:rPr>
                <w:sz w:val="11"/>
                <w:szCs w:val="1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05/31/2024</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Banking, Finance, Insurance and Real Estate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6.26%</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L+525A</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7,376,173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6,542,165</w:t>
            </w:r>
          </w:p>
        </w:tc>
        <w:tc>
          <w:tcPr>
            <w:tcW w:w="120" w:type="dxa"/>
            <w:vAlign w:val="bottom"/>
          </w:tcPr>
          <w:p>
            <w:pPr>
              <w:spacing w:after="0"/>
              <w:rPr>
                <w:sz w:val="12"/>
                <w:szCs w:val="12"/>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GCOM Software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11/14/2022</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8.37%</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L+750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17,384,864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17,263,748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17,384,864</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Good2Grow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11/18/2024</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3"/>
              </w:rPr>
              <w:t>Beverages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6.35%</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L+425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11,752,655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11,649,126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11,576,366</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Good Source Solutions,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06/29/2023</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6.37%</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L+600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14,357,813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14,241,579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14,135,267</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GSM Holdings, Inc.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06/03/2024</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Goods: Durable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6.60%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L+450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19,669,098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19,524,460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19,472,406</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10/28/2024</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6.60%</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L+450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12,406,250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12,351,255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12,344,219</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Impact Group,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06/27/2023</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Wholesale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8.60%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L+650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9,390,185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9,296,753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9,296,283</w:t>
            </w:r>
          </w:p>
        </w:tc>
        <w:tc>
          <w:tcPr>
            <w:tcW w:w="120" w:type="dxa"/>
            <w:vAlign w:val="bottom"/>
          </w:tcPr>
          <w:p>
            <w:pPr>
              <w:spacing w:after="0"/>
              <w:rPr>
                <w:sz w:val="11"/>
                <w:szCs w:val="1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12/12/2023</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5"/>
              </w:rPr>
              <w:t>Wholesale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5.80%</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w w:val="94"/>
              </w:rPr>
              <w:t>L+425A</w:t>
            </w:r>
          </w:p>
        </w:tc>
        <w:tc>
          <w:tcPr>
            <w:tcW w:w="20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10,973,919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9,717,138</w:t>
            </w:r>
          </w:p>
        </w:tc>
        <w:tc>
          <w:tcPr>
            <w:tcW w:w="120" w:type="dxa"/>
            <w:vAlign w:val="bottom"/>
            <w:shd w:val="clear" w:color="auto" w:fill="CCECFF"/>
          </w:tcPr>
          <w:p>
            <w:pPr>
              <w:spacing w:after="0"/>
              <w:rPr>
                <w:sz w:val="12"/>
                <w:szCs w:val="12"/>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Integrative Nutrition,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09/29/2023</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6.85%</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L+475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12/20/2023</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7.30%</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19,850,000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19,586,294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19,609,815</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LAV Gear Holdings, Inc.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10/31/2024</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7.60%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9,925,000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9,837,686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9,916,068</w:t>
            </w:r>
          </w:p>
        </w:tc>
        <w:tc>
          <w:tcPr>
            <w:tcW w:w="120" w:type="dxa"/>
            <w:vAlign w:val="bottom"/>
          </w:tcPr>
          <w:p>
            <w:pPr>
              <w:spacing w:after="0"/>
              <w:rPr>
                <w:sz w:val="11"/>
                <w:szCs w:val="1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9"/>
                <w:szCs w:val="9"/>
                <w:color w:val="auto"/>
              </w:rPr>
              <w:t>(3), (4)</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09/12/2022</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6.80%</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w w:val="94"/>
              </w:rPr>
              <w:t>L+575A</w:t>
            </w:r>
          </w:p>
        </w:tc>
        <w:tc>
          <w:tcPr>
            <w:tcW w:w="20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14,755,747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10,483,859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9,952,014</w:t>
            </w:r>
          </w:p>
        </w:tc>
        <w:tc>
          <w:tcPr>
            <w:tcW w:w="120" w:type="dxa"/>
            <w:vAlign w:val="bottom"/>
            <w:shd w:val="clear" w:color="auto" w:fill="CCECFF"/>
          </w:tcPr>
          <w:p>
            <w:pPr>
              <w:spacing w:after="0"/>
              <w:rPr>
                <w:sz w:val="12"/>
                <w:szCs w:val="12"/>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Long's Drugs Incorporated</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08/19/2022</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7.10%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17,820,000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17,688,160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17,641,800</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LSF9 Atlantis Holdings,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05/01/2023</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92"/>
              </w:rPr>
              <w:t>Retail</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8.04%</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L+600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7,078,125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7,118,977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6,575,083</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Manna Pro Products,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12/08/2023</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Consumer Goods: Non-Durable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8.05%</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L+600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6,877,500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6,797,207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6,688,369</w:t>
            </w:r>
          </w:p>
        </w:tc>
        <w:tc>
          <w:tcPr>
            <w:tcW w:w="120" w:type="dxa"/>
            <w:vAlign w:val="bottom"/>
          </w:tcPr>
          <w:p>
            <w:pPr>
              <w:spacing w:after="0"/>
              <w:rPr>
                <w:sz w:val="11"/>
                <w:szCs w:val="1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01/27/2021</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Media: Diversified and Production</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7.20%</w:t>
            </w:r>
          </w:p>
        </w:tc>
        <w:tc>
          <w:tcPr>
            <w:tcW w:w="480" w:type="dxa"/>
            <w:vAlign w:val="bottom"/>
            <w:shd w:val="clear" w:color="auto" w:fill="CCECFF"/>
          </w:tcPr>
          <w:p>
            <w:pPr>
              <w:spacing w:after="0"/>
              <w:rPr>
                <w:sz w:val="12"/>
                <w:szCs w:val="12"/>
                <w:color w:val="auto"/>
              </w:rPr>
            </w:pPr>
          </w:p>
        </w:tc>
        <w:tc>
          <w:tcPr>
            <w:tcW w:w="48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w w:val="89"/>
              </w:rPr>
              <w:t>P+275C</w:t>
            </w:r>
          </w:p>
        </w:tc>
        <w:tc>
          <w:tcPr>
            <w:tcW w:w="20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5,760,254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4,461,926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4,350,645</w:t>
            </w:r>
          </w:p>
        </w:tc>
        <w:tc>
          <w:tcPr>
            <w:tcW w:w="120" w:type="dxa"/>
            <w:vAlign w:val="bottom"/>
            <w:shd w:val="clear" w:color="auto" w:fill="CCECFF"/>
          </w:tcPr>
          <w:p>
            <w:pPr>
              <w:spacing w:after="0"/>
              <w:rPr>
                <w:sz w:val="12"/>
                <w:szCs w:val="12"/>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Mission Critical Electronics, Inc.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09/28/2022</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7.10%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6,009,982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5,977,867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6,009,982</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New Milani Group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06/06/2024</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9"/>
              </w:rPr>
              <w:t>Consumer Goods: Non-Durable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6.35%</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L+425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14,812,500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14,691,710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14,664,375</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Olde Thompson,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05/14/2024</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6.54%</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L+450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11,876,667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11,757,900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11,876,667</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Output Services Group,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03/27/2024</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6.54%</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L+425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7,883,419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7,909,754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6,779,740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Pestell Minerals and Ingredients Inc.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06/01/2023</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7.57%</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9,925,000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9,840,202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9,825,750</w:t>
            </w:r>
          </w:p>
        </w:tc>
        <w:tc>
          <w:tcPr>
            <w:tcW w:w="120" w:type="dxa"/>
            <w:vAlign w:val="bottom"/>
          </w:tcPr>
          <w:p>
            <w:pPr>
              <w:spacing w:after="0"/>
              <w:rPr>
                <w:sz w:val="11"/>
                <w:szCs w:val="1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Pestell Minerals and Ingredients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06/01/2023</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7.23%</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w w:val="92"/>
              </w:rPr>
              <w:t>L+525C</w:t>
            </w:r>
          </w:p>
        </w:tc>
        <w:tc>
          <w:tcPr>
            <w:tcW w:w="20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3,242,655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2,412,626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2,424,644</w:t>
            </w:r>
          </w:p>
        </w:tc>
        <w:tc>
          <w:tcPr>
            <w:tcW w:w="120" w:type="dxa"/>
            <w:vAlign w:val="bottom"/>
            <w:shd w:val="clear" w:color="auto" w:fill="CCECFF"/>
          </w:tcPr>
          <w:p>
            <w:pPr>
              <w:spacing w:after="0"/>
              <w:rPr>
                <w:sz w:val="12"/>
                <w:szCs w:val="12"/>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PH Beauty Holdings III, Inc.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09/29/2025</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Wholesale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7.04%</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9,892,519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9,804,058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9,397,893</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Plant Health Intermediate,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10/19/2022</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L+575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1,758,406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1,736,386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1,740,822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PlayPower, Inc.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9"/>
              </w:rPr>
              <w:t>05/8/2026</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Leisure Products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7.60%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4,189,500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4,148,451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4,184,263</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Smile Brands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10/14/2024</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6.66%</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L+450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11,289,688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11,189,470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11,176,791</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Snak Club,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07/19/2021</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8.10%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L+600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4,359,370</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Sonny's Enterprises,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12/01/2022</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6.35%</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L+425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15,224,842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15,227,900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15,224,842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Teneo Holdings LLC</w:t>
            </w:r>
          </w:p>
        </w:tc>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7.29%</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4,804,110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4,762,500</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12/02/2021</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9"/>
              </w:rPr>
              <w:t>Media: Broadcasting and Subscription</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7.43%</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6M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L+500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8,823,392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8,790,069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8,735,157</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TVC Enterprises, LLC</w:t>
            </w:r>
          </w:p>
        </w:tc>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7.55%</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9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8.28%</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L+625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7,075,000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6,937,888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6,933,500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UBEO,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04/03/2024</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6.78%</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L+450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22,248,673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22,045,879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22,026,186</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08/30/2024</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7.04%</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L+450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11,572,122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11,388,612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11,572,122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Walker Edison Furniture Company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09/26/2024</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Wholesale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8.83%</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L+650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16,001,734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15,724,459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16,121,747</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10/18/2022</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9.55%</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L+750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5,466,024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5,389,938</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5,466,024</w:t>
            </w:r>
          </w:p>
        </w:tc>
        <w:tc>
          <w:tcPr>
            <w:tcW w:w="120" w:type="dxa"/>
            <w:vAlign w:val="bottom"/>
            <w:shd w:val="clear" w:color="auto" w:fill="CCECFF"/>
          </w:tcPr>
          <w:p>
            <w:pPr>
              <w:spacing w:after="0"/>
              <w:rPr>
                <w:sz w:val="11"/>
                <w:szCs w:val="11"/>
                <w:color w:val="auto"/>
              </w:rPr>
            </w:pPr>
          </w:p>
        </w:tc>
      </w:tr>
      <w:tr>
        <w:trPr>
          <w:trHeight w:val="129"/>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9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6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478,935,867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474,289,532</w:t>
            </w:r>
          </w:p>
        </w:tc>
        <w:tc>
          <w:tcPr>
            <w:tcW w:w="120" w:type="dxa"/>
            <w:vAlign w:val="bottom"/>
            <w:tcBorders>
              <w:bottom w:val="single" w:sz="8" w:color="CCECFF"/>
            </w:tcBorders>
          </w:tcPr>
          <w:p>
            <w:pPr>
              <w:spacing w:after="0"/>
              <w:rPr>
                <w:sz w:val="11"/>
                <w:szCs w:val="11"/>
                <w:color w:val="auto"/>
              </w:rPr>
            </w:pPr>
          </w:p>
        </w:tc>
      </w:tr>
      <w:tr>
        <w:trPr>
          <w:trHeight w:val="128"/>
        </w:trPr>
        <w:tc>
          <w:tcPr>
            <w:tcW w:w="30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Debt—14.8%</w:t>
            </w:r>
          </w:p>
        </w:tc>
        <w:tc>
          <w:tcPr>
            <w:tcW w:w="9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Country Fresh Holdings,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04/29/2024</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10.60%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L+850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870,886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870,886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870,886</w:t>
            </w:r>
          </w:p>
        </w:tc>
        <w:tc>
          <w:tcPr>
            <w:tcW w:w="120" w:type="dxa"/>
            <w:vAlign w:val="bottom"/>
          </w:tcPr>
          <w:p>
            <w:pPr>
              <w:spacing w:after="0"/>
              <w:rPr>
                <w:sz w:val="12"/>
                <w:szCs w:val="12"/>
                <w:color w:val="auto"/>
              </w:rPr>
            </w:pPr>
          </w:p>
        </w:tc>
      </w:tr>
      <w:tr>
        <w:trPr>
          <w:trHeight w:val="131"/>
        </w:trPr>
        <w:tc>
          <w:tcPr>
            <w:tcW w:w="30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(PIK 10.60%)</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Term Loan B</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03/26/2021</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6M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15,206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8.00%)</w:t>
            </w: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DBI Holding, LLC, Term Loan 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02/02/2026</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480" w:type="dxa"/>
            <w:vAlign w:val="bottom"/>
          </w:tcPr>
          <w:p>
            <w:pPr>
              <w:spacing w:after="0"/>
              <w:rPr>
                <w:sz w:val="12"/>
                <w:szCs w:val="12"/>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7,607,291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7,607,291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7,569,255</w:t>
            </w:r>
          </w:p>
        </w:tc>
        <w:tc>
          <w:tcPr>
            <w:tcW w:w="120" w:type="dxa"/>
            <w:vAlign w:val="bottom"/>
          </w:tcPr>
          <w:p>
            <w:pPr>
              <w:spacing w:after="0"/>
              <w:rPr>
                <w:sz w:val="12"/>
                <w:szCs w:val="12"/>
                <w:color w:val="auto"/>
              </w:rPr>
            </w:pPr>
          </w:p>
        </w:tc>
      </w:tr>
      <w:tr>
        <w:trPr>
          <w:trHeight w:val="131"/>
        </w:trPr>
        <w:tc>
          <w:tcPr>
            <w:tcW w:w="3040" w:type="dxa"/>
            <w:vAlign w:val="bottom"/>
            <w:tcBorders>
              <w:bottom w:val="single" w:sz="8" w:color="CCECFF"/>
            </w:tcBorders>
          </w:tcPr>
          <w:p>
            <w:pPr>
              <w:spacing w:after="0"/>
              <w:rPr>
                <w:sz w:val="11"/>
                <w:szCs w:val="11"/>
                <w:color w:val="auto"/>
              </w:rPr>
            </w:pPr>
          </w:p>
        </w:tc>
        <w:tc>
          <w:tcPr>
            <w:tcW w:w="9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6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8.00%)</w:t>
            </w: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6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8"/>
        </w:trPr>
        <w:tc>
          <w:tcPr>
            <w:tcW w:w="30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9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8,493,383</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8,455,347</w:t>
            </w:r>
          </w:p>
        </w:tc>
        <w:tc>
          <w:tcPr>
            <w:tcW w:w="120" w:type="dxa"/>
            <w:vAlign w:val="bottom"/>
            <w:shd w:val="clear" w:color="auto" w:fill="CCECFF"/>
          </w:tcPr>
          <w:p>
            <w:pPr>
              <w:spacing w:after="0"/>
              <w:rPr>
                <w:sz w:val="11"/>
                <w:szCs w:val="11"/>
                <w:color w:val="auto"/>
              </w:rPr>
            </w:pPr>
          </w:p>
        </w:tc>
      </w:tr>
      <w:tr>
        <w:trPr>
          <w:trHeight w:val="129"/>
        </w:trPr>
        <w:tc>
          <w:tcPr>
            <w:tcW w:w="3040" w:type="dxa"/>
            <w:vAlign w:val="bottom"/>
          </w:tcPr>
          <w:p>
            <w:pPr>
              <w:spacing w:after="0"/>
              <w:rPr>
                <w:sz w:val="20"/>
                <w:szCs w:val="20"/>
                <w:color w:val="auto"/>
              </w:rPr>
            </w:pPr>
            <w:r>
              <w:rPr>
                <w:rFonts w:ascii="Arial" w:cs="Arial" w:eastAsia="Arial" w:hAnsi="Arial"/>
                <w:sz w:val="11"/>
                <w:szCs w:val="11"/>
                <w:b w:val="1"/>
                <w:bCs w:val="1"/>
                <w:color w:val="auto"/>
              </w:rPr>
              <w:t>Equity Securities—10.2%</w:t>
            </w:r>
          </w:p>
        </w:tc>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 Company Inc.</w:t>
            </w:r>
          </w:p>
        </w:tc>
        <w:tc>
          <w:tcPr>
            <w:tcW w:w="9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1,124,929</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DBI Holding, LLC, Series A-1</w:t>
            </w:r>
          </w:p>
        </w:tc>
        <w:tc>
          <w:tcPr>
            <w:tcW w:w="900" w:type="dxa"/>
            <w:vAlign w:val="bottom"/>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4,680,039</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Series B</w:t>
            </w:r>
          </w:p>
        </w:tc>
        <w:tc>
          <w:tcPr>
            <w:tcW w:w="9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1,065,021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r>
      <w:tr>
        <w:trPr>
          <w:trHeight w:val="128"/>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Equity Securities</w:t>
            </w:r>
          </w:p>
        </w:tc>
        <w:tc>
          <w:tcPr>
            <w:tcW w:w="9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6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5,804,968</w:t>
            </w:r>
          </w:p>
        </w:tc>
        <w:tc>
          <w:tcPr>
            <w:tcW w:w="120" w:type="dxa"/>
            <w:vAlign w:val="bottom"/>
            <w:tcBorders>
              <w:bottom w:val="single" w:sz="8" w:color="CCECFF"/>
            </w:tcBorders>
          </w:tcPr>
          <w:p>
            <w:pPr>
              <w:spacing w:after="0"/>
              <w:rPr>
                <w:sz w:val="11"/>
                <w:szCs w:val="11"/>
                <w:color w:val="auto"/>
              </w:rPr>
            </w:pPr>
          </w:p>
        </w:tc>
      </w:tr>
      <w:tr>
        <w:trPr>
          <w:trHeight w:val="128"/>
        </w:trPr>
        <w:tc>
          <w:tcPr>
            <w:tcW w:w="39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494,413,187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488,549,847</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b w:val="1"/>
                <w:bCs w:val="1"/>
                <w:color w:val="auto"/>
              </w:rPr>
              <w:t>Cash and Cash Equivalents—26.8%</w:t>
            </w:r>
          </w:p>
        </w:tc>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9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US Bank Cash</w:t>
            </w:r>
          </w:p>
        </w:tc>
        <w:tc>
          <w:tcPr>
            <w:tcW w:w="9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6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3,156,230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3,128,580</w:t>
            </w:r>
          </w:p>
        </w:tc>
        <w:tc>
          <w:tcPr>
            <w:tcW w:w="120" w:type="dxa"/>
            <w:vAlign w:val="bottom"/>
            <w:tcBorders>
              <w:bottom w:val="single" w:sz="8" w:color="CCECFF"/>
            </w:tcBorders>
          </w:tcPr>
          <w:p>
            <w:pPr>
              <w:spacing w:after="0"/>
              <w:rPr>
                <w:sz w:val="11"/>
                <w:szCs w:val="11"/>
                <w:color w:val="auto"/>
              </w:rPr>
            </w:pPr>
          </w:p>
        </w:tc>
      </w:tr>
      <w:tr>
        <w:trPr>
          <w:trHeight w:val="129"/>
        </w:trPr>
        <w:tc>
          <w:tcPr>
            <w:tcW w:w="30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9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15,322,531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15,294,881</w:t>
            </w:r>
          </w:p>
        </w:tc>
        <w:tc>
          <w:tcPr>
            <w:tcW w:w="120" w:type="dxa"/>
            <w:vAlign w:val="bottom"/>
            <w:shd w:val="clear" w:color="auto" w:fill="CCECFF"/>
          </w:tcPr>
          <w:p>
            <w:pPr>
              <w:spacing w:after="0"/>
              <w:rPr>
                <w:sz w:val="11"/>
                <w:szCs w:val="11"/>
                <w:color w:val="auto"/>
              </w:rPr>
            </w:pPr>
          </w:p>
        </w:tc>
      </w:tr>
      <w:tr>
        <w:trPr>
          <w:trHeight w:val="168"/>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Investments and Cash Equivalents—882.3%</w:t>
            </w:r>
          </w:p>
        </w:tc>
        <w:tc>
          <w:tcPr>
            <w:tcW w:w="900" w:type="dxa"/>
            <w:vAlign w:val="bottom"/>
            <w:tcBorders>
              <w:bottom w:val="single" w:sz="8" w:color="CCECFF"/>
            </w:tcBorders>
          </w:tcPr>
          <w:p>
            <w:pPr>
              <w:spacing w:after="0"/>
              <w:rPr>
                <w:sz w:val="14"/>
                <w:szCs w:val="14"/>
                <w:color w:val="auto"/>
              </w:rPr>
            </w:pPr>
          </w:p>
        </w:tc>
        <w:tc>
          <w:tcPr>
            <w:tcW w:w="250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680" w:type="dxa"/>
            <w:vAlign w:val="bottom"/>
            <w:tcBorders>
              <w:bottom w:val="single" w:sz="8" w:color="CCECFF"/>
            </w:tcBorders>
          </w:tcPr>
          <w:p>
            <w:pPr>
              <w:spacing w:after="0"/>
              <w:rPr>
                <w:sz w:val="14"/>
                <w:szCs w:val="14"/>
                <w:color w:val="auto"/>
              </w:rPr>
            </w:pPr>
          </w:p>
        </w:tc>
        <w:tc>
          <w:tcPr>
            <w:tcW w:w="280" w:type="dxa"/>
            <w:vAlign w:val="bottom"/>
            <w:tcBorders>
              <w:bottom w:val="single" w:sz="8" w:color="CCECFF"/>
            </w:tcBorders>
          </w:tcPr>
          <w:p>
            <w:pPr>
              <w:spacing w:after="0"/>
              <w:rPr>
                <w:sz w:val="14"/>
                <w:szCs w:val="14"/>
                <w:color w:val="auto"/>
              </w:rPr>
            </w:pPr>
          </w:p>
        </w:tc>
        <w:tc>
          <w:tcPr>
            <w:tcW w:w="480" w:type="dxa"/>
            <w:vAlign w:val="bottom"/>
            <w:tcBorders>
              <w:bottom w:val="single" w:sz="8" w:color="CCECFF"/>
            </w:tcBorders>
          </w:tcPr>
          <w:p>
            <w:pPr>
              <w:spacing w:after="0"/>
              <w:rPr>
                <w:sz w:val="14"/>
                <w:szCs w:val="14"/>
                <w:color w:val="auto"/>
              </w:rPr>
            </w:pPr>
          </w:p>
        </w:tc>
        <w:tc>
          <w:tcPr>
            <w:tcW w:w="320" w:type="dxa"/>
            <w:vAlign w:val="bottom"/>
            <w:tcBorders>
              <w:bottom w:val="single" w:sz="8" w:color="CCECFF"/>
            </w:tcBorders>
          </w:tcPr>
          <w:p>
            <w:pPr>
              <w:spacing w:after="0"/>
              <w:rPr>
                <w:sz w:val="14"/>
                <w:szCs w:val="14"/>
                <w:color w:val="auto"/>
              </w:rPr>
            </w:pPr>
          </w:p>
        </w:tc>
        <w:tc>
          <w:tcPr>
            <w:tcW w:w="16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58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509,735,718</w:t>
            </w:r>
          </w:p>
        </w:tc>
        <w:tc>
          <w:tcPr>
            <w:tcW w:w="2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503,844,728</w:t>
            </w:r>
          </w:p>
        </w:tc>
        <w:tc>
          <w:tcPr>
            <w:tcW w:w="120" w:type="dxa"/>
            <w:vAlign w:val="bottom"/>
            <w:tcBorders>
              <w:bottom w:val="single" w:sz="8" w:color="CCECFF"/>
            </w:tcBorders>
          </w:tcPr>
          <w:p>
            <w:pPr>
              <w:spacing w:after="0"/>
              <w:rPr>
                <w:sz w:val="14"/>
                <w:szCs w:val="14"/>
                <w:color w:val="auto"/>
              </w:rPr>
            </w:pPr>
          </w:p>
        </w:tc>
      </w:tr>
      <w:tr>
        <w:trPr>
          <w:trHeight w:val="115"/>
        </w:trPr>
        <w:tc>
          <w:tcPr>
            <w:tcW w:w="3040" w:type="dxa"/>
            <w:vAlign w:val="bottom"/>
            <w:shd w:val="clear" w:color="auto" w:fill="CCECFF"/>
          </w:tcPr>
          <w:p>
            <w:pPr>
              <w:spacing w:after="0" w:line="116" w:lineRule="exact"/>
              <w:rPr>
                <w:sz w:val="20"/>
                <w:szCs w:val="20"/>
                <w:color w:val="auto"/>
              </w:rPr>
            </w:pPr>
            <w:r>
              <w:rPr>
                <w:rFonts w:ascii="Arial" w:cs="Arial" w:eastAsia="Arial" w:hAnsi="Arial"/>
                <w:sz w:val="11"/>
                <w:szCs w:val="11"/>
                <w:b w:val="1"/>
                <w:bCs w:val="1"/>
                <w:color w:val="auto"/>
              </w:rPr>
              <w:t>Liabilities in Excess of Other Assets—(782.3)%</w:t>
            </w:r>
          </w:p>
        </w:tc>
        <w:tc>
          <w:tcPr>
            <w:tcW w:w="900" w:type="dxa"/>
            <w:vAlign w:val="bottom"/>
            <w:shd w:val="clear" w:color="auto" w:fill="CCECFF"/>
          </w:tcPr>
          <w:p>
            <w:pPr>
              <w:spacing w:after="0"/>
              <w:rPr>
                <w:sz w:val="10"/>
                <w:szCs w:val="10"/>
                <w:color w:val="auto"/>
              </w:rPr>
            </w:pPr>
          </w:p>
        </w:tc>
        <w:tc>
          <w:tcPr>
            <w:tcW w:w="25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4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3"/>
              </w:rPr>
              <w:t>(446,736,922)</w:t>
            </w:r>
          </w:p>
        </w:tc>
      </w:tr>
      <w:tr>
        <w:trPr>
          <w:trHeight w:val="129"/>
        </w:trPr>
        <w:tc>
          <w:tcPr>
            <w:tcW w:w="3040" w:type="dxa"/>
            <w:vAlign w:val="bottom"/>
          </w:tcPr>
          <w:p>
            <w:pPr>
              <w:spacing w:after="0"/>
              <w:rPr>
                <w:sz w:val="20"/>
                <w:szCs w:val="20"/>
                <w:color w:val="auto"/>
              </w:rPr>
            </w:pPr>
            <w:r>
              <w:rPr>
                <w:rFonts w:ascii="Arial" w:cs="Arial" w:eastAsia="Arial" w:hAnsi="Arial"/>
                <w:sz w:val="11"/>
                <w:szCs w:val="11"/>
                <w:b w:val="1"/>
                <w:bCs w:val="1"/>
                <w:color w:val="auto"/>
              </w:rPr>
              <w:t>Members' Equity—100.0%</w:t>
            </w:r>
          </w:p>
        </w:tc>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57,107,806</w:t>
            </w:r>
          </w:p>
        </w:tc>
        <w:tc>
          <w:tcPr>
            <w:tcW w:w="120" w:type="dxa"/>
            <w:vAlign w:val="bottom"/>
          </w:tcPr>
          <w:p>
            <w:pPr>
              <w:spacing w:after="0"/>
              <w:rPr>
                <w:sz w:val="11"/>
                <w:szCs w:val="11"/>
                <w:color w:val="auto"/>
              </w:rPr>
            </w:pPr>
          </w:p>
        </w:tc>
      </w:tr>
      <w:tr>
        <w:trPr>
          <w:trHeight w:val="20"/>
        </w:trPr>
        <w:tc>
          <w:tcPr>
            <w:tcW w:w="3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63" w:lineRule="exact"/>
        <w:rPr>
          <w:sz w:val="20"/>
          <w:szCs w:val="20"/>
          <w:color w:val="auto"/>
        </w:rPr>
      </w:pPr>
    </w:p>
    <w:p>
      <w:pPr>
        <w:ind w:left="380" w:right="60" w:hanging="372"/>
        <w:spacing w:after="0" w:line="276" w:lineRule="auto"/>
        <w:tabs>
          <w:tab w:leader="none" w:pos="380" w:val="left"/>
        </w:tabs>
        <w:numPr>
          <w:ilvl w:val="0"/>
          <w:numId w:val="50"/>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9" w:lineRule="exact"/>
        <w:rPr>
          <w:rFonts w:ascii="Arial" w:cs="Arial" w:eastAsia="Arial" w:hAnsi="Arial"/>
          <w:sz w:val="11"/>
          <w:szCs w:val="11"/>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ind w:left="440"/>
        <w:spacing w:after="0"/>
        <w:rPr>
          <w:sz w:val="20"/>
          <w:szCs w:val="20"/>
          <w:color w:val="auto"/>
        </w:rPr>
      </w:pPr>
      <w:r>
        <w:rPr>
          <w:rFonts w:ascii="Arial" w:cs="Arial" w:eastAsia="Arial" w:hAnsi="Arial"/>
          <w:sz w:val="14"/>
          <w:szCs w:val="14"/>
          <w:color w:val="auto"/>
        </w:rPr>
        <w:t>Below is a listing of PSSL’s individual investments as of September 30, 2018:</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380"/>
              <w:spacing w:after="0" w:line="126" w:lineRule="exact"/>
              <w:rPr>
                <w:sz w:val="20"/>
                <w:szCs w:val="20"/>
                <w:color w:val="auto"/>
              </w:rPr>
            </w:pPr>
            <w:r>
              <w:rPr>
                <w:rFonts w:ascii="Arial" w:cs="Arial" w:eastAsia="Arial" w:hAnsi="Arial"/>
                <w:sz w:val="12"/>
                <w:szCs w:val="12"/>
                <w:b w:val="1"/>
                <w:bCs w:val="1"/>
                <w:color w:val="auto"/>
              </w:rPr>
              <w:t>Current</w:t>
            </w:r>
          </w:p>
        </w:tc>
        <w:tc>
          <w:tcPr>
            <w:tcW w:w="80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800" w:type="dxa"/>
            <w:vAlign w:val="bottom"/>
            <w:gridSpan w:val="2"/>
          </w:tcPr>
          <w:p>
            <w:pPr>
              <w:jc w:val="center"/>
              <w:spacing w:after="0" w:line="153" w:lineRule="exact"/>
              <w:rPr>
                <w:sz w:val="20"/>
                <w:szCs w:val="20"/>
                <w:color w:val="auto"/>
              </w:rPr>
            </w:pPr>
            <w:r>
              <w:rPr>
                <w:rFonts w:ascii="Arial" w:cs="Arial" w:eastAsia="Arial" w:hAnsi="Arial"/>
                <w:sz w:val="11"/>
                <w:szCs w:val="11"/>
                <w:b w:val="1"/>
                <w:bCs w:val="1"/>
                <w:color w:val="auto"/>
                <w:w w:val="96"/>
              </w:rPr>
              <w:t xml:space="preserve">Index </w:t>
            </w:r>
            <w:r>
              <w:rPr>
                <w:rFonts w:ascii="Arial" w:cs="Arial" w:eastAsia="Arial" w:hAnsi="Arial"/>
                <w:sz w:val="17"/>
                <w:szCs w:val="17"/>
                <w:b w:val="1"/>
                <w:bCs w:val="1"/>
                <w:color w:val="auto"/>
                <w:w w:val="96"/>
                <w:vertAlign w:val="superscript"/>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line="153" w:lineRule="exact"/>
              <w:rPr>
                <w:sz w:val="20"/>
                <w:szCs w:val="20"/>
                <w:color w:val="auto"/>
              </w:rPr>
            </w:pPr>
            <w:r>
              <w:rPr>
                <w:rFonts w:ascii="Arial" w:cs="Arial" w:eastAsia="Arial" w:hAnsi="Arial"/>
                <w:sz w:val="11"/>
                <w:szCs w:val="11"/>
                <w:b w:val="1"/>
                <w:bCs w:val="1"/>
                <w:color w:val="auto"/>
                <w:w w:val="97"/>
              </w:rPr>
              <w:t xml:space="preserve">Fair Value </w:t>
            </w:r>
            <w:r>
              <w:rPr>
                <w:rFonts w:ascii="Arial" w:cs="Arial" w:eastAsia="Arial" w:hAnsi="Arial"/>
                <w:sz w:val="17"/>
                <w:szCs w:val="17"/>
                <w:b w:val="1"/>
                <w:bCs w:val="1"/>
                <w:color w:val="auto"/>
                <w:w w:val="97"/>
                <w:vertAlign w:val="superscript"/>
              </w:rPr>
              <w:t>(2)</w:t>
            </w:r>
          </w:p>
        </w:tc>
        <w:tc>
          <w:tcPr>
            <w:tcW w:w="0" w:type="dxa"/>
            <w:vAlign w:val="bottom"/>
          </w:tcPr>
          <w:p>
            <w:pPr>
              <w:spacing w:after="0"/>
              <w:rPr>
                <w:sz w:val="1"/>
                <w:szCs w:val="1"/>
                <w:color w:val="auto"/>
              </w:rPr>
            </w:pPr>
          </w:p>
        </w:tc>
      </w:tr>
      <w:tr>
        <w:trPr>
          <w:trHeight w:val="142"/>
        </w:trPr>
        <w:tc>
          <w:tcPr>
            <w:tcW w:w="40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Investments in Non-Controlled, Non-Affiliated Portfolio Companies—830.9%</w:t>
            </w:r>
          </w:p>
        </w:tc>
        <w:tc>
          <w:tcPr>
            <w:tcW w:w="252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460" w:type="dxa"/>
            <w:vAlign w:val="bottom"/>
            <w:tcBorders>
              <w:top w:val="single" w:sz="8" w:color="auto"/>
            </w:tcBorders>
            <w:shd w:val="clear" w:color="auto" w:fill="CCECFF"/>
          </w:tcPr>
          <w:p>
            <w:pPr>
              <w:spacing w:after="0"/>
              <w:rPr>
                <w:sz w:val="12"/>
                <w:szCs w:val="12"/>
                <w:color w:val="auto"/>
              </w:rPr>
            </w:pPr>
          </w:p>
        </w:tc>
        <w:tc>
          <w:tcPr>
            <w:tcW w:w="3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Debt—830.9%</w:t>
            </w:r>
          </w:p>
        </w:tc>
        <w:tc>
          <w:tcPr>
            <w:tcW w:w="1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Alvogen Pharma US, Inc. </w:t>
            </w:r>
            <w:r>
              <w:rPr>
                <w:rFonts w:ascii="Arial" w:cs="Arial" w:eastAsia="Arial" w:hAnsi="Arial"/>
                <w:sz w:val="17"/>
                <w:szCs w:val="17"/>
                <w:color w:val="auto"/>
                <w:vertAlign w:val="superscript"/>
              </w:rPr>
              <w:t>(3)</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04/04/2022</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6.99%</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L+475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5,424,261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5,370,876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5,464,943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11/30/2021</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Transportation: Consumer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7.34%</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L+525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4,949,622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4,910,720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4,875,378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08/01/2024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0"/>
              </w:rPr>
              <w:t>Construction and Building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6.70%</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2M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L+450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5,944,975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5,900,529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5,985,876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04/22/2024</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19,710,688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19,750,500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Beauty Industry Group Opco,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04/06/2023</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L+475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21,259,078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21,057,494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21,152,781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05/16/2022</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9.57%</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L+725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10,761,235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10,538,732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10,761,235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11/14/2023</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8.83%</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L+650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11,854,375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11,745,013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11,875,641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11/29/2023</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7.99%</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L+575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7,424,433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7,381,442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7,424,433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Challenger Performance Optimization,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08/31/2023</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7.85%</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L+575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10,387,126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10,284,272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10,283,255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03/31/2023</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7.39%</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L+500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4,218,011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08/02/2021</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7.51%</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L+525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12,334,446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Deva Holdings,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10/31/2023</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7.74%</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L+550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19,949,749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12/29/2023</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0"/>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7.25%</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L+500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9,832,647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9,813,344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03/29/2022</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8.14%</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L+575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12,437,500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12,243,681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12,313,125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09/30/2022</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6.86%</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L+475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4,712,239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ENC Holding Corporation</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05/30/2025</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Transportation: Cargo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L+425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10,345,500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10,320,383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10,319,636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17"/>
                <w:szCs w:val="17"/>
                <w:color w:val="auto"/>
                <w:vertAlign w:val="superscript"/>
              </w:rPr>
              <w:t>(3), (4)</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05/31/2024</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Banking, Finance, Insurance and Real Estate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7.23%</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2M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L+525 A$</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7,348,975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7,018,455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GCOM Software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11/14/2022</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9.67%</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L+750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14,666,667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14,597,068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14,666,667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Good Source Solutions,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06/29/2023</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8.39%</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L+600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14,871,563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14,724,626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14,670,097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GSM Holdings,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06/03/2024</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6.87%</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L+450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15,461,250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15,313,430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15,383,940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06/27/2023</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8.64%</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L+625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9,860,343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9,925,125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17"/>
                <w:szCs w:val="17"/>
                <w:color w:val="auto"/>
                <w:vertAlign w:val="superscript"/>
              </w:rPr>
              <w:t>(3), (4)</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12/12/2023</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L+475 A$</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10,941,545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10,810,400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08/19/2022</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7.12%</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L+500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17,831,930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17,820,000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05/01/2023</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91"/>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8.12%</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7,265,625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7,319,871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7,002,246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12/08/2023</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8.15%</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L+600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6,947,500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6,853,205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6,894,684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7"/>
                <w:szCs w:val="17"/>
                <w:color w:val="auto"/>
                <w:vertAlign w:val="superscript"/>
              </w:rPr>
              <w:t>(4)</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01/27/2021</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Media: Diversified and Production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7.08%</w:t>
            </w:r>
          </w:p>
        </w:tc>
        <w:tc>
          <w:tcPr>
            <w:tcW w:w="460" w:type="dxa"/>
            <w:vAlign w:val="bottom"/>
          </w:tcPr>
          <w:p>
            <w:pPr>
              <w:spacing w:after="0"/>
              <w:rPr>
                <w:sz w:val="12"/>
                <w:szCs w:val="12"/>
                <w:color w:val="auto"/>
              </w:rPr>
            </w:pPr>
          </w:p>
        </w:tc>
        <w:tc>
          <w:tcPr>
            <w:tcW w:w="340" w:type="dxa"/>
            <w:vAlign w:val="bottom"/>
          </w:tcPr>
          <w:p>
            <w:pPr>
              <w:ind w:left="20"/>
              <w:spacing w:after="0"/>
              <w:rPr>
                <w:sz w:val="20"/>
                <w:szCs w:val="20"/>
                <w:color w:val="auto"/>
              </w:rPr>
            </w:pPr>
            <w:r>
              <w:rPr>
                <w:rFonts w:ascii="Arial" w:cs="Arial" w:eastAsia="Arial" w:hAnsi="Arial"/>
                <w:sz w:val="12"/>
                <w:szCs w:val="12"/>
                <w:color w:val="auto"/>
                <w:w w:val="85"/>
              </w:rPr>
              <w:t>P+275</w:t>
            </w:r>
          </w:p>
        </w:tc>
        <w:tc>
          <w:tcPr>
            <w:tcW w:w="220" w:type="dxa"/>
            <w:vAlign w:val="bottom"/>
            <w:gridSpan w:val="2"/>
          </w:tcPr>
          <w:p>
            <w:pPr>
              <w:ind w:left="40"/>
              <w:spacing w:after="0"/>
              <w:rPr>
                <w:sz w:val="20"/>
                <w:szCs w:val="20"/>
                <w:color w:val="auto"/>
              </w:rPr>
            </w:pPr>
            <w:r>
              <w:rPr>
                <w:rFonts w:ascii="Arial" w:cs="Arial" w:eastAsia="Arial" w:hAnsi="Arial"/>
                <w:sz w:val="12"/>
                <w:szCs w:val="12"/>
                <w:color w:val="auto"/>
                <w:w w:val="85"/>
              </w:rPr>
              <w:t>C $</w:t>
            </w:r>
          </w:p>
        </w:tc>
        <w:tc>
          <w:tcPr>
            <w:tcW w:w="580" w:type="dxa"/>
            <w:vAlign w:val="bottom"/>
          </w:tcPr>
          <w:p>
            <w:pPr>
              <w:jc w:val="right"/>
              <w:spacing w:after="0"/>
              <w:rPr>
                <w:sz w:val="20"/>
                <w:szCs w:val="20"/>
                <w:color w:val="auto"/>
              </w:rPr>
            </w:pPr>
            <w:r>
              <w:rPr>
                <w:rFonts w:ascii="Arial" w:cs="Arial" w:eastAsia="Arial" w:hAnsi="Arial"/>
                <w:sz w:val="12"/>
                <w:szCs w:val="12"/>
                <w:color w:val="auto"/>
              </w:rPr>
              <w:t>5,820,254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4,486,587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4,502,752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Maytex Mills,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12/27/2023</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6.71%</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L+450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8,761,452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8,721,691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8,783,355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McAfee,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09/30/2024</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6.74%</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L+450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7,425,000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7,359,161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7,482,024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09/28/2022</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7.20%</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2M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L+500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3,986,058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3,996,350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02/10/2023</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8.40%</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17,355,538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17,229,100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17,268,760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06/06/2024</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6.37%</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L+425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14,856,552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Olde Thompson,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05/14/2024</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6.66%</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L+450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13,965,000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13,825,350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13,965,000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03/27/2024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L+425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7,983,419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8,015,803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8,023,336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07/19/2021</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8.10%</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4,054,683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12/01/2022</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L+425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15,379,790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15,382,892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15,379,790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12/02/2021</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Media: Broadcasting and Subscription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7.58%</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L+525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10,516,049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10,459,746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10,410,888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04/03/2024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6.60%</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L+450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12,468,750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12,352,721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12,468,750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08/30/2024</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L+500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8,352,305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8,351,250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07/15/2024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9.14%</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L+675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3,921,923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03/01/2023</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4,678,730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4,636,563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10/18/2022</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11.25%</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L+900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4,866,299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Xebec Global Holdings, LLC</w:t>
            </w:r>
          </w:p>
        </w:tc>
        <w:tc>
          <w:tcPr>
            <w:tcW w:w="118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6"/>
              </w:rPr>
              <w:t>02/12/2024</w:t>
            </w:r>
          </w:p>
        </w:tc>
        <w:tc>
          <w:tcPr>
            <w:tcW w:w="2660" w:type="dxa"/>
            <w:vAlign w:val="bottom"/>
            <w:tcBorders>
              <w:bottom w:val="single" w:sz="8" w:color="CCECFF"/>
            </w:tcBorders>
            <w:gridSpan w:val="2"/>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7.84%</w:t>
            </w:r>
          </w:p>
        </w:tc>
        <w:tc>
          <w:tcPr>
            <w:tcW w:w="460" w:type="dxa"/>
            <w:vAlign w:val="bottom"/>
            <w:tcBorders>
              <w:bottom w:val="single" w:sz="8" w:color="CCECFF"/>
            </w:tcBorders>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Borders>
              <w:bottom w:val="single" w:sz="8" w:color="CCECFF"/>
            </w:tcBorders>
          </w:tcPr>
          <w:p>
            <w:pPr>
              <w:ind w:left="20"/>
              <w:spacing w:after="0"/>
              <w:rPr>
                <w:sz w:val="20"/>
                <w:szCs w:val="20"/>
                <w:color w:val="auto"/>
              </w:rPr>
            </w:pPr>
            <w:r>
              <w:rPr>
                <w:rFonts w:ascii="Arial" w:cs="Arial" w:eastAsia="Arial" w:hAnsi="Arial"/>
                <w:sz w:val="12"/>
                <w:szCs w:val="12"/>
                <w:color w:val="auto"/>
                <w:w w:val="88"/>
              </w:rPr>
              <w:t>L+550</w:t>
            </w:r>
          </w:p>
        </w:tc>
        <w:tc>
          <w:tcPr>
            <w:tcW w:w="1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6,749,730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6,721,428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6,665,359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425,336,210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425,420,881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7"/>
              </w:rPr>
              <w:t>Total Investments in Non-Controlled, Non-Affiliated Portfolio Companies</w:t>
            </w:r>
          </w:p>
        </w:tc>
        <w:tc>
          <w:tcPr>
            <w:tcW w:w="252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460" w:type="dxa"/>
            <w:vAlign w:val="bottom"/>
            <w:tcBorders>
              <w:bottom w:val="single" w:sz="8" w:color="CCECFF"/>
            </w:tcBorders>
          </w:tcPr>
          <w:p>
            <w:pPr>
              <w:spacing w:after="0"/>
              <w:rPr>
                <w:sz w:val="12"/>
                <w:szCs w:val="12"/>
                <w:color w:val="auto"/>
              </w:rPr>
            </w:pPr>
          </w:p>
        </w:tc>
        <w:tc>
          <w:tcPr>
            <w:tcW w:w="3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425,336,210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425,420,881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Equivalents—26.4%</w:t>
            </w:r>
          </w:p>
        </w:tc>
        <w:tc>
          <w:tcPr>
            <w:tcW w:w="118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12,510,098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12,510,098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18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1,010,029</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1,010,662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tcBorders>
              <w:bottom w:val="single" w:sz="8" w:color="CCECFF"/>
            </w:tcBorders>
          </w:tcPr>
          <w:p>
            <w:pPr>
              <w:spacing w:after="0"/>
              <w:rPr>
                <w:sz w:val="12"/>
                <w:szCs w:val="12"/>
                <w:color w:val="auto"/>
              </w:rPr>
            </w:pPr>
          </w:p>
        </w:tc>
        <w:tc>
          <w:tcPr>
            <w:tcW w:w="252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460" w:type="dxa"/>
            <w:vAlign w:val="bottom"/>
            <w:tcBorders>
              <w:bottom w:val="single" w:sz="8" w:color="CCECFF"/>
            </w:tcBorders>
          </w:tcPr>
          <w:p>
            <w:pPr>
              <w:spacing w:after="0"/>
              <w:rPr>
                <w:sz w:val="12"/>
                <w:szCs w:val="12"/>
                <w:color w:val="auto"/>
              </w:rPr>
            </w:pPr>
          </w:p>
        </w:tc>
        <w:tc>
          <w:tcPr>
            <w:tcW w:w="3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13,520,127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13,520,760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Equivalents—857.3%</w:t>
            </w:r>
          </w:p>
        </w:tc>
        <w:tc>
          <w:tcPr>
            <w:tcW w:w="1180" w:type="dxa"/>
            <w:vAlign w:val="bottom"/>
            <w:tcBorders>
              <w:bottom w:val="single" w:sz="8" w:color="CCECFF"/>
            </w:tcBorders>
            <w:shd w:val="clear" w:color="auto" w:fill="CCECFF"/>
          </w:tcPr>
          <w:p>
            <w:pPr>
              <w:spacing w:after="0"/>
              <w:rPr>
                <w:sz w:val="12"/>
                <w:szCs w:val="12"/>
                <w:color w:val="auto"/>
              </w:rPr>
            </w:pPr>
          </w:p>
        </w:tc>
        <w:tc>
          <w:tcPr>
            <w:tcW w:w="25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46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438,856,337</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438,941,641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Assets—(757.3)%</w:t>
            </w:r>
          </w:p>
        </w:tc>
        <w:tc>
          <w:tcPr>
            <w:tcW w:w="1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(387,744,237)</w:t>
            </w:r>
          </w:p>
        </w:tc>
        <w:tc>
          <w:tcPr>
            <w:tcW w:w="0" w:type="dxa"/>
            <w:vAlign w:val="bottom"/>
          </w:tcPr>
          <w:p>
            <w:pPr>
              <w:spacing w:after="0"/>
              <w:rPr>
                <w:sz w:val="1"/>
                <w:szCs w:val="1"/>
                <w:color w:val="auto"/>
              </w:rPr>
            </w:pPr>
          </w:p>
        </w:tc>
      </w:tr>
      <w:tr>
        <w:trPr>
          <w:trHeight w:val="149"/>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180" w:type="dxa"/>
            <w:vAlign w:val="bottom"/>
            <w:tcBorders>
              <w:bottom w:val="single" w:sz="8" w:color="CCECFF"/>
            </w:tcBorders>
            <w:shd w:val="clear" w:color="auto" w:fill="CCECFF"/>
          </w:tcPr>
          <w:p>
            <w:pPr>
              <w:spacing w:after="0"/>
              <w:rPr>
                <w:sz w:val="12"/>
                <w:szCs w:val="12"/>
                <w:color w:val="auto"/>
              </w:rPr>
            </w:pPr>
          </w:p>
        </w:tc>
        <w:tc>
          <w:tcPr>
            <w:tcW w:w="25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46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51,197,404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76" w:lineRule="exact"/>
        <w:rPr>
          <w:sz w:val="20"/>
          <w:szCs w:val="20"/>
          <w:color w:val="auto"/>
        </w:rPr>
      </w:pPr>
    </w:p>
    <w:p>
      <w:pPr>
        <w:ind w:left="380" w:right="160" w:hanging="372"/>
        <w:spacing w:after="0" w:line="252" w:lineRule="auto"/>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EURIBOR or “E”.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5880" w:type="dxa"/>
            <w:vAlign w:val="bottom"/>
            <w:gridSpan w:val="2"/>
          </w:tcPr>
          <w:p>
            <w:pPr>
              <w:ind w:left="240"/>
              <w:spacing w:after="0"/>
              <w:rPr>
                <w:sz w:val="20"/>
                <w:szCs w:val="20"/>
                <w:color w:val="auto"/>
              </w:rPr>
            </w:pPr>
            <w:r>
              <w:rPr>
                <w:rFonts w:ascii="Arial" w:cs="Arial" w:eastAsia="Arial" w:hAnsi="Arial"/>
                <w:sz w:val="14"/>
                <w:szCs w:val="14"/>
                <w:color w:val="auto"/>
              </w:rPr>
              <w:t>Below is the financial information for PSSL:</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60" w:type="dxa"/>
            <w:vAlign w:val="bottom"/>
            <w:gridSpan w:val="4"/>
          </w:tcPr>
          <w:p>
            <w:pPr>
              <w:jc w:val="center"/>
              <w:ind w:left="134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60" w:type="dxa"/>
            <w:vAlign w:val="bottom"/>
            <w:gridSpan w:val="4"/>
          </w:tcPr>
          <w:p>
            <w:pPr>
              <w:jc w:val="center"/>
              <w:ind w:left="1328"/>
              <w:spacing w:after="0"/>
              <w:rPr>
                <w:sz w:val="20"/>
                <w:szCs w:val="20"/>
                <w:color w:val="auto"/>
              </w:rPr>
            </w:pPr>
            <w:r>
              <w:rPr>
                <w:rFonts w:ascii="Arial" w:cs="Arial" w:eastAsia="Arial" w:hAnsi="Arial"/>
                <w:sz w:val="14"/>
                <w:szCs w:val="14"/>
                <w:b w:val="1"/>
                <w:bCs w:val="1"/>
                <w:color w:val="auto"/>
                <w:w w:val="90"/>
              </w:rPr>
              <w:t>Statements of Assets and Liabilities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3"/>
              </w:rPr>
              <w:t>September 30, 2019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2018</w:t>
            </w:r>
          </w:p>
        </w:tc>
        <w:tc>
          <w:tcPr>
            <w:tcW w:w="0" w:type="dxa"/>
            <w:vAlign w:val="bottom"/>
          </w:tcPr>
          <w:p>
            <w:pPr>
              <w:spacing w:after="0"/>
              <w:rPr>
                <w:sz w:val="1"/>
                <w:szCs w:val="1"/>
                <w:color w:val="auto"/>
              </w:rPr>
            </w:pPr>
          </w:p>
        </w:tc>
      </w:tr>
      <w:tr>
        <w:trPr>
          <w:trHeight w:val="156"/>
        </w:trPr>
        <w:tc>
          <w:tcPr>
            <w:tcW w:w="608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CCECFF"/>
            </w:tcBorders>
            <w:shd w:val="clear" w:color="auto" w:fill="CCECFF"/>
          </w:tcPr>
          <w:p>
            <w:pPr>
              <w:spacing w:after="0"/>
              <w:rPr>
                <w:sz w:val="13"/>
                <w:szCs w:val="13"/>
                <w:color w:val="auto"/>
              </w:rPr>
            </w:pPr>
          </w:p>
        </w:tc>
        <w:tc>
          <w:tcPr>
            <w:tcW w:w="1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gridSpan w:val="3"/>
          </w:tcPr>
          <w:p>
            <w:pPr>
              <w:spacing w:after="0"/>
              <w:rPr>
                <w:sz w:val="20"/>
                <w:szCs w:val="20"/>
                <w:color w:val="auto"/>
              </w:rPr>
            </w:pPr>
            <w:r>
              <w:rPr>
                <w:rFonts w:ascii="Arial" w:cs="Arial" w:eastAsia="Arial" w:hAnsi="Arial"/>
                <w:sz w:val="14"/>
                <w:szCs w:val="14"/>
                <w:color w:val="auto"/>
              </w:rPr>
              <w:t>Investments at fair value</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588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w w:val="97"/>
              </w:rPr>
              <w:t>Non-controlled, non-affiliated investments (cost—$494,413,190 and $425,336,210, respectively)</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8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488,549,847</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425,420,881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tcPr>
          <w:p>
            <w:pPr>
              <w:spacing w:after="0"/>
              <w:rPr>
                <w:sz w:val="20"/>
                <w:szCs w:val="20"/>
                <w:color w:val="auto"/>
              </w:rPr>
            </w:pPr>
            <w:r>
              <w:rPr>
                <w:rFonts w:ascii="Arial" w:cs="Arial" w:eastAsia="Arial" w:hAnsi="Arial"/>
                <w:sz w:val="14"/>
                <w:szCs w:val="14"/>
                <w:color w:val="auto"/>
              </w:rPr>
              <w:t>Cash and cash equivalents (cost—$15,322,531 and $13,520,127, respectively)</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15,294,881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13,520,760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1,855,545</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1,670,053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tcBorders>
              <w:bottom w:val="single" w:sz="8" w:color="CCECFF"/>
            </w:tcBorders>
          </w:tcPr>
          <w:p>
            <w:pPr>
              <w:spacing w:after="0"/>
              <w:rPr>
                <w:sz w:val="14"/>
                <w:szCs w:val="14"/>
                <w:color w:val="auto"/>
              </w:rPr>
            </w:pPr>
          </w:p>
        </w:tc>
        <w:tc>
          <w:tcPr>
            <w:tcW w:w="120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4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996,333</w:t>
            </w:r>
          </w:p>
        </w:tc>
        <w:tc>
          <w:tcPr>
            <w:tcW w:w="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2,784,477</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0" w:type="dxa"/>
            <w:vAlign w:val="bottom"/>
            <w:shd w:val="clear" w:color="auto" w:fill="CCECFF"/>
          </w:tcPr>
          <w:p>
            <w:pPr>
              <w:spacing w:after="0"/>
              <w:rPr>
                <w:sz w:val="13"/>
                <w:szCs w:val="13"/>
                <w:color w:val="auto"/>
              </w:rPr>
            </w:pPr>
          </w:p>
        </w:tc>
        <w:tc>
          <w:tcPr>
            <w:tcW w:w="588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506,696,606</w:t>
            </w:r>
          </w:p>
        </w:tc>
        <w:tc>
          <w:tcPr>
            <w:tcW w:w="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443,396,171</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PSSL Credit Facility payable</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308,724,305</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275,285,900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tcPr>
          <w:p>
            <w:pPr>
              <w:spacing w:after="0"/>
              <w:rPr>
                <w:sz w:val="20"/>
                <w:szCs w:val="20"/>
                <w:color w:val="auto"/>
              </w:rPr>
            </w:pPr>
            <w:r>
              <w:rPr>
                <w:rFonts w:ascii="Arial" w:cs="Arial" w:eastAsia="Arial" w:hAnsi="Arial"/>
                <w:sz w:val="14"/>
                <w:szCs w:val="14"/>
                <w:color w:val="auto"/>
              </w:rPr>
              <w:t>Notes payable to members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139,650,000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115,500,000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payable on PSSL Credit Facility</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1,015,468</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1,065,306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tcPr>
          <w:p>
            <w:pPr>
              <w:spacing w:after="0"/>
              <w:rPr>
                <w:sz w:val="20"/>
                <w:szCs w:val="20"/>
                <w:color w:val="auto"/>
              </w:rPr>
            </w:pPr>
            <w:r>
              <w:rPr>
                <w:rFonts w:ascii="Arial" w:cs="Arial" w:eastAsia="Arial" w:hAnsi="Arial"/>
                <w:sz w:val="14"/>
                <w:szCs w:val="14"/>
                <w:color w:val="auto"/>
              </w:rPr>
              <w:t>Interest payable on notes to members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176,273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99,966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4"/>
                <w:szCs w:val="14"/>
                <w:color w:val="auto"/>
              </w:rPr>
              <w:t>22,754</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247,595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0" w:type="dxa"/>
            <w:vAlign w:val="bottom"/>
            <w:tcBorders>
              <w:bottom w:val="single" w:sz="8" w:color="CCECFF"/>
            </w:tcBorders>
          </w:tcPr>
          <w:p>
            <w:pPr>
              <w:spacing w:after="0"/>
              <w:rPr>
                <w:sz w:val="13"/>
                <w:szCs w:val="13"/>
                <w:color w:val="auto"/>
              </w:rPr>
            </w:pPr>
          </w:p>
        </w:tc>
        <w:tc>
          <w:tcPr>
            <w:tcW w:w="5880" w:type="dxa"/>
            <w:vAlign w:val="bottom"/>
            <w:tcBorders>
              <w:bottom w:val="single" w:sz="8" w:color="CCECFF"/>
            </w:tcBorders>
            <w:gridSpan w:val="2"/>
          </w:tcPr>
          <w:p>
            <w:pPr>
              <w:ind w:left="540"/>
              <w:spacing w:after="0" w:line="155" w:lineRule="exact"/>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CCECFF"/>
            </w:tcBorders>
          </w:tcPr>
          <w:p>
            <w:pPr>
              <w:spacing w:after="0"/>
              <w:rPr>
                <w:sz w:val="13"/>
                <w:szCs w:val="13"/>
                <w:color w:val="auto"/>
              </w:rPr>
            </w:pPr>
          </w:p>
        </w:tc>
        <w:tc>
          <w:tcPr>
            <w:tcW w:w="120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4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449,588,800</w:t>
            </w:r>
          </w:p>
        </w:tc>
        <w:tc>
          <w:tcPr>
            <w:tcW w:w="2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392,198,767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8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1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Borders>
              <w:bottom w:val="single" w:sz="8" w:color="CCECFF"/>
            </w:tcBorders>
          </w:tcPr>
          <w:p>
            <w:pPr>
              <w:spacing w:after="0"/>
              <w:rPr>
                <w:sz w:val="13"/>
                <w:szCs w:val="13"/>
                <w:color w:val="auto"/>
              </w:rPr>
            </w:pPr>
          </w:p>
        </w:tc>
        <w:tc>
          <w:tcPr>
            <w:tcW w:w="5880" w:type="dxa"/>
            <w:vAlign w:val="bottom"/>
            <w:tcBorders>
              <w:bottom w:val="single" w:sz="8" w:color="CCECFF"/>
            </w:tcBorders>
            <w:gridSpan w:val="2"/>
          </w:tcPr>
          <w:p>
            <w:pPr>
              <w:ind w:left="540"/>
              <w:spacing w:after="0" w:line="155" w:lineRule="exact"/>
              <w:rPr>
                <w:sz w:val="20"/>
                <w:szCs w:val="20"/>
                <w:color w:val="auto"/>
              </w:rPr>
            </w:pPr>
            <w:r>
              <w:rPr>
                <w:rFonts w:ascii="Arial" w:cs="Arial" w:eastAsia="Arial" w:hAnsi="Arial"/>
                <w:sz w:val="14"/>
                <w:szCs w:val="14"/>
                <w:b w:val="1"/>
                <w:bCs w:val="1"/>
                <w:color w:val="auto"/>
              </w:rPr>
              <w:t>Members' equity</w:t>
            </w:r>
          </w:p>
        </w:tc>
        <w:tc>
          <w:tcPr>
            <w:tcW w:w="160" w:type="dxa"/>
            <w:vAlign w:val="bottom"/>
            <w:tcBorders>
              <w:bottom w:val="single" w:sz="8" w:color="CCECFF"/>
            </w:tcBorders>
          </w:tcPr>
          <w:p>
            <w:pPr>
              <w:spacing w:after="0"/>
              <w:rPr>
                <w:sz w:val="13"/>
                <w:szCs w:val="13"/>
                <w:color w:val="auto"/>
              </w:rPr>
            </w:pPr>
          </w:p>
        </w:tc>
        <w:tc>
          <w:tcPr>
            <w:tcW w:w="120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4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57,107,806</w:t>
            </w:r>
          </w:p>
        </w:tc>
        <w:tc>
          <w:tcPr>
            <w:tcW w:w="2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51,197,404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Borders>
              <w:bottom w:val="single" w:sz="8" w:color="CCECFF"/>
            </w:tcBorders>
            <w:shd w:val="clear" w:color="auto" w:fill="CCECFF"/>
          </w:tcPr>
          <w:p>
            <w:pPr>
              <w:spacing w:after="0"/>
              <w:rPr>
                <w:sz w:val="13"/>
                <w:szCs w:val="13"/>
                <w:color w:val="auto"/>
              </w:rPr>
            </w:pPr>
          </w:p>
        </w:tc>
        <w:tc>
          <w:tcPr>
            <w:tcW w:w="5880" w:type="dxa"/>
            <w:vAlign w:val="bottom"/>
            <w:tcBorders>
              <w:bottom w:val="single" w:sz="8" w:color="CCECFF"/>
            </w:tcBorders>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160" w:type="dxa"/>
            <w:vAlign w:val="bottom"/>
            <w:tcBorders>
              <w:bottom w:val="single" w:sz="8" w:color="CCECFF"/>
            </w:tcBorders>
            <w:shd w:val="clear" w:color="auto" w:fill="CCECFF"/>
          </w:tcPr>
          <w:p>
            <w:pPr>
              <w:spacing w:after="0"/>
              <w:rPr>
                <w:sz w:val="13"/>
                <w:szCs w:val="13"/>
                <w:color w:val="auto"/>
              </w:rPr>
            </w:pPr>
          </w:p>
        </w:tc>
        <w:tc>
          <w:tcPr>
            <w:tcW w:w="120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4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506,696,606</w:t>
            </w:r>
          </w:p>
        </w:tc>
        <w:tc>
          <w:tcPr>
            <w:tcW w:w="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443,396,171</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20"/>
                <w:szCs w:val="20"/>
                <w:color w:val="auto"/>
              </w:rPr>
            </w:pPr>
            <w:r>
              <w:rPr>
                <w:rFonts w:ascii="Arial" w:cs="Arial" w:eastAsia="Arial" w:hAnsi="Arial"/>
                <w:sz w:val="12"/>
                <w:szCs w:val="12"/>
                <w:color w:val="auto"/>
              </w:rPr>
              <w:t>(1)</w:t>
            </w:r>
          </w:p>
        </w:tc>
        <w:tc>
          <w:tcPr>
            <w:tcW w:w="5880" w:type="dxa"/>
            <w:vAlign w:val="bottom"/>
            <w:gridSpan w:val="2"/>
          </w:tcPr>
          <w:p>
            <w:pPr>
              <w:ind w:left="180"/>
              <w:spacing w:after="0"/>
              <w:rPr>
                <w:sz w:val="20"/>
                <w:szCs w:val="20"/>
                <w:color w:val="auto"/>
              </w:rPr>
            </w:pPr>
            <w:r>
              <w:rPr>
                <w:rFonts w:ascii="Arial" w:cs="Arial" w:eastAsia="Arial" w:hAnsi="Arial"/>
                <w:sz w:val="14"/>
                <w:szCs w:val="14"/>
                <w:color w:val="auto"/>
              </w:rPr>
              <w:t>PSSL had no unfunded commitments as of September 30, 2019 and 2018.</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60" w:type="dxa"/>
            <w:vAlign w:val="bottom"/>
            <w:gridSpan w:val="4"/>
          </w:tcPr>
          <w:p>
            <w:pPr>
              <w:jc w:val="center"/>
              <w:ind w:left="1348"/>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60" w:type="dxa"/>
            <w:vAlign w:val="bottom"/>
            <w:gridSpan w:val="4"/>
          </w:tcPr>
          <w:p>
            <w:pPr>
              <w:jc w:val="center"/>
              <w:ind w:left="1348"/>
              <w:spacing w:after="0"/>
              <w:rPr>
                <w:sz w:val="20"/>
                <w:szCs w:val="20"/>
                <w:color w:val="auto"/>
              </w:rPr>
            </w:pPr>
            <w:r>
              <w:rPr>
                <w:rFonts w:ascii="Arial" w:cs="Arial" w:eastAsia="Arial" w:hAnsi="Arial"/>
                <w:sz w:val="14"/>
                <w:szCs w:val="14"/>
                <w:b w:val="1"/>
                <w:bCs w:val="1"/>
                <w:color w:val="auto"/>
                <w:w w:val="91"/>
              </w:rPr>
              <w:t>Statements of Operations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For the period</w:t>
            </w:r>
          </w:p>
        </w:tc>
        <w:tc>
          <w:tcPr>
            <w:tcW w:w="0" w:type="dxa"/>
            <w:vAlign w:val="bottom"/>
          </w:tcPr>
          <w:p>
            <w:pPr>
              <w:spacing w:after="0"/>
              <w:rPr>
                <w:sz w:val="1"/>
                <w:szCs w:val="1"/>
                <w:color w:val="auto"/>
              </w:rPr>
            </w:pPr>
          </w:p>
        </w:tc>
      </w:tr>
      <w:tr>
        <w:trPr>
          <w:trHeight w:val="124"/>
        </w:trPr>
        <w:tc>
          <w:tcPr>
            <w:tcW w:w="2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restart"/>
          </w:tcPr>
          <w:p>
            <w:pPr>
              <w:jc w:val="center"/>
              <w:ind w:right="348"/>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May 4, 2017 (inception)</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4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through September 30,</w:t>
            </w:r>
          </w:p>
        </w:tc>
        <w:tc>
          <w:tcPr>
            <w:tcW w:w="0" w:type="dxa"/>
            <w:vAlign w:val="bottom"/>
          </w:tcPr>
          <w:p>
            <w:pPr>
              <w:spacing w:after="0"/>
              <w:rPr>
                <w:sz w:val="1"/>
                <w:szCs w:val="1"/>
                <w:color w:val="auto"/>
              </w:rPr>
            </w:pPr>
          </w:p>
        </w:tc>
      </w:tr>
      <w:tr>
        <w:trPr>
          <w:trHeight w:val="171"/>
        </w:trPr>
        <w:tc>
          <w:tcPr>
            <w:tcW w:w="200" w:type="dxa"/>
            <w:vAlign w:val="bottom"/>
            <w:tcBorders>
              <w:bottom w:val="single" w:sz="8" w:color="CCECFF"/>
            </w:tcBorders>
          </w:tcPr>
          <w:p>
            <w:pPr>
              <w:spacing w:after="0"/>
              <w:rPr>
                <w:sz w:val="14"/>
                <w:szCs w:val="14"/>
                <w:color w:val="auto"/>
              </w:rPr>
            </w:pPr>
          </w:p>
        </w:tc>
        <w:tc>
          <w:tcPr>
            <w:tcW w:w="1920" w:type="dxa"/>
            <w:vAlign w:val="bottom"/>
            <w:tcBorders>
              <w:bottom w:val="single" w:sz="8" w:color="CCECFF"/>
            </w:tcBorders>
          </w:tcPr>
          <w:p>
            <w:pPr>
              <w:spacing w:after="0"/>
              <w:rPr>
                <w:sz w:val="14"/>
                <w:szCs w:val="14"/>
                <w:color w:val="auto"/>
              </w:rPr>
            </w:pPr>
          </w:p>
        </w:tc>
        <w:tc>
          <w:tcPr>
            <w:tcW w:w="396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8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gridSpan w:val="3"/>
          </w:tcPr>
          <w:p>
            <w:pPr>
              <w:spacing w:after="0"/>
              <w:rPr>
                <w:sz w:val="20"/>
                <w:szCs w:val="20"/>
                <w:color w:val="auto"/>
              </w:rPr>
            </w:pPr>
            <w:r>
              <w:rPr>
                <w:rFonts w:ascii="Arial" w:cs="Arial" w:eastAsia="Arial" w:hAnsi="Arial"/>
                <w:sz w:val="14"/>
                <w:szCs w:val="14"/>
                <w:color w:val="auto"/>
              </w:rPr>
              <w:t>From non-controlled, non-affiliated investments: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588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w:t>
            </w: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39,288,981</w:t>
            </w:r>
          </w:p>
        </w:tc>
        <w:tc>
          <w:tcPr>
            <w:tcW w:w="140" w:type="dxa"/>
            <w:vAlign w:val="bottom"/>
            <w:shd w:val="clear" w:color="auto" w:fill="CCECFF"/>
          </w:tcPr>
          <w:p>
            <w:pPr>
              <w:spacing w:after="0"/>
              <w:rPr>
                <w:sz w:val="14"/>
                <w:szCs w:val="14"/>
                <w:color w:val="auto"/>
              </w:rPr>
            </w:pPr>
          </w:p>
        </w:tc>
        <w:tc>
          <w:tcPr>
            <w:tcW w:w="280" w:type="dxa"/>
            <w:vAlign w:val="bottom"/>
            <w:gridSpan w:val="3"/>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17,744,486</w:t>
            </w:r>
          </w:p>
        </w:tc>
        <w:tc>
          <w:tcPr>
            <w:tcW w:w="220" w:type="dxa"/>
            <w:vAlign w:val="bottom"/>
            <w:shd w:val="clear" w:color="auto" w:fill="CCECFF"/>
          </w:tcPr>
          <w:p>
            <w:pPr>
              <w:spacing w:after="0"/>
              <w:rPr>
                <w:sz w:val="14"/>
                <w:szCs w:val="14"/>
                <w:color w:val="auto"/>
              </w:rPr>
            </w:pPr>
          </w:p>
        </w:tc>
        <w:tc>
          <w:tcPr>
            <w:tcW w:w="1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1,365,433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880" w:type="dxa"/>
            <w:vAlign w:val="bottom"/>
            <w:gridSpan w:val="2"/>
          </w:tcPr>
          <w:p>
            <w:pPr>
              <w:ind w:left="6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785,111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280,080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0" w:type="dxa"/>
            <w:vAlign w:val="bottom"/>
            <w:tcBorders>
              <w:top w:val="single" w:sz="8" w:color="CCECFF"/>
            </w:tcBorders>
            <w:shd w:val="clear" w:color="auto" w:fill="CCECFF"/>
          </w:tcPr>
          <w:p>
            <w:pPr>
              <w:spacing w:after="0"/>
              <w:rPr>
                <w:sz w:val="13"/>
                <w:szCs w:val="13"/>
                <w:color w:val="auto"/>
              </w:rPr>
            </w:pPr>
          </w:p>
        </w:tc>
        <w:tc>
          <w:tcPr>
            <w:tcW w:w="5880" w:type="dxa"/>
            <w:vAlign w:val="bottom"/>
            <w:tcBorders>
              <w:top w:val="single" w:sz="8" w:color="CCECFF"/>
            </w:tcBorders>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40,074,092</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auto"/>
              <w:bottom w:val="single" w:sz="8" w:color="auto"/>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18,024,566</w:t>
            </w:r>
          </w:p>
        </w:tc>
        <w:tc>
          <w:tcPr>
            <w:tcW w:w="22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1,365,433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588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 and expenses on PSSL Credit Facility</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16,487,783</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7,654,035</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442,554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880" w:type="dxa"/>
            <w:vAlign w:val="bottom"/>
            <w:gridSpan w:val="2"/>
          </w:tcPr>
          <w:p>
            <w:pPr>
              <w:ind w:left="60"/>
              <w:spacing w:after="0"/>
              <w:rPr>
                <w:sz w:val="20"/>
                <w:szCs w:val="20"/>
                <w:color w:val="auto"/>
              </w:rPr>
            </w:pPr>
            <w:r>
              <w:rPr>
                <w:rFonts w:ascii="Arial" w:cs="Arial" w:eastAsia="Arial" w:hAnsi="Arial"/>
                <w:sz w:val="14"/>
                <w:szCs w:val="14"/>
                <w:color w:val="auto"/>
              </w:rPr>
              <w:t>Interest expense on notes to members</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14,247,817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6,060,468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585,840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588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Administrative services expenses</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1,150,000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650,000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67,528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bottom w:val="single" w:sz="8" w:color="CCECFF"/>
            </w:tcBorders>
          </w:tcPr>
          <w:p>
            <w:pPr>
              <w:spacing w:after="0"/>
              <w:rPr>
                <w:sz w:val="14"/>
                <w:szCs w:val="14"/>
                <w:color w:val="auto"/>
              </w:rPr>
            </w:pPr>
          </w:p>
        </w:tc>
        <w:tc>
          <w:tcPr>
            <w:tcW w:w="5880" w:type="dxa"/>
            <w:vAlign w:val="bottom"/>
            <w:tcBorders>
              <w:bottom w:val="single" w:sz="8" w:color="CCECFF"/>
            </w:tcBorders>
            <w:gridSpan w:val="2"/>
          </w:tcPr>
          <w:p>
            <w:pPr>
              <w:ind w:left="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454,600</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692,736</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148,936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CCECFF"/>
          </w:tcPr>
          <w:p>
            <w:pPr>
              <w:spacing w:after="0"/>
              <w:rPr>
                <w:sz w:val="13"/>
                <w:szCs w:val="13"/>
                <w:color w:val="auto"/>
              </w:rPr>
            </w:pPr>
          </w:p>
        </w:tc>
        <w:tc>
          <w:tcPr>
            <w:tcW w:w="5880" w:type="dxa"/>
            <w:vAlign w:val="bottom"/>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expenses</w:t>
            </w:r>
          </w:p>
        </w:tc>
        <w:tc>
          <w:tcPr>
            <w:tcW w:w="1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32,340,200</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 w:type="dxa"/>
            <w:vAlign w:val="bottom"/>
            <w:tcBorders>
              <w:bottom w:val="single" w:sz="8" w:color="auto"/>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15,057,239</w:t>
            </w: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1,244,858</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Borders>
              <w:bottom w:val="single" w:sz="8" w:color="CCECFF"/>
            </w:tcBorders>
          </w:tcPr>
          <w:p>
            <w:pPr>
              <w:spacing w:after="0"/>
              <w:rPr>
                <w:sz w:val="13"/>
                <w:szCs w:val="13"/>
                <w:color w:val="auto"/>
              </w:rPr>
            </w:pPr>
          </w:p>
        </w:tc>
        <w:tc>
          <w:tcPr>
            <w:tcW w:w="588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7,733,892</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2,967,327</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120,575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080" w:type="dxa"/>
            <w:vAlign w:val="bottom"/>
            <w:gridSpan w:val="3"/>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Realized and unrealized (loss) gain on investments and credit facility foreign</w:t>
            </w:r>
          </w:p>
        </w:tc>
        <w:tc>
          <w:tcPr>
            <w:tcW w:w="160" w:type="dxa"/>
            <w:vAlign w:val="bottom"/>
            <w:shd w:val="clear" w:color="auto" w:fill="CCECFF"/>
          </w:tcPr>
          <w:p>
            <w:pPr>
              <w:spacing w:after="0"/>
              <w:rPr>
                <w:sz w:val="11"/>
                <w:szCs w:val="11"/>
                <w:color w:val="auto"/>
              </w:rPr>
            </w:pPr>
          </w:p>
        </w:tc>
        <w:tc>
          <w:tcPr>
            <w:tcW w:w="1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080" w:type="dxa"/>
            <w:vAlign w:val="bottom"/>
            <w:gridSpan w:val="3"/>
            <w:shd w:val="clear" w:color="auto" w:fill="CCECFF"/>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tcPr>
          <w:p>
            <w:pPr>
              <w:spacing w:after="0"/>
              <w:rPr>
                <w:sz w:val="20"/>
                <w:szCs w:val="20"/>
                <w:color w:val="auto"/>
              </w:rPr>
            </w:pPr>
            <w:r>
              <w:rPr>
                <w:rFonts w:ascii="Arial" w:cs="Arial" w:eastAsia="Arial" w:hAnsi="Arial"/>
                <w:sz w:val="14"/>
                <w:szCs w:val="14"/>
                <w:color w:val="auto"/>
              </w:rPr>
              <w:t>Net realized (loss) gain on investments</w:t>
            </w: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(885,069)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111,215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100,920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880" w:type="dxa"/>
            <w:vAlign w:val="bottom"/>
            <w:gridSpan w:val="2"/>
          </w:tcPr>
          <w:p>
            <w:pPr>
              <w:ind w:left="60"/>
              <w:spacing w:after="0"/>
              <w:rPr>
                <w:sz w:val="20"/>
                <w:szCs w:val="20"/>
                <w:color w:val="auto"/>
              </w:rPr>
            </w:pPr>
            <w:r>
              <w:rPr>
                <w:rFonts w:ascii="Arial" w:cs="Arial" w:eastAsia="Arial" w:hAnsi="Arial"/>
                <w:sz w:val="14"/>
                <w:szCs w:val="14"/>
                <w:color w:val="auto"/>
              </w:rPr>
              <w:t>Non-controlled, non-affiliated investments</w:t>
            </w: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(5,976,299)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Arial" w:cs="Arial" w:eastAsia="Arial" w:hAnsi="Arial"/>
                <w:sz w:val="14"/>
                <w:szCs w:val="14"/>
                <w:color w:val="auto"/>
              </w:rPr>
              <w:t>(364,201)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449,505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588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Credit facility foreign currency translation</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1,887,878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882,899</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(70,836)</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58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Net change in unrealized (depreciation) appreciation on investments and credit</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58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facility foreign currency translations</w:t>
            </w: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(4,088,421)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518,698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378,669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080" w:type="dxa"/>
            <w:vAlign w:val="bottom"/>
            <w:tcBorders>
              <w:top w:val="single" w:sz="8" w:color="CCECFF"/>
            </w:tcBorders>
            <w:gridSpan w:val="3"/>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Net realized and unrealized (loss) gain from investments and credit facility foreign</w:t>
            </w:r>
          </w:p>
        </w:tc>
        <w:tc>
          <w:tcPr>
            <w:tcW w:w="160" w:type="dxa"/>
            <w:vAlign w:val="bottom"/>
            <w:tcBorders>
              <w:top w:val="single" w:sz="8" w:color="auto"/>
            </w:tcBorders>
            <w:shd w:val="clear" w:color="auto" w:fill="CCECFF"/>
          </w:tcPr>
          <w:p>
            <w:pPr>
              <w:spacing w:after="0"/>
              <w:rPr>
                <w:sz w:val="11"/>
                <w:szCs w:val="11"/>
                <w:color w:val="auto"/>
              </w:rPr>
            </w:pPr>
          </w:p>
        </w:tc>
        <w:tc>
          <w:tcPr>
            <w:tcW w:w="120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4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12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4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080" w:type="dxa"/>
            <w:vAlign w:val="bottom"/>
            <w:gridSpan w:val="3"/>
            <w:shd w:val="clear" w:color="auto" w:fill="CCECFF"/>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16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(4,973,490)</w:t>
            </w: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629,913</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479,589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2,760,402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3,597,240</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600,164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455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ind w:right="34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September 30, 2019, including borrowings under our Credit Facility, the 2023 Notes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 (millions)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8"/>
              <w:spacing w:after="0" w:line="133"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265.3</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ind w:left="1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265.3</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2023 Notes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138.6</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97.0</w:t>
            </w: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2031 Asset-Backed Debt</w:t>
            </w:r>
          </w:p>
        </w:tc>
        <w:tc>
          <w:tcPr>
            <w:tcW w:w="860" w:type="dxa"/>
            <w:vAlign w:val="bottom"/>
            <w:shd w:val="clear" w:color="auto" w:fill="CCECFF"/>
          </w:tcPr>
          <w:p>
            <w:pPr>
              <w:jc w:val="right"/>
              <w:ind w:right="708"/>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228.0</w:t>
            </w: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500" w:type="dxa"/>
            <w:vAlign w:val="bottom"/>
            <w:gridSpan w:val="2"/>
            <w:shd w:val="clear" w:color="auto" w:fill="CCEC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228.0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631.9</w:t>
            </w:r>
          </w:p>
        </w:tc>
        <w:tc>
          <w:tcPr>
            <w:tcW w:w="240" w:type="dxa"/>
            <w:vAlign w:val="bottom"/>
          </w:tcPr>
          <w:p>
            <w:pPr>
              <w:spacing w:after="0"/>
              <w:rPr>
                <w:sz w:val="13"/>
                <w:szCs w:val="13"/>
                <w:color w:val="auto"/>
              </w:rPr>
            </w:pPr>
          </w:p>
        </w:tc>
        <w:tc>
          <w:tcPr>
            <w:tcW w:w="1000" w:type="dxa"/>
            <w:vAlign w:val="bottom"/>
            <w:tcBorders>
              <w:top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tcPr>
          <w:p>
            <w:pPr>
              <w:ind w:left="1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41.6</w:t>
            </w:r>
          </w:p>
        </w:tc>
        <w:tc>
          <w:tcPr>
            <w:tcW w:w="240" w:type="dxa"/>
            <w:vAlign w:val="bottom"/>
          </w:tcPr>
          <w:p>
            <w:pPr>
              <w:spacing w:after="0"/>
              <w:rPr>
                <w:sz w:val="13"/>
                <w:szCs w:val="13"/>
                <w:color w:val="auto"/>
              </w:rPr>
            </w:pPr>
          </w:p>
        </w:tc>
        <w:tc>
          <w:tcPr>
            <w:tcW w:w="32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362.3</w:t>
            </w:r>
          </w:p>
        </w:tc>
        <w:tc>
          <w:tcPr>
            <w:tcW w:w="240" w:type="dxa"/>
            <w:vAlign w:val="bottom"/>
          </w:tcPr>
          <w:p>
            <w:pPr>
              <w:spacing w:after="0"/>
              <w:rPr>
                <w:sz w:val="13"/>
                <w:szCs w:val="13"/>
                <w:color w:val="auto"/>
              </w:rPr>
            </w:pPr>
          </w:p>
        </w:tc>
        <w:tc>
          <w:tcPr>
            <w:tcW w:w="20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Unfunded commitments to PSSL</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w:t>
            </w: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500" w:type="dxa"/>
            <w:vAlign w:val="bottom"/>
            <w:gridSpan w:val="2"/>
            <w:shd w:val="clear" w:color="auto" w:fill="CCEC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101.2</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24.9</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top w:val="single" w:sz="8" w:color="auto"/>
              <w:bottom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742.3</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CFF"/>
          </w:tcPr>
          <w:p>
            <w:pPr>
              <w:ind w:left="1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66.5</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417.1</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258.6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3455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64" w:lineRule="exact"/>
        <w:rPr>
          <w:sz w:val="20"/>
          <w:szCs w:val="20"/>
          <w:color w:val="auto"/>
        </w:rPr>
      </w:pPr>
    </w:p>
    <w:p>
      <w:pPr>
        <w:ind w:left="380" w:right="20" w:hanging="372"/>
        <w:spacing w:after="0" w:line="230" w:lineRule="auto"/>
        <w:tabs>
          <w:tab w:leader="none" w:pos="380" w:val="left"/>
        </w:tabs>
        <w:numPr>
          <w:ilvl w:val="0"/>
          <w:numId w:val="53"/>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September 30, 2019, excluding amendment costs and debt issuance costs, was 4.4% exclusive of the fee on the undrawn commitment on the Credit Facility.</w:t>
      </w: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12 of our Consolidated Financial Statements.</w:t>
      </w:r>
    </w:p>
    <w:p>
      <w:pPr>
        <w:spacing w:after="0" w:line="12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2019,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04"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2019,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115"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03" w:lineRule="exact"/>
        <w:rPr>
          <w:sz w:val="20"/>
          <w:szCs w:val="20"/>
          <w:color w:val="auto"/>
        </w:rPr>
      </w:pPr>
    </w:p>
    <w:p>
      <w:pPr>
        <w:ind w:right="140" w:firstLine="438"/>
        <w:spacing w:after="0" w:line="255" w:lineRule="auto"/>
        <w:rPr>
          <w:sz w:val="20"/>
          <w:szCs w:val="20"/>
          <w:color w:val="auto"/>
        </w:rPr>
      </w:pPr>
      <w:r>
        <w:rPr>
          <w:rFonts w:ascii="Arial" w:cs="Arial" w:eastAsia="Arial" w:hAnsi="Arial"/>
          <w:sz w:val="13"/>
          <w:szCs w:val="13"/>
          <w:color w:val="auto"/>
        </w:rPr>
        <w:t>During the years ended September 30, 2019 and 2018 and, we declared distributions of $1.14 and $1.14 per share, respectively, for total distributions of $44.2 million $43.6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On November 22, 2017, we terminated our dividend reinvestment plan. The termination of the plan applies to the reinvestment of cash distributions paid on or after December 22, 2017.</w:t>
      </w:r>
    </w:p>
    <w:p>
      <w:pPr>
        <w:spacing w:after="0" w:line="14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200" w:firstLine="438"/>
        <w:spacing w:after="0" w:line="233" w:lineRule="auto"/>
        <w:rPr>
          <w:sz w:val="20"/>
          <w:szCs w:val="20"/>
          <w:color w:val="auto"/>
        </w:rPr>
      </w:pPr>
      <w:r>
        <w:rPr>
          <w:rFonts w:ascii="Arial" w:cs="Arial" w:eastAsia="Arial" w:hAnsi="Arial"/>
          <w:sz w:val="14"/>
          <w:szCs w:val="14"/>
          <w:color w:val="auto"/>
        </w:rPr>
        <w:t>In August 2018, the FASB issued ASU 2018-13, which changed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17"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 xml:space="preserve">In August 2018, the SEC issued Securities Act Release No. 33-10532, </w:t>
      </w:r>
      <w:r>
        <w:rPr>
          <w:rFonts w:ascii="Arial" w:cs="Arial" w:eastAsia="Arial" w:hAnsi="Arial"/>
          <w:sz w:val="14"/>
          <w:szCs w:val="14"/>
          <w:i w:val="1"/>
          <w:iCs w:val="1"/>
          <w:color w:val="auto"/>
        </w:rPr>
        <w:t>Disclosure Update and Simplification</w:t>
      </w:r>
      <w:r>
        <w:rPr>
          <w:rFonts w:ascii="Arial" w:cs="Arial" w:eastAsia="Arial" w:hAnsi="Arial"/>
          <w:sz w:val="14"/>
          <w:szCs w:val="14"/>
          <w:color w:val="auto"/>
        </w:rPr>
        <w:t>, or the Final Rule Release, amending certain disclosure requirements that were redundant, duplicative, overlapping, outdated or superseded. The amendments are intended to facilitate the disclosure of information to investors and simplify compliance. The Final Rule Release became effective for all filings on or after November 5, 2018. We adopted these amendments as currently required and they are reflected in the Company’s consolidated financial statements and related disclosures. Certain prior year information has been adjusted to conform to these amendments.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8" w:name="page49"/>
    <w:bookmarkEnd w:id="48"/>
    <w:p>
      <w:pPr>
        <w:ind w:right="20" w:firstLine="438"/>
        <w:spacing w:after="0" w:line="231" w:lineRule="auto"/>
        <w:rPr>
          <w:sz w:val="20"/>
          <w:szCs w:val="20"/>
          <w:color w:val="auto"/>
        </w:rPr>
      </w:pPr>
      <w:r>
        <w:rPr>
          <w:rFonts w:ascii="Arial" w:cs="Arial" w:eastAsia="Arial" w:hAnsi="Arial"/>
          <w:sz w:val="14"/>
          <w:szCs w:val="14"/>
          <w:color w:val="auto"/>
        </w:rPr>
        <w:t xml:space="preserve">In March 2019, the SEC issued the Final Rule Release No. 33-10618, </w:t>
      </w:r>
      <w:r>
        <w:rPr>
          <w:rFonts w:ascii="Arial" w:cs="Arial" w:eastAsia="Arial" w:hAnsi="Arial"/>
          <w:sz w:val="14"/>
          <w:szCs w:val="14"/>
          <w:i w:val="1"/>
          <w:iCs w:val="1"/>
          <w:color w:val="auto"/>
        </w:rPr>
        <w:t>FAST Act Modernization and Simplification of Regulation S-K</w:t>
      </w:r>
      <w:r>
        <w:rPr>
          <w:rFonts w:ascii="Arial" w:cs="Arial" w:eastAsia="Arial" w:hAnsi="Arial"/>
          <w:sz w:val="14"/>
          <w:szCs w:val="14"/>
          <w:color w:val="auto"/>
        </w:rPr>
        <w:t>, which amends certain SEC disclosure requirements. The amendments are intended to simplify certain disclosure requirements and to provide for a consistent set of rules to govern incorporating information by reference and hyperlinking, improve readability and navigability of disclosure documents, and discourage repetition and disclosure of immaterial information. The amendments are effective for all filings submitted on or after May 2, 2019. We adopted these amendments as currently required and they are reflected in the Company’s consolidated financial statements and related disclosures. Certain prior year information has been adjusted to conform to these amendments.</w:t>
      </w:r>
    </w:p>
    <w:p>
      <w:pPr>
        <w:spacing w:after="0" w:line="11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September 30, 2019, our debt portfolio consisted of 99% variable-rate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03"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Change in Interest Rates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1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6"/>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500" w:type="dxa"/>
            <w:vAlign w:val="bottom"/>
            <w:tcBorders>
              <w:top w:val="single" w:sz="8" w:color="auto"/>
            </w:tcBorders>
            <w:shd w:val="clear" w:color="auto" w:fill="CCECFF"/>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2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(5,139)</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2980" w:type="dxa"/>
            <w:vAlign w:val="bottom"/>
          </w:tcPr>
          <w:p>
            <w:pPr>
              <w:jc w:val="right"/>
              <w:spacing w:after="0"/>
              <w:rPr>
                <w:sz w:val="20"/>
                <w:szCs w:val="20"/>
                <w:color w:val="auto"/>
              </w:rPr>
            </w:pPr>
            <w:r>
              <w:rPr>
                <w:rFonts w:ascii="Arial" w:cs="Arial" w:eastAsia="Arial" w:hAnsi="Arial"/>
                <w:sz w:val="14"/>
                <w:szCs w:val="14"/>
                <w:color w:val="auto"/>
              </w:rPr>
              <w:t>5,139</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20" w:type="dxa"/>
            <w:vAlign w:val="bottom"/>
            <w:gridSpan w:val="2"/>
            <w:shd w:val="clear" w:color="auto" w:fill="CCECFF"/>
          </w:tcPr>
          <w:p>
            <w:pPr>
              <w:jc w:val="right"/>
              <w:ind w:right="348"/>
              <w:spacing w:after="0"/>
              <w:rPr>
                <w:sz w:val="20"/>
                <w:szCs w:val="20"/>
                <w:color w:val="auto"/>
              </w:rPr>
            </w:pPr>
            <w:r>
              <w:rPr>
                <w:rFonts w:ascii="Arial" w:cs="Arial" w:eastAsia="Arial" w:hAnsi="Arial"/>
                <w:sz w:val="14"/>
                <w:szCs w:val="14"/>
                <w:color w:val="auto"/>
              </w:rPr>
              <w:t>$</w:t>
            </w:r>
          </w:p>
        </w:tc>
        <w:tc>
          <w:tcPr>
            <w:tcW w:w="2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10,279</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2980" w:type="dxa"/>
            <w:vAlign w:val="bottom"/>
          </w:tcPr>
          <w:p>
            <w:pPr>
              <w:jc w:val="right"/>
              <w:spacing w:after="0"/>
              <w:rPr>
                <w:sz w:val="20"/>
                <w:szCs w:val="20"/>
                <w:color w:val="auto"/>
              </w:rPr>
            </w:pPr>
            <w:r>
              <w:rPr>
                <w:rFonts w:ascii="Arial" w:cs="Arial" w:eastAsia="Arial" w:hAnsi="Arial"/>
                <w:sz w:val="14"/>
                <w:szCs w:val="14"/>
                <w:color w:val="auto"/>
              </w:rPr>
              <w:t>15,510</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20" w:type="dxa"/>
            <w:vAlign w:val="bottom"/>
            <w:gridSpan w:val="2"/>
            <w:shd w:val="clear" w:color="auto" w:fill="CCECFF"/>
          </w:tcPr>
          <w:p>
            <w:pPr>
              <w:jc w:val="right"/>
              <w:ind w:right="348"/>
              <w:spacing w:after="0"/>
              <w:rPr>
                <w:sz w:val="20"/>
                <w:szCs w:val="20"/>
                <w:color w:val="auto"/>
              </w:rPr>
            </w:pPr>
            <w:r>
              <w:rPr>
                <w:rFonts w:ascii="Arial" w:cs="Arial" w:eastAsia="Arial" w:hAnsi="Arial"/>
                <w:sz w:val="14"/>
                <w:szCs w:val="14"/>
                <w:color w:val="auto"/>
              </w:rPr>
              <w:t>$</w:t>
            </w:r>
          </w:p>
        </w:tc>
        <w:tc>
          <w:tcPr>
            <w:tcW w:w="2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20,835</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7780" w:type="dxa"/>
            <w:vAlign w:val="bottom"/>
          </w:tcPr>
          <w:p>
            <w:pPr>
              <w:jc w:val="right"/>
              <w:ind w:right="3728"/>
              <w:spacing w:after="0"/>
              <w:rPr>
                <w:sz w:val="20"/>
                <w:szCs w:val="20"/>
                <w:color w:val="auto"/>
              </w:rPr>
            </w:pPr>
            <w:r>
              <w:rPr>
                <w:rFonts w:ascii="Arial" w:cs="Arial" w:eastAsia="Arial" w:hAnsi="Arial"/>
                <w:sz w:val="14"/>
                <w:szCs w:val="14"/>
                <w:b w:val="1"/>
                <w:bCs w:val="1"/>
                <w:color w:val="auto"/>
                <w:w w:val="98"/>
              </w:rPr>
              <w:t>Consolidated Financial Statements and Supplementary Data</w:t>
            </w:r>
          </w:p>
        </w:tc>
        <w:tc>
          <w:tcPr>
            <w:tcW w:w="2760" w:type="dxa"/>
            <w:vAlign w:val="bottom"/>
          </w:tcPr>
          <w:p>
            <w:pPr>
              <w:spacing w:after="0"/>
              <w:rPr>
                <w:sz w:val="16"/>
                <w:szCs w:val="16"/>
                <w:color w:val="auto"/>
              </w:rPr>
            </w:pPr>
          </w:p>
        </w:tc>
      </w:tr>
      <w:tr>
        <w:trPr>
          <w:trHeight w:val="297"/>
        </w:trPr>
        <w:tc>
          <w:tcPr>
            <w:tcW w:w="7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76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Management’s Report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Report of Independent Registered Public Accounting Firm</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Report of Independent Registered Public Accounting Firm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Consolidated Statements of Assets and Liabilities as of September 30, 2019 and 2018</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5">
              <w:r>
                <w:rPr>
                  <w:rFonts w:ascii="Arial" w:cs="Arial" w:eastAsia="Arial" w:hAnsi="Arial"/>
                  <w:sz w:val="14"/>
                  <w:szCs w:val="14"/>
                  <w:u w:val="single" w:color="auto"/>
                  <w:color w:val="0000EE"/>
                </w:rPr>
                <w:t>Consolidated Statements of Operations for the years ended September 30, 2019, 2018 and 2017</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6">
              <w:r>
                <w:rPr>
                  <w:rFonts w:ascii="Arial" w:cs="Arial" w:eastAsia="Arial" w:hAnsi="Arial"/>
                  <w:sz w:val="14"/>
                  <w:szCs w:val="14"/>
                  <w:u w:val="single" w:color="auto"/>
                  <w:color w:val="0000EE"/>
                </w:rPr>
                <w:t>Consolidated Statements of Changes in Net Assets for the years ended September 30, 2019, 2018 and 2017</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7">
              <w:r>
                <w:rPr>
                  <w:rFonts w:ascii="Arial" w:cs="Arial" w:eastAsia="Arial" w:hAnsi="Arial"/>
                  <w:sz w:val="14"/>
                  <w:szCs w:val="14"/>
                  <w:u w:val="single" w:color="auto"/>
                  <w:color w:val="0000EE"/>
                </w:rPr>
                <w:t>Consolidated Statements of Cash Flows for the years ended September 30, 2019, 2018 and 2017</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58">
              <w:r>
                <w:rPr>
                  <w:rFonts w:ascii="Arial" w:cs="Arial" w:eastAsia="Arial" w:hAnsi="Arial"/>
                  <w:sz w:val="14"/>
                  <w:szCs w:val="14"/>
                  <w:u w:val="single" w:color="auto"/>
                  <w:color w:val="0000EE"/>
                </w:rPr>
                <w:t>Consolidated Schedules of Investments as of September 30, 2019 and 2018</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97"/>
        </w:trPr>
        <w:tc>
          <w:tcPr>
            <w:tcW w:w="8500" w:type="dxa"/>
            <w:vAlign w:val="bottom"/>
            <w:gridSpan w:val="2"/>
          </w:tcPr>
          <w:p>
            <w:pPr>
              <w:spacing w:after="0"/>
              <w:rPr>
                <w:rFonts w:ascii="Arial" w:cs="Arial" w:eastAsia="Arial" w:hAnsi="Arial"/>
                <w:sz w:val="14"/>
                <w:szCs w:val="14"/>
                <w:u w:val="single" w:color="auto"/>
                <w:color w:val="0000EE"/>
              </w:rPr>
            </w:pPr>
            <w:hyperlink w:anchor="page65">
              <w:r>
                <w:rPr>
                  <w:rFonts w:ascii="Arial" w:cs="Arial" w:eastAsia="Arial" w:hAnsi="Arial"/>
                  <w:sz w:val="14"/>
                  <w:szCs w:val="14"/>
                  <w:u w:val="single" w:color="auto"/>
                  <w:color w:val="0000EE"/>
                </w:rPr>
                <w:t>Notes to the Consolidated Financial Statements</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662"/>
        </w:trPr>
        <w:tc>
          <w:tcPr>
            <w:tcW w:w="720" w:type="dxa"/>
            <w:vAlign w:val="bottom"/>
          </w:tcPr>
          <w:p>
            <w:pPr>
              <w:spacing w:after="0"/>
              <w:rPr>
                <w:sz w:val="24"/>
                <w:szCs w:val="24"/>
                <w:color w:val="auto"/>
              </w:rPr>
            </w:pPr>
          </w:p>
        </w:tc>
        <w:tc>
          <w:tcPr>
            <w:tcW w:w="7780" w:type="dxa"/>
            <w:vAlign w:val="bottom"/>
          </w:tcPr>
          <w:p>
            <w:pPr>
              <w:jc w:val="right"/>
              <w:ind w:right="2728"/>
              <w:spacing w:after="0"/>
              <w:rPr>
                <w:sz w:val="20"/>
                <w:szCs w:val="20"/>
                <w:color w:val="auto"/>
              </w:rPr>
            </w:pPr>
            <w:r>
              <w:rPr>
                <w:rFonts w:ascii="Arial" w:cs="Arial" w:eastAsia="Arial" w:hAnsi="Arial"/>
                <w:sz w:val="14"/>
                <w:szCs w:val="14"/>
                <w:color w:val="auto"/>
              </w:rPr>
              <w:t>48</w:t>
            </w:r>
          </w:p>
        </w:tc>
        <w:tc>
          <w:tcPr>
            <w:tcW w:w="2760" w:type="dxa"/>
            <w:vAlign w:val="bottom"/>
          </w:tcPr>
          <w:p>
            <w:pPr>
              <w:spacing w:after="0"/>
              <w:rPr>
                <w:sz w:val="24"/>
                <w:szCs w:val="24"/>
                <w:color w:val="auto"/>
              </w:rPr>
            </w:pPr>
          </w:p>
        </w:tc>
      </w:tr>
      <w:tr>
        <w:trPr>
          <w:trHeight w:val="100"/>
        </w:trPr>
        <w:tc>
          <w:tcPr>
            <w:tcW w:w="720" w:type="dxa"/>
            <w:vAlign w:val="bottom"/>
            <w:tcBorders>
              <w:bottom w:val="single" w:sz="8" w:color="9A9A9A"/>
            </w:tcBorders>
          </w:tcPr>
          <w:p>
            <w:pPr>
              <w:spacing w:after="0"/>
              <w:rPr>
                <w:sz w:val="8"/>
                <w:szCs w:val="8"/>
                <w:color w:val="auto"/>
              </w:rPr>
            </w:pPr>
          </w:p>
        </w:tc>
        <w:tc>
          <w:tcPr>
            <w:tcW w:w="778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74"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2019. Our internal control system is a process designed to provide reasonable assurance to our management and board of directors regarding the preparation and fair presentation of published financial statements.</w:t>
      </w:r>
    </w:p>
    <w:p>
      <w:pPr>
        <w:spacing w:after="0" w:line="117"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 xml:space="preserve">Management assessed the effectiveness of the Company’s internal control over financial reporting as of September 30, 2019. In making this assessment, we used the criteria set forth by the Committee of Sponsoring Organizations of the Treadway Commission in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2019, our internal control over financial reporting is effective based on those criteria.</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Company’s independent registered public accounting firm has issued an audit report on the effectiveness of our internal control over financial reporting as of September 30, 2019.</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This report appears on page 51.</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4"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We have audited the accompanying consolidated statements of assets and liabilities, including the consolidated schedules of investments, of PennantPark Floating Rate Capital Ltd. and its Subsidiaries (collectively referred to as the Company) as of September 30, 2019 and 2018, and the related consolidated statements of operations, changes in net assets and cash flows for each of the three years in the period ended September 30, 2019, and the related notes to the consolidated financial statements of the Company (collectively, the financial statements). In our opinion, the financial statements present fairly, in all material respects, the financial position of the Company as of September 30, 2019 and 2018, and the results of its operations and its cash flows for each of the three years in the period ended September 30, 2019, in conformity with accounting principles generally accepted in the United States of America, and in our opinion, the related financial statement schedules, when considered in relation to the basic consolidated financial statements taken as a whole, presents fairly in all material respects the information set forth therein.</w:t>
      </w:r>
    </w:p>
    <w:p>
      <w:pPr>
        <w:spacing w:after="0" w:line="112"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(PCAOB), PennantPark Floating Rate Capital Ltd. and its Subsidiaries’ internal control over financial reporting as of September 30, 2019,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 and our report dated November 20, 2019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4" w:lineRule="exact"/>
        <w:rPr>
          <w:sz w:val="20"/>
          <w:szCs w:val="20"/>
          <w:color w:val="auto"/>
        </w:rPr>
      </w:pPr>
    </w:p>
    <w:p>
      <w:pPr>
        <w:jc w:val="both"/>
        <w:ind w:right="140"/>
        <w:spacing w:after="0" w:line="232"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5"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September 30, 2019, by correspondence with the custodians and brokers or by other appropriate auditing procedures where replies from brokers were not received. We believe that our audits provide a reasonable basis for our opinion.</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20, 2019</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Internal Control Over Financial Reporting</w:t>
      </w:r>
    </w:p>
    <w:p>
      <w:pPr>
        <w:spacing w:after="0" w:line="4" w:lineRule="exact"/>
        <w:rPr>
          <w:sz w:val="20"/>
          <w:szCs w:val="20"/>
          <w:color w:val="auto"/>
        </w:rPr>
      </w:pPr>
    </w:p>
    <w:p>
      <w:pPr>
        <w:ind w:right="80"/>
        <w:spacing w:after="0" w:line="229" w:lineRule="auto"/>
        <w:rPr>
          <w:sz w:val="20"/>
          <w:szCs w:val="20"/>
          <w:color w:val="auto"/>
        </w:rPr>
      </w:pPr>
      <w:r>
        <w:rPr>
          <w:rFonts w:ascii="Arial" w:cs="Arial" w:eastAsia="Arial" w:hAnsi="Arial"/>
          <w:sz w:val="14"/>
          <w:szCs w:val="14"/>
          <w:color w:val="auto"/>
        </w:rPr>
        <w:t xml:space="preserve">We have audited PennantPark Floating Rate Capital Ltd. and its Subsidiaries' (collectively referred to as the Company) internal control over financial reporting as of September 30, 2019,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 In our opinion, the Company maintained, in all material respects, effective internal control over financial reporting as of September 30, 2019,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w:t>
      </w:r>
    </w:p>
    <w:p>
      <w:pPr>
        <w:spacing w:after="0" w:line="116" w:lineRule="exact"/>
        <w:rPr>
          <w:sz w:val="20"/>
          <w:szCs w:val="20"/>
          <w:color w:val="auto"/>
        </w:rPr>
      </w:pPr>
    </w:p>
    <w:p>
      <w:pPr>
        <w:ind w:right="220"/>
        <w:spacing w:after="0" w:line="238"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statements of assets and liabilities, including the consolidated schedules of investments as of September 30, 2019 and 2018, the related consolidated statements of operations, changes in net assets and cash flows for each of the three years in the period ended September 30, 2019, and the related notes to the consolidated financial statements (collectively, the financial statements) of the Company and our report dated November 20, 2019 expressed an unqualified opinion.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4"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ind w:right="300"/>
        <w:spacing w:after="0" w:line="29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20, 2019</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2019</w:t>
            </w:r>
          </w:p>
        </w:tc>
        <w:tc>
          <w:tcPr>
            <w:tcW w:w="12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2018</w:t>
            </w: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(cost—$886,955,156 and $856,893,017, respectively)</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889,113,264</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854,753,064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Non-controlled, affiliated investments (cost—$23,645,693 and zero, respectively)</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20,430,565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(cost—$174,562,500 and $144,375,000, respectively)</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172,163,080</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145,860,229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ind w:left="260"/>
              <w:spacing w:after="0" w:line="155" w:lineRule="exact"/>
              <w:rPr>
                <w:sz w:val="20"/>
                <w:szCs w:val="20"/>
                <w:color w:val="auto"/>
              </w:rPr>
            </w:pPr>
            <w:r>
              <w:rPr>
                <w:rFonts w:ascii="Arial" w:cs="Arial" w:eastAsia="Arial" w:hAnsi="Arial"/>
                <w:sz w:val="14"/>
                <w:szCs w:val="14"/>
                <w:color w:val="auto"/>
              </w:rPr>
              <w:t>Total of investments (cost—$1,085,172,349 and $1,001,268,017, respectively)</w:t>
            </w:r>
          </w:p>
        </w:tc>
        <w:tc>
          <w:tcPr>
            <w:tcW w:w="14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1,081,706,909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1,000,613,293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Cash and cash equivalents (cost—$63,367,237 and $72,231,801, respectively)</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63,337,728</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72,224,183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receivable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3,892,292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2,813,808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Receivable for investments sold</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2,997,546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441,337</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792,069</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1,152,375,812</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1,076,443,353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Distributions payable</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3,683,347</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3,683,347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Payable for investments purchased</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12,033,794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59,587,222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Credit Facility payable, at fair value (cost—$265,307,500 and $333,727,520, respectively) (See Notes 5 and 11)</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263,988,583</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332,128,815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2023 Notes payable, at fair value (par—$138,579,858 and $138,579,858, respectively) (See Notes 5 and 11)</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135,240,084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135,503,385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2031 Asset-Backed Debt, net (par—$228,000,000 and zero, respectively) (See Notes 5 and 11)</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224,321,845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payable on debt</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3,275,481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2,638,504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Base management fee payable (See Note 3)</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2,728,019</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2,419,629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Performance-based incentive fee payable (See Note 3)</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2,532,205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3,298,404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1,514,943</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1,342,479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649,318,301</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540,601,785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12)</w:t>
            </w:r>
          </w:p>
        </w:tc>
        <w:tc>
          <w:tcPr>
            <w:tcW w:w="14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Common stock, 38,772,074 and 38,772,074 shares issued and outstanding, respectively</w:t>
            </w:r>
          </w:p>
        </w:tc>
        <w:tc>
          <w:tcPr>
            <w:tcW w:w="140" w:type="dxa"/>
            <w:vAlign w:val="bottom"/>
            <w:shd w:val="clear" w:color="auto" w:fill="CCECFF"/>
          </w:tcPr>
          <w:p>
            <w:pPr>
              <w:spacing w:after="0"/>
              <w:rPr>
                <w:sz w:val="12"/>
                <w:szCs w:val="12"/>
                <w:color w:val="auto"/>
              </w:rPr>
            </w:pPr>
          </w:p>
        </w:tc>
        <w:tc>
          <w:tcPr>
            <w:tcW w:w="14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38,772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38,772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Paid-in capital in excess of par value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538,632,828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539,462,336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Distributable income</w:t>
            </w:r>
          </w:p>
        </w:tc>
        <w:tc>
          <w:tcPr>
            <w:tcW w:w="14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(35,614,089)</w:t>
            </w: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(3,659,540)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net assets</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503,057,511</w:t>
            </w:r>
          </w:p>
        </w:tc>
        <w:tc>
          <w:tcPr>
            <w:tcW w:w="28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535,841,568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1,152,375,812</w:t>
            </w:r>
          </w:p>
        </w:tc>
        <w:tc>
          <w:tcPr>
            <w:tcW w:w="28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1,076,443,353</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12.97</w:t>
            </w:r>
          </w:p>
        </w:tc>
        <w:tc>
          <w:tcPr>
            <w:tcW w:w="2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tcPr>
          <w:p>
            <w:pPr>
              <w:spacing w:after="0"/>
              <w:rPr>
                <w:sz w:val="13"/>
                <w:szCs w:val="13"/>
                <w:color w:val="auto"/>
              </w:rPr>
            </w:pPr>
          </w:p>
        </w:tc>
        <w:tc>
          <w:tcPr>
            <w:tcW w:w="82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8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12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69,319,954</w:t>
            </w:r>
          </w:p>
        </w:tc>
        <w:tc>
          <w:tcPr>
            <w:tcW w:w="60" w:type="dxa"/>
            <w:vAlign w:val="bottom"/>
            <w:shd w:val="clear" w:color="auto" w:fill="CCECFF"/>
          </w:tcPr>
          <w:p>
            <w:pPr>
              <w:spacing w:after="0"/>
              <w:rPr>
                <w:sz w:val="14"/>
                <w:szCs w:val="14"/>
                <w:color w:val="auto"/>
              </w:rPr>
            </w:pPr>
          </w:p>
        </w:tc>
        <w:tc>
          <w:tcPr>
            <w:tcW w:w="48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62,469,275</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52,772,368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3,497,784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2,244,895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1,660,371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Settlement proceeds</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4,551,485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1,237,675</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127,734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12,464,035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5,302,909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512,610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Dividend</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6,300,000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2,187,500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82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92,947,182</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72,204,579</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59,496,834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8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10,209,566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8,351,653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6,902,645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6,204,112</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2,399,249</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6,217,210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11)</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22,540,098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14,359,908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8,338,880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1,550,000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2,000,000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2,245,000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82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2,464,306</w:t>
            </w:r>
          </w:p>
        </w:tc>
        <w:tc>
          <w:tcPr>
            <w:tcW w:w="60" w:type="dxa"/>
            <w:vAlign w:val="bottom"/>
            <w:tcBorders>
              <w:bottom w:val="single" w:sz="8" w:color="CCECFF"/>
            </w:tcBorders>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2,460,582</w:t>
            </w:r>
          </w:p>
        </w:tc>
        <w:tc>
          <w:tcPr>
            <w:tcW w:w="24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1,935,000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amendment costs, debt issuance costs and provision for taxes</w:t>
            </w:r>
          </w:p>
        </w:tc>
        <w:tc>
          <w:tcPr>
            <w:tcW w:w="8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42,968,082</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29,571,392</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25,638,735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Credit Facility amendment costs and debt issuance costs (See Notes 5 and 11)</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4,517,292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10,869,098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112,736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800,000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82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47,485,374</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41,240,490</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26,051,471</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82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45,461,808</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30,964,089</w:t>
            </w:r>
          </w:p>
        </w:tc>
        <w:tc>
          <w:tcPr>
            <w:tcW w:w="24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33,445,363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(loss) gain on:</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(18,802,365)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(2,327,118)</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5,410,903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and non-controlled, affiliated investments</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(12,621,504)</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84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Net realized (loss) gain on investments</w:t>
            </w:r>
          </w:p>
        </w:tc>
        <w:tc>
          <w:tcPr>
            <w:tcW w:w="8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(31,423,869)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(2,327,118)</w:t>
            </w: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5,410,903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2,640,050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(3,857,170)</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537,029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and non-controlled, affiliated investments</w:t>
            </w:r>
          </w:p>
        </w:tc>
        <w:tc>
          <w:tcPr>
            <w:tcW w:w="8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(5,245,396)</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960,087</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525,143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Debt (appreciation) depreciation (See Note 5 and 11)</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(16,487)</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7,750,334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(3,593,158)</w:t>
            </w:r>
          </w:p>
        </w:tc>
        <w:tc>
          <w:tcPr>
            <w:tcW w:w="0" w:type="dxa"/>
            <w:vAlign w:val="bottom"/>
          </w:tcPr>
          <w:p>
            <w:pPr>
              <w:spacing w:after="0"/>
              <w:rPr>
                <w:sz w:val="1"/>
                <w:szCs w:val="1"/>
                <w:color w:val="auto"/>
              </w:rPr>
            </w:pPr>
          </w:p>
        </w:tc>
      </w:tr>
      <w:tr>
        <w:trPr>
          <w:trHeight w:val="156"/>
        </w:trPr>
        <w:tc>
          <w:tcPr>
            <w:tcW w:w="584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82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(2,621,833)</w:t>
            </w: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4,853,251</w:t>
            </w:r>
          </w:p>
        </w:tc>
        <w:tc>
          <w:tcPr>
            <w:tcW w:w="24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(2,530,986)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82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(34,045,702)</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2,526,133</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2,879,917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82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11,416,106</w:t>
            </w:r>
          </w:p>
        </w:tc>
        <w:tc>
          <w:tcPr>
            <w:tcW w:w="6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33,490,222</w:t>
            </w:r>
          </w:p>
        </w:tc>
        <w:tc>
          <w:tcPr>
            <w:tcW w:w="24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36,325,280</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4"/>
                <w:szCs w:val="14"/>
                <w:color w:val="auto"/>
              </w:rPr>
              <w:t>Net increase in net assets resulting from operations per common share (See Note 7)</w:t>
            </w:r>
          </w:p>
        </w:tc>
        <w:tc>
          <w:tcPr>
            <w:tcW w:w="1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tcBorders>
              <w:bottom w:val="single" w:sz="8" w:color="CCECFF"/>
            </w:tcBorders>
            <w:vMerge w:val="continue"/>
          </w:tcPr>
          <w:p>
            <w:pPr>
              <w:spacing w:after="0"/>
              <w:rPr>
                <w:sz w:val="15"/>
                <w:szCs w:val="15"/>
                <w:color w:val="auto"/>
              </w:rPr>
            </w:pPr>
          </w:p>
        </w:tc>
        <w:tc>
          <w:tcPr>
            <w:tcW w:w="82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0.29</w:t>
            </w:r>
          </w:p>
        </w:tc>
        <w:tc>
          <w:tcPr>
            <w:tcW w:w="60" w:type="dxa"/>
            <w:vAlign w:val="bottom"/>
            <w:tcBorders>
              <w:bottom w:val="single" w:sz="8" w:color="CCECFF"/>
            </w:tcBorders>
          </w:tcPr>
          <w:p>
            <w:pPr>
              <w:spacing w:after="0"/>
              <w:rPr>
                <w:sz w:val="15"/>
                <w:szCs w:val="15"/>
                <w:color w:val="auto"/>
              </w:rPr>
            </w:pPr>
          </w:p>
        </w:tc>
        <w:tc>
          <w:tcPr>
            <w:tcW w:w="18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0.87</w:t>
            </w:r>
          </w:p>
        </w:tc>
        <w:tc>
          <w:tcPr>
            <w:tcW w:w="24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1.20</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84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82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1.17</w:t>
            </w:r>
          </w:p>
        </w:tc>
        <w:tc>
          <w:tcPr>
            <w:tcW w:w="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0.81</w:t>
            </w:r>
          </w:p>
        </w:tc>
        <w:tc>
          <w:tcPr>
            <w:tcW w:w="24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1.10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420" w:type="dxa"/>
            <w:vAlign w:val="bottom"/>
            <w:tcBorders>
              <w:bottom w:val="single" w:sz="8" w:color="CCECFF"/>
            </w:tcBorders>
          </w:tcPr>
          <w:p>
            <w:pPr>
              <w:spacing w:after="0"/>
              <w:rPr>
                <w:sz w:val="13"/>
                <w:szCs w:val="13"/>
                <w:color w:val="auto"/>
              </w:rPr>
            </w:pPr>
          </w:p>
        </w:tc>
        <w:tc>
          <w:tcPr>
            <w:tcW w:w="1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r>
      <w:tr>
        <w:trPr>
          <w:trHeight w:val="156"/>
        </w:trPr>
        <w:tc>
          <w:tcPr>
            <w:tcW w:w="54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from operations:</w:t>
            </w:r>
          </w:p>
        </w:tc>
        <w:tc>
          <w:tcPr>
            <w:tcW w:w="1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45,461,808</w:t>
            </w:r>
          </w:p>
        </w:tc>
        <w:tc>
          <w:tcPr>
            <w:tcW w:w="60" w:type="dxa"/>
            <w:vAlign w:val="bottom"/>
          </w:tcPr>
          <w:p>
            <w:pPr>
              <w:spacing w:after="0"/>
              <w:rPr>
                <w:sz w:val="14"/>
                <w:szCs w:val="14"/>
                <w:color w:val="auto"/>
              </w:rPr>
            </w:pP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30,964,089</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33,445,363</w:t>
            </w:r>
          </w:p>
        </w:tc>
        <w:tc>
          <w:tcPr>
            <w:tcW w:w="100" w:type="dxa"/>
            <w:vAlign w:val="bottom"/>
          </w:tcPr>
          <w:p>
            <w:pPr>
              <w:spacing w:after="0"/>
              <w:rPr>
                <w:sz w:val="14"/>
                <w:szCs w:val="14"/>
                <w:color w:val="auto"/>
              </w:rPr>
            </w:pPr>
          </w:p>
        </w:tc>
      </w:tr>
      <w:tr>
        <w:trPr>
          <w:trHeight w:val="162"/>
        </w:trPr>
        <w:tc>
          <w:tcPr>
            <w:tcW w:w="54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gain on investments</w:t>
            </w:r>
          </w:p>
        </w:tc>
        <w:tc>
          <w:tcPr>
            <w:tcW w:w="1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(31,423,869)</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(2,327,118)</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5,410,903</w:t>
            </w:r>
          </w:p>
        </w:tc>
        <w:tc>
          <w:tcPr>
            <w:tcW w:w="100" w:type="dxa"/>
            <w:vAlign w:val="bottom"/>
            <w:shd w:val="clear" w:color="auto" w:fill="CCECFF"/>
          </w:tcPr>
          <w:p>
            <w:pPr>
              <w:spacing w:after="0"/>
              <w:rPr>
                <w:sz w:val="14"/>
                <w:szCs w:val="14"/>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(2,605,346)</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(2,897,083)</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1,062,172</w:t>
            </w:r>
          </w:p>
        </w:tc>
        <w:tc>
          <w:tcPr>
            <w:tcW w:w="100" w:type="dxa"/>
            <w:vAlign w:val="bottom"/>
          </w:tcPr>
          <w:p>
            <w:pPr>
              <w:spacing w:after="0"/>
              <w:rPr>
                <w:sz w:val="14"/>
                <w:szCs w:val="14"/>
                <w:color w:val="auto"/>
              </w:rPr>
            </w:pPr>
          </w:p>
        </w:tc>
      </w:tr>
      <w:tr>
        <w:trPr>
          <w:trHeight w:val="162"/>
        </w:trPr>
        <w:tc>
          <w:tcPr>
            <w:tcW w:w="54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debt</w:t>
            </w:r>
          </w:p>
        </w:tc>
        <w:tc>
          <w:tcPr>
            <w:tcW w:w="1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(16,487)</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7,750,334</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(3,593,158)</w:t>
            </w:r>
          </w:p>
        </w:tc>
      </w:tr>
      <w:tr>
        <w:trPr>
          <w:trHeight w:val="155"/>
        </w:trPr>
        <w:tc>
          <w:tcPr>
            <w:tcW w:w="54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11,416,106</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33,490,222</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36,325,280</w:t>
            </w:r>
          </w:p>
        </w:tc>
        <w:tc>
          <w:tcPr>
            <w:tcW w:w="100" w:type="dxa"/>
            <w:vAlign w:val="bottom"/>
            <w:tcBorders>
              <w:bottom w:val="single" w:sz="8" w:color="CCECFF"/>
            </w:tcBorders>
          </w:tcPr>
          <w:p>
            <w:pPr>
              <w:spacing w:after="0"/>
              <w:rPr>
                <w:sz w:val="13"/>
                <w:szCs w:val="13"/>
                <w:color w:val="auto"/>
              </w:rPr>
            </w:pPr>
          </w:p>
        </w:tc>
      </w:tr>
      <w:tr>
        <w:trPr>
          <w:trHeight w:val="156"/>
        </w:trPr>
        <w:tc>
          <w:tcPr>
            <w:tcW w:w="54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1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Distribution of net investment income</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(44,200,163)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(39,387,692)</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(34,842,284)</w:t>
            </w:r>
          </w:p>
        </w:tc>
      </w:tr>
      <w:tr>
        <w:trPr>
          <w:trHeight w:val="162"/>
        </w:trPr>
        <w:tc>
          <w:tcPr>
            <w:tcW w:w="54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Distribution of realized gains</w:t>
            </w:r>
          </w:p>
        </w:tc>
        <w:tc>
          <w:tcPr>
            <w:tcW w:w="1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(4,186,992)</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54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1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(44,200,163)</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(43,574,684)</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(34,842,284)</w:t>
            </w:r>
          </w:p>
        </w:tc>
        <w:tc>
          <w:tcPr>
            <w:tcW w:w="100" w:type="dxa"/>
            <w:vAlign w:val="bottom"/>
            <w:tcBorders>
              <w:bottom w:val="single" w:sz="8" w:color="CCECFF"/>
            </w:tcBorders>
          </w:tcPr>
          <w:p>
            <w:pPr>
              <w:spacing w:after="0"/>
              <w:rPr>
                <w:sz w:val="13"/>
                <w:szCs w:val="13"/>
                <w:color w:val="auto"/>
              </w:rPr>
            </w:pPr>
          </w:p>
        </w:tc>
      </w:tr>
      <w:tr>
        <w:trPr>
          <w:trHeight w:val="156"/>
        </w:trPr>
        <w:tc>
          <w:tcPr>
            <w:tcW w:w="54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1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Public offering (See Note 1)</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89,031,800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80,986,450</w:t>
            </w:r>
          </w:p>
        </w:tc>
        <w:tc>
          <w:tcPr>
            <w:tcW w:w="100" w:type="dxa"/>
            <w:vAlign w:val="bottom"/>
          </w:tcPr>
          <w:p>
            <w:pPr>
              <w:spacing w:after="0"/>
              <w:rPr>
                <w:sz w:val="14"/>
                <w:szCs w:val="14"/>
                <w:color w:val="auto"/>
              </w:rPr>
            </w:pPr>
          </w:p>
        </w:tc>
      </w:tr>
      <w:tr>
        <w:trPr>
          <w:trHeight w:val="162"/>
        </w:trPr>
        <w:tc>
          <w:tcPr>
            <w:tcW w:w="54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Offering costs</w:t>
            </w:r>
          </w:p>
        </w:tc>
        <w:tc>
          <w:tcPr>
            <w:tcW w:w="1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(1,012,044)</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(470,000)</w:t>
            </w:r>
          </w:p>
        </w:tc>
      </w:tr>
      <w:tr>
        <w:trPr>
          <w:trHeight w:val="156"/>
        </w:trPr>
        <w:tc>
          <w:tcPr>
            <w:tcW w:w="542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88,019,756</w:t>
            </w: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80,516,450</w:t>
            </w:r>
          </w:p>
        </w:tc>
        <w:tc>
          <w:tcPr>
            <w:tcW w:w="100" w:type="dxa"/>
            <w:vAlign w:val="bottom"/>
          </w:tcPr>
          <w:p>
            <w:pPr>
              <w:spacing w:after="0"/>
              <w:rPr>
                <w:sz w:val="13"/>
                <w:szCs w:val="13"/>
                <w:color w:val="auto"/>
              </w:rPr>
            </w:pPr>
          </w:p>
        </w:tc>
      </w:tr>
      <w:tr>
        <w:trPr>
          <w:trHeight w:val="156"/>
        </w:trPr>
        <w:tc>
          <w:tcPr>
            <w:tcW w:w="54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increase in net assets</w:t>
            </w:r>
          </w:p>
        </w:tc>
        <w:tc>
          <w:tcPr>
            <w:tcW w:w="124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(32,784,057)</w:t>
            </w: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77,935,294</w:t>
            </w:r>
          </w:p>
        </w:tc>
        <w:tc>
          <w:tcPr>
            <w:tcW w:w="24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81,999,446</w:t>
            </w:r>
          </w:p>
        </w:tc>
        <w:tc>
          <w:tcPr>
            <w:tcW w:w="100" w:type="dxa"/>
            <w:vAlign w:val="bottom"/>
            <w:tcBorders>
              <w:top w:val="single" w:sz="8" w:color="CCECFF"/>
            </w:tcBorders>
            <w:shd w:val="clear" w:color="auto" w:fill="CCECFF"/>
          </w:tcPr>
          <w:p>
            <w:pPr>
              <w:spacing w:after="0"/>
              <w:rPr>
                <w:sz w:val="13"/>
                <w:szCs w:val="13"/>
                <w:color w:val="auto"/>
              </w:rPr>
            </w:pPr>
          </w:p>
        </w:tc>
      </w:tr>
      <w:tr>
        <w:trPr>
          <w:trHeight w:val="155"/>
        </w:trPr>
        <w:tc>
          <w:tcPr>
            <w:tcW w:w="5420" w:type="dxa"/>
            <w:vAlign w:val="bottom"/>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4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Beginning of year</w:t>
            </w:r>
          </w:p>
        </w:tc>
        <w:tc>
          <w:tcPr>
            <w:tcW w:w="124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535,841,568</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457,906,274</w:t>
            </w:r>
          </w:p>
        </w:tc>
        <w:tc>
          <w:tcPr>
            <w:tcW w:w="24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375,906,828</w:t>
            </w:r>
          </w:p>
        </w:tc>
        <w:tc>
          <w:tcPr>
            <w:tcW w:w="100" w:type="dxa"/>
            <w:vAlign w:val="bottom"/>
            <w:shd w:val="clear" w:color="auto" w:fill="CCECFF"/>
          </w:tcPr>
          <w:p>
            <w:pPr>
              <w:spacing w:after="0"/>
              <w:rPr>
                <w:sz w:val="14"/>
                <w:szCs w:val="14"/>
                <w:color w:val="auto"/>
              </w:rPr>
            </w:pPr>
          </w:p>
        </w:tc>
      </w:tr>
      <w:tr>
        <w:trPr>
          <w:trHeight w:val="195"/>
        </w:trPr>
        <w:tc>
          <w:tcPr>
            <w:tcW w:w="54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End of year</w:t>
            </w:r>
          </w:p>
        </w:tc>
        <w:tc>
          <w:tcPr>
            <w:tcW w:w="124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503,057,511</w:t>
            </w:r>
          </w:p>
        </w:tc>
        <w:tc>
          <w:tcPr>
            <w:tcW w:w="60" w:type="dxa"/>
            <w:vAlign w:val="bottom"/>
            <w:tcBorders>
              <w:bottom w:val="single" w:sz="8" w:color="CCECFF"/>
            </w:tcBorders>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535,841,568</w:t>
            </w:r>
          </w:p>
        </w:tc>
        <w:tc>
          <w:tcPr>
            <w:tcW w:w="24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457,906,274</w:t>
            </w:r>
          </w:p>
        </w:tc>
        <w:tc>
          <w:tcPr>
            <w:tcW w:w="100" w:type="dxa"/>
            <w:vAlign w:val="bottom"/>
            <w:tcBorders>
              <w:bottom w:val="single" w:sz="8" w:color="CCECFF"/>
            </w:tcBorders>
          </w:tcPr>
          <w:p>
            <w:pPr>
              <w:spacing w:after="0"/>
              <w:rPr>
                <w:sz w:val="17"/>
                <w:szCs w:val="17"/>
                <w:color w:val="auto"/>
              </w:rPr>
            </w:pPr>
          </w:p>
        </w:tc>
      </w:tr>
      <w:tr>
        <w:trPr>
          <w:trHeight w:val="143"/>
        </w:trPr>
        <w:tc>
          <w:tcPr>
            <w:tcW w:w="54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12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Shares issued from public offering</w:t>
            </w: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6,292,000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5,750,000</w:t>
            </w:r>
          </w:p>
        </w:tc>
        <w:tc>
          <w:tcPr>
            <w:tcW w:w="100" w:type="dxa"/>
            <w:vAlign w:val="bottom"/>
          </w:tcPr>
          <w:p>
            <w:pPr>
              <w:spacing w:after="0"/>
              <w:rPr>
                <w:sz w:val="14"/>
                <w:szCs w:val="14"/>
                <w:color w:val="auto"/>
              </w:rPr>
            </w:pPr>
          </w:p>
        </w:tc>
      </w:tr>
      <w:tr>
        <w:trPr>
          <w:trHeight w:val="20"/>
        </w:trPr>
        <w:tc>
          <w:tcPr>
            <w:tcW w:w="5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00" w:type="dxa"/>
            <w:vAlign w:val="bottom"/>
            <w:tcBorders>
              <w:bottom w:val="single" w:sz="8" w:color="CCECFF"/>
            </w:tcBorders>
          </w:tcPr>
          <w:p>
            <w:pPr>
              <w:spacing w:after="0"/>
              <w:rPr>
                <w:sz w:val="13"/>
                <w:szCs w:val="13"/>
                <w:color w:val="auto"/>
              </w:rPr>
            </w:pPr>
          </w:p>
        </w:tc>
        <w:tc>
          <w:tcPr>
            <w:tcW w:w="5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5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500"/>
              <w:spacing w:after="0"/>
              <w:rPr>
                <w:sz w:val="20"/>
                <w:szCs w:val="20"/>
                <w:color w:val="auto"/>
              </w:rPr>
            </w:pPr>
            <w:r>
              <w:rPr>
                <w:rFonts w:ascii="Arial" w:cs="Arial" w:eastAsia="Arial" w:hAnsi="Arial"/>
                <w:sz w:val="14"/>
                <w:szCs w:val="14"/>
                <w:color w:val="auto"/>
              </w:rPr>
              <w:t>Net increase in net assets resulting from operations</w:t>
            </w: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11,416,106</w:t>
            </w:r>
          </w:p>
        </w:tc>
        <w:tc>
          <w:tcPr>
            <w:tcW w:w="60" w:type="dxa"/>
            <w:vAlign w:val="bottom"/>
          </w:tcPr>
          <w:p>
            <w:pPr>
              <w:spacing w:after="0"/>
              <w:rPr>
                <w:sz w:val="14"/>
                <w:szCs w:val="14"/>
                <w:color w:val="auto"/>
              </w:rPr>
            </w:pP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33,490,222</w:t>
            </w:r>
          </w:p>
        </w:tc>
        <w:tc>
          <w:tcPr>
            <w:tcW w:w="2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36,325,280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10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100" w:type="dxa"/>
            <w:vAlign w:val="bottom"/>
            <w:shd w:val="clear" w:color="auto" w:fill="CCECFF"/>
          </w:tcPr>
          <w:p>
            <w:pPr>
              <w:ind w:left="600"/>
              <w:spacing w:after="0"/>
              <w:rPr>
                <w:sz w:val="20"/>
                <w:szCs w:val="20"/>
                <w:color w:val="auto"/>
              </w:rPr>
            </w:pPr>
            <w:r>
              <w:rPr>
                <w:rFonts w:ascii="Arial" w:cs="Arial" w:eastAsia="Arial" w:hAnsi="Arial"/>
                <w:sz w:val="14"/>
                <w:szCs w:val="14"/>
                <w:color w:val="auto"/>
              </w:rPr>
              <w:t>used in operating activities:</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2,605,346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2,897,083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(1,062,172)</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Net change in unrealized appreciation (depreciation) on debt</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16,487</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(7,750,334)</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3,593,158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Net realized loss (gain) on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31,423,869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2,327,118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(5,410,903)</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Net accretion of discount and amortization of premium</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(1,482,887)</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(1,401,358)</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(1,741,190)</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Purchases of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(640,110,232)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(682,735,730)</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(508,906,932)</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Payment-in-kind interest</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(1,635,155)</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(669,290)</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(590,703)</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Proceeds from dispositions of investments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527,253,378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391,442,572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406,484,118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Amortization of deferred financing costs</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20,238</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Increase in interest receivable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(1,078,484)</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(293,302)</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(40,100)</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decrease in receivable for investments sold</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(2,997,546)</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14,185,850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(14,185,850)</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Decrease (increase) in prepaid expenses and other assets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350,732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437,436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(88,314)</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(Decrease) increase in payable for investments purchased</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(47,553,428)</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37,856,710</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6,794,542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Increase in interest payable on debt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636,977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1,944,717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161,861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in base management fee payable</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308,390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634,823</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326,181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(Decrease) increase in performance-based incentive fee payable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(766,199)</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(1,762,813)</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1,606,303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in accrued other expenses</w:t>
            </w:r>
          </w:p>
        </w:tc>
        <w:tc>
          <w:tcPr>
            <w:tcW w:w="5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172,464</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1,117,740</w:t>
            </w:r>
          </w:p>
        </w:tc>
        <w:tc>
          <w:tcPr>
            <w:tcW w:w="24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21,762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color w:val="auto"/>
              </w:rPr>
              <w:t>Net cash used in operating activities</w:t>
            </w:r>
          </w:p>
        </w:tc>
        <w:tc>
          <w:tcPr>
            <w:tcW w:w="5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(121,419,944)</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(208,278,556)</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(76,712,959)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5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Public offering</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89,031,800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80,986,450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Offering costs</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(1,012,044)</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(470,000)</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Distributions paid to stockholders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(44,200,163)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(42,976,944)</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(34,296,034)</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Proceeds from 2023 Notes issuance (See Notes 5 and 11)</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138,579,858</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Proceeds from 2031 Asset-Backed Debt issuance (See Notes 5 and 11)</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228,000,000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Capitalized borrowing costs</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(3,698,393)</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100" w:type="dxa"/>
            <w:vAlign w:val="bottom"/>
          </w:tcPr>
          <w:p>
            <w:pPr>
              <w:ind w:left="740"/>
              <w:spacing w:after="0"/>
              <w:rPr>
                <w:sz w:val="20"/>
                <w:szCs w:val="20"/>
                <w:color w:val="auto"/>
              </w:rPr>
            </w:pPr>
            <w:r>
              <w:rPr>
                <w:rFonts w:ascii="Arial" w:cs="Arial" w:eastAsia="Arial" w:hAnsi="Arial"/>
                <w:sz w:val="14"/>
                <w:szCs w:val="14"/>
                <w:color w:val="auto"/>
              </w:rPr>
              <w:t>Borrowings under Credit Facility (See Notes 5 and 11)</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370,700,000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246,485,010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309,680,000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ind w:left="740"/>
              <w:spacing w:after="0"/>
              <w:rPr>
                <w:sz w:val="20"/>
                <w:szCs w:val="20"/>
                <w:color w:val="auto"/>
              </w:rPr>
            </w:pPr>
            <w:r>
              <w:rPr>
                <w:rFonts w:ascii="Arial" w:cs="Arial" w:eastAsia="Arial" w:hAnsi="Arial"/>
                <w:sz w:val="14"/>
                <w:szCs w:val="14"/>
                <w:color w:val="auto"/>
              </w:rPr>
              <w:t>Repayments under Credit Facility (See Notes 5 and 11)</w:t>
            </w:r>
          </w:p>
        </w:tc>
        <w:tc>
          <w:tcPr>
            <w:tcW w:w="5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(439,120,020)</w:t>
            </w: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(166,540,790)</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(288,804,200)</w:t>
            </w:r>
          </w:p>
        </w:tc>
        <w:tc>
          <w:tcPr>
            <w:tcW w:w="0" w:type="dxa"/>
            <w:vAlign w:val="bottom"/>
          </w:tcPr>
          <w:p>
            <w:pPr>
              <w:spacing w:after="0"/>
              <w:rPr>
                <w:sz w:val="1"/>
                <w:szCs w:val="1"/>
                <w:color w:val="auto"/>
              </w:rPr>
            </w:pPr>
          </w:p>
        </w:tc>
      </w:tr>
      <w:tr>
        <w:trPr>
          <w:trHeight w:val="156"/>
        </w:trPr>
        <w:tc>
          <w:tcPr>
            <w:tcW w:w="610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56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111,681,424</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263,566,890</w:t>
            </w:r>
          </w:p>
        </w:tc>
        <w:tc>
          <w:tcPr>
            <w:tcW w:w="24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67,096,216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increase in cash equivalents</w:t>
            </w:r>
          </w:p>
        </w:tc>
        <w:tc>
          <w:tcPr>
            <w:tcW w:w="5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(9,738,520)</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55,288,334</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(9,616,743)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0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852,065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(1,974,907)</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(383,474)</w:t>
            </w:r>
          </w:p>
        </w:tc>
        <w:tc>
          <w:tcPr>
            <w:tcW w:w="0" w:type="dxa"/>
            <w:vAlign w:val="bottom"/>
          </w:tcPr>
          <w:p>
            <w:pPr>
              <w:spacing w:after="0"/>
              <w:rPr>
                <w:sz w:val="1"/>
                <w:szCs w:val="1"/>
                <w:color w:val="auto"/>
              </w:rPr>
            </w:pPr>
          </w:p>
        </w:tc>
      </w:tr>
      <w:tr>
        <w:trPr>
          <w:trHeight w:val="162"/>
        </w:trPr>
        <w:tc>
          <w:tcPr>
            <w:tcW w:w="610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Cash and cash equivalents, beginning of year</w:t>
            </w:r>
          </w:p>
        </w:tc>
        <w:tc>
          <w:tcPr>
            <w:tcW w:w="5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72,224,183</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18,910,756</w:t>
            </w:r>
          </w:p>
        </w:tc>
        <w:tc>
          <w:tcPr>
            <w:tcW w:w="24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28,910,973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Cash and cash equivalents, end of year</w:t>
            </w:r>
          </w:p>
        </w:tc>
        <w:tc>
          <w:tcPr>
            <w:tcW w:w="56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63,337,728</w:t>
            </w:r>
          </w:p>
        </w:tc>
        <w:tc>
          <w:tcPr>
            <w:tcW w:w="60" w:type="dxa"/>
            <w:vAlign w:val="bottom"/>
            <w:tcBorders>
              <w:bottom w:val="single" w:sz="8" w:color="CCECFF"/>
            </w:tcBorders>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18,910,756</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10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5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10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Interest paid</w:t>
            </w:r>
          </w:p>
        </w:tc>
        <w:tc>
          <w:tcPr>
            <w:tcW w:w="56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21,882,883</w:t>
            </w:r>
          </w:p>
        </w:tc>
        <w:tc>
          <w:tcPr>
            <w:tcW w:w="60" w:type="dxa"/>
            <w:vAlign w:val="bottom"/>
            <w:tcBorders>
              <w:bottom w:val="single" w:sz="8" w:color="CCECFF"/>
            </w:tcBorders>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23,284,289</w:t>
            </w:r>
          </w:p>
        </w:tc>
        <w:tc>
          <w:tcPr>
            <w:tcW w:w="240" w:type="dxa"/>
            <w:vAlign w:val="bottom"/>
            <w:tcBorders>
              <w:bottom w:val="single" w:sz="8" w:color="CCECFF"/>
            </w:tcBorders>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8,289,755</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10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Taxes paid</w:t>
            </w:r>
          </w:p>
        </w:tc>
        <w:tc>
          <w:tcPr>
            <w:tcW w:w="56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293,672</w:t>
            </w:r>
          </w:p>
        </w:tc>
        <w:tc>
          <w:tcPr>
            <w:tcW w:w="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395,555</w:t>
            </w:r>
          </w:p>
        </w:tc>
        <w:tc>
          <w:tcPr>
            <w:tcW w:w="24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256,719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260"/>
              <w:spacing w:after="0"/>
              <w:rPr>
                <w:sz w:val="20"/>
                <w:szCs w:val="20"/>
                <w:color w:val="auto"/>
              </w:rPr>
            </w:pPr>
            <w:r>
              <w:rPr>
                <w:rFonts w:ascii="Arial" w:cs="Arial" w:eastAsia="Arial" w:hAnsi="Arial"/>
                <w:sz w:val="14"/>
                <w:szCs w:val="14"/>
                <w:color w:val="auto"/>
              </w:rPr>
              <w:t>Non-cash exchanges and conversions</w:t>
            </w:r>
          </w:p>
        </w:tc>
        <w:tc>
          <w:tcPr>
            <w:tcW w:w="8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37,166,983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53,200,000</w:t>
            </w:r>
          </w:p>
        </w:tc>
        <w:tc>
          <w:tcPr>
            <w:tcW w:w="2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35,659,395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6"/>
        </w:trPr>
        <w:tc>
          <w:tcPr>
            <w:tcW w:w="3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40"/>
              <w:spacing w:after="0" w:line="126" w:lineRule="exact"/>
              <w:rPr>
                <w:sz w:val="20"/>
                <w:szCs w:val="20"/>
                <w:color w:val="auto"/>
              </w:rPr>
            </w:pPr>
            <w:r>
              <w:rPr>
                <w:rFonts w:ascii="Arial" w:cs="Arial" w:eastAsia="Arial" w:hAnsi="Arial"/>
                <w:sz w:val="12"/>
                <w:szCs w:val="12"/>
                <w:b w:val="1"/>
                <w:bCs w:val="1"/>
                <w:color w:val="auto"/>
              </w:rPr>
              <w:t>Current</w:t>
            </w:r>
          </w:p>
        </w:tc>
        <w:tc>
          <w:tcPr>
            <w:tcW w:w="140" w:type="dxa"/>
            <w:vAlign w:val="bottom"/>
          </w:tcPr>
          <w:p>
            <w:pPr>
              <w:spacing w:after="0"/>
              <w:rPr>
                <w:sz w:val="10"/>
                <w:szCs w:val="10"/>
                <w:color w:val="auto"/>
              </w:rPr>
            </w:pPr>
          </w:p>
        </w:tc>
        <w:tc>
          <w:tcPr>
            <w:tcW w:w="960" w:type="dxa"/>
            <w:vAlign w:val="bottom"/>
            <w:gridSpan w:val="2"/>
          </w:tcPr>
          <w:p>
            <w:pPr>
              <w:jc w:val="center"/>
              <w:ind w:right="280"/>
              <w:spacing w:after="0" w:line="126"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gridSpan w:val="2"/>
          </w:tcPr>
          <w:p>
            <w:pPr>
              <w:jc w:val="center"/>
              <w:ind w:right="240"/>
              <w:spacing w:after="0" w:line="126" w:lineRule="exact"/>
              <w:rPr>
                <w:sz w:val="20"/>
                <w:szCs w:val="20"/>
                <w:color w:val="auto"/>
              </w:rPr>
            </w:pPr>
            <w:r>
              <w:rPr>
                <w:rFonts w:ascii="Arial" w:cs="Arial" w:eastAsia="Arial" w:hAnsi="Arial"/>
                <w:sz w:val="12"/>
                <w:szCs w:val="12"/>
                <w:b w:val="1"/>
                <w:bCs w:val="1"/>
                <w:color w:val="auto"/>
                <w:w w:val="92"/>
              </w:rPr>
              <w:t>Par /</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33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jc w:val="center"/>
              <w:ind w:right="2"/>
              <w:spacing w:after="0"/>
              <w:rPr>
                <w:sz w:val="20"/>
                <w:szCs w:val="20"/>
                <w:color w:val="auto"/>
              </w:rPr>
            </w:pPr>
            <w:r>
              <w:rPr>
                <w:rFonts w:ascii="Arial" w:cs="Arial" w:eastAsia="Arial" w:hAnsi="Arial"/>
                <w:sz w:val="12"/>
                <w:szCs w:val="12"/>
                <w:b w:val="1"/>
                <w:bCs w:val="1"/>
                <w:color w:val="auto"/>
                <w:w w:val="98"/>
              </w:rPr>
              <w:t>Maturity</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Industry</w:t>
            </w:r>
          </w:p>
        </w:tc>
        <w:tc>
          <w:tcPr>
            <w:tcW w:w="7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Coupon</w:t>
            </w:r>
          </w:p>
        </w:tc>
        <w:tc>
          <w:tcPr>
            <w:tcW w:w="14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1"/>
                <w:szCs w:val="11"/>
                <w:b w:val="1"/>
                <w:bCs w:val="1"/>
                <w:color w:val="auto"/>
                <w:w w:val="96"/>
              </w:rPr>
              <w:t xml:space="preserve">Index </w:t>
            </w:r>
            <w:r>
              <w:rPr>
                <w:rFonts w:ascii="Arial" w:cs="Arial" w:eastAsia="Arial" w:hAnsi="Arial"/>
                <w:sz w:val="17"/>
                <w:szCs w:val="17"/>
                <w:b w:val="1"/>
                <w:bCs w:val="1"/>
                <w:color w:val="auto"/>
                <w:w w:val="96"/>
                <w:vertAlign w:val="superscript"/>
              </w:rPr>
              <w:t>(1)</w:t>
            </w: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79"/>
              </w:rPr>
              <w:t>Shares</w:t>
            </w:r>
          </w:p>
        </w:tc>
        <w:tc>
          <w:tcPr>
            <w:tcW w:w="90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820" w:type="dxa"/>
            <w:vAlign w:val="bottom"/>
            <w:gridSpan w:val="2"/>
          </w:tcPr>
          <w:p>
            <w:pPr>
              <w:jc w:val="right"/>
              <w:ind w:right="140"/>
              <w:spacing w:after="0" w:line="153" w:lineRule="exact"/>
              <w:rPr>
                <w:sz w:val="20"/>
                <w:szCs w:val="20"/>
                <w:color w:val="auto"/>
              </w:rPr>
            </w:pPr>
            <w:r>
              <w:rPr>
                <w:rFonts w:ascii="Arial" w:cs="Arial" w:eastAsia="Arial" w:hAnsi="Arial"/>
                <w:sz w:val="11"/>
                <w:szCs w:val="11"/>
                <w:b w:val="1"/>
                <w:bCs w:val="1"/>
                <w:color w:val="auto"/>
                <w:w w:val="94"/>
              </w:rPr>
              <w:t xml:space="preserve">Fair Value </w:t>
            </w:r>
            <w:r>
              <w:rPr>
                <w:rFonts w:ascii="Arial" w:cs="Arial" w:eastAsia="Arial" w:hAnsi="Arial"/>
                <w:sz w:val="17"/>
                <w:szCs w:val="17"/>
                <w:b w:val="1"/>
                <w:bCs w:val="1"/>
                <w:color w:val="auto"/>
                <w:w w:val="94"/>
                <w:vertAlign w:val="superscript"/>
              </w:rPr>
              <w:t>(2)</w:t>
            </w:r>
          </w:p>
        </w:tc>
      </w:tr>
      <w:tr>
        <w:trPr>
          <w:trHeight w:val="142"/>
        </w:trPr>
        <w:tc>
          <w:tcPr>
            <w:tcW w:w="4280" w:type="dxa"/>
            <w:vAlign w:val="bottom"/>
            <w:tcBorders>
              <w:top w:val="single" w:sz="8" w:color="auto"/>
            </w:tcBorders>
            <w:gridSpan w:val="2"/>
            <w:shd w:val="clear" w:color="auto" w:fill="CCEC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Companies—176.7% </w:t>
            </w:r>
            <w:r>
              <w:rPr>
                <w:rFonts w:ascii="Arial" w:cs="Arial" w:eastAsia="Arial" w:hAnsi="Arial"/>
                <w:sz w:val="16"/>
                <w:szCs w:val="16"/>
                <w:b w:val="1"/>
                <w:bCs w:val="1"/>
                <w:color w:val="auto"/>
                <w:vertAlign w:val="superscript"/>
              </w:rPr>
              <w:t>(3), (4)</w:t>
            </w:r>
          </w:p>
        </w:tc>
        <w:tc>
          <w:tcPr>
            <w:tcW w:w="23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b w:val="1"/>
                <w:bCs w:val="1"/>
                <w:color w:val="auto"/>
              </w:rPr>
              <w:t>First Lien Secured Debt—162.7%</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18 Freemont Street Acquisition,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08/11/2025</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Hotels, Restaurants and Leisure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10.04%</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7"/>
              </w:rPr>
              <w:t>$  14,702,672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  15,000,000</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Altamira Technologies,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07/24/2025</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IT Services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8.28%</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L+600</w:t>
            </w:r>
          </w:p>
        </w:tc>
        <w:tc>
          <w:tcPr>
            <w:tcW w:w="680" w:type="dxa"/>
            <w:vAlign w:val="bottom"/>
          </w:tcPr>
          <w:p>
            <w:pPr>
              <w:jc w:val="right"/>
              <w:spacing w:after="0"/>
              <w:rPr>
                <w:sz w:val="20"/>
                <w:szCs w:val="20"/>
                <w:color w:val="auto"/>
              </w:rPr>
            </w:pPr>
            <w:r>
              <w:rPr>
                <w:rFonts w:ascii="Arial" w:cs="Arial" w:eastAsia="Arial" w:hAnsi="Arial"/>
                <w:sz w:val="12"/>
                <w:szCs w:val="12"/>
                <w:color w:val="auto"/>
              </w:rPr>
              <w:t>6,500,000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6,404,125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6,500,000</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07/24/2025</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IT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2,156,250</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01/02/2024</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Transportation: Consumer</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7.07%</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L+475</w:t>
            </w:r>
          </w:p>
        </w:tc>
        <w:tc>
          <w:tcPr>
            <w:tcW w:w="680" w:type="dxa"/>
            <w:vAlign w:val="bottom"/>
          </w:tcPr>
          <w:p>
            <w:pPr>
              <w:jc w:val="right"/>
              <w:spacing w:after="0"/>
              <w:rPr>
                <w:sz w:val="20"/>
                <w:szCs w:val="20"/>
                <w:color w:val="auto"/>
              </w:rPr>
            </w:pPr>
            <w:r>
              <w:rPr>
                <w:rFonts w:ascii="Arial" w:cs="Arial" w:eastAsia="Arial" w:hAnsi="Arial"/>
                <w:sz w:val="12"/>
                <w:szCs w:val="12"/>
                <w:color w:val="auto"/>
              </w:rPr>
              <w:t>5,798,444</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5,727,667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5,740,459</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American Insulated Glass,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12/21/2023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2"/>
              </w:rPr>
              <w:t>Building Products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8.10%</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14,670,272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14,701,125</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12/21/2023</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92"/>
              </w:rPr>
              <w:t>Building Products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649,351</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(9,740)</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American Teleconferencing Services, Ltd.</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12/08/2021</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8.69%</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9,672,954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9,590,848</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6,771,068</w:t>
            </w:r>
          </w:p>
        </w:tc>
        <w:tc>
          <w:tcPr>
            <w:tcW w:w="120" w:type="dxa"/>
            <w:vAlign w:val="bottom"/>
            <w:shd w:val="clear" w:color="auto" w:fill="CCECFF"/>
          </w:tcPr>
          <w:p>
            <w:pPr>
              <w:spacing w:after="0"/>
              <w:rPr>
                <w:sz w:val="12"/>
                <w:szCs w:val="12"/>
                <w:color w:val="auto"/>
              </w:rPr>
            </w:pPr>
          </w:p>
        </w:tc>
      </w:tr>
      <w:tr>
        <w:trPr>
          <w:trHeight w:val="142"/>
        </w:trPr>
        <w:tc>
          <w:tcPr>
            <w:tcW w:w="3360" w:type="dxa"/>
            <w:vAlign w:val="bottom"/>
          </w:tcPr>
          <w:p>
            <w:pPr>
              <w:spacing w:after="0"/>
              <w:rPr>
                <w:sz w:val="20"/>
                <w:szCs w:val="20"/>
                <w:color w:val="auto"/>
              </w:rPr>
            </w:pPr>
            <w:r>
              <w:rPr>
                <w:rFonts w:ascii="Arial" w:cs="Arial" w:eastAsia="Arial" w:hAnsi="Arial"/>
                <w:sz w:val="12"/>
                <w:szCs w:val="12"/>
                <w:color w:val="auto"/>
              </w:rPr>
              <w:t>API Technologies Corp.</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05/11/2026</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Electronic Equipment, Instruments, and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L+425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1"/>
        </w:trPr>
        <w:tc>
          <w:tcPr>
            <w:tcW w:w="3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Components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6.45%</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5,985,000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5,955,320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5,783,006</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BEI Precision Systems &amp; Space Company, Inc.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04/28/2023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7.61%</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11,730,000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11,651,612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11,612,700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05/16/2022</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8.56%</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L+625</w:t>
            </w:r>
          </w:p>
        </w:tc>
        <w:tc>
          <w:tcPr>
            <w:tcW w:w="680" w:type="dxa"/>
            <w:vAlign w:val="bottom"/>
          </w:tcPr>
          <w:p>
            <w:pPr>
              <w:jc w:val="right"/>
              <w:spacing w:after="0"/>
              <w:rPr>
                <w:sz w:val="20"/>
                <w:szCs w:val="20"/>
                <w:color w:val="auto"/>
              </w:rPr>
            </w:pPr>
            <w:r>
              <w:rPr>
                <w:rFonts w:ascii="Arial" w:cs="Arial" w:eastAsia="Arial" w:hAnsi="Arial"/>
                <w:sz w:val="12"/>
                <w:szCs w:val="12"/>
                <w:color w:val="auto"/>
              </w:rPr>
              <w:t>13,096,955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12,864,397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13,096,955</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By Light Professional IT Services, LLC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05/16/2022</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15,745,817</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05/16/2022</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2,504,092</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11/14/2023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8.54%</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2,868,106</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2,848,592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2,854,626</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Cano Health,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12/23/2021</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8.36%</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L+650</w:t>
            </w:r>
          </w:p>
        </w:tc>
        <w:tc>
          <w:tcPr>
            <w:tcW w:w="680" w:type="dxa"/>
            <w:vAlign w:val="bottom"/>
          </w:tcPr>
          <w:p>
            <w:pPr>
              <w:jc w:val="right"/>
              <w:spacing w:after="0"/>
              <w:rPr>
                <w:sz w:val="20"/>
                <w:szCs w:val="20"/>
                <w:color w:val="auto"/>
              </w:rPr>
            </w:pPr>
            <w:r>
              <w:rPr>
                <w:rFonts w:ascii="Arial" w:cs="Arial" w:eastAsia="Arial" w:hAnsi="Arial"/>
                <w:sz w:val="12"/>
                <w:szCs w:val="12"/>
                <w:color w:val="auto"/>
              </w:rPr>
              <w:t>23,306,224</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23,094,603</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23,306,224</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11/29/2023</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7.86%</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3,834,884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3,840,082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3,719,837</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CHA Holdings, Inc.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04/10/2025</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6.79%</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L+450</w:t>
            </w:r>
          </w:p>
        </w:tc>
        <w:tc>
          <w:tcPr>
            <w:tcW w:w="680" w:type="dxa"/>
            <w:vAlign w:val="bottom"/>
          </w:tcPr>
          <w:p>
            <w:pPr>
              <w:jc w:val="right"/>
              <w:spacing w:after="0"/>
              <w:rPr>
                <w:sz w:val="20"/>
                <w:szCs w:val="20"/>
                <w:color w:val="auto"/>
              </w:rPr>
            </w:pPr>
            <w:r>
              <w:rPr>
                <w:rFonts w:ascii="Arial" w:cs="Arial" w:eastAsia="Arial" w:hAnsi="Arial"/>
                <w:sz w:val="12"/>
                <w:szCs w:val="12"/>
                <w:color w:val="auto"/>
              </w:rPr>
              <w:t>7,366,205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7,340,067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7,329,374</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CHA Holdings, Inc.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04/10/2025</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53,571</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(268)</w:t>
            </w: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17"/>
                <w:szCs w:val="17"/>
                <w:color w:val="auto"/>
                <w:vertAlign w:val="superscript"/>
              </w:rPr>
              <w:t>(7)</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08/31/2023</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7.87%</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L+575</w:t>
            </w:r>
          </w:p>
        </w:tc>
        <w:tc>
          <w:tcPr>
            <w:tcW w:w="680" w:type="dxa"/>
            <w:vAlign w:val="bottom"/>
          </w:tcPr>
          <w:p>
            <w:pPr>
              <w:jc w:val="right"/>
              <w:spacing w:after="0"/>
              <w:rPr>
                <w:sz w:val="20"/>
                <w:szCs w:val="20"/>
                <w:color w:val="auto"/>
              </w:rPr>
            </w:pPr>
            <w:r>
              <w:rPr>
                <w:rFonts w:ascii="Arial" w:cs="Arial" w:eastAsia="Arial" w:hAnsi="Arial"/>
                <w:sz w:val="12"/>
                <w:szCs w:val="12"/>
                <w:color w:val="auto"/>
              </w:rPr>
              <w:t>284,579</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284,579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277,464</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08/31/2023</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426,868</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(10,672)</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Confluent Health,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06/24/2026</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Health Providers and Services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7.40%</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L+500</w:t>
            </w:r>
          </w:p>
        </w:tc>
        <w:tc>
          <w:tcPr>
            <w:tcW w:w="68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3,960,046</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3,940,000</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10/31/2023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7.60%</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944,900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931,008</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944,900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Deva Holdings, Inc.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10/31/2022</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2,115,000</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Digital Room Holdings, Inc.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05/22/2026</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0"/>
              </w:rPr>
              <w:t>Media: Advertising, Printing and Publishing</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7.09%</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9,827,383</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9,495,003</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10/19/2022</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8.08%</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L+575</w:t>
            </w:r>
          </w:p>
        </w:tc>
        <w:tc>
          <w:tcPr>
            <w:tcW w:w="680" w:type="dxa"/>
            <w:vAlign w:val="bottom"/>
          </w:tcPr>
          <w:p>
            <w:pPr>
              <w:jc w:val="right"/>
              <w:spacing w:after="0"/>
              <w:rPr>
                <w:sz w:val="20"/>
                <w:szCs w:val="20"/>
                <w:color w:val="auto"/>
              </w:rPr>
            </w:pPr>
            <w:r>
              <w:rPr>
                <w:rFonts w:ascii="Arial" w:cs="Arial" w:eastAsia="Arial" w:hAnsi="Arial"/>
                <w:sz w:val="12"/>
                <w:szCs w:val="12"/>
                <w:color w:val="auto"/>
              </w:rPr>
              <w:t>14,340,441</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14,159,516</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14,197,037</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10/19/2022</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9.75%</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P+475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439,118</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439,118</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434,726</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(Revolver) </w:t>
            </w:r>
            <w:r>
              <w:rPr>
                <w:rFonts w:ascii="Arial" w:cs="Arial" w:eastAsia="Arial" w:hAnsi="Arial"/>
                <w:sz w:val="17"/>
                <w:szCs w:val="17"/>
                <w:color w:val="auto"/>
                <w:vertAlign w:val="superscript"/>
              </w:rPr>
              <w:t>(7), (9)</w:t>
            </w:r>
          </w:p>
        </w:tc>
        <w:tc>
          <w:tcPr>
            <w:tcW w:w="92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6"/>
        </w:trPr>
        <w:tc>
          <w:tcPr>
            <w:tcW w:w="33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10/19/2022</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3,952,059</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(39,522)</w:t>
            </w:r>
          </w:p>
        </w:tc>
      </w:tr>
      <w:tr>
        <w:trPr>
          <w:trHeight w:val="151"/>
        </w:trPr>
        <w:tc>
          <w:tcPr>
            <w:tcW w:w="336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(Revolver) </w:t>
            </w:r>
            <w:r>
              <w:rPr>
                <w:rFonts w:ascii="Arial" w:cs="Arial" w:eastAsia="Arial" w:hAnsi="Arial"/>
                <w:sz w:val="17"/>
                <w:szCs w:val="17"/>
                <w:color w:val="auto"/>
                <w:vertAlign w:val="superscript"/>
              </w:rPr>
              <w:t>(7), (9)</w:t>
            </w:r>
          </w:p>
        </w:tc>
        <w:tc>
          <w:tcPr>
            <w:tcW w:w="9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Douglas Sewer Intermediate, LLC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10/19/2022</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7.85%</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L+575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9,816,712</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9,755,921</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9,718,545</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03/07/2022</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10.06%</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L+800</w:t>
            </w:r>
          </w:p>
        </w:tc>
        <w:tc>
          <w:tcPr>
            <w:tcW w:w="680" w:type="dxa"/>
            <w:vAlign w:val="bottom"/>
          </w:tcPr>
          <w:p>
            <w:pPr>
              <w:jc w:val="right"/>
              <w:spacing w:after="0"/>
              <w:rPr>
                <w:sz w:val="20"/>
                <w:szCs w:val="20"/>
                <w:color w:val="auto"/>
              </w:rPr>
            </w:pPr>
            <w:r>
              <w:rPr>
                <w:rFonts w:ascii="Arial" w:cs="Arial" w:eastAsia="Arial" w:hAnsi="Arial"/>
                <w:sz w:val="12"/>
                <w:szCs w:val="12"/>
                <w:color w:val="auto"/>
              </w:rPr>
              <w:t>18,592,082</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18,478,010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18,406,161</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17"/>
                <w:szCs w:val="17"/>
                <w:color w:val="auto"/>
                <w:vertAlign w:val="superscript"/>
              </w:rPr>
              <w:t>(10)</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10/05/2023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Banking, Finance, Insurance &amp; Real Estate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7.07%</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21,564,375</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21,564,375</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21,564,375</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17"/>
                <w:szCs w:val="17"/>
                <w:color w:val="auto"/>
                <w:vertAlign w:val="superscript"/>
              </w:rPr>
              <w:t>(7), (9), (10)</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10/05/2023</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Banking, Finance, Insurance &amp; Real Estate</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05/06/2021</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9.62%</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L+750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10,401,338</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10,401,338</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10,349,331</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200"/>
              <w:spacing w:after="0"/>
              <w:rPr>
                <w:sz w:val="20"/>
                <w:szCs w:val="20"/>
                <w:color w:val="auto"/>
              </w:rPr>
            </w:pPr>
            <w:r>
              <w:rPr>
                <w:rFonts w:ascii="Arial" w:cs="Arial" w:eastAsia="Arial" w:hAnsi="Arial"/>
                <w:sz w:val="12"/>
                <w:szCs w:val="12"/>
                <w:color w:val="auto"/>
              </w:rPr>
              <w:t>(PIK 2.50%)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Education Networks of America, Inc.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05/06/2021</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Telecommunications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9.66%</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L+750</w:t>
            </w:r>
          </w:p>
        </w:tc>
        <w:tc>
          <w:tcPr>
            <w:tcW w:w="680" w:type="dxa"/>
            <w:vAlign w:val="bottom"/>
          </w:tcPr>
          <w:p>
            <w:pPr>
              <w:jc w:val="right"/>
              <w:spacing w:after="0"/>
              <w:rPr>
                <w:sz w:val="20"/>
                <w:szCs w:val="20"/>
                <w:color w:val="auto"/>
              </w:rPr>
            </w:pPr>
            <w:r>
              <w:rPr>
                <w:rFonts w:ascii="Arial" w:cs="Arial" w:eastAsia="Arial" w:hAnsi="Arial"/>
                <w:sz w:val="12"/>
                <w:szCs w:val="12"/>
                <w:color w:val="auto"/>
              </w:rPr>
              <w:t>2,189,535</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2,189,535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2,178,587</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06/15/2022</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8.85%</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L+675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7,250,797</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7,220,335</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7,178,290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FlexPrint,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01/02/2024</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Professional Services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8.61%</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L+620</w:t>
            </w:r>
          </w:p>
        </w:tc>
        <w:tc>
          <w:tcPr>
            <w:tcW w:w="680" w:type="dxa"/>
            <w:vAlign w:val="bottom"/>
          </w:tcPr>
          <w:p>
            <w:pPr>
              <w:jc w:val="right"/>
              <w:spacing w:after="0"/>
              <w:rPr>
                <w:sz w:val="20"/>
                <w:szCs w:val="20"/>
                <w:color w:val="auto"/>
              </w:rPr>
            </w:pPr>
            <w:r>
              <w:rPr>
                <w:rFonts w:ascii="Arial" w:cs="Arial" w:eastAsia="Arial" w:hAnsi="Arial"/>
                <w:sz w:val="12"/>
                <w:szCs w:val="12"/>
                <w:color w:val="auto"/>
              </w:rPr>
              <w:t>4,281,014</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4,213,518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4,216,799</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FlexPrint, LLC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01/02/2024</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6"/>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3,772,226</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(28,292)</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GCOM Software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11/14/2022</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8.37%</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L+625</w:t>
            </w:r>
          </w:p>
        </w:tc>
        <w:tc>
          <w:tcPr>
            <w:tcW w:w="680" w:type="dxa"/>
            <w:vAlign w:val="bottom"/>
          </w:tcPr>
          <w:p>
            <w:pPr>
              <w:jc w:val="right"/>
              <w:spacing w:after="0"/>
              <w:rPr>
                <w:sz w:val="20"/>
                <w:szCs w:val="20"/>
                <w:color w:val="auto"/>
              </w:rPr>
            </w:pPr>
            <w:r>
              <w:rPr>
                <w:rFonts w:ascii="Arial" w:cs="Arial" w:eastAsia="Arial" w:hAnsi="Arial"/>
                <w:sz w:val="12"/>
                <w:szCs w:val="12"/>
                <w:color w:val="auto"/>
              </w:rPr>
              <w:t>12,112,187</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11,880,407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12,112,187</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GCOM Software LLC (Revolver)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11/14/2022</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High Tech Industries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2,666,667</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Good2Grow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11/18/2024</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Beverages</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6.57%</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L+425</w:t>
            </w:r>
          </w:p>
        </w:tc>
        <w:tc>
          <w:tcPr>
            <w:tcW w:w="680" w:type="dxa"/>
            <w:vAlign w:val="bottom"/>
          </w:tcPr>
          <w:p>
            <w:pPr>
              <w:jc w:val="right"/>
              <w:spacing w:after="0"/>
              <w:rPr>
                <w:sz w:val="20"/>
                <w:szCs w:val="20"/>
                <w:color w:val="auto"/>
              </w:rPr>
            </w:pPr>
            <w:r>
              <w:rPr>
                <w:rFonts w:ascii="Arial" w:cs="Arial" w:eastAsia="Arial" w:hAnsi="Arial"/>
                <w:sz w:val="12"/>
                <w:szCs w:val="12"/>
                <w:color w:val="auto"/>
              </w:rPr>
              <w:t>7,051,593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6,989,296</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6,945,819</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Good2Grow LLC (Revolver)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11/16/2023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Beverages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3,137,000</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(31,370)</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GSM Holdings, Inc.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06/03/2024</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Consumer Goods: Durable</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6.66%</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L+450</w:t>
            </w:r>
          </w:p>
        </w:tc>
        <w:tc>
          <w:tcPr>
            <w:tcW w:w="680" w:type="dxa"/>
            <w:vAlign w:val="bottom"/>
          </w:tcPr>
          <w:p>
            <w:pPr>
              <w:jc w:val="right"/>
              <w:spacing w:after="0"/>
              <w:rPr>
                <w:sz w:val="20"/>
                <w:szCs w:val="20"/>
                <w:color w:val="auto"/>
              </w:rPr>
            </w:pPr>
            <w:r>
              <w:rPr>
                <w:rFonts w:ascii="Arial" w:cs="Arial" w:eastAsia="Arial" w:hAnsi="Arial"/>
                <w:sz w:val="12"/>
                <w:szCs w:val="12"/>
                <w:color w:val="auto"/>
              </w:rPr>
              <w:t>19,325,409</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19,215,204</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19,132,154</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GSM Holdings, Inc. (Revolver)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06/03/2024</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Consumer Goods: 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6.69%</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L+450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5,938,737</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5,938,737</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5,879,350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GSM Holdings, Inc.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06/03/2024</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Consumer Goods: Durable</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1,187,747</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(11,877)</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12/10/2024</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Media</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8.39%</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7,491,774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7,422,604</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7,491,774</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7"/>
                <w:szCs w:val="17"/>
                <w:color w:val="auto"/>
                <w:vertAlign w:val="superscript"/>
              </w:rPr>
              <w:t>(7)</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12/10/2024</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Media</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8.39%</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L+625</w:t>
            </w:r>
          </w:p>
        </w:tc>
        <w:tc>
          <w:tcPr>
            <w:tcW w:w="680" w:type="dxa"/>
            <w:vAlign w:val="bottom"/>
          </w:tcPr>
          <w:p>
            <w:pPr>
              <w:jc w:val="right"/>
              <w:spacing w:after="0"/>
              <w:rPr>
                <w:sz w:val="20"/>
                <w:szCs w:val="20"/>
                <w:color w:val="auto"/>
              </w:rPr>
            </w:pPr>
            <w:r>
              <w:rPr>
                <w:rFonts w:ascii="Arial" w:cs="Arial" w:eastAsia="Arial" w:hAnsi="Arial"/>
                <w:sz w:val="12"/>
                <w:szCs w:val="12"/>
                <w:color w:val="auto"/>
              </w:rPr>
              <w:t>209,032</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209,032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209,032</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12/10/2024</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Media</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1,242,581</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10/28/2024</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Aerospace and Defense</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1,968,504</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06/27/2023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Wholesale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8.72%</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12,807,129</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12,742,367</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12,679,058</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17"/>
                <w:szCs w:val="17"/>
                <w:color w:val="auto"/>
                <w:vertAlign w:val="superscript"/>
              </w:rPr>
              <w:t>(5), (10)</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04/13/2023</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8.35%</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L+625</w:t>
            </w:r>
          </w:p>
        </w:tc>
        <w:tc>
          <w:tcPr>
            <w:tcW w:w="680" w:type="dxa"/>
            <w:vAlign w:val="bottom"/>
          </w:tcPr>
          <w:p>
            <w:pPr>
              <w:jc w:val="right"/>
              <w:spacing w:after="0"/>
              <w:rPr>
                <w:sz w:val="20"/>
                <w:szCs w:val="20"/>
                <w:color w:val="auto"/>
              </w:rPr>
            </w:pPr>
            <w:r>
              <w:rPr>
                <w:rFonts w:ascii="Arial" w:cs="Arial" w:eastAsia="Arial" w:hAnsi="Arial"/>
                <w:sz w:val="12"/>
                <w:szCs w:val="12"/>
                <w:color w:val="auto"/>
              </w:rPr>
              <w:t>3,305,640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3,271,191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3,272,584</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17"/>
                <w:szCs w:val="17"/>
                <w:color w:val="auto"/>
                <w:vertAlign w:val="superscript"/>
              </w:rPr>
              <w:t>(5), (7), (10)</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04/13/2023</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P+500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159,292</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159,292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158,495</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17"/>
                <w:szCs w:val="17"/>
                <w:color w:val="auto"/>
                <w:vertAlign w:val="superscript"/>
              </w:rPr>
              <w:t>(5), (7), (9), (10)</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04/13/2023</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371,681</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(1,858)</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Integrative Nutrition,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09/29/2023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Consumer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6.85%</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L+475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25,755,126</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25,541,479</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25,755,126</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09/29/2023</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Consumer Services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Inventus Power, Inc.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04/30/2020</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Consumer Goods: 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8.54%</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L+650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4,105,494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4,100,506</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3,777,055</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K2 Pure Solutions NoCal, L.P. (Revovler) </w:t>
            </w:r>
            <w:r>
              <w:rPr>
                <w:rFonts w:ascii="Arial" w:cs="Arial" w:eastAsia="Arial" w:hAnsi="Arial"/>
                <w:sz w:val="17"/>
                <w:szCs w:val="17"/>
                <w:color w:val="auto"/>
                <w:vertAlign w:val="superscript"/>
              </w:rPr>
              <w:t>(7)</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12/20/2023</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7.30%</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L+525</w:t>
            </w:r>
          </w:p>
        </w:tc>
        <w:tc>
          <w:tcPr>
            <w:tcW w:w="68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500,000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493,950</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K2 Pure Solutions NoCal, L.P. (Revovler)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12/20/2023</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928,571</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(11,236)</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Kentucky Downs, LLC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03/07/2025</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Hotels, Restaurants and Leisure</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10.60%</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L+850</w:t>
            </w:r>
          </w:p>
        </w:tc>
        <w:tc>
          <w:tcPr>
            <w:tcW w:w="680" w:type="dxa"/>
            <w:vAlign w:val="bottom"/>
          </w:tcPr>
          <w:p>
            <w:pPr>
              <w:jc w:val="right"/>
              <w:spacing w:after="0"/>
              <w:rPr>
                <w:sz w:val="20"/>
                <w:szCs w:val="20"/>
                <w:color w:val="auto"/>
              </w:rPr>
            </w:pPr>
            <w:r>
              <w:rPr>
                <w:rFonts w:ascii="Arial" w:cs="Arial" w:eastAsia="Arial" w:hAnsi="Arial"/>
                <w:sz w:val="12"/>
                <w:szCs w:val="12"/>
                <w:color w:val="auto"/>
              </w:rPr>
              <w:t>5,429,692</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5,327,414</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5,429,692</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17"/>
                <w:szCs w:val="17"/>
                <w:color w:val="auto"/>
                <w:vertAlign w:val="superscript"/>
              </w:rPr>
              <w:t>(7), (9)</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03/07/2025</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Hotels, Restaurants and Leisure</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1,344,828</w:t>
            </w:r>
          </w:p>
        </w:tc>
        <w:tc>
          <w:tcPr>
            <w:tcW w:w="240" w:type="dxa"/>
            <w:vAlign w:val="bottom"/>
            <w:shd w:val="clear" w:color="auto" w:fill="CCECFF"/>
          </w:tcPr>
          <w:p>
            <w:pPr>
              <w:spacing w:after="0"/>
              <w:rPr>
                <w:sz w:val="12"/>
                <w:szCs w:val="12"/>
                <w:color w:val="auto"/>
              </w:rPr>
            </w:pP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KHC Holdings, Inc.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10/31/2022</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Wholesale</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8.23%</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L+600</w:t>
            </w:r>
          </w:p>
        </w:tc>
        <w:tc>
          <w:tcPr>
            <w:tcW w:w="680" w:type="dxa"/>
            <w:vAlign w:val="bottom"/>
          </w:tcPr>
          <w:p>
            <w:pPr>
              <w:jc w:val="right"/>
              <w:spacing w:after="0"/>
              <w:rPr>
                <w:sz w:val="20"/>
                <w:szCs w:val="20"/>
                <w:color w:val="auto"/>
              </w:rPr>
            </w:pPr>
            <w:r>
              <w:rPr>
                <w:rFonts w:ascii="Arial" w:cs="Arial" w:eastAsia="Arial" w:hAnsi="Arial"/>
                <w:sz w:val="12"/>
                <w:szCs w:val="12"/>
                <w:color w:val="auto"/>
              </w:rPr>
              <w:t>12,031,250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11,925,121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12,031,250</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KHC Holdings, Inc. (Revolver)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10/30/2020</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Wholesale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6.29%</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L+425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479,839</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479,839</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479,839</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KHC Holdings, Inc.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10/30/2020</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Wholesale</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729,839</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Lago Resort &amp; Casino,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03/07/2022</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11.60%</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L+950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9,316,000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9,224,654</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9,176,260</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LAV Gear Holdings, Inc.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10/31/2024</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7.60%</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1M L+550</w:t>
            </w:r>
          </w:p>
        </w:tc>
        <w:tc>
          <w:tcPr>
            <w:tcW w:w="680" w:type="dxa"/>
            <w:vAlign w:val="bottom"/>
          </w:tcPr>
          <w:p>
            <w:pPr>
              <w:jc w:val="right"/>
              <w:spacing w:after="0"/>
              <w:rPr>
                <w:sz w:val="20"/>
                <w:szCs w:val="20"/>
                <w:color w:val="auto"/>
              </w:rPr>
            </w:pPr>
            <w:r>
              <w:rPr>
                <w:rFonts w:ascii="Arial" w:cs="Arial" w:eastAsia="Arial" w:hAnsi="Arial"/>
                <w:sz w:val="12"/>
                <w:szCs w:val="12"/>
                <w:color w:val="auto"/>
              </w:rPr>
              <w:t>8,357,143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8,311,279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8,349,621</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10/31/2024</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7.61%</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126,984</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126,984</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126,870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10/31/2024</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1,460,317</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(1,314)</w:t>
            </w: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11/30/2021</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0.00%</w:t>
            </w:r>
          </w:p>
        </w:tc>
        <w:tc>
          <w:tcPr>
            <w:tcW w:w="140" w:type="dxa"/>
            <w:vAlign w:val="bottom"/>
            <w:shd w:val="clear" w:color="auto" w:fill="CCECFF"/>
          </w:tcPr>
          <w:p>
            <w:pPr>
              <w:jc w:val="right"/>
              <w:spacing w:after="0"/>
              <w:rPr>
                <w:sz w:val="20"/>
                <w:szCs w:val="20"/>
                <w:color w:val="auto"/>
              </w:rPr>
            </w:pPr>
            <w:r>
              <w:rPr>
                <w:rFonts w:ascii="Arial" w:cs="Arial" w:eastAsia="Arial" w:hAnsi="Arial"/>
                <w:sz w:val="10"/>
                <w:szCs w:val="10"/>
                <w:color w:val="auto"/>
                <w:w w:val="81"/>
              </w:rPr>
              <w:t>(6)</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4,736,107</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4,599,788</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94,722</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Lombart Brothers, Inc.</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04/13/2022</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8.35%</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3M L+625</w:t>
            </w:r>
          </w:p>
        </w:tc>
        <w:tc>
          <w:tcPr>
            <w:tcW w:w="680" w:type="dxa"/>
            <w:vAlign w:val="bottom"/>
          </w:tcPr>
          <w:p>
            <w:pPr>
              <w:jc w:val="right"/>
              <w:spacing w:after="0"/>
              <w:rPr>
                <w:sz w:val="20"/>
                <w:szCs w:val="20"/>
                <w:color w:val="auto"/>
              </w:rPr>
            </w:pPr>
            <w:r>
              <w:rPr>
                <w:rFonts w:ascii="Arial" w:cs="Arial" w:eastAsia="Arial" w:hAnsi="Arial"/>
                <w:sz w:val="12"/>
                <w:szCs w:val="12"/>
                <w:color w:val="auto"/>
              </w:rPr>
              <w:t>13,783,976</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13,628,111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13,646,136</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17"/>
                <w:szCs w:val="17"/>
                <w:color w:val="auto"/>
                <w:vertAlign w:val="superscript"/>
              </w:rPr>
              <w:t>(7)</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04/13/2022</w:t>
            </w:r>
          </w:p>
        </w:tc>
        <w:tc>
          <w:tcPr>
            <w:tcW w:w="244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P+500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437,272</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437,272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435,086</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04/13/2022</w:t>
            </w:r>
          </w:p>
        </w:tc>
        <w:tc>
          <w:tcPr>
            <w:tcW w:w="244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801,666</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(4,009)</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Long Island Vision Management, LLC</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09/11/2023</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7.05%</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3M L+475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8,165,763</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8,114,887</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8,124,934</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Long Island Vision Management, LLC </w:t>
            </w:r>
            <w:r>
              <w:rPr>
                <w:rFonts w:ascii="Arial" w:cs="Arial" w:eastAsia="Arial" w:hAnsi="Arial"/>
                <w:sz w:val="17"/>
                <w:szCs w:val="17"/>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09/11/2023</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1,788,843</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(8,944)</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92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89"/>
              </w:rPr>
              <w:t>08/19/2022</w:t>
            </w:r>
          </w:p>
        </w:tc>
        <w:tc>
          <w:tcPr>
            <w:tcW w:w="244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7.10%</w:t>
            </w: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1M 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9,900,000</w:t>
            </w: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9,830,562</w:t>
            </w: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9,801,000</w:t>
            </w:r>
          </w:p>
        </w:tc>
        <w:tc>
          <w:tcPr>
            <w:tcW w:w="120" w:type="dxa"/>
            <w:vAlign w:val="bottom"/>
            <w:shd w:val="clear" w:color="auto" w:fill="CCECFF"/>
          </w:tcPr>
          <w:p>
            <w:pPr>
              <w:spacing w:after="0"/>
              <w:rPr>
                <w:sz w:val="12"/>
                <w:szCs w:val="12"/>
                <w:color w:val="auto"/>
              </w:rPr>
            </w:pPr>
          </w:p>
        </w:tc>
      </w:tr>
      <w:tr>
        <w:trPr>
          <w:trHeight w:val="259"/>
        </w:trPr>
        <w:tc>
          <w:tcPr>
            <w:tcW w:w="3360" w:type="dxa"/>
            <w:vAlign w:val="bottom"/>
          </w:tcPr>
          <w:p>
            <w:pPr>
              <w:spacing w:after="0"/>
              <w:rPr>
                <w:sz w:val="20"/>
                <w:szCs w:val="20"/>
                <w:color w:val="auto"/>
              </w:rPr>
            </w:pPr>
            <w:r>
              <w:rPr>
                <w:rFonts w:ascii="Arial" w:cs="Arial" w:eastAsia="Arial" w:hAnsi="Arial"/>
                <w:sz w:val="12"/>
                <w:szCs w:val="12"/>
                <w:color w:val="auto"/>
              </w:rPr>
              <w:t xml:space="preserve">Long’s Drugs Incorporated (Revolver) </w:t>
            </w:r>
            <w:r>
              <w:rPr>
                <w:rFonts w:ascii="Arial" w:cs="Arial" w:eastAsia="Arial" w:hAnsi="Arial"/>
                <w:sz w:val="19"/>
                <w:szCs w:val="19"/>
                <w:color w:val="auto"/>
                <w:vertAlign w:val="superscript"/>
              </w:rPr>
              <w:t>(7), (9)</w:t>
            </w:r>
          </w:p>
        </w:tc>
        <w:tc>
          <w:tcPr>
            <w:tcW w:w="920" w:type="dxa"/>
            <w:vAlign w:val="bottom"/>
          </w:tcPr>
          <w:p>
            <w:pPr>
              <w:jc w:val="center"/>
              <w:ind w:right="2"/>
              <w:spacing w:after="0"/>
              <w:rPr>
                <w:sz w:val="20"/>
                <w:szCs w:val="20"/>
                <w:color w:val="auto"/>
              </w:rPr>
            </w:pPr>
            <w:r>
              <w:rPr>
                <w:rFonts w:ascii="Arial" w:cs="Arial" w:eastAsia="Arial" w:hAnsi="Arial"/>
                <w:sz w:val="12"/>
                <w:szCs w:val="12"/>
                <w:color w:val="auto"/>
                <w:w w:val="89"/>
              </w:rPr>
              <w:t>08/19/2022</w:t>
            </w:r>
          </w:p>
        </w:tc>
        <w:tc>
          <w:tcPr>
            <w:tcW w:w="244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(60,000)</w:t>
            </w: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240"/>
          </w:cols>
          <w:pgMar w:left="320" w:top="118" w:right="33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6"/>
        </w:trPr>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380"/>
              <w:spacing w:after="0" w:line="126"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0"/>
                <w:szCs w:val="10"/>
                <w:color w:val="auto"/>
              </w:rPr>
            </w:pPr>
          </w:p>
        </w:tc>
        <w:tc>
          <w:tcPr>
            <w:tcW w:w="680" w:type="dxa"/>
            <w:vAlign w:val="bottom"/>
          </w:tcPr>
          <w:p>
            <w:pPr>
              <w:jc w:val="right"/>
              <w:ind w:right="162"/>
              <w:spacing w:after="0" w:line="126"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33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120" w:type="dxa"/>
            <w:vAlign w:val="bottom"/>
            <w:tcBorders>
              <w:bottom w:val="single" w:sz="8" w:color="CCECFF"/>
            </w:tcBorders>
          </w:tcPr>
          <w:p>
            <w:pPr>
              <w:spacing w:after="0"/>
              <w:rPr>
                <w:sz w:val="13"/>
                <w:szCs w:val="13"/>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120" w:type="dxa"/>
            <w:vAlign w:val="bottom"/>
            <w:tcBorders>
              <w:bottom w:val="single" w:sz="8" w:color="CCECFF"/>
            </w:tcBorders>
          </w:tcPr>
          <w:p>
            <w:pPr>
              <w:spacing w:after="0"/>
              <w:rPr>
                <w:sz w:val="13"/>
                <w:szCs w:val="13"/>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Coupon</w:t>
            </w:r>
          </w:p>
        </w:tc>
        <w:tc>
          <w:tcPr>
            <w:tcW w:w="240" w:type="dxa"/>
            <w:vAlign w:val="bottom"/>
            <w:tcBorders>
              <w:bottom w:val="single" w:sz="8" w:color="CCECFF"/>
            </w:tcBorders>
          </w:tcPr>
          <w:p>
            <w:pPr>
              <w:spacing w:after="0"/>
              <w:rPr>
                <w:sz w:val="13"/>
                <w:szCs w:val="13"/>
                <w:color w:val="auto"/>
              </w:rPr>
            </w:pPr>
          </w:p>
        </w:tc>
        <w:tc>
          <w:tcPr>
            <w:tcW w:w="6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1"/>
                <w:szCs w:val="11"/>
                <w:b w:val="1"/>
                <w:bCs w:val="1"/>
                <w:color w:val="auto"/>
                <w:w w:val="91"/>
              </w:rPr>
              <w:t xml:space="preserve">Index </w:t>
            </w:r>
            <w:r>
              <w:rPr>
                <w:rFonts w:ascii="Arial" w:cs="Arial" w:eastAsia="Arial" w:hAnsi="Arial"/>
                <w:sz w:val="17"/>
                <w:szCs w:val="17"/>
                <w:b w:val="1"/>
                <w:bCs w:val="1"/>
                <w:color w:val="auto"/>
                <w:w w:val="91"/>
                <w:vertAlign w:val="superscript"/>
              </w:rPr>
              <w:t>(1)</w:t>
            </w:r>
          </w:p>
        </w:tc>
        <w:tc>
          <w:tcPr>
            <w:tcW w:w="220" w:type="dxa"/>
            <w:vAlign w:val="bottom"/>
            <w:tcBorders>
              <w:bottom w:val="single" w:sz="8" w:color="CCECFF"/>
            </w:tcBorders>
          </w:tcPr>
          <w:p>
            <w:pPr>
              <w:spacing w:after="0"/>
              <w:rPr>
                <w:sz w:val="13"/>
                <w:szCs w:val="13"/>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CECFF"/>
            </w:tcBorders>
          </w:tcPr>
          <w:p>
            <w:pPr>
              <w:spacing w:after="0"/>
              <w:rPr>
                <w:sz w:val="13"/>
                <w:szCs w:val="13"/>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220" w:type="dxa"/>
            <w:vAlign w:val="bottom"/>
            <w:tcBorders>
              <w:bottom w:val="single" w:sz="8" w:color="CCECFF"/>
            </w:tcBorders>
          </w:tcPr>
          <w:p>
            <w:pPr>
              <w:spacing w:after="0"/>
              <w:rPr>
                <w:sz w:val="13"/>
                <w:szCs w:val="13"/>
                <w:color w:val="auto"/>
              </w:rPr>
            </w:pPr>
          </w:p>
        </w:tc>
        <w:tc>
          <w:tcPr>
            <w:tcW w:w="7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1"/>
                <w:szCs w:val="11"/>
                <w:b w:val="1"/>
                <w:bCs w:val="1"/>
                <w:color w:val="auto"/>
                <w:w w:val="97"/>
              </w:rPr>
              <w:t xml:space="preserve">Fair Value </w:t>
            </w:r>
            <w:r>
              <w:rPr>
                <w:rFonts w:ascii="Arial" w:cs="Arial" w:eastAsia="Arial" w:hAnsi="Arial"/>
                <w:sz w:val="17"/>
                <w:szCs w:val="17"/>
                <w:b w:val="1"/>
                <w:bCs w:val="1"/>
                <w:color w:val="auto"/>
                <w:w w:val="97"/>
                <w:vertAlign w:val="superscript"/>
              </w:rPr>
              <w:t>(2)</w:t>
            </w:r>
          </w:p>
        </w:tc>
        <w:tc>
          <w:tcPr>
            <w:tcW w:w="120" w:type="dxa"/>
            <w:vAlign w:val="bottom"/>
            <w:tcBorders>
              <w:bottom w:val="single" w:sz="8" w:color="CCECFF"/>
            </w:tcBorders>
          </w:tcPr>
          <w:p>
            <w:pPr>
              <w:spacing w:after="0"/>
              <w:rPr>
                <w:sz w:val="13"/>
                <w:szCs w:val="13"/>
                <w:color w:val="auto"/>
              </w:rPr>
            </w:pPr>
          </w:p>
        </w:tc>
      </w:tr>
      <w:tr>
        <w:trPr>
          <w:trHeight w:val="142"/>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05/01/2023</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8.04%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13,684,375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13,590,322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12,711,826</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rPr>
                <w:sz w:val="20"/>
                <w:szCs w:val="20"/>
                <w:color w:val="auto"/>
              </w:rPr>
            </w:pPr>
            <w:r>
              <w:rPr>
                <w:rFonts w:ascii="Arial" w:cs="Arial" w:eastAsia="Arial" w:hAnsi="Arial"/>
                <w:sz w:val="12"/>
                <w:szCs w:val="12"/>
                <w:color w:val="auto"/>
              </w:rPr>
              <w:t>Manna Pro Products, LLC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12/08/2023</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8.11%</w:t>
            </w:r>
          </w:p>
        </w:tc>
        <w:tc>
          <w:tcPr>
            <w:tcW w:w="680" w:type="dxa"/>
            <w:vAlign w:val="bottom"/>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8,390,000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8,327,947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8,159,275</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Marketplace Events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01/27/2023</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7.35%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5,312,015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5,243,388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5,245,616</w:t>
            </w:r>
          </w:p>
        </w:tc>
        <w:tc>
          <w:tcPr>
            <w:tcW w:w="120" w:type="dxa"/>
            <w:vAlign w:val="bottom"/>
            <w:shd w:val="clear" w:color="auto" w:fill="CCECFF"/>
          </w:tcPr>
          <w:p>
            <w:pPr>
              <w:spacing w:after="0"/>
              <w:rPr>
                <w:sz w:val="12"/>
                <w:szCs w:val="12"/>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7"/>
                <w:szCs w:val="17"/>
                <w:color w:val="auto"/>
                <w:vertAlign w:val="superscript"/>
              </w:rPr>
              <w:t>(11)</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01/27/2023</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7.20%</w:t>
            </w:r>
          </w:p>
        </w:tc>
        <w:tc>
          <w:tcPr>
            <w:tcW w:w="680" w:type="dxa"/>
            <w:vAlign w:val="bottom"/>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C$  16,299,990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11,428,057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12,311,171</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Marketplace Events LLC (Revolver)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01/27/2023</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476,886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476,886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476,886</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Marketplace Events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01/27/2023</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1,226,277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MeritDirect,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05/23/2024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8.06%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34,772,838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34,280,848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34,251,245</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05/23/2024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4,481,655</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(67,225)</w:t>
            </w:r>
          </w:p>
        </w:tc>
      </w:tr>
      <w:tr>
        <w:trPr>
          <w:trHeight w:val="149"/>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09/28/2021</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7.18%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212,014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212,014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212,014</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09/28/2021</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1,113,074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Montreign Operating Company,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01/24/2023</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10.37%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27,189,858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27,394,375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24,344,712</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Nuvei Technologies Corp. </w:t>
            </w:r>
            <w:r>
              <w:rPr>
                <w:rFonts w:ascii="Arial" w:cs="Arial" w:eastAsia="Arial" w:hAnsi="Arial"/>
                <w:sz w:val="17"/>
                <w:szCs w:val="17"/>
                <w:color w:val="auto"/>
                <w:vertAlign w:val="superscript"/>
              </w:rPr>
              <w:t>(5), (10)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09/28/2025</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Diversified Financial Services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8.43%</w:t>
            </w:r>
          </w:p>
        </w:tc>
        <w:tc>
          <w:tcPr>
            <w:tcW w:w="680" w:type="dxa"/>
            <w:vAlign w:val="bottom"/>
          </w:tcPr>
          <w:p>
            <w:pPr>
              <w:jc w:val="right"/>
              <w:spacing w:after="0"/>
              <w:rPr>
                <w:sz w:val="20"/>
                <w:szCs w:val="20"/>
                <w:color w:val="auto"/>
              </w:rPr>
            </w:pPr>
            <w:r>
              <w:rPr>
                <w:rFonts w:ascii="Arial" w:cs="Arial" w:eastAsia="Arial" w:hAnsi="Arial"/>
                <w:sz w:val="12"/>
                <w:szCs w:val="12"/>
                <w:color w:val="auto"/>
              </w:rPr>
              <w:t>P+400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19,949,780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19,652,494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19,650,534</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Olde Thompson,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05/14/2024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6.54%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1,575,476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1,559,721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1,575,476</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Olde Thompson, LLC -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05/14/2024</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2,642,857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03/27/2024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6.54%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2,962,422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2,684,289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2,547,683</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rPr>
                <w:sz w:val="20"/>
                <w:szCs w:val="20"/>
                <w:color w:val="auto"/>
              </w:rPr>
            </w:pPr>
            <w:r>
              <w:rPr>
                <w:rFonts w:ascii="Arial" w:cs="Arial" w:eastAsia="Arial" w:hAnsi="Arial"/>
                <w:sz w:val="12"/>
                <w:szCs w:val="12"/>
                <w:color w:val="auto"/>
              </w:rPr>
              <w:t>Ox Two, LLC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02/27/2023</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8.29%</w:t>
            </w:r>
          </w:p>
        </w:tc>
        <w:tc>
          <w:tcPr>
            <w:tcW w:w="680" w:type="dxa"/>
            <w:vAlign w:val="bottom"/>
          </w:tcPr>
          <w:p>
            <w:pPr>
              <w:jc w:val="right"/>
              <w:spacing w:after="0"/>
              <w:rPr>
                <w:sz w:val="20"/>
                <w:szCs w:val="20"/>
                <w:color w:val="auto"/>
              </w:rPr>
            </w:pPr>
            <w:r>
              <w:rPr>
                <w:rFonts w:ascii="Arial" w:cs="Arial" w:eastAsia="Arial" w:hAnsi="Arial"/>
                <w:sz w:val="12"/>
                <w:szCs w:val="12"/>
                <w:color w:val="auto"/>
              </w:rPr>
              <w:t>1M L+625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12,780,524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12,708,453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12,780,524</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02/27/2023</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12.25%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P+725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508,444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508,444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508,444</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02/27/2023</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47,111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Peninsula Pacific Entertainment LLC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11/13/2024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9.35%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13,275,810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13,225,232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13,275,810</w:t>
            </w:r>
          </w:p>
        </w:tc>
        <w:tc>
          <w:tcPr>
            <w:tcW w:w="120" w:type="dxa"/>
            <w:vAlign w:val="bottom"/>
            <w:shd w:val="clear" w:color="auto" w:fill="CCECFF"/>
          </w:tcPr>
          <w:p>
            <w:pPr>
              <w:spacing w:after="0"/>
              <w:rPr>
                <w:sz w:val="12"/>
                <w:szCs w:val="12"/>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Pestell Minerals and Ingredients Inc. </w:t>
            </w:r>
            <w:r>
              <w:rPr>
                <w:rFonts w:ascii="Arial" w:cs="Arial" w:eastAsia="Arial" w:hAnsi="Arial"/>
                <w:sz w:val="17"/>
                <w:szCs w:val="17"/>
                <w:color w:val="auto"/>
                <w:vertAlign w:val="superscript"/>
              </w:rPr>
              <w:t>(5), (10)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06/01/2023</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7.57%</w:t>
            </w:r>
          </w:p>
        </w:tc>
        <w:tc>
          <w:tcPr>
            <w:tcW w:w="680" w:type="dxa"/>
            <w:vAlign w:val="bottom"/>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14,887,500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14,769,736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14,738,625</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Plant Health Intermediate, Inc.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10/19/2022</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2,113,704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2,087,235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2,092,567</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rPr>
                <w:sz w:val="20"/>
                <w:szCs w:val="20"/>
                <w:color w:val="auto"/>
              </w:rPr>
            </w:pPr>
            <w:r>
              <w:rPr>
                <w:rFonts w:ascii="Arial" w:cs="Arial" w:eastAsia="Arial" w:hAnsi="Arial"/>
                <w:sz w:val="12"/>
                <w:szCs w:val="12"/>
                <w:color w:val="auto"/>
              </w:rPr>
              <w:t>PlayPower, Inc.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05/08/2026</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Leisure Products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7.60%</w:t>
            </w:r>
          </w:p>
        </w:tc>
        <w:tc>
          <w:tcPr>
            <w:tcW w:w="680" w:type="dxa"/>
            <w:vAlign w:val="bottom"/>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5,586,000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5,531,151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5,579,018</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PRA Events, Inc.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08/08/2022</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9.11%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2,585,319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2,543,697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2,585,319</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rPr>
                <w:sz w:val="20"/>
                <w:szCs w:val="20"/>
                <w:color w:val="auto"/>
              </w:rPr>
            </w:pPr>
            <w:r>
              <w:rPr>
                <w:rFonts w:ascii="Arial" w:cs="Arial" w:eastAsia="Arial" w:hAnsi="Arial"/>
                <w:sz w:val="12"/>
                <w:szCs w:val="12"/>
                <w:color w:val="auto"/>
              </w:rPr>
              <w:t>Quantum Spatial, Inc.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09/04/2024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7.32%</w:t>
            </w:r>
          </w:p>
        </w:tc>
        <w:tc>
          <w:tcPr>
            <w:tcW w:w="680" w:type="dxa"/>
            <w:vAlign w:val="bottom"/>
          </w:tcPr>
          <w:p>
            <w:pPr>
              <w:jc w:val="right"/>
              <w:spacing w:after="0"/>
              <w:rPr>
                <w:sz w:val="20"/>
                <w:szCs w:val="20"/>
                <w:color w:val="auto"/>
              </w:rPr>
            </w:pPr>
            <w:r>
              <w:rPr>
                <w:rFonts w:ascii="Arial" w:cs="Arial" w:eastAsia="Arial" w:hAnsi="Arial"/>
                <w:sz w:val="12"/>
                <w:szCs w:val="12"/>
                <w:color w:val="auto"/>
              </w:rPr>
              <w:t>1M 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18,717,745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18,715,000</w:t>
            </w:r>
          </w:p>
        </w:tc>
        <w:tc>
          <w:tcPr>
            <w:tcW w:w="120" w:type="dxa"/>
            <w:vAlign w:val="bottom"/>
          </w:tcPr>
          <w:p>
            <w:pPr>
              <w:spacing w:after="0"/>
              <w:rPr>
                <w:sz w:val="12"/>
                <w:szCs w:val="12"/>
                <w:color w:val="auto"/>
              </w:rPr>
            </w:pPr>
          </w:p>
        </w:tc>
      </w:tr>
      <w:tr>
        <w:trPr>
          <w:trHeight w:val="149"/>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Questex,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09/09/2024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7.11%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7,425,000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7,297,539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7,350,750</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09/09/2024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1,196,809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(11,968)</w:t>
            </w: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Research Horizons,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06/28/2022</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8.36%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7,241,807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7,167,727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7,096,971</w:t>
            </w:r>
          </w:p>
        </w:tc>
        <w:tc>
          <w:tcPr>
            <w:tcW w:w="120" w:type="dxa"/>
            <w:vAlign w:val="bottom"/>
            <w:shd w:val="clear" w:color="auto" w:fill="CCECFF"/>
          </w:tcPr>
          <w:p>
            <w:pPr>
              <w:spacing w:after="0"/>
              <w:rPr>
                <w:sz w:val="12"/>
                <w:szCs w:val="12"/>
                <w:color w:val="auto"/>
              </w:rPr>
            </w:pPr>
          </w:p>
        </w:tc>
      </w:tr>
      <w:tr>
        <w:trPr>
          <w:trHeight w:val="156"/>
        </w:trPr>
        <w:tc>
          <w:tcPr>
            <w:tcW w:w="3480" w:type="dxa"/>
            <w:vAlign w:val="bottom"/>
            <w:gridSpan w:val="2"/>
          </w:tcPr>
          <w:p>
            <w:pPr>
              <w:spacing w:after="0"/>
              <w:rPr>
                <w:sz w:val="20"/>
                <w:szCs w:val="20"/>
                <w:color w:val="auto"/>
              </w:rPr>
            </w:pPr>
            <w:r>
              <w:rPr>
                <w:rFonts w:ascii="Arial" w:cs="Arial" w:eastAsia="Arial" w:hAnsi="Arial"/>
                <w:sz w:val="12"/>
                <w:szCs w:val="12"/>
                <w:color w:val="auto"/>
              </w:rPr>
              <w:t>Research Now Group, Inc. and Survey Sampling</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12/20/2024</w:t>
            </w:r>
          </w:p>
        </w:tc>
        <w:tc>
          <w:tcPr>
            <w:tcW w:w="120" w:type="dxa"/>
            <w:vAlign w:val="bottom"/>
          </w:tcPr>
          <w:p>
            <w:pPr>
              <w:spacing w:after="0"/>
              <w:rPr>
                <w:sz w:val="13"/>
                <w:szCs w:val="13"/>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7.84%</w:t>
            </w:r>
          </w:p>
        </w:tc>
        <w:tc>
          <w:tcPr>
            <w:tcW w:w="680" w:type="dxa"/>
            <w:vAlign w:val="bottom"/>
          </w:tcPr>
          <w:p>
            <w:pPr>
              <w:jc w:val="right"/>
              <w:spacing w:after="0"/>
              <w:rPr>
                <w:sz w:val="20"/>
                <w:szCs w:val="20"/>
                <w:color w:val="auto"/>
              </w:rPr>
            </w:pPr>
            <w:r>
              <w:rPr>
                <w:rFonts w:ascii="Arial" w:cs="Arial" w:eastAsia="Arial" w:hAnsi="Arial"/>
                <w:sz w:val="12"/>
                <w:szCs w:val="12"/>
                <w:color w:val="auto"/>
              </w:rPr>
              <w:t>3M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24,562,500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23,577,849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24,600,818</w:t>
            </w:r>
          </w:p>
        </w:tc>
        <w:tc>
          <w:tcPr>
            <w:tcW w:w="120" w:type="dxa"/>
            <w:vAlign w:val="bottom"/>
          </w:tcPr>
          <w:p>
            <w:pPr>
              <w:spacing w:after="0"/>
              <w:rPr>
                <w:sz w:val="13"/>
                <w:szCs w:val="13"/>
                <w:color w:val="auto"/>
              </w:rPr>
            </w:pPr>
          </w:p>
        </w:tc>
      </w:tr>
      <w:tr>
        <w:trPr>
          <w:trHeight w:val="141"/>
        </w:trPr>
        <w:tc>
          <w:tcPr>
            <w:tcW w:w="3480" w:type="dxa"/>
            <w:vAlign w:val="bottom"/>
            <w:gridSpan w:val="2"/>
          </w:tcPr>
          <w:p>
            <w:pPr>
              <w:ind w:left="140"/>
              <w:spacing w:after="0"/>
              <w:rPr>
                <w:sz w:val="20"/>
                <w:szCs w:val="20"/>
                <w:color w:val="auto"/>
              </w:rPr>
            </w:pPr>
            <w:r>
              <w:rPr>
                <w:rFonts w:ascii="Arial" w:cs="Arial" w:eastAsia="Arial" w:hAnsi="Arial"/>
                <w:sz w:val="12"/>
                <w:szCs w:val="12"/>
                <w:color w:val="auto"/>
              </w:rPr>
              <w:t>International LLC</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Riverpoint Medical,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06/20/2025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Healthcare Equipment and Supplies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7.39%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4,987,500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4,938,821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4,961,565</w:t>
            </w:r>
          </w:p>
        </w:tc>
        <w:tc>
          <w:tcPr>
            <w:tcW w:w="120" w:type="dxa"/>
            <w:vAlign w:val="bottom"/>
            <w:shd w:val="clear" w:color="auto" w:fill="CCECFF"/>
          </w:tcPr>
          <w:p>
            <w:pPr>
              <w:spacing w:after="0"/>
              <w:rPr>
                <w:sz w:val="12"/>
                <w:szCs w:val="12"/>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06/20/2025</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Healthcare Equipment and Supplies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909,091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(4,727)</w:t>
            </w: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Salient CRGT Inc.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02/28/2022</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8.05%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1,771,740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1,752,209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1,674,294</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rPr>
                <w:sz w:val="20"/>
                <w:szCs w:val="20"/>
                <w:color w:val="auto"/>
              </w:rPr>
            </w:pPr>
            <w:r>
              <w:rPr>
                <w:rFonts w:ascii="Arial" w:cs="Arial" w:eastAsia="Arial" w:hAnsi="Arial"/>
                <w:sz w:val="12"/>
                <w:szCs w:val="12"/>
                <w:color w:val="auto"/>
              </w:rPr>
              <w:t>Schlesinger Global, Inc.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07/14/2025</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7.14%</w:t>
            </w:r>
          </w:p>
        </w:tc>
        <w:tc>
          <w:tcPr>
            <w:tcW w:w="680" w:type="dxa"/>
            <w:vAlign w:val="bottom"/>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18,256,482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17,988,515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18,256,482</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Schlesinger Global, Inc.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07/14/2025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4,007,789</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17"/>
                <w:szCs w:val="17"/>
                <w:color w:val="auto"/>
                <w:vertAlign w:val="superscript"/>
              </w:rPr>
              <w:t>(7)</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07/14/2025</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7.82%</w:t>
            </w:r>
          </w:p>
        </w:tc>
        <w:tc>
          <w:tcPr>
            <w:tcW w:w="680" w:type="dxa"/>
            <w:vAlign w:val="bottom"/>
          </w:tcPr>
          <w:p>
            <w:pPr>
              <w:jc w:val="right"/>
              <w:spacing w:after="0"/>
              <w:rPr>
                <w:sz w:val="20"/>
                <w:szCs w:val="20"/>
                <w:color w:val="auto"/>
              </w:rPr>
            </w:pPr>
            <w:r>
              <w:rPr>
                <w:rFonts w:ascii="Arial" w:cs="Arial" w:eastAsia="Arial" w:hAnsi="Arial"/>
                <w:sz w:val="12"/>
                <w:szCs w:val="12"/>
                <w:color w:val="auto"/>
              </w:rPr>
              <w:t>3M 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667,965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667,965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667,965</w:t>
            </w:r>
          </w:p>
        </w:tc>
        <w:tc>
          <w:tcPr>
            <w:tcW w:w="120" w:type="dxa"/>
            <w:vAlign w:val="bottom"/>
          </w:tcPr>
          <w:p>
            <w:pPr>
              <w:spacing w:after="0"/>
              <w:rPr>
                <w:sz w:val="12"/>
                <w:szCs w:val="12"/>
                <w:color w:val="auto"/>
              </w:rPr>
            </w:pPr>
          </w:p>
        </w:tc>
      </w:tr>
      <w:tr>
        <w:trPr>
          <w:trHeight w:val="149"/>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07/14/2025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1,202,337</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480" w:type="dxa"/>
            <w:vAlign w:val="bottom"/>
            <w:gridSpan w:val="2"/>
          </w:tcPr>
          <w:p>
            <w:pPr>
              <w:spacing w:after="0"/>
              <w:rPr>
                <w:sz w:val="20"/>
                <w:szCs w:val="20"/>
                <w:color w:val="auto"/>
              </w:rPr>
            </w:pPr>
            <w:r>
              <w:rPr>
                <w:rFonts w:ascii="Arial" w:cs="Arial" w:eastAsia="Arial" w:hAnsi="Arial"/>
                <w:sz w:val="12"/>
                <w:szCs w:val="12"/>
                <w:color w:val="auto"/>
              </w:rPr>
              <w:t>Signature Systems Holding Company</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05/03/2024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Commercial Services &amp; Supplies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8.60%</w:t>
            </w:r>
          </w:p>
        </w:tc>
        <w:tc>
          <w:tcPr>
            <w:tcW w:w="680" w:type="dxa"/>
            <w:vAlign w:val="bottom"/>
          </w:tcPr>
          <w:p>
            <w:pPr>
              <w:jc w:val="right"/>
              <w:spacing w:after="0"/>
              <w:rPr>
                <w:sz w:val="20"/>
                <w:szCs w:val="20"/>
                <w:color w:val="auto"/>
              </w:rPr>
            </w:pPr>
            <w:r>
              <w:rPr>
                <w:rFonts w:ascii="Arial" w:cs="Arial" w:eastAsia="Arial" w:hAnsi="Arial"/>
                <w:sz w:val="12"/>
                <w:szCs w:val="12"/>
                <w:color w:val="auto"/>
              </w:rPr>
              <w:t>1M L+650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12,918,768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12,735,120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12,918,768</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05/03/2024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Commercial Services &amp; Supplies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1,747,312</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Smile Brands Inc. </w:t>
            </w:r>
            <w:r>
              <w:rPr>
                <w:rFonts w:ascii="Arial" w:cs="Arial" w:eastAsia="Arial" w:hAnsi="Arial"/>
                <w:sz w:val="17"/>
                <w:szCs w:val="17"/>
                <w:color w:val="auto"/>
                <w:vertAlign w:val="superscript"/>
              </w:rPr>
              <w:t>(7)</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10/14/2024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6.64%</w:t>
            </w:r>
          </w:p>
        </w:tc>
        <w:tc>
          <w:tcPr>
            <w:tcW w:w="680" w:type="dxa"/>
            <w:vAlign w:val="bottom"/>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2,136,667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2,136,667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2,115,300</w:t>
            </w:r>
          </w:p>
        </w:tc>
        <w:tc>
          <w:tcPr>
            <w:tcW w:w="120" w:type="dxa"/>
            <w:vAlign w:val="bottom"/>
          </w:tcPr>
          <w:p>
            <w:pPr>
              <w:spacing w:after="0"/>
              <w:rPr>
                <w:sz w:val="12"/>
                <w:szCs w:val="12"/>
                <w:color w:val="auto"/>
              </w:rPr>
            </w:pPr>
          </w:p>
        </w:tc>
      </w:tr>
      <w:tr>
        <w:trPr>
          <w:trHeight w:val="149"/>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Smile Brands Inc.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10/14/2024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2,362,585</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(23,626)</w:t>
            </w: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17"/>
                <w:szCs w:val="17"/>
                <w:color w:val="auto"/>
                <w:vertAlign w:val="superscript"/>
              </w:rPr>
              <w:t>(7)</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10/14/2024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8.61%</w:t>
            </w:r>
          </w:p>
        </w:tc>
        <w:tc>
          <w:tcPr>
            <w:tcW w:w="680" w:type="dxa"/>
            <w:vAlign w:val="bottom"/>
          </w:tcPr>
          <w:p>
            <w:pPr>
              <w:jc w:val="right"/>
              <w:spacing w:after="0"/>
              <w:rPr>
                <w:sz w:val="20"/>
                <w:szCs w:val="20"/>
                <w:color w:val="auto"/>
              </w:rPr>
            </w:pPr>
            <w:r>
              <w:rPr>
                <w:rFonts w:ascii="Arial" w:cs="Arial" w:eastAsia="Arial" w:hAnsi="Arial"/>
                <w:sz w:val="12"/>
                <w:szCs w:val="12"/>
                <w:color w:val="auto"/>
              </w:rPr>
              <w:t>P+350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242,438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242,438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238,025</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10/14/2024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1,373,813</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(25,003)</w:t>
            </w: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7"/>
                <w:szCs w:val="17"/>
                <w:color w:val="auto"/>
                <w:vertAlign w:val="superscript"/>
              </w:rPr>
              <w:t>(7)</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07/19/2021</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8.23%</w:t>
            </w:r>
          </w:p>
        </w:tc>
        <w:tc>
          <w:tcPr>
            <w:tcW w:w="680" w:type="dxa"/>
            <w:vAlign w:val="bottom"/>
          </w:tcPr>
          <w:p>
            <w:pPr>
              <w:jc w:val="right"/>
              <w:spacing w:after="0"/>
              <w:rPr>
                <w:sz w:val="20"/>
                <w:szCs w:val="20"/>
                <w:color w:val="auto"/>
              </w:rPr>
            </w:pPr>
            <w:r>
              <w:rPr>
                <w:rFonts w:ascii="Arial" w:cs="Arial" w:eastAsia="Arial" w:hAnsi="Arial"/>
                <w:sz w:val="12"/>
                <w:szCs w:val="12"/>
                <w:color w:val="auto"/>
              </w:rPr>
              <w:t>3M L+600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46,500</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07/19/2021</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445,136</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(31,160)</w:t>
            </w:r>
          </w:p>
        </w:tc>
      </w:tr>
      <w:tr>
        <w:trPr>
          <w:trHeight w:val="149"/>
        </w:trPr>
        <w:tc>
          <w:tcPr>
            <w:tcW w:w="3480" w:type="dxa"/>
            <w:vAlign w:val="bottom"/>
            <w:gridSpan w:val="2"/>
          </w:tcPr>
          <w:p>
            <w:pPr>
              <w:spacing w:after="0"/>
              <w:rPr>
                <w:sz w:val="20"/>
                <w:szCs w:val="20"/>
                <w:color w:val="auto"/>
              </w:rPr>
            </w:pPr>
            <w:r>
              <w:rPr>
                <w:rFonts w:ascii="Arial" w:cs="Arial" w:eastAsia="Arial" w:hAnsi="Arial"/>
                <w:sz w:val="12"/>
                <w:szCs w:val="12"/>
                <w:color w:val="auto"/>
              </w:rPr>
              <w:t>Solutionreach, Inc.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01/17/2024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Healthcare Technology</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7.83%</w:t>
            </w:r>
          </w:p>
        </w:tc>
        <w:tc>
          <w:tcPr>
            <w:tcW w:w="680" w:type="dxa"/>
            <w:vAlign w:val="bottom"/>
          </w:tcPr>
          <w:p>
            <w:pPr>
              <w:jc w:val="right"/>
              <w:spacing w:after="0"/>
              <w:rPr>
                <w:sz w:val="20"/>
                <w:szCs w:val="20"/>
                <w:color w:val="auto"/>
              </w:rPr>
            </w:pPr>
            <w:r>
              <w:rPr>
                <w:rFonts w:ascii="Arial" w:cs="Arial" w:eastAsia="Arial" w:hAnsi="Arial"/>
                <w:sz w:val="12"/>
                <w:szCs w:val="12"/>
                <w:color w:val="auto"/>
              </w:rPr>
              <w:t>3M 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13,253,400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13,019,272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13,082,432</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Solutionreach, Inc.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01/17/2024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Healthcare Technology</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1,665,000</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(21,478)</w:t>
            </w:r>
          </w:p>
        </w:tc>
      </w:tr>
      <w:tr>
        <w:trPr>
          <w:trHeight w:val="148"/>
        </w:trPr>
        <w:tc>
          <w:tcPr>
            <w:tcW w:w="3480" w:type="dxa"/>
            <w:vAlign w:val="bottom"/>
            <w:gridSpan w:val="2"/>
          </w:tcPr>
          <w:p>
            <w:pPr>
              <w:spacing w:after="0"/>
              <w:rPr>
                <w:sz w:val="20"/>
                <w:szCs w:val="20"/>
                <w:color w:val="auto"/>
              </w:rPr>
            </w:pPr>
            <w:r>
              <w:rPr>
                <w:rFonts w:ascii="Arial" w:cs="Arial" w:eastAsia="Arial" w:hAnsi="Arial"/>
                <w:sz w:val="12"/>
                <w:szCs w:val="12"/>
                <w:color w:val="auto"/>
              </w:rPr>
              <w:t>TeleGuam Holdings, LLC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07/25/2023</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7.10%</w:t>
            </w:r>
          </w:p>
        </w:tc>
        <w:tc>
          <w:tcPr>
            <w:tcW w:w="680" w:type="dxa"/>
            <w:vAlign w:val="bottom"/>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7,473,846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7,393,786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7,399,108</w:t>
            </w:r>
          </w:p>
        </w:tc>
        <w:tc>
          <w:tcPr>
            <w:tcW w:w="120" w:type="dxa"/>
            <w:vAlign w:val="bottom"/>
          </w:tcPr>
          <w:p>
            <w:pPr>
              <w:spacing w:after="0"/>
              <w:rPr>
                <w:sz w:val="12"/>
                <w:szCs w:val="12"/>
                <w:color w:val="auto"/>
              </w:rPr>
            </w:pPr>
          </w:p>
        </w:tc>
      </w:tr>
      <w:tr>
        <w:trPr>
          <w:trHeight w:val="149"/>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Teneo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07/18/2025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Diversified Financial Services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7.45%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9,600,726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9,525,000</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rPr>
                <w:sz w:val="20"/>
                <w:szCs w:val="20"/>
                <w:color w:val="auto"/>
              </w:rPr>
            </w:pPr>
            <w:r>
              <w:rPr>
                <w:rFonts w:ascii="Arial" w:cs="Arial" w:eastAsia="Arial" w:hAnsi="Arial"/>
                <w:sz w:val="12"/>
                <w:szCs w:val="12"/>
                <w:color w:val="auto"/>
              </w:rPr>
              <w:t>Tensar Corporation</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07/09/2021</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6.85%</w:t>
            </w:r>
          </w:p>
        </w:tc>
        <w:tc>
          <w:tcPr>
            <w:tcW w:w="680" w:type="dxa"/>
            <w:vAlign w:val="bottom"/>
          </w:tcPr>
          <w:p>
            <w:pPr>
              <w:jc w:val="right"/>
              <w:spacing w:after="0"/>
              <w:rPr>
                <w:sz w:val="20"/>
                <w:szCs w:val="20"/>
                <w:color w:val="auto"/>
              </w:rPr>
            </w:pPr>
            <w:r>
              <w:rPr>
                <w:rFonts w:ascii="Arial" w:cs="Arial" w:eastAsia="Arial" w:hAnsi="Arial"/>
                <w:sz w:val="12"/>
                <w:szCs w:val="12"/>
                <w:color w:val="auto"/>
              </w:rPr>
              <w:t>3M 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22,620,696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22,523,390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21,715,869</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09/16/2024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Media: Broadcasting and Subscription</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7.37%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18,667,460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18,511,339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18,480,783</w:t>
            </w:r>
          </w:p>
        </w:tc>
        <w:tc>
          <w:tcPr>
            <w:tcW w:w="120" w:type="dxa"/>
            <w:vAlign w:val="bottom"/>
            <w:shd w:val="clear" w:color="auto" w:fill="CCECFF"/>
          </w:tcPr>
          <w:p>
            <w:pPr>
              <w:spacing w:after="0"/>
              <w:rPr>
                <w:sz w:val="12"/>
                <w:szCs w:val="12"/>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The Original Cakerie, Co. </w:t>
            </w:r>
            <w:r>
              <w:rPr>
                <w:rFonts w:ascii="Arial" w:cs="Arial" w:eastAsia="Arial" w:hAnsi="Arial"/>
                <w:sz w:val="17"/>
                <w:szCs w:val="17"/>
                <w:color w:val="auto"/>
                <w:vertAlign w:val="superscript"/>
              </w:rPr>
              <w:t>(5), (10)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07/20/2022</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7.15%</w:t>
            </w:r>
          </w:p>
        </w:tc>
        <w:tc>
          <w:tcPr>
            <w:tcW w:w="680" w:type="dxa"/>
            <w:vAlign w:val="bottom"/>
          </w:tcPr>
          <w:p>
            <w:pPr>
              <w:jc w:val="right"/>
              <w:spacing w:after="0"/>
              <w:rPr>
                <w:sz w:val="20"/>
                <w:szCs w:val="20"/>
                <w:color w:val="auto"/>
              </w:rPr>
            </w:pPr>
            <w:r>
              <w:rPr>
                <w:rFonts w:ascii="Arial" w:cs="Arial" w:eastAsia="Arial" w:hAnsi="Arial"/>
                <w:sz w:val="12"/>
                <w:szCs w:val="12"/>
                <w:color w:val="auto"/>
              </w:rPr>
              <w:t>2M 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7,624,976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7,550,542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7,586,851</w:t>
            </w:r>
          </w:p>
        </w:tc>
        <w:tc>
          <w:tcPr>
            <w:tcW w:w="120" w:type="dxa"/>
            <w:vAlign w:val="bottom"/>
          </w:tcPr>
          <w:p>
            <w:pPr>
              <w:spacing w:after="0"/>
              <w:rPr>
                <w:sz w:val="12"/>
                <w:szCs w:val="12"/>
                <w:color w:val="auto"/>
              </w:rPr>
            </w:pP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The Original Cakerie Ltd. </w:t>
            </w:r>
            <w:r>
              <w:rPr>
                <w:rFonts w:ascii="Arial" w:cs="Arial" w:eastAsia="Arial" w:hAnsi="Arial"/>
                <w:sz w:val="17"/>
                <w:szCs w:val="17"/>
                <w:color w:val="auto"/>
                <w:vertAlign w:val="superscript"/>
              </w:rPr>
              <w:t>(5), (10)</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07/20/2022</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6.65%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5,431,292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5,398,553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5,404,135</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17"/>
                <w:szCs w:val="17"/>
                <w:color w:val="auto"/>
                <w:vertAlign w:val="superscript"/>
              </w:rPr>
              <w:t>(5), (7), (10)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07/20/2022</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6.65%</w:t>
            </w:r>
          </w:p>
        </w:tc>
        <w:tc>
          <w:tcPr>
            <w:tcW w:w="680" w:type="dxa"/>
            <w:vAlign w:val="bottom"/>
          </w:tcPr>
          <w:p>
            <w:pPr>
              <w:jc w:val="right"/>
              <w:spacing w:after="0"/>
              <w:rPr>
                <w:sz w:val="20"/>
                <w:szCs w:val="20"/>
                <w:color w:val="auto"/>
              </w:rPr>
            </w:pPr>
            <w:r>
              <w:rPr>
                <w:rFonts w:ascii="Arial" w:cs="Arial" w:eastAsia="Arial" w:hAnsi="Arial"/>
                <w:sz w:val="12"/>
                <w:szCs w:val="12"/>
                <w:color w:val="auto"/>
              </w:rPr>
              <w:t>3M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170,218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170,218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169,367</w:t>
            </w:r>
          </w:p>
        </w:tc>
        <w:tc>
          <w:tcPr>
            <w:tcW w:w="120" w:type="dxa"/>
            <w:vAlign w:val="bottom"/>
          </w:tcPr>
          <w:p>
            <w:pPr>
              <w:spacing w:after="0"/>
              <w:rPr>
                <w:sz w:val="12"/>
                <w:szCs w:val="12"/>
                <w:color w:val="auto"/>
              </w:rPr>
            </w:pPr>
          </w:p>
        </w:tc>
      </w:tr>
      <w:tr>
        <w:trPr>
          <w:trHeight w:val="149"/>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17"/>
                <w:szCs w:val="17"/>
                <w:color w:val="auto"/>
                <w:vertAlign w:val="superscript"/>
              </w:rPr>
              <w:t>(5), (7), (9), (10)</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07/20/2022</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1,248,266</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(6,241)</w:t>
            </w:r>
          </w:p>
        </w:tc>
      </w:tr>
      <w:tr>
        <w:trPr>
          <w:trHeight w:val="148"/>
        </w:trPr>
        <w:tc>
          <w:tcPr>
            <w:tcW w:w="3480" w:type="dxa"/>
            <w:vAlign w:val="bottom"/>
            <w:gridSpan w:val="2"/>
          </w:tcPr>
          <w:p>
            <w:pPr>
              <w:spacing w:after="0"/>
              <w:rPr>
                <w:sz w:val="20"/>
                <w:szCs w:val="20"/>
                <w:color w:val="auto"/>
              </w:rPr>
            </w:pPr>
            <w:r>
              <w:rPr>
                <w:rFonts w:ascii="Arial" w:cs="Arial" w:eastAsia="Arial" w:hAnsi="Arial"/>
                <w:sz w:val="12"/>
                <w:szCs w:val="12"/>
                <w:color w:val="auto"/>
              </w:rPr>
              <w:t>Triad Manufacturing, Inc.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12/28/2020</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13.29%</w:t>
            </w:r>
          </w:p>
        </w:tc>
        <w:tc>
          <w:tcPr>
            <w:tcW w:w="680" w:type="dxa"/>
            <w:vAlign w:val="bottom"/>
          </w:tcPr>
          <w:p>
            <w:pPr>
              <w:jc w:val="right"/>
              <w:spacing w:after="0"/>
              <w:rPr>
                <w:sz w:val="20"/>
                <w:szCs w:val="20"/>
                <w:color w:val="auto"/>
              </w:rPr>
            </w:pPr>
            <w:r>
              <w:rPr>
                <w:rFonts w:ascii="Arial" w:cs="Arial" w:eastAsia="Arial" w:hAnsi="Arial"/>
                <w:sz w:val="12"/>
                <w:szCs w:val="12"/>
                <w:color w:val="auto"/>
              </w:rPr>
              <w:t>1M L+1,125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7,710,575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7,664,214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7,633,469</w:t>
            </w:r>
          </w:p>
        </w:tc>
        <w:tc>
          <w:tcPr>
            <w:tcW w:w="120" w:type="dxa"/>
            <w:vAlign w:val="bottom"/>
          </w:tcPr>
          <w:p>
            <w:pPr>
              <w:spacing w:after="0"/>
              <w:rPr>
                <w:sz w:val="12"/>
                <w:szCs w:val="12"/>
                <w:color w:val="auto"/>
              </w:rPr>
            </w:pPr>
          </w:p>
        </w:tc>
      </w:tr>
      <w:tr>
        <w:trPr>
          <w:trHeight w:val="149"/>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TVC Enterprises,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01/18/2024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7.61%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5,928,804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5,824,179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5,928,804</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01/18/2024</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1,955,719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01/18/2024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7.61%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467,022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467,022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467,022</w:t>
            </w:r>
          </w:p>
        </w:tc>
        <w:tc>
          <w:tcPr>
            <w:tcW w:w="120" w:type="dxa"/>
            <w:vAlign w:val="bottom"/>
            <w:shd w:val="clear" w:color="auto" w:fill="CCECFF"/>
          </w:tcPr>
          <w:p>
            <w:pPr>
              <w:spacing w:after="0"/>
              <w:rPr>
                <w:sz w:val="12"/>
                <w:szCs w:val="12"/>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01/18/2024</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Professional Services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836,791</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TWS Acquisition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06/16/2025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Diversified Consumer Services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8.28%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7,075,000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6,906,190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6,933,500</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7"/>
                <w:szCs w:val="17"/>
                <w:color w:val="auto"/>
                <w:vertAlign w:val="superscript"/>
              </w:rPr>
              <w:t>(7)</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06/16/2025</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Diversified Consumer Services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8.28%</w:t>
            </w:r>
          </w:p>
        </w:tc>
        <w:tc>
          <w:tcPr>
            <w:tcW w:w="680" w:type="dxa"/>
            <w:vAlign w:val="bottom"/>
          </w:tcPr>
          <w:p>
            <w:pPr>
              <w:jc w:val="right"/>
              <w:spacing w:after="0"/>
              <w:rPr>
                <w:sz w:val="20"/>
                <w:szCs w:val="20"/>
                <w:color w:val="auto"/>
              </w:rPr>
            </w:pPr>
            <w:r>
              <w:rPr>
                <w:rFonts w:ascii="Arial" w:cs="Arial" w:eastAsia="Arial" w:hAnsi="Arial"/>
                <w:sz w:val="12"/>
                <w:szCs w:val="12"/>
                <w:color w:val="auto"/>
              </w:rPr>
              <w:t>1M L+625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808,571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808,571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792,400</w:t>
            </w:r>
          </w:p>
        </w:tc>
        <w:tc>
          <w:tcPr>
            <w:tcW w:w="120" w:type="dxa"/>
            <w:vAlign w:val="bottom"/>
          </w:tcPr>
          <w:p>
            <w:pPr>
              <w:spacing w:after="0"/>
              <w:rPr>
                <w:sz w:val="12"/>
                <w:szCs w:val="12"/>
                <w:color w:val="auto"/>
              </w:rPr>
            </w:pPr>
          </w:p>
        </w:tc>
      </w:tr>
      <w:tr>
        <w:trPr>
          <w:trHeight w:val="149"/>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7"/>
                <w:szCs w:val="17"/>
                <w:color w:val="auto"/>
                <w:vertAlign w:val="superscript"/>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06/16/2025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Diversified Consumer Services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1,819,286</w:t>
            </w: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(36,385)</w:t>
            </w:r>
          </w:p>
        </w:tc>
      </w:tr>
      <w:tr>
        <w:trPr>
          <w:trHeight w:val="148"/>
        </w:trPr>
        <w:tc>
          <w:tcPr>
            <w:tcW w:w="3480" w:type="dxa"/>
            <w:vAlign w:val="bottom"/>
            <w:gridSpan w:val="2"/>
          </w:tcPr>
          <w:p>
            <w:pPr>
              <w:spacing w:after="0"/>
              <w:rPr>
                <w:sz w:val="20"/>
                <w:szCs w:val="20"/>
                <w:color w:val="auto"/>
              </w:rPr>
            </w:pPr>
            <w:r>
              <w:rPr>
                <w:rFonts w:ascii="Arial" w:cs="Arial" w:eastAsia="Arial" w:hAnsi="Arial"/>
                <w:sz w:val="12"/>
                <w:szCs w:val="12"/>
                <w:color w:val="auto"/>
              </w:rPr>
              <w:t>Tyto Athene, LLC</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08/27/2024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7.80%</w:t>
            </w:r>
          </w:p>
        </w:tc>
        <w:tc>
          <w:tcPr>
            <w:tcW w:w="680" w:type="dxa"/>
            <w:vAlign w:val="bottom"/>
          </w:tcPr>
          <w:p>
            <w:pPr>
              <w:jc w:val="right"/>
              <w:spacing w:after="0"/>
              <w:rPr>
                <w:sz w:val="20"/>
                <w:szCs w:val="20"/>
                <w:color w:val="auto"/>
              </w:rPr>
            </w:pPr>
            <w:r>
              <w:rPr>
                <w:rFonts w:ascii="Arial" w:cs="Arial" w:eastAsia="Arial" w:hAnsi="Arial"/>
                <w:sz w:val="12"/>
                <w:szCs w:val="12"/>
                <w:color w:val="auto"/>
              </w:rPr>
              <w:t>1M 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18,000,068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17,763,278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17,463,665</w:t>
            </w:r>
          </w:p>
        </w:tc>
        <w:tc>
          <w:tcPr>
            <w:tcW w:w="120" w:type="dxa"/>
            <w:vAlign w:val="bottom"/>
          </w:tcPr>
          <w:p>
            <w:pPr>
              <w:spacing w:after="0"/>
              <w:rPr>
                <w:sz w:val="12"/>
                <w:szCs w:val="12"/>
                <w:color w:val="auto"/>
              </w:rPr>
            </w:pPr>
          </w:p>
        </w:tc>
      </w:tr>
      <w:tr>
        <w:trPr>
          <w:trHeight w:val="149"/>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08/27/2024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7.80%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4,465,909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4,465,909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4,332,825</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08/27/2024</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2,352,273</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(70,098)</w:t>
            </w: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UBEO, LLC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04/03/2024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14,169,914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14,069,246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14,028,214</w:t>
            </w:r>
          </w:p>
        </w:tc>
        <w:tc>
          <w:tcPr>
            <w:tcW w:w="120" w:type="dxa"/>
            <w:vAlign w:val="bottom"/>
            <w:shd w:val="clear" w:color="auto" w:fill="CCECFF"/>
          </w:tcPr>
          <w:p>
            <w:pPr>
              <w:spacing w:after="0"/>
              <w:rPr>
                <w:sz w:val="12"/>
                <w:szCs w:val="12"/>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17"/>
                <w:szCs w:val="17"/>
                <w:color w:val="auto"/>
                <w:vertAlign w:val="superscript"/>
              </w:rPr>
              <w:t>(7), (9)</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04/03/2024</w:t>
            </w:r>
          </w:p>
        </w:tc>
        <w:tc>
          <w:tcPr>
            <w:tcW w:w="120" w:type="dxa"/>
            <w:vAlign w:val="bottom"/>
          </w:tcPr>
          <w:p>
            <w:pPr>
              <w:spacing w:after="0"/>
              <w:rPr>
                <w:sz w:val="12"/>
                <w:szCs w:val="12"/>
                <w:color w:val="auto"/>
              </w:rPr>
            </w:pPr>
          </w:p>
        </w:tc>
        <w:tc>
          <w:tcPr>
            <w:tcW w:w="24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2,933,333</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(38,661)</w:t>
            </w:r>
          </w:p>
        </w:tc>
      </w:tr>
      <w:tr>
        <w:trPr>
          <w:trHeight w:val="148"/>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08/20/2024</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8.42%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10,395,000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10,209,742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9,771,301</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US Med Acquisition, Inc. </w:t>
            </w:r>
            <w:r>
              <w:rPr>
                <w:rFonts w:ascii="Arial" w:cs="Arial" w:eastAsia="Arial" w:hAnsi="Arial"/>
                <w:sz w:val="17"/>
                <w:szCs w:val="17"/>
                <w:color w:val="auto"/>
                <w:vertAlign w:val="superscript"/>
              </w:rPr>
              <w:t>(7)</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08/13/2021</w:t>
            </w:r>
          </w:p>
        </w:tc>
        <w:tc>
          <w:tcPr>
            <w:tcW w:w="120" w:type="dxa"/>
            <w:vAlign w:val="bottom"/>
          </w:tcPr>
          <w:p>
            <w:pPr>
              <w:spacing w:after="0"/>
              <w:rPr>
                <w:sz w:val="12"/>
                <w:szCs w:val="12"/>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11.10%</w:t>
            </w:r>
          </w:p>
        </w:tc>
        <w:tc>
          <w:tcPr>
            <w:tcW w:w="680" w:type="dxa"/>
            <w:vAlign w:val="bottom"/>
          </w:tcPr>
          <w:p>
            <w:pPr>
              <w:jc w:val="right"/>
              <w:spacing w:after="0"/>
              <w:rPr>
                <w:sz w:val="20"/>
                <w:szCs w:val="20"/>
                <w:color w:val="auto"/>
              </w:rPr>
            </w:pPr>
            <w:r>
              <w:rPr>
                <w:rFonts w:ascii="Arial" w:cs="Arial" w:eastAsia="Arial" w:hAnsi="Arial"/>
                <w:sz w:val="12"/>
                <w:szCs w:val="12"/>
                <w:color w:val="auto"/>
              </w:rPr>
              <w:t>1M L+900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2,996,094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2,996,094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2,996,094</w:t>
            </w:r>
          </w:p>
        </w:tc>
        <w:tc>
          <w:tcPr>
            <w:tcW w:w="120" w:type="dxa"/>
            <w:vAlign w:val="bottom"/>
          </w:tcPr>
          <w:p>
            <w:pPr>
              <w:spacing w:after="0"/>
              <w:rPr>
                <w:sz w:val="12"/>
                <w:szCs w:val="12"/>
                <w:color w:val="auto"/>
              </w:rPr>
            </w:pPr>
          </w:p>
        </w:tc>
      </w:tr>
      <w:tr>
        <w:trPr>
          <w:trHeight w:val="149"/>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Vision Purchaser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06/10/2025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3,440,998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3,373,821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3,406,588</w:t>
            </w:r>
          </w:p>
        </w:tc>
        <w:tc>
          <w:tcPr>
            <w:tcW w:w="120" w:type="dxa"/>
            <w:vAlign w:val="bottom"/>
            <w:shd w:val="clear" w:color="auto" w:fill="CCECFF"/>
          </w:tcPr>
          <w:p>
            <w:pPr>
              <w:spacing w:after="0"/>
              <w:rPr>
                <w:sz w:val="12"/>
                <w:szCs w:val="12"/>
                <w:color w:val="auto"/>
              </w:rPr>
            </w:pPr>
          </w:p>
        </w:tc>
      </w:tr>
      <w:tr>
        <w:trPr>
          <w:trHeight w:val="148"/>
        </w:trPr>
        <w:tc>
          <w:tcPr>
            <w:tcW w:w="348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9"/>
              </w:rPr>
              <w:t>10/18/2022</w:t>
            </w:r>
          </w:p>
        </w:tc>
        <w:tc>
          <w:tcPr>
            <w:tcW w:w="12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2"/>
                <w:szCs w:val="12"/>
                <w:color w:val="auto"/>
              </w:rPr>
              <w:t>9.55%</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1M L+750</w:t>
            </w:r>
          </w:p>
        </w:tc>
        <w:tc>
          <w:tcPr>
            <w:tcW w:w="90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5,187,498</w:t>
            </w: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5,083,748</w:t>
            </w:r>
          </w:p>
        </w:tc>
        <w:tc>
          <w:tcPr>
            <w:tcW w:w="22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5,187,498</w:t>
            </w:r>
          </w:p>
        </w:tc>
        <w:tc>
          <w:tcPr>
            <w:tcW w:w="120" w:type="dxa"/>
            <w:vAlign w:val="bottom"/>
            <w:tcBorders>
              <w:bottom w:val="single" w:sz="8" w:color="CCECFF"/>
            </w:tcBorders>
          </w:tcPr>
          <w:p>
            <w:pPr>
              <w:spacing w:after="0"/>
              <w:rPr>
                <w:sz w:val="12"/>
                <w:szCs w:val="12"/>
                <w:color w:val="auto"/>
              </w:rPr>
            </w:pPr>
          </w:p>
        </w:tc>
      </w:tr>
      <w:tr>
        <w:trPr>
          <w:trHeight w:val="142"/>
        </w:trPr>
        <w:tc>
          <w:tcPr>
            <w:tcW w:w="348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829,387,687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818,357,018</w:t>
            </w:r>
          </w:p>
        </w:tc>
        <w:tc>
          <w:tcPr>
            <w:tcW w:w="120" w:type="dxa"/>
            <w:vAlign w:val="bottom"/>
            <w:shd w:val="clear" w:color="auto" w:fill="CCECFF"/>
          </w:tcPr>
          <w:p>
            <w:pPr>
              <w:spacing w:after="0"/>
              <w:rPr>
                <w:sz w:val="12"/>
                <w:szCs w:val="12"/>
                <w:color w:val="auto"/>
              </w:rPr>
            </w:pPr>
          </w:p>
        </w:tc>
      </w:tr>
      <w:tr>
        <w:trPr>
          <w:trHeight w:val="142"/>
        </w:trPr>
        <w:tc>
          <w:tcPr>
            <w:tcW w:w="348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Debt—5.7%</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480" w:type="dxa"/>
            <w:vAlign w:val="bottom"/>
            <w:gridSpan w:val="2"/>
            <w:shd w:val="clear" w:color="auto" w:fill="CCECFF"/>
          </w:tcPr>
          <w:p>
            <w:pPr>
              <w:spacing w:after="0" w:line="149" w:lineRule="exact"/>
              <w:rPr>
                <w:sz w:val="20"/>
                <w:szCs w:val="20"/>
                <w:color w:val="auto"/>
              </w:rPr>
            </w:pPr>
            <w:r>
              <w:rPr>
                <w:rFonts w:ascii="Arial" w:cs="Arial" w:eastAsia="Arial" w:hAnsi="Arial"/>
                <w:sz w:val="11"/>
                <w:szCs w:val="11"/>
                <w:color w:val="auto"/>
              </w:rPr>
              <w:t xml:space="preserve">Condor Borrower, LLC </w:t>
            </w:r>
            <w:r>
              <w:rPr>
                <w:rFonts w:ascii="Arial" w:cs="Arial" w:eastAsia="Arial" w:hAnsi="Arial"/>
                <w:sz w:val="17"/>
                <w:szCs w:val="17"/>
                <w:color w:val="auto"/>
                <w:vertAlign w:val="superscript"/>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04/25/2025</w:t>
            </w:r>
          </w:p>
        </w:tc>
        <w:tc>
          <w:tcPr>
            <w:tcW w:w="120" w:type="dxa"/>
            <w:vAlign w:val="bottom"/>
            <w:shd w:val="clear" w:color="auto" w:fill="CCECFF"/>
          </w:tcPr>
          <w:p>
            <w:pPr>
              <w:spacing w:after="0"/>
              <w:rPr>
                <w:sz w:val="12"/>
                <w:szCs w:val="12"/>
                <w:color w:val="auto"/>
              </w:rPr>
            </w:pPr>
          </w:p>
        </w:tc>
        <w:tc>
          <w:tcPr>
            <w:tcW w:w="24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11.01%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1,655,172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1,628,190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1,638,621</w:t>
            </w:r>
          </w:p>
        </w:tc>
        <w:tc>
          <w:tcPr>
            <w:tcW w:w="12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center"/>
        <w:ind w:right="10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00"/>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ind w:right="100"/>
        <w:spacing w:after="0"/>
        <w:rPr>
          <w:sz w:val="20"/>
          <w:szCs w:val="20"/>
          <w:color w:val="auto"/>
        </w:rPr>
      </w:pPr>
      <w:r>
        <w:rPr>
          <w:rFonts w:ascii="Arial" w:cs="Arial" w:eastAsia="Arial" w:hAnsi="Arial"/>
          <w:sz w:val="14"/>
          <w:szCs w:val="14"/>
          <w:b w:val="1"/>
          <w:bCs w:val="1"/>
          <w:color w:val="auto"/>
        </w:rPr>
        <w:t>SEPTEMBER 30,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Basis Point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5"/>
        </w:trPr>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Spread</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6"/>
        </w:trPr>
        <w:tc>
          <w:tcPr>
            <w:tcW w:w="3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ind w:right="420"/>
              <w:spacing w:after="0" w:line="126" w:lineRule="exact"/>
              <w:rPr>
                <w:sz w:val="20"/>
                <w:szCs w:val="20"/>
                <w:color w:val="auto"/>
              </w:rPr>
            </w:pPr>
            <w:r>
              <w:rPr>
                <w:rFonts w:ascii="Arial" w:cs="Arial" w:eastAsia="Arial" w:hAnsi="Arial"/>
                <w:sz w:val="12"/>
                <w:szCs w:val="12"/>
                <w:b w:val="1"/>
                <w:bCs w:val="1"/>
                <w:color w:val="auto"/>
              </w:rPr>
              <w:t>Current</w:t>
            </w:r>
          </w:p>
        </w:tc>
        <w:tc>
          <w:tcPr>
            <w:tcW w:w="920" w:type="dxa"/>
            <w:vAlign w:val="bottom"/>
            <w:gridSpan w:val="2"/>
          </w:tcPr>
          <w:p>
            <w:pPr>
              <w:jc w:val="center"/>
              <w:ind w:right="200"/>
              <w:spacing w:after="0" w:line="126" w:lineRule="exact"/>
              <w:rPr>
                <w:sz w:val="20"/>
                <w:szCs w:val="20"/>
                <w:color w:val="auto"/>
              </w:rPr>
            </w:pPr>
            <w:r>
              <w:rPr>
                <w:rFonts w:ascii="Arial" w:cs="Arial" w:eastAsia="Arial" w:hAnsi="Arial"/>
                <w:sz w:val="12"/>
                <w:szCs w:val="12"/>
                <w:b w:val="1"/>
                <w:bCs w:val="1"/>
                <w:color w:val="auto"/>
                <w:w w:val="87"/>
              </w:rPr>
              <w:t>Above</w:t>
            </w:r>
          </w:p>
        </w:tc>
        <w:tc>
          <w:tcPr>
            <w:tcW w:w="880" w:type="dxa"/>
            <w:vAlign w:val="bottom"/>
            <w:gridSpan w:val="2"/>
          </w:tcPr>
          <w:p>
            <w:pPr>
              <w:ind w:left="220"/>
              <w:spacing w:after="0" w:line="126" w:lineRule="exact"/>
              <w:rPr>
                <w:sz w:val="20"/>
                <w:szCs w:val="20"/>
                <w:color w:val="auto"/>
              </w:rPr>
            </w:pPr>
            <w:r>
              <w:rPr>
                <w:rFonts w:ascii="Arial" w:cs="Arial" w:eastAsia="Arial" w:hAnsi="Arial"/>
                <w:sz w:val="12"/>
                <w:szCs w:val="12"/>
                <w:b w:val="1"/>
                <w:bCs w:val="1"/>
                <w:color w:val="auto"/>
              </w:rPr>
              <w:t>Par /</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3"/>
        </w:trPr>
        <w:tc>
          <w:tcPr>
            <w:tcW w:w="3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180" w:type="dxa"/>
            <w:vAlign w:val="bottom"/>
            <w:tcBorders>
              <w:bottom w:val="single" w:sz="8" w:color="CFF0FC"/>
            </w:tcBorders>
          </w:tcPr>
          <w:p>
            <w:pPr>
              <w:spacing w:after="0"/>
              <w:rPr>
                <w:sz w:val="13"/>
                <w:szCs w:val="13"/>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1"/>
                <w:szCs w:val="11"/>
                <w:b w:val="1"/>
                <w:bCs w:val="1"/>
                <w:color w:val="auto"/>
                <w:w w:val="96"/>
              </w:rPr>
              <w:t xml:space="preserve">Index </w:t>
            </w:r>
            <w:r>
              <w:rPr>
                <w:rFonts w:ascii="Arial" w:cs="Arial" w:eastAsia="Arial" w:hAnsi="Arial"/>
                <w:sz w:val="17"/>
                <w:szCs w:val="17"/>
                <w:b w:val="1"/>
                <w:bCs w:val="1"/>
                <w:color w:val="auto"/>
                <w:w w:val="96"/>
                <w:vertAlign w:val="superscript"/>
              </w:rPr>
              <w:t>(1)</w:t>
            </w:r>
          </w:p>
        </w:tc>
        <w:tc>
          <w:tcPr>
            <w:tcW w:w="1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
              <w:spacing w:after="0" w:line="153" w:lineRule="exact"/>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7"/>
                <w:szCs w:val="17"/>
                <w:b w:val="1"/>
                <w:bCs w:val="1"/>
                <w:color w:val="auto"/>
                <w:w w:val="92"/>
                <w:vertAlign w:val="superscript"/>
              </w:rPr>
              <w:t>(2)</w:t>
            </w:r>
          </w:p>
        </w:tc>
        <w:tc>
          <w:tcPr>
            <w:tcW w:w="80" w:type="dxa"/>
            <w:vAlign w:val="bottom"/>
            <w:tcBorders>
              <w:bottom w:val="single" w:sz="8" w:color="CFF0FC"/>
            </w:tcBorders>
          </w:tcPr>
          <w:p>
            <w:pPr>
              <w:spacing w:after="0"/>
              <w:rPr>
                <w:sz w:val="13"/>
                <w:szCs w:val="13"/>
                <w:color w:val="auto"/>
              </w:rPr>
            </w:pPr>
          </w:p>
        </w:tc>
      </w:tr>
      <w:tr>
        <w:trPr>
          <w:trHeight w:val="142"/>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DBI Holdings, LLC, Term Loan B</w:t>
            </w:r>
          </w:p>
        </w:tc>
        <w:tc>
          <w:tcPr>
            <w:tcW w:w="680" w:type="dxa"/>
            <w:vAlign w:val="bottom"/>
            <w:gridSpan w:val="2"/>
            <w:shd w:val="clear" w:color="auto" w:fill="CFF0FC"/>
          </w:tcPr>
          <w:p>
            <w:pPr>
              <w:jc w:val="center"/>
              <w:ind w:left="22"/>
              <w:spacing w:after="0"/>
              <w:rPr>
                <w:sz w:val="20"/>
                <w:szCs w:val="20"/>
                <w:color w:val="auto"/>
              </w:rPr>
            </w:pPr>
            <w:r>
              <w:rPr>
                <w:rFonts w:ascii="Arial" w:cs="Arial" w:eastAsia="Arial" w:hAnsi="Arial"/>
                <w:sz w:val="12"/>
                <w:szCs w:val="12"/>
                <w:color w:val="auto"/>
                <w:w w:val="86"/>
              </w:rPr>
              <w:t>02/01/2026</w:t>
            </w:r>
          </w:p>
        </w:tc>
        <w:tc>
          <w:tcPr>
            <w:tcW w:w="180" w:type="dxa"/>
            <w:vAlign w:val="bottom"/>
            <w:shd w:val="clear" w:color="auto" w:fill="CFF0FC"/>
          </w:tcPr>
          <w:p>
            <w:pPr>
              <w:spacing w:after="0"/>
              <w:rPr>
                <w:sz w:val="12"/>
                <w:szCs w:val="12"/>
                <w:color w:val="auto"/>
              </w:rPr>
            </w:pPr>
          </w:p>
        </w:tc>
        <w:tc>
          <w:tcPr>
            <w:tcW w:w="25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8.00%</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10,639,343</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   10,639,343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10,586,145</w:t>
            </w:r>
          </w:p>
        </w:tc>
        <w:tc>
          <w:tcPr>
            <w:tcW w:w="80" w:type="dxa"/>
            <w:vAlign w:val="bottom"/>
            <w:shd w:val="clear" w:color="auto" w:fill="CFF0FC"/>
          </w:tcPr>
          <w:p>
            <w:pPr>
              <w:spacing w:after="0"/>
              <w:rPr>
                <w:sz w:val="12"/>
                <w:szCs w:val="12"/>
                <w:color w:val="auto"/>
              </w:rPr>
            </w:pPr>
          </w:p>
        </w:tc>
      </w:tr>
      <w:tr>
        <w:trPr>
          <w:trHeight w:val="148"/>
        </w:trPr>
        <w:tc>
          <w:tcPr>
            <w:tcW w:w="3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(PIK 8.00%)</w:t>
            </w: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6"/>
        </w:trPr>
        <w:tc>
          <w:tcPr>
            <w:tcW w:w="3400" w:type="dxa"/>
            <w:vAlign w:val="bottom"/>
          </w:tcPr>
          <w:p>
            <w:pPr>
              <w:spacing w:after="0" w:line="156" w:lineRule="exact"/>
              <w:rPr>
                <w:sz w:val="20"/>
                <w:szCs w:val="20"/>
                <w:color w:val="auto"/>
              </w:rPr>
            </w:pPr>
            <w:r>
              <w:rPr>
                <w:rFonts w:ascii="Arial" w:cs="Arial" w:eastAsia="Arial" w:hAnsi="Arial"/>
                <w:sz w:val="11"/>
                <w:szCs w:val="11"/>
                <w:color w:val="auto"/>
              </w:rPr>
              <w:t xml:space="preserve">DBI Holdings, LLC, Term Loan C </w:t>
            </w:r>
            <w:r>
              <w:rPr>
                <w:rFonts w:ascii="Arial" w:cs="Arial" w:eastAsia="Arial" w:hAnsi="Arial"/>
                <w:sz w:val="18"/>
                <w:szCs w:val="18"/>
                <w:color w:val="auto"/>
                <w:vertAlign w:val="superscript"/>
              </w:rPr>
              <w:t>(7)</w:t>
            </w:r>
          </w:p>
        </w:tc>
        <w:tc>
          <w:tcPr>
            <w:tcW w:w="680" w:type="dxa"/>
            <w:vAlign w:val="bottom"/>
            <w:gridSpan w:val="2"/>
          </w:tcPr>
          <w:p>
            <w:pPr>
              <w:jc w:val="center"/>
              <w:ind w:left="22"/>
              <w:spacing w:after="0"/>
              <w:rPr>
                <w:sz w:val="20"/>
                <w:szCs w:val="20"/>
                <w:color w:val="auto"/>
              </w:rPr>
            </w:pPr>
            <w:r>
              <w:rPr>
                <w:rFonts w:ascii="Arial" w:cs="Arial" w:eastAsia="Arial" w:hAnsi="Arial"/>
                <w:sz w:val="12"/>
                <w:szCs w:val="12"/>
                <w:color w:val="auto"/>
                <w:w w:val="86"/>
              </w:rPr>
              <w:t>03/26/2021</w:t>
            </w:r>
          </w:p>
        </w:tc>
        <w:tc>
          <w:tcPr>
            <w:tcW w:w="180" w:type="dxa"/>
            <w:vAlign w:val="bottom"/>
          </w:tcPr>
          <w:p>
            <w:pPr>
              <w:spacing w:after="0"/>
              <w:rPr>
                <w:sz w:val="13"/>
                <w:szCs w:val="13"/>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21,276</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21,276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21,276</w:t>
            </w:r>
          </w:p>
        </w:tc>
        <w:tc>
          <w:tcPr>
            <w:tcW w:w="80" w:type="dxa"/>
            <w:vAlign w:val="bottom"/>
          </w:tcPr>
          <w:p>
            <w:pPr>
              <w:spacing w:after="0"/>
              <w:rPr>
                <w:sz w:val="13"/>
                <w:szCs w:val="13"/>
                <w:color w:val="auto"/>
              </w:rPr>
            </w:pPr>
          </w:p>
        </w:tc>
      </w:tr>
      <w:tr>
        <w:trPr>
          <w:trHeight w:val="141"/>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(PIK 8.00%)</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DecoPac, Inc. </w:t>
            </w:r>
            <w:r>
              <w:rPr>
                <w:rFonts w:ascii="Arial" w:cs="Arial" w:eastAsia="Arial" w:hAnsi="Arial"/>
                <w:sz w:val="17"/>
                <w:szCs w:val="17"/>
                <w:color w:val="auto"/>
                <w:vertAlign w:val="superscript"/>
              </w:rPr>
              <w:t>(7)</w:t>
            </w:r>
          </w:p>
        </w:tc>
        <w:tc>
          <w:tcPr>
            <w:tcW w:w="680" w:type="dxa"/>
            <w:vAlign w:val="bottom"/>
            <w:gridSpan w:val="2"/>
            <w:shd w:val="clear" w:color="auto" w:fill="CFF0FC"/>
          </w:tcPr>
          <w:p>
            <w:pPr>
              <w:jc w:val="center"/>
              <w:ind w:left="22"/>
              <w:spacing w:after="0"/>
              <w:rPr>
                <w:sz w:val="20"/>
                <w:szCs w:val="20"/>
                <w:color w:val="auto"/>
              </w:rPr>
            </w:pPr>
            <w:r>
              <w:rPr>
                <w:rFonts w:ascii="Arial" w:cs="Arial" w:eastAsia="Arial" w:hAnsi="Arial"/>
                <w:sz w:val="12"/>
                <w:szCs w:val="12"/>
                <w:color w:val="auto"/>
                <w:w w:val="86"/>
              </w:rPr>
              <w:t>03/31/2025</w:t>
            </w:r>
          </w:p>
        </w:tc>
        <w:tc>
          <w:tcPr>
            <w:tcW w:w="180" w:type="dxa"/>
            <w:vAlign w:val="bottom"/>
            <w:shd w:val="clear" w:color="auto" w:fill="CFF0FC"/>
          </w:tcPr>
          <w:p>
            <w:pPr>
              <w:spacing w:after="0"/>
              <w:rPr>
                <w:sz w:val="12"/>
                <w:szCs w:val="12"/>
                <w:color w:val="auto"/>
              </w:rPr>
            </w:pPr>
          </w:p>
        </w:tc>
        <w:tc>
          <w:tcPr>
            <w:tcW w:w="25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10.35%</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3M L+825</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9,738,580</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9,643,427</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9,738,580</w:t>
            </w:r>
          </w:p>
        </w:tc>
        <w:tc>
          <w:tcPr>
            <w:tcW w:w="80" w:type="dxa"/>
            <w:vAlign w:val="bottom"/>
            <w:shd w:val="clear" w:color="auto" w:fill="CFF0FC"/>
          </w:tcPr>
          <w:p>
            <w:pPr>
              <w:spacing w:after="0"/>
              <w:rPr>
                <w:sz w:val="12"/>
                <w:szCs w:val="12"/>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2"/>
                <w:szCs w:val="12"/>
                <w:color w:val="auto"/>
              </w:rPr>
              <w:t>MailSouth, Inc.</w:t>
            </w:r>
          </w:p>
        </w:tc>
        <w:tc>
          <w:tcPr>
            <w:tcW w:w="680" w:type="dxa"/>
            <w:vAlign w:val="bottom"/>
            <w:gridSpan w:val="2"/>
          </w:tcPr>
          <w:p>
            <w:pPr>
              <w:jc w:val="center"/>
              <w:ind w:left="22"/>
              <w:spacing w:after="0"/>
              <w:rPr>
                <w:sz w:val="20"/>
                <w:szCs w:val="20"/>
                <w:color w:val="auto"/>
              </w:rPr>
            </w:pPr>
            <w:r>
              <w:rPr>
                <w:rFonts w:ascii="Arial" w:cs="Arial" w:eastAsia="Arial" w:hAnsi="Arial"/>
                <w:sz w:val="12"/>
                <w:szCs w:val="12"/>
                <w:color w:val="auto"/>
                <w:w w:val="86"/>
              </w:rPr>
              <w:t>10/23/2024</w:t>
            </w:r>
          </w:p>
        </w:tc>
        <w:tc>
          <w:tcPr>
            <w:tcW w:w="180" w:type="dxa"/>
            <w:vAlign w:val="bottom"/>
          </w:tcPr>
          <w:p>
            <w:pPr>
              <w:spacing w:after="0"/>
              <w:rPr>
                <w:sz w:val="12"/>
                <w:szCs w:val="12"/>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12.00%</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12M L+925</w:t>
            </w:r>
          </w:p>
        </w:tc>
        <w:tc>
          <w:tcPr>
            <w:tcW w:w="700" w:type="dxa"/>
            <w:vAlign w:val="bottom"/>
          </w:tcPr>
          <w:p>
            <w:pPr>
              <w:jc w:val="right"/>
              <w:spacing w:after="0"/>
              <w:rPr>
                <w:sz w:val="20"/>
                <w:szCs w:val="20"/>
                <w:color w:val="auto"/>
              </w:rPr>
            </w:pPr>
            <w:r>
              <w:rPr>
                <w:rFonts w:ascii="Arial" w:cs="Arial" w:eastAsia="Arial" w:hAnsi="Arial"/>
                <w:sz w:val="12"/>
                <w:szCs w:val="12"/>
                <w:color w:val="auto"/>
              </w:rPr>
              <w:t>2,871,025</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2,822,554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2,784,894</w:t>
            </w:r>
          </w:p>
        </w:tc>
        <w:tc>
          <w:tcPr>
            <w:tcW w:w="80" w:type="dxa"/>
            <w:vAlign w:val="bottom"/>
          </w:tcPr>
          <w:p>
            <w:pPr>
              <w:spacing w:after="0"/>
              <w:rPr>
                <w:sz w:val="12"/>
                <w:szCs w:val="12"/>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McAfee, LLC </w:t>
            </w:r>
            <w:r>
              <w:rPr>
                <w:rFonts w:ascii="Arial" w:cs="Arial" w:eastAsia="Arial" w:hAnsi="Arial"/>
                <w:sz w:val="17"/>
                <w:szCs w:val="17"/>
                <w:color w:val="auto"/>
                <w:vertAlign w:val="superscript"/>
              </w:rPr>
              <w:t>(7)</w:t>
            </w:r>
          </w:p>
        </w:tc>
        <w:tc>
          <w:tcPr>
            <w:tcW w:w="680" w:type="dxa"/>
            <w:vAlign w:val="bottom"/>
            <w:gridSpan w:val="2"/>
            <w:shd w:val="clear" w:color="auto" w:fill="CFF0FC"/>
          </w:tcPr>
          <w:p>
            <w:pPr>
              <w:jc w:val="center"/>
              <w:ind w:left="22"/>
              <w:spacing w:after="0"/>
              <w:rPr>
                <w:sz w:val="20"/>
                <w:szCs w:val="20"/>
                <w:color w:val="auto"/>
              </w:rPr>
            </w:pPr>
            <w:r>
              <w:rPr>
                <w:rFonts w:ascii="Arial" w:cs="Arial" w:eastAsia="Arial" w:hAnsi="Arial"/>
                <w:sz w:val="12"/>
                <w:szCs w:val="12"/>
                <w:color w:val="auto"/>
                <w:w w:val="86"/>
              </w:rPr>
              <w:t>09/29/2025</w:t>
            </w:r>
          </w:p>
        </w:tc>
        <w:tc>
          <w:tcPr>
            <w:tcW w:w="180" w:type="dxa"/>
            <w:vAlign w:val="bottom"/>
            <w:shd w:val="clear" w:color="auto" w:fill="CFF0FC"/>
          </w:tcPr>
          <w:p>
            <w:pPr>
              <w:spacing w:after="0"/>
              <w:rPr>
                <w:sz w:val="12"/>
                <w:szCs w:val="12"/>
                <w:color w:val="auto"/>
              </w:rPr>
            </w:pP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10.62%</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1M L+850</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2,187,500</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2,158,107</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2,205,284</w:t>
            </w:r>
          </w:p>
        </w:tc>
        <w:tc>
          <w:tcPr>
            <w:tcW w:w="80" w:type="dxa"/>
            <w:vAlign w:val="bottom"/>
            <w:shd w:val="clear" w:color="auto" w:fill="CFF0FC"/>
          </w:tcPr>
          <w:p>
            <w:pPr>
              <w:spacing w:after="0"/>
              <w:rPr>
                <w:sz w:val="12"/>
                <w:szCs w:val="12"/>
                <w:color w:val="auto"/>
              </w:rPr>
            </w:pPr>
          </w:p>
        </w:tc>
      </w:tr>
      <w:tr>
        <w:trPr>
          <w:trHeight w:val="156"/>
        </w:trPr>
        <w:tc>
          <w:tcPr>
            <w:tcW w:w="3400" w:type="dxa"/>
            <w:vAlign w:val="bottom"/>
          </w:tcPr>
          <w:p>
            <w:pPr>
              <w:spacing w:after="0" w:line="156"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8"/>
                <w:szCs w:val="18"/>
                <w:color w:val="auto"/>
                <w:vertAlign w:val="superscript"/>
              </w:rPr>
              <w:t>(7)</w:t>
            </w:r>
          </w:p>
        </w:tc>
        <w:tc>
          <w:tcPr>
            <w:tcW w:w="680" w:type="dxa"/>
            <w:vAlign w:val="bottom"/>
            <w:gridSpan w:val="2"/>
          </w:tcPr>
          <w:p>
            <w:pPr>
              <w:jc w:val="center"/>
              <w:ind w:left="22"/>
              <w:spacing w:after="0"/>
              <w:rPr>
                <w:sz w:val="20"/>
                <w:szCs w:val="20"/>
                <w:color w:val="auto"/>
              </w:rPr>
            </w:pPr>
            <w:r>
              <w:rPr>
                <w:rFonts w:ascii="Arial" w:cs="Arial" w:eastAsia="Arial" w:hAnsi="Arial"/>
                <w:sz w:val="12"/>
                <w:szCs w:val="12"/>
                <w:color w:val="auto"/>
                <w:w w:val="86"/>
              </w:rPr>
              <w:t>11/30/2024</w:t>
            </w:r>
          </w:p>
        </w:tc>
        <w:tc>
          <w:tcPr>
            <w:tcW w:w="180" w:type="dxa"/>
            <w:vAlign w:val="bottom"/>
          </w:tcPr>
          <w:p>
            <w:pPr>
              <w:spacing w:after="0"/>
              <w:rPr>
                <w:sz w:val="13"/>
                <w:szCs w:val="13"/>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12.30%</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3M L+1,000</w:t>
            </w:r>
          </w:p>
        </w:tc>
        <w:tc>
          <w:tcPr>
            <w:tcW w:w="700" w:type="dxa"/>
            <w:vAlign w:val="bottom"/>
          </w:tcPr>
          <w:p>
            <w:pPr>
              <w:jc w:val="right"/>
              <w:spacing w:after="0"/>
              <w:rPr>
                <w:sz w:val="20"/>
                <w:szCs w:val="20"/>
                <w:color w:val="auto"/>
              </w:rPr>
            </w:pPr>
            <w:r>
              <w:rPr>
                <w:rFonts w:ascii="Arial" w:cs="Arial" w:eastAsia="Arial" w:hAnsi="Arial"/>
                <w:sz w:val="12"/>
                <w:szCs w:val="12"/>
                <w:color w:val="auto"/>
              </w:rPr>
              <w:t>1,864,409</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1,846,555</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1,845,765</w:t>
            </w:r>
          </w:p>
        </w:tc>
        <w:tc>
          <w:tcPr>
            <w:tcW w:w="80" w:type="dxa"/>
            <w:vAlign w:val="bottom"/>
          </w:tcPr>
          <w:p>
            <w:pPr>
              <w:spacing w:after="0"/>
              <w:rPr>
                <w:sz w:val="13"/>
                <w:szCs w:val="13"/>
                <w:color w:val="auto"/>
              </w:rPr>
            </w:pPr>
          </w:p>
        </w:tc>
      </w:tr>
      <w:tr>
        <w:trPr>
          <w:trHeight w:val="141"/>
        </w:trPr>
        <w:tc>
          <w:tcPr>
            <w:tcW w:w="34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4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9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2"/>
                <w:szCs w:val="12"/>
                <w:color w:val="auto"/>
              </w:rPr>
              <w:t>(PIK 12.30%)</w:t>
            </w:r>
          </w:p>
        </w:tc>
        <w:tc>
          <w:tcPr>
            <w:tcW w:w="74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70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r>
      <w:tr>
        <w:trPr>
          <w:trHeight w:val="142"/>
        </w:trPr>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Total Second Lien Secured Debt</w:t>
            </w: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24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28,759,453</w:t>
            </w: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28,820,565</w:t>
            </w:r>
          </w:p>
        </w:tc>
        <w:tc>
          <w:tcPr>
            <w:tcW w:w="80" w:type="dxa"/>
            <w:vAlign w:val="bottom"/>
            <w:tcBorders>
              <w:bottom w:val="single" w:sz="8" w:color="CFF0FC"/>
            </w:tcBorders>
            <w:shd w:val="clear" w:color="auto" w:fill="CFF0FC"/>
          </w:tcPr>
          <w:p>
            <w:pPr>
              <w:spacing w:after="0"/>
              <w:rPr>
                <w:sz w:val="12"/>
                <w:szCs w:val="12"/>
                <w:color w:val="auto"/>
              </w:rPr>
            </w:pPr>
          </w:p>
        </w:tc>
      </w:tr>
      <w:tr>
        <w:trPr>
          <w:trHeight w:val="142"/>
        </w:trPr>
        <w:tc>
          <w:tcPr>
            <w:tcW w:w="3400" w:type="dxa"/>
            <w:vAlign w:val="bottom"/>
            <w:shd w:val="clear" w:color="auto" w:fill="CFF0FC"/>
          </w:tcPr>
          <w:p>
            <w:pPr>
              <w:spacing w:after="0" w:line="142" w:lineRule="exact"/>
              <w:rPr>
                <w:sz w:val="20"/>
                <w:szCs w:val="20"/>
                <w:color w:val="auto"/>
              </w:rPr>
            </w:pPr>
            <w:r>
              <w:rPr>
                <w:rFonts w:ascii="Arial" w:cs="Arial" w:eastAsia="Arial" w:hAnsi="Arial"/>
                <w:sz w:val="10"/>
                <w:szCs w:val="10"/>
                <w:b w:val="1"/>
                <w:bCs w:val="1"/>
                <w:color w:val="auto"/>
              </w:rPr>
              <w:t xml:space="preserve">Preferrred Equity— 1.9% </w:t>
            </w:r>
            <w:r>
              <w:rPr>
                <w:rFonts w:ascii="Arial" w:cs="Arial" w:eastAsia="Arial" w:hAnsi="Arial"/>
                <w:sz w:val="16"/>
                <w:szCs w:val="16"/>
                <w:b w:val="1"/>
                <w:bCs w:val="1"/>
                <w:color w:val="auto"/>
                <w:vertAlign w:val="superscript"/>
              </w:rPr>
              <w:t>(6)</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6"/>
        </w:trPr>
        <w:tc>
          <w:tcPr>
            <w:tcW w:w="340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1,458</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21,870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450</w:t>
            </w:r>
          </w:p>
        </w:tc>
        <w:tc>
          <w:tcPr>
            <w:tcW w:w="80" w:type="dxa"/>
            <w:vAlign w:val="bottom"/>
          </w:tcPr>
          <w:p>
            <w:pPr>
              <w:spacing w:after="0"/>
              <w:rPr>
                <w:sz w:val="12"/>
                <w:szCs w:val="12"/>
                <w:color w:val="auto"/>
              </w:rPr>
            </w:pPr>
          </w:p>
        </w:tc>
      </w:tr>
      <w:tr>
        <w:trPr>
          <w:trHeight w:val="151"/>
        </w:trPr>
        <w:tc>
          <w:tcPr>
            <w:tcW w:w="340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7"/>
                <w:szCs w:val="17"/>
                <w:color w:val="auto"/>
                <w:vertAlign w:val="superscript"/>
              </w:rPr>
              <w:t>(7), (11)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17"/>
                <w:szCs w:val="17"/>
                <w:color w:val="auto"/>
                <w:vertAlign w:val="superscript"/>
              </w:rPr>
              <w:t>(5), (7), (10)</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88,000</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10,173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11,325</w:t>
            </w:r>
          </w:p>
        </w:tc>
        <w:tc>
          <w:tcPr>
            <w:tcW w:w="80" w:type="dxa"/>
            <w:vAlign w:val="bottom"/>
            <w:shd w:val="clear" w:color="auto" w:fill="CFF0FC"/>
          </w:tcPr>
          <w:p>
            <w:pPr>
              <w:spacing w:after="0"/>
              <w:rPr>
                <w:sz w:val="12"/>
                <w:szCs w:val="12"/>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17"/>
                <w:szCs w:val="17"/>
                <w:color w:val="auto"/>
                <w:vertAlign w:val="superscript"/>
              </w:rPr>
              <w:t>(5), (7), (10)</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88,000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77,827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86,640</w:t>
            </w:r>
          </w:p>
        </w:tc>
        <w:tc>
          <w:tcPr>
            <w:tcW w:w="80" w:type="dxa"/>
            <w:vAlign w:val="bottom"/>
          </w:tcPr>
          <w:p>
            <w:pPr>
              <w:spacing w:after="0"/>
              <w:rPr>
                <w:sz w:val="12"/>
                <w:szCs w:val="12"/>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DBI Holding, LLC, Series A-1 </w:t>
            </w:r>
            <w:r>
              <w:rPr>
                <w:rFonts w:ascii="Arial" w:cs="Arial" w:eastAsia="Arial" w:hAnsi="Arial"/>
                <w:sz w:val="17"/>
                <w:szCs w:val="17"/>
                <w:color w:val="auto"/>
                <w:vertAlign w:val="superscript"/>
              </w:rPr>
              <w:t>(8)</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13.00%</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7,041</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7,040,844</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6,545,361</w:t>
            </w:r>
          </w:p>
        </w:tc>
        <w:tc>
          <w:tcPr>
            <w:tcW w:w="80" w:type="dxa"/>
            <w:vAlign w:val="bottom"/>
            <w:shd w:val="clear" w:color="auto" w:fill="CFF0FC"/>
          </w:tcPr>
          <w:p>
            <w:pPr>
              <w:spacing w:after="0"/>
              <w:rPr>
                <w:sz w:val="12"/>
                <w:szCs w:val="12"/>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7"/>
                <w:szCs w:val="17"/>
                <w:color w:val="auto"/>
                <w:vertAlign w:val="superscript"/>
              </w:rPr>
              <w:t>(7), (8)</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960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960,000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1,002,057</w:t>
            </w:r>
          </w:p>
        </w:tc>
        <w:tc>
          <w:tcPr>
            <w:tcW w:w="80" w:type="dxa"/>
            <w:vAlign w:val="bottom"/>
          </w:tcPr>
          <w:p>
            <w:pPr>
              <w:spacing w:after="0"/>
              <w:rPr>
                <w:sz w:val="12"/>
                <w:szCs w:val="12"/>
                <w:color w:val="auto"/>
              </w:rPr>
            </w:pPr>
          </w:p>
        </w:tc>
      </w:tr>
      <w:tr>
        <w:trPr>
          <w:trHeight w:val="149"/>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17"/>
                <w:szCs w:val="17"/>
                <w:color w:val="auto"/>
                <w:vertAlign w:val="superscript"/>
              </w:rPr>
              <w:t>(7)</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490,000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362,645</w:t>
            </w:r>
          </w:p>
        </w:tc>
        <w:tc>
          <w:tcPr>
            <w:tcW w:w="80" w:type="dxa"/>
            <w:vAlign w:val="bottom"/>
            <w:shd w:val="clear" w:color="auto" w:fill="CFF0FC"/>
          </w:tcPr>
          <w:p>
            <w:pPr>
              <w:spacing w:after="0"/>
              <w:rPr>
                <w:sz w:val="12"/>
                <w:szCs w:val="12"/>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7"/>
                <w:szCs w:val="17"/>
                <w:color w:val="auto"/>
                <w:vertAlign w:val="superscript"/>
              </w:rPr>
              <w:t>(7), (10)</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12.14%</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3M L+1,000</w:t>
            </w:r>
          </w:p>
        </w:tc>
        <w:tc>
          <w:tcPr>
            <w:tcW w:w="700" w:type="dxa"/>
            <w:vAlign w:val="bottom"/>
          </w:tcPr>
          <w:p>
            <w:pPr>
              <w:jc w:val="right"/>
              <w:spacing w:after="0"/>
              <w:rPr>
                <w:sz w:val="20"/>
                <w:szCs w:val="20"/>
                <w:color w:val="auto"/>
              </w:rPr>
            </w:pPr>
            <w:r>
              <w:rPr>
                <w:rFonts w:ascii="Arial" w:cs="Arial" w:eastAsia="Arial" w:hAnsi="Arial"/>
                <w:sz w:val="12"/>
                <w:szCs w:val="12"/>
                <w:color w:val="auto"/>
              </w:rPr>
              <w:t>33</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359,000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370,570</w:t>
            </w:r>
          </w:p>
        </w:tc>
        <w:tc>
          <w:tcPr>
            <w:tcW w:w="80" w:type="dxa"/>
            <w:vAlign w:val="bottom"/>
          </w:tcPr>
          <w:p>
            <w:pPr>
              <w:spacing w:after="0"/>
              <w:rPr>
                <w:sz w:val="12"/>
                <w:szCs w:val="12"/>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7"/>
                <w:szCs w:val="17"/>
                <w:color w:val="auto"/>
                <w:vertAlign w:val="superscript"/>
              </w:rPr>
              <w:t>(7)</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9"/>
              </w:rPr>
              <w:t>Commercial Services &amp; Supplies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12.00%</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1,167</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1,166,993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1,224,860</w:t>
            </w:r>
          </w:p>
        </w:tc>
        <w:tc>
          <w:tcPr>
            <w:tcW w:w="80" w:type="dxa"/>
            <w:vAlign w:val="bottom"/>
            <w:shd w:val="clear" w:color="auto" w:fill="CFF0FC"/>
          </w:tcPr>
          <w:p>
            <w:pPr>
              <w:spacing w:after="0"/>
              <w:rPr>
                <w:sz w:val="12"/>
                <w:szCs w:val="12"/>
                <w:color w:val="auto"/>
              </w:rPr>
            </w:pPr>
          </w:p>
        </w:tc>
      </w:tr>
      <w:tr>
        <w:trPr>
          <w:trHeight w:val="146"/>
        </w:trPr>
        <w:tc>
          <w:tcPr>
            <w:tcW w:w="3400" w:type="dxa"/>
            <w:vAlign w:val="bottom"/>
          </w:tcPr>
          <w:p>
            <w:pPr>
              <w:spacing w:after="0"/>
              <w:rPr>
                <w:sz w:val="20"/>
                <w:szCs w:val="20"/>
                <w:color w:val="auto"/>
              </w:rPr>
            </w:pPr>
            <w:r>
              <w:rPr>
                <w:rFonts w:ascii="Arial" w:cs="Arial" w:eastAsia="Arial" w:hAnsi="Arial"/>
                <w:sz w:val="12"/>
                <w:szCs w:val="12"/>
                <w:color w:val="auto"/>
              </w:rPr>
              <w:t>UniTek Global Services, Inc. -</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20.00%</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343,861</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343,861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30,743</w:t>
            </w:r>
          </w:p>
        </w:tc>
        <w:tc>
          <w:tcPr>
            <w:tcW w:w="80" w:type="dxa"/>
            <w:vAlign w:val="bottom"/>
          </w:tcPr>
          <w:p>
            <w:pPr>
              <w:spacing w:after="0"/>
              <w:rPr>
                <w:sz w:val="12"/>
                <w:szCs w:val="12"/>
                <w:color w:val="auto"/>
              </w:rPr>
            </w:pPr>
          </w:p>
        </w:tc>
      </w:tr>
      <w:tr>
        <w:trPr>
          <w:trHeight w:val="151"/>
        </w:trPr>
        <w:tc>
          <w:tcPr>
            <w:tcW w:w="340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17"/>
                <w:szCs w:val="17"/>
                <w:color w:val="auto"/>
                <w:vertAlign w:val="superscript"/>
              </w:rPr>
              <w:t>(7)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17"/>
                <w:szCs w:val="17"/>
                <w:color w:val="auto"/>
                <w:vertAlign w:val="superscript"/>
              </w:rPr>
              <w:t>(7)</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18.00%</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448,851</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448,851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13.50%</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1,047,317</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670,283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2"/>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Total Preferred Equity</w:t>
            </w:r>
          </w:p>
        </w:tc>
        <w:tc>
          <w:tcPr>
            <w:tcW w:w="10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4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11,589,702</w:t>
            </w: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9,634,652</w:t>
            </w:r>
          </w:p>
        </w:tc>
        <w:tc>
          <w:tcPr>
            <w:tcW w:w="80" w:type="dxa"/>
            <w:vAlign w:val="bottom"/>
            <w:tcBorders>
              <w:top w:val="single" w:sz="8" w:color="CFF0FC"/>
            </w:tcBorders>
            <w:shd w:val="clear" w:color="auto" w:fill="CFF0FC"/>
          </w:tcPr>
          <w:p>
            <w:pPr>
              <w:spacing w:after="0"/>
              <w:rPr>
                <w:sz w:val="12"/>
                <w:szCs w:val="12"/>
                <w:color w:val="auto"/>
              </w:rPr>
            </w:pPr>
          </w:p>
        </w:tc>
      </w:tr>
      <w:tr>
        <w:trPr>
          <w:trHeight w:val="142"/>
        </w:trPr>
        <w:tc>
          <w:tcPr>
            <w:tcW w:w="3400" w:type="dxa"/>
            <w:vAlign w:val="bottom"/>
          </w:tcPr>
          <w:p>
            <w:pPr>
              <w:spacing w:after="0" w:line="142" w:lineRule="exact"/>
              <w:rPr>
                <w:sz w:val="20"/>
                <w:szCs w:val="20"/>
                <w:color w:val="auto"/>
              </w:rPr>
            </w:pPr>
            <w:r>
              <w:rPr>
                <w:rFonts w:ascii="Arial" w:cs="Arial" w:eastAsia="Arial" w:hAnsi="Arial"/>
                <w:sz w:val="10"/>
                <w:szCs w:val="10"/>
                <w:b w:val="1"/>
                <w:bCs w:val="1"/>
                <w:color w:val="auto"/>
              </w:rPr>
              <w:t xml:space="preserve">Common Equity/Warrants— 6.4% </w:t>
            </w:r>
            <w:r>
              <w:rPr>
                <w:rFonts w:ascii="Arial" w:cs="Arial" w:eastAsia="Arial" w:hAnsi="Arial"/>
                <w:sz w:val="16"/>
                <w:szCs w:val="16"/>
                <w:b w:val="1"/>
                <w:bCs w:val="1"/>
                <w:color w:val="auto"/>
                <w:vertAlign w:val="superscript"/>
              </w:rPr>
              <w:t>(6)</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17"/>
                <w:szCs w:val="17"/>
                <w:color w:val="auto"/>
                <w:vertAlign w:val="superscript"/>
              </w:rPr>
              <w:t>(7)</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8,893</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244,998</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94,129</w:t>
            </w:r>
          </w:p>
        </w:tc>
        <w:tc>
          <w:tcPr>
            <w:tcW w:w="80" w:type="dxa"/>
            <w:vAlign w:val="bottom"/>
            <w:shd w:val="clear" w:color="auto" w:fill="CFF0FC"/>
          </w:tcPr>
          <w:p>
            <w:pPr>
              <w:spacing w:after="0"/>
              <w:rPr>
                <w:sz w:val="12"/>
                <w:szCs w:val="12"/>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7"/>
                <w:szCs w:val="17"/>
                <w:color w:val="auto"/>
                <w:vertAlign w:val="superscript"/>
              </w:rPr>
              <w:t>(7), (8)</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Software</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714,652</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714,652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714,652</w:t>
            </w:r>
          </w:p>
        </w:tc>
        <w:tc>
          <w:tcPr>
            <w:tcW w:w="80" w:type="dxa"/>
            <w:vAlign w:val="bottom"/>
          </w:tcPr>
          <w:p>
            <w:pPr>
              <w:spacing w:after="0"/>
              <w:rPr>
                <w:sz w:val="12"/>
                <w:szCs w:val="12"/>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7"/>
                <w:szCs w:val="17"/>
                <w:color w:val="auto"/>
                <w:vertAlign w:val="superscript"/>
              </w:rPr>
              <w:t>(7), (8), (9)</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Software</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285,348</w:t>
            </w: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IT Services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1,437,500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1,437,500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1,437,500</w:t>
            </w:r>
          </w:p>
        </w:tc>
        <w:tc>
          <w:tcPr>
            <w:tcW w:w="80" w:type="dxa"/>
            <w:vAlign w:val="bottom"/>
          </w:tcPr>
          <w:p>
            <w:pPr>
              <w:spacing w:after="0"/>
              <w:rPr>
                <w:sz w:val="12"/>
                <w:szCs w:val="12"/>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7"/>
                <w:szCs w:val="17"/>
                <w:color w:val="auto"/>
                <w:vertAlign w:val="superscript"/>
              </w:rPr>
              <w:t>(7), (8)</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21,908</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2,190,771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9,218,753</w:t>
            </w:r>
          </w:p>
        </w:tc>
        <w:tc>
          <w:tcPr>
            <w:tcW w:w="80" w:type="dxa"/>
            <w:vAlign w:val="bottom"/>
            <w:shd w:val="clear" w:color="auto" w:fill="CFF0FC"/>
          </w:tcPr>
          <w:p>
            <w:pPr>
              <w:spacing w:after="0"/>
              <w:rPr>
                <w:sz w:val="12"/>
                <w:szCs w:val="12"/>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7"/>
                <w:szCs w:val="17"/>
                <w:color w:val="auto"/>
                <w:vertAlign w:val="superscript"/>
              </w:rPr>
              <w:t>(7), (8), (9)</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5,592</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8"/>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CI (Allied) Investment Holdings, LLC</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120,962</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1,243,217</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1,260,269</w:t>
            </w:r>
          </w:p>
        </w:tc>
        <w:tc>
          <w:tcPr>
            <w:tcW w:w="80" w:type="dxa"/>
            <w:vAlign w:val="bottom"/>
            <w:shd w:val="clear" w:color="auto" w:fill="CFF0FC"/>
          </w:tcPr>
          <w:p>
            <w:pPr>
              <w:spacing w:after="0"/>
              <w:rPr>
                <w:sz w:val="12"/>
                <w:szCs w:val="12"/>
                <w:color w:val="auto"/>
              </w:rPr>
            </w:pPr>
          </w:p>
        </w:tc>
      </w:tr>
      <w:tr>
        <w:trPr>
          <w:trHeight w:val="148"/>
        </w:trPr>
        <w:tc>
          <w:tcPr>
            <w:tcW w:w="3400" w:type="dxa"/>
            <w:vAlign w:val="bottom"/>
            <w:shd w:val="clear" w:color="auto" w:fill="CFF0FC"/>
          </w:tcPr>
          <w:p>
            <w:pPr>
              <w:ind w:left="140"/>
              <w:spacing w:after="0" w:line="149" w:lineRule="exact"/>
              <w:rPr>
                <w:sz w:val="20"/>
                <w:szCs w:val="20"/>
                <w:color w:val="auto"/>
              </w:rPr>
            </w:pPr>
            <w:r>
              <w:rPr>
                <w:rFonts w:ascii="Arial" w:cs="Arial" w:eastAsia="Arial" w:hAnsi="Arial"/>
                <w:sz w:val="11"/>
                <w:szCs w:val="11"/>
                <w:color w:val="auto"/>
              </w:rPr>
              <w:t xml:space="preserve">(Allied America, Inc.) </w:t>
            </w:r>
            <w:r>
              <w:rPr>
                <w:rFonts w:ascii="Arial" w:cs="Arial" w:eastAsia="Arial" w:hAnsi="Arial"/>
                <w:sz w:val="17"/>
                <w:szCs w:val="17"/>
                <w:color w:val="auto"/>
                <w:vertAlign w:val="superscript"/>
              </w:rPr>
              <w:t>(7), (8)</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6"/>
        </w:trPr>
        <w:tc>
          <w:tcPr>
            <w:tcW w:w="340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13,333</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1"/>
        </w:trPr>
        <w:tc>
          <w:tcPr>
            <w:tcW w:w="340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7"/>
                <w:szCs w:val="17"/>
                <w:color w:val="auto"/>
                <w:vertAlign w:val="superscript"/>
              </w:rPr>
              <w:t>(7), (8)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8"/>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CI (Summit) Investment Holdings, LLC</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54,907</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581,995</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720,588</w:t>
            </w:r>
          </w:p>
        </w:tc>
        <w:tc>
          <w:tcPr>
            <w:tcW w:w="80" w:type="dxa"/>
            <w:vAlign w:val="bottom"/>
            <w:shd w:val="clear" w:color="auto" w:fill="CFF0FC"/>
          </w:tcPr>
          <w:p>
            <w:pPr>
              <w:spacing w:after="0"/>
              <w:rPr>
                <w:sz w:val="12"/>
                <w:szCs w:val="12"/>
                <w:color w:val="auto"/>
              </w:rPr>
            </w:pPr>
          </w:p>
        </w:tc>
      </w:tr>
      <w:tr>
        <w:trPr>
          <w:trHeight w:val="149"/>
        </w:trPr>
        <w:tc>
          <w:tcPr>
            <w:tcW w:w="3400" w:type="dxa"/>
            <w:vAlign w:val="bottom"/>
            <w:shd w:val="clear" w:color="auto" w:fill="CFF0FC"/>
          </w:tcPr>
          <w:p>
            <w:pPr>
              <w:ind w:left="140"/>
              <w:spacing w:after="0" w:line="149" w:lineRule="exact"/>
              <w:rPr>
                <w:sz w:val="20"/>
                <w:szCs w:val="20"/>
                <w:color w:val="auto"/>
              </w:rPr>
            </w:pPr>
            <w:r>
              <w:rPr>
                <w:rFonts w:ascii="Arial" w:cs="Arial" w:eastAsia="Arial" w:hAnsi="Arial"/>
                <w:sz w:val="11"/>
                <w:szCs w:val="11"/>
                <w:color w:val="auto"/>
              </w:rPr>
              <w:t xml:space="preserve">(SFP Holding, Inc.) </w:t>
            </w:r>
            <w:r>
              <w:rPr>
                <w:rFonts w:ascii="Arial" w:cs="Arial" w:eastAsia="Arial" w:hAnsi="Arial"/>
                <w:sz w:val="17"/>
                <w:szCs w:val="17"/>
                <w:color w:val="auto"/>
                <w:vertAlign w:val="superscript"/>
              </w:rPr>
              <w:t>(7)</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DBI Holding, LLC, Series B </w:t>
            </w:r>
            <w:r>
              <w:rPr>
                <w:rFonts w:ascii="Arial" w:cs="Arial" w:eastAsia="Arial" w:hAnsi="Arial"/>
                <w:sz w:val="17"/>
                <w:szCs w:val="17"/>
                <w:color w:val="auto"/>
                <w:vertAlign w:val="superscript"/>
              </w:rPr>
              <w:t>(10), (8)</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0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1,489,508</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330,791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8"/>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DecoPac Holdings Inc. </w:t>
            </w:r>
            <w:r>
              <w:rPr>
                <w:rFonts w:ascii="Arial" w:cs="Arial" w:eastAsia="Arial" w:hAnsi="Arial"/>
                <w:sz w:val="17"/>
                <w:szCs w:val="17"/>
                <w:color w:val="auto"/>
                <w:vertAlign w:val="superscript"/>
              </w:rPr>
              <w:t>(7)</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1,633</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1,632,744</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3,149,261</w:t>
            </w:r>
          </w:p>
        </w:tc>
        <w:tc>
          <w:tcPr>
            <w:tcW w:w="80" w:type="dxa"/>
            <w:vAlign w:val="bottom"/>
            <w:shd w:val="clear" w:color="auto" w:fill="CFF0FC"/>
          </w:tcPr>
          <w:p>
            <w:pPr>
              <w:spacing w:after="0"/>
              <w:rPr>
                <w:sz w:val="12"/>
                <w:szCs w:val="12"/>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7"/>
                <w:szCs w:val="17"/>
                <w:color w:val="auto"/>
                <w:vertAlign w:val="superscript"/>
              </w:rPr>
              <w:t>(7), (10)</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Banking, Finance, Insurance &amp; Real Estate</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251,156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370,436</w:t>
            </w:r>
          </w:p>
        </w:tc>
        <w:tc>
          <w:tcPr>
            <w:tcW w:w="80" w:type="dxa"/>
            <w:vAlign w:val="bottom"/>
          </w:tcPr>
          <w:p>
            <w:pPr>
              <w:spacing w:after="0"/>
              <w:rPr>
                <w:sz w:val="12"/>
                <w:szCs w:val="12"/>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Faraday Holdings, LLC </w:t>
            </w:r>
            <w:r>
              <w:rPr>
                <w:rFonts w:ascii="Arial" w:cs="Arial" w:eastAsia="Arial" w:hAnsi="Arial"/>
                <w:sz w:val="17"/>
                <w:szCs w:val="17"/>
                <w:color w:val="auto"/>
                <w:vertAlign w:val="superscript"/>
              </w:rPr>
              <w:t>(7)</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1,141</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58,044</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331,562</w:t>
            </w:r>
          </w:p>
        </w:tc>
        <w:tc>
          <w:tcPr>
            <w:tcW w:w="80" w:type="dxa"/>
            <w:vAlign w:val="bottom"/>
            <w:shd w:val="clear" w:color="auto" w:fill="CFF0FC"/>
          </w:tcPr>
          <w:p>
            <w:pPr>
              <w:spacing w:after="0"/>
              <w:rPr>
                <w:sz w:val="12"/>
                <w:szCs w:val="12"/>
                <w:color w:val="auto"/>
              </w:rPr>
            </w:pPr>
          </w:p>
        </w:tc>
      </w:tr>
      <w:tr>
        <w:trPr>
          <w:trHeight w:val="146"/>
        </w:trPr>
        <w:tc>
          <w:tcPr>
            <w:tcW w:w="3400" w:type="dxa"/>
            <w:vAlign w:val="bottom"/>
          </w:tcPr>
          <w:p>
            <w:pPr>
              <w:spacing w:after="0"/>
              <w:rPr>
                <w:sz w:val="20"/>
                <w:szCs w:val="20"/>
                <w:color w:val="auto"/>
              </w:rPr>
            </w:pPr>
            <w:r>
              <w:rPr>
                <w:rFonts w:ascii="Arial" w:cs="Arial" w:eastAsia="Arial" w:hAnsi="Arial"/>
                <w:sz w:val="12"/>
                <w:szCs w:val="12"/>
                <w:color w:val="auto"/>
              </w:rPr>
              <w:t>Gauge InfosoftCoInvest, LLC</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500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143,663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497,465</w:t>
            </w:r>
          </w:p>
        </w:tc>
        <w:tc>
          <w:tcPr>
            <w:tcW w:w="80" w:type="dxa"/>
            <w:vAlign w:val="bottom"/>
          </w:tcPr>
          <w:p>
            <w:pPr>
              <w:spacing w:after="0"/>
              <w:rPr>
                <w:sz w:val="12"/>
                <w:szCs w:val="12"/>
                <w:color w:val="auto"/>
              </w:rPr>
            </w:pPr>
          </w:p>
        </w:tc>
      </w:tr>
      <w:tr>
        <w:trPr>
          <w:trHeight w:val="151"/>
        </w:trPr>
        <w:tc>
          <w:tcPr>
            <w:tcW w:w="340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17"/>
                <w:szCs w:val="17"/>
                <w:color w:val="auto"/>
                <w:vertAlign w:val="superscript"/>
              </w:rPr>
              <w:t>(7)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17"/>
                <w:szCs w:val="17"/>
                <w:color w:val="auto"/>
                <w:vertAlign w:val="superscript"/>
              </w:rPr>
              <w:t>(7)</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5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6"/>
              </w:rPr>
              <w:t>Professional Services</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403</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403,005</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403,005</w:t>
            </w:r>
          </w:p>
        </w:tc>
        <w:tc>
          <w:tcPr>
            <w:tcW w:w="80" w:type="dxa"/>
            <w:vAlign w:val="bottom"/>
            <w:shd w:val="clear" w:color="auto" w:fill="CFF0FC"/>
          </w:tcPr>
          <w:p>
            <w:pPr>
              <w:spacing w:after="0"/>
              <w:rPr>
                <w:sz w:val="12"/>
                <w:szCs w:val="12"/>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2"/>
                <w:szCs w:val="12"/>
                <w:color w:val="auto"/>
                <w:w w:val="86"/>
              </w:rPr>
              <w:t>Professional Services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391,144</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391,144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399,678</w:t>
            </w:r>
          </w:p>
        </w:tc>
        <w:tc>
          <w:tcPr>
            <w:tcW w:w="80" w:type="dxa"/>
            <w:vAlign w:val="bottom"/>
          </w:tcPr>
          <w:p>
            <w:pPr>
              <w:spacing w:after="0"/>
              <w:rPr>
                <w:sz w:val="12"/>
                <w:szCs w:val="12"/>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7"/>
                <w:szCs w:val="17"/>
                <w:color w:val="auto"/>
                <w:vertAlign w:val="superscript"/>
              </w:rPr>
              <w:t>(7), (8)</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1,549,209</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1,549,209</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2,233,506</w:t>
            </w:r>
          </w:p>
        </w:tc>
        <w:tc>
          <w:tcPr>
            <w:tcW w:w="80" w:type="dxa"/>
            <w:vAlign w:val="bottom"/>
            <w:shd w:val="clear" w:color="auto" w:fill="CFF0FC"/>
          </w:tcPr>
          <w:p>
            <w:pPr>
              <w:spacing w:after="0"/>
              <w:rPr>
                <w:sz w:val="12"/>
                <w:szCs w:val="12"/>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7"/>
                <w:szCs w:val="17"/>
                <w:color w:val="auto"/>
                <w:vertAlign w:val="superscript"/>
              </w:rPr>
              <w:t>(7), (8), (9)</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450,791</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9"/>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Go Dawgs Capital III, LP</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9"/>
              </w:rPr>
              <w:t>Building Products</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324,675</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324,675</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331,169</w:t>
            </w:r>
          </w:p>
        </w:tc>
        <w:tc>
          <w:tcPr>
            <w:tcW w:w="80" w:type="dxa"/>
            <w:vAlign w:val="bottom"/>
            <w:shd w:val="clear" w:color="auto" w:fill="CFF0FC"/>
          </w:tcPr>
          <w:p>
            <w:pPr>
              <w:spacing w:after="0"/>
              <w:rPr>
                <w:sz w:val="12"/>
                <w:szCs w:val="12"/>
                <w:color w:val="auto"/>
              </w:rPr>
            </w:pPr>
          </w:p>
        </w:tc>
      </w:tr>
      <w:tr>
        <w:trPr>
          <w:trHeight w:val="148"/>
        </w:trPr>
        <w:tc>
          <w:tcPr>
            <w:tcW w:w="3400" w:type="dxa"/>
            <w:vAlign w:val="bottom"/>
            <w:shd w:val="clear" w:color="auto" w:fill="CFF0FC"/>
          </w:tcPr>
          <w:p>
            <w:pPr>
              <w:ind w:left="140"/>
              <w:spacing w:after="0" w:line="149" w:lineRule="exact"/>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7"/>
                <w:szCs w:val="17"/>
                <w:color w:val="auto"/>
                <w:vertAlign w:val="superscript"/>
              </w:rPr>
              <w:t>(7), (8)</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6"/>
        </w:trPr>
        <w:tc>
          <w:tcPr>
            <w:tcW w:w="3400" w:type="dxa"/>
            <w:vAlign w:val="bottom"/>
          </w:tcPr>
          <w:p>
            <w:pPr>
              <w:spacing w:after="0"/>
              <w:rPr>
                <w:sz w:val="20"/>
                <w:szCs w:val="20"/>
                <w:color w:val="auto"/>
              </w:rPr>
            </w:pPr>
            <w:r>
              <w:rPr>
                <w:rFonts w:ascii="Arial" w:cs="Arial" w:eastAsia="Arial" w:hAnsi="Arial"/>
                <w:sz w:val="12"/>
                <w:szCs w:val="12"/>
                <w:color w:val="auto"/>
              </w:rPr>
              <w:t>IIN Group Holdings, LLC</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Consumer Services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1,000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1,392,905</w:t>
            </w:r>
          </w:p>
        </w:tc>
        <w:tc>
          <w:tcPr>
            <w:tcW w:w="80" w:type="dxa"/>
            <w:vAlign w:val="bottom"/>
          </w:tcPr>
          <w:p>
            <w:pPr>
              <w:spacing w:after="0"/>
              <w:rPr>
                <w:sz w:val="12"/>
                <w:szCs w:val="12"/>
                <w:color w:val="auto"/>
              </w:rPr>
            </w:pPr>
          </w:p>
        </w:tc>
      </w:tr>
      <w:tr>
        <w:trPr>
          <w:trHeight w:val="151"/>
        </w:trPr>
        <w:tc>
          <w:tcPr>
            <w:tcW w:w="340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17"/>
                <w:szCs w:val="17"/>
                <w:color w:val="auto"/>
                <w:vertAlign w:val="superscript"/>
              </w:rPr>
              <w:t>(7), (8)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8"/>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ITC Rumba, LLC (Cano Health, LLC)</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21,529</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430,576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607,059</w:t>
            </w:r>
          </w:p>
        </w:tc>
        <w:tc>
          <w:tcPr>
            <w:tcW w:w="80" w:type="dxa"/>
            <w:vAlign w:val="bottom"/>
            <w:shd w:val="clear" w:color="auto" w:fill="CFF0FC"/>
          </w:tcPr>
          <w:p>
            <w:pPr>
              <w:spacing w:after="0"/>
              <w:rPr>
                <w:sz w:val="12"/>
                <w:szCs w:val="12"/>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JWC/UMA Holdings, L.P. </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1,000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1,000,000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1,210,541</w:t>
            </w:r>
          </w:p>
        </w:tc>
        <w:tc>
          <w:tcPr>
            <w:tcW w:w="80" w:type="dxa"/>
            <w:vAlign w:val="bottom"/>
          </w:tcPr>
          <w:p>
            <w:pPr>
              <w:spacing w:after="0"/>
              <w:rPr>
                <w:sz w:val="12"/>
                <w:szCs w:val="12"/>
                <w:color w:val="auto"/>
              </w:rPr>
            </w:pPr>
          </w:p>
        </w:tc>
      </w:tr>
      <w:tr>
        <w:trPr>
          <w:trHeight w:val="148"/>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JWC-WE Holdings, L.P.</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1,381,741</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1,381,741</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3,595,627</w:t>
            </w:r>
          </w:p>
        </w:tc>
        <w:tc>
          <w:tcPr>
            <w:tcW w:w="80" w:type="dxa"/>
            <w:vAlign w:val="bottom"/>
            <w:shd w:val="clear" w:color="auto" w:fill="CFF0FC"/>
          </w:tcPr>
          <w:p>
            <w:pPr>
              <w:spacing w:after="0"/>
              <w:rPr>
                <w:sz w:val="12"/>
                <w:szCs w:val="12"/>
                <w:color w:val="auto"/>
              </w:rPr>
            </w:pPr>
          </w:p>
        </w:tc>
      </w:tr>
      <w:tr>
        <w:trPr>
          <w:trHeight w:val="148"/>
        </w:trPr>
        <w:tc>
          <w:tcPr>
            <w:tcW w:w="3400" w:type="dxa"/>
            <w:vAlign w:val="bottom"/>
            <w:shd w:val="clear" w:color="auto" w:fill="CFF0FC"/>
          </w:tcPr>
          <w:p>
            <w:pPr>
              <w:ind w:left="140"/>
              <w:spacing w:after="0" w:line="149" w:lineRule="exact"/>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7"/>
                <w:szCs w:val="17"/>
                <w:color w:val="auto"/>
                <w:vertAlign w:val="superscript"/>
              </w:rPr>
              <w:t>(7), (8)</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17"/>
                <w:szCs w:val="17"/>
                <w:color w:val="auto"/>
                <w:vertAlign w:val="superscript"/>
              </w:rPr>
              <w:t>(7), (8)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2"/>
                <w:szCs w:val="12"/>
                <w:color w:val="auto"/>
                <w:w w:val="86"/>
              </w:rPr>
              <w:t>Hotels, Restaurants and Leisure</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87,345</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166,773</w:t>
            </w:r>
          </w:p>
        </w:tc>
        <w:tc>
          <w:tcPr>
            <w:tcW w:w="80" w:type="dxa"/>
            <w:vAlign w:val="bottom"/>
          </w:tcPr>
          <w:p>
            <w:pPr>
              <w:spacing w:after="0"/>
              <w:rPr>
                <w:sz w:val="12"/>
                <w:szCs w:val="12"/>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7"/>
                <w:szCs w:val="17"/>
                <w:color w:val="auto"/>
                <w:vertAlign w:val="superscript"/>
              </w:rPr>
              <w:t>(7), (8)</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960</w:t>
            </w: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98,635</w:t>
            </w:r>
          </w:p>
        </w:tc>
        <w:tc>
          <w:tcPr>
            <w:tcW w:w="80" w:type="dxa"/>
            <w:vAlign w:val="bottom"/>
            <w:shd w:val="clear" w:color="auto" w:fill="CFF0FC"/>
          </w:tcPr>
          <w:p>
            <w:pPr>
              <w:spacing w:after="0"/>
              <w:rPr>
                <w:sz w:val="12"/>
                <w:szCs w:val="12"/>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10,000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9"/>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7"/>
                <w:szCs w:val="17"/>
                <w:color w:val="auto"/>
                <w:vertAlign w:val="superscript"/>
              </w:rPr>
              <w:t>(7)</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239,333</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680,580</w:t>
            </w:r>
          </w:p>
        </w:tc>
        <w:tc>
          <w:tcPr>
            <w:tcW w:w="80" w:type="dxa"/>
            <w:vAlign w:val="bottom"/>
            <w:shd w:val="clear" w:color="auto" w:fill="CFF0FC"/>
          </w:tcPr>
          <w:p>
            <w:pPr>
              <w:spacing w:after="0"/>
              <w:rPr>
                <w:sz w:val="12"/>
                <w:szCs w:val="12"/>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Commercial Services &amp; Supplies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61</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61,421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29,886</w:t>
            </w:r>
          </w:p>
        </w:tc>
        <w:tc>
          <w:tcPr>
            <w:tcW w:w="80" w:type="dxa"/>
            <w:vAlign w:val="bottom"/>
          </w:tcPr>
          <w:p>
            <w:pPr>
              <w:spacing w:after="0"/>
              <w:rPr>
                <w:sz w:val="12"/>
                <w:szCs w:val="12"/>
                <w:color w:val="auto"/>
              </w:rPr>
            </w:pPr>
          </w:p>
        </w:tc>
      </w:tr>
      <w:tr>
        <w:trPr>
          <w:trHeight w:val="149"/>
        </w:trPr>
        <w:tc>
          <w:tcPr>
            <w:tcW w:w="3400" w:type="dxa"/>
            <w:vAlign w:val="bottom"/>
            <w:shd w:val="clear" w:color="auto" w:fill="CFF0FC"/>
          </w:tcPr>
          <w:p>
            <w:pPr>
              <w:spacing w:after="0"/>
              <w:rPr>
                <w:sz w:val="20"/>
                <w:szCs w:val="20"/>
                <w:color w:val="auto"/>
              </w:rPr>
            </w:pPr>
            <w:r>
              <w:rPr>
                <w:rFonts w:ascii="Arial" w:cs="Arial" w:eastAsia="Arial" w:hAnsi="Arial"/>
                <w:sz w:val="12"/>
                <w:szCs w:val="12"/>
                <w:color w:val="auto"/>
              </w:rPr>
              <w:t>SSC Dominion Holdings, LLC</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0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500,000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540,000</w:t>
            </w:r>
          </w:p>
        </w:tc>
        <w:tc>
          <w:tcPr>
            <w:tcW w:w="80" w:type="dxa"/>
            <w:vAlign w:val="bottom"/>
            <w:shd w:val="clear" w:color="auto" w:fill="CFF0FC"/>
          </w:tcPr>
          <w:p>
            <w:pPr>
              <w:spacing w:after="0"/>
              <w:rPr>
                <w:sz w:val="12"/>
                <w:szCs w:val="12"/>
                <w:color w:val="auto"/>
              </w:rPr>
            </w:pPr>
          </w:p>
        </w:tc>
      </w:tr>
      <w:tr>
        <w:trPr>
          <w:trHeight w:val="148"/>
        </w:trPr>
        <w:tc>
          <w:tcPr>
            <w:tcW w:w="3400" w:type="dxa"/>
            <w:vAlign w:val="bottom"/>
            <w:shd w:val="clear" w:color="auto" w:fill="CFF0FC"/>
          </w:tcPr>
          <w:p>
            <w:pPr>
              <w:ind w:left="140"/>
              <w:spacing w:after="0" w:line="149" w:lineRule="exact"/>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17"/>
                <w:szCs w:val="17"/>
                <w:color w:val="auto"/>
                <w:vertAlign w:val="superscript"/>
              </w:rPr>
              <w:t>(7)</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6"/>
        </w:trPr>
        <w:tc>
          <w:tcPr>
            <w:tcW w:w="340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500</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728,601</w:t>
            </w:r>
          </w:p>
        </w:tc>
        <w:tc>
          <w:tcPr>
            <w:tcW w:w="80" w:type="dxa"/>
            <w:vAlign w:val="bottom"/>
          </w:tcPr>
          <w:p>
            <w:pPr>
              <w:spacing w:after="0"/>
              <w:rPr>
                <w:sz w:val="12"/>
                <w:szCs w:val="12"/>
                <w:color w:val="auto"/>
              </w:rPr>
            </w:pPr>
          </w:p>
        </w:tc>
      </w:tr>
      <w:tr>
        <w:trPr>
          <w:trHeight w:val="151"/>
        </w:trPr>
        <w:tc>
          <w:tcPr>
            <w:tcW w:w="340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17"/>
                <w:szCs w:val="17"/>
                <w:color w:val="auto"/>
                <w:vertAlign w:val="superscript"/>
              </w:rPr>
              <w:t>(7)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TPC Broadband Investors, LP </w:t>
            </w:r>
            <w:r>
              <w:rPr>
                <w:rFonts w:ascii="Arial" w:cs="Arial" w:eastAsia="Arial" w:hAnsi="Arial"/>
                <w:sz w:val="17"/>
                <w:szCs w:val="17"/>
                <w:color w:val="auto"/>
                <w:vertAlign w:val="superscript"/>
              </w:rPr>
              <w:t>(7)</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754,821</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754,820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1,589,878</w:t>
            </w:r>
          </w:p>
        </w:tc>
        <w:tc>
          <w:tcPr>
            <w:tcW w:w="80" w:type="dxa"/>
            <w:vAlign w:val="bottom"/>
            <w:shd w:val="clear" w:color="auto" w:fill="CFF0FC"/>
          </w:tcPr>
          <w:p>
            <w:pPr>
              <w:spacing w:after="0"/>
              <w:rPr>
                <w:sz w:val="12"/>
                <w:szCs w:val="12"/>
                <w:color w:val="auto"/>
              </w:rPr>
            </w:pP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TPC Broadband Investors, LP </w:t>
            </w:r>
            <w:r>
              <w:rPr>
                <w:rFonts w:ascii="Arial" w:cs="Arial" w:eastAsia="Arial" w:hAnsi="Arial"/>
                <w:sz w:val="17"/>
                <w:szCs w:val="17"/>
                <w:color w:val="auto"/>
                <w:vertAlign w:val="superscript"/>
              </w:rPr>
              <w:t>(7), (8), (9)</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245,179</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9"/>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7"/>
                <w:szCs w:val="17"/>
                <w:color w:val="auto"/>
                <w:vertAlign w:val="superscript"/>
              </w:rPr>
              <w:t>(7)</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213,739</w:t>
            </w: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48"/>
        </w:trPr>
        <w:tc>
          <w:tcPr>
            <w:tcW w:w="3400" w:type="dxa"/>
            <w:vAlign w:val="bottom"/>
          </w:tcPr>
          <w:p>
            <w:pPr>
              <w:spacing w:after="0" w:line="149" w:lineRule="exact"/>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17"/>
                <w:szCs w:val="17"/>
                <w:color w:val="auto"/>
                <w:vertAlign w:val="superscript"/>
              </w:rPr>
              <w:t>(7)</w:t>
            </w:r>
          </w:p>
        </w:tc>
        <w:tc>
          <w:tcPr>
            <w:tcW w:w="10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23,889</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9"/>
        </w:trPr>
        <w:tc>
          <w:tcPr>
            <w:tcW w:w="340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WBB Equity, LLC </w:t>
            </w:r>
            <w:r>
              <w:rPr>
                <w:rFonts w:ascii="Arial" w:cs="Arial" w:eastAsia="Arial" w:hAnsi="Arial"/>
                <w:sz w:val="17"/>
                <w:szCs w:val="17"/>
                <w:color w:val="auto"/>
                <w:vertAlign w:val="superscript"/>
              </w:rPr>
              <w:t>(7), (8)</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2"/>
                <w:szCs w:val="12"/>
                <w:color w:val="auto"/>
              </w:rPr>
              <w:t>—</w:t>
            </w:r>
          </w:p>
        </w:tc>
        <w:tc>
          <w:tcPr>
            <w:tcW w:w="250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142,857</w:t>
            </w:r>
          </w:p>
        </w:tc>
        <w:tc>
          <w:tcPr>
            <w:tcW w:w="18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142,857</w:t>
            </w:r>
          </w:p>
        </w:tc>
        <w:tc>
          <w:tcPr>
            <w:tcW w:w="18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498,572</w:t>
            </w:r>
          </w:p>
        </w:tc>
        <w:tc>
          <w:tcPr>
            <w:tcW w:w="80" w:type="dxa"/>
            <w:vAlign w:val="bottom"/>
            <w:shd w:val="clear" w:color="auto" w:fill="CFF0FC"/>
          </w:tcPr>
          <w:p>
            <w:pPr>
              <w:spacing w:after="0"/>
              <w:rPr>
                <w:sz w:val="12"/>
                <w:szCs w:val="12"/>
                <w:color w:val="auto"/>
              </w:rPr>
            </w:pPr>
          </w:p>
        </w:tc>
      </w:tr>
      <w:tr>
        <w:trPr>
          <w:trHeight w:val="142"/>
        </w:trPr>
        <w:tc>
          <w:tcPr>
            <w:tcW w:w="340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Common Equity/Warrants</w:t>
            </w:r>
          </w:p>
        </w:tc>
        <w:tc>
          <w:tcPr>
            <w:tcW w:w="10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4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70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17,218,314</w:t>
            </w:r>
          </w:p>
        </w:tc>
        <w:tc>
          <w:tcPr>
            <w:tcW w:w="18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32,301,030</w:t>
            </w:r>
          </w:p>
        </w:tc>
        <w:tc>
          <w:tcPr>
            <w:tcW w:w="80" w:type="dxa"/>
            <w:vAlign w:val="bottom"/>
            <w:tcBorders>
              <w:bottom w:val="single" w:sz="8" w:color="CFF0FC"/>
            </w:tcBorders>
          </w:tcPr>
          <w:p>
            <w:pPr>
              <w:spacing w:after="0"/>
              <w:rPr>
                <w:sz w:val="12"/>
                <w:szCs w:val="12"/>
                <w:color w:val="auto"/>
              </w:rPr>
            </w:pPr>
          </w:p>
        </w:tc>
      </w:tr>
      <w:tr>
        <w:trPr>
          <w:trHeight w:val="142"/>
        </w:trPr>
        <w:tc>
          <w:tcPr>
            <w:tcW w:w="4260" w:type="dxa"/>
            <w:vAlign w:val="bottom"/>
            <w:gridSpan w:val="4"/>
            <w:shd w:val="clear" w:color="auto" w:fill="CFF0FC"/>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2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886,955,156</w:t>
            </w:r>
          </w:p>
        </w:tc>
        <w:tc>
          <w:tcPr>
            <w:tcW w:w="18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889,113,264</w:t>
            </w:r>
          </w:p>
        </w:tc>
        <w:tc>
          <w:tcPr>
            <w:tcW w:w="80" w:type="dxa"/>
            <w:vAlign w:val="bottom"/>
            <w:shd w:val="clear" w:color="auto" w:fill="CFF0FC"/>
          </w:tcPr>
          <w:p>
            <w:pPr>
              <w:spacing w:after="0"/>
              <w:rPr>
                <w:sz w:val="12"/>
                <w:szCs w:val="12"/>
                <w:color w:val="auto"/>
              </w:rPr>
            </w:pPr>
          </w:p>
        </w:tc>
      </w:tr>
    </w:tbl>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Basis Point</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3"/>
              </w:rPr>
              <w:t>Spread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20"/>
              <w:spacing w:after="0" w:line="126"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40"/>
              <w:spacing w:after="0" w:line="126" w:lineRule="exact"/>
              <w:rPr>
                <w:sz w:val="20"/>
                <w:szCs w:val="20"/>
                <w:color w:val="auto"/>
              </w:rPr>
            </w:pPr>
            <w:r>
              <w:rPr>
                <w:rFonts w:ascii="Arial" w:cs="Arial" w:eastAsia="Arial" w:hAnsi="Arial"/>
                <w:sz w:val="12"/>
                <w:szCs w:val="12"/>
                <w:b w:val="1"/>
                <w:bCs w:val="1"/>
                <w:color w:val="auto"/>
                <w:w w:val="81"/>
              </w:rPr>
              <w:t>Above</w:t>
            </w:r>
          </w:p>
        </w:tc>
        <w:tc>
          <w:tcPr>
            <w:tcW w:w="720" w:type="dxa"/>
            <w:vAlign w:val="bottom"/>
          </w:tcPr>
          <w:p>
            <w:pPr>
              <w:jc w:val="right"/>
              <w:ind w:right="182"/>
              <w:spacing w:after="0" w:line="126"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2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00" w:type="dxa"/>
            <w:vAlign w:val="bottom"/>
          </w:tcPr>
          <w:p>
            <w:pPr>
              <w:jc w:val="center"/>
              <w:ind w:right="162"/>
              <w:spacing w:after="0"/>
              <w:rPr>
                <w:sz w:val="20"/>
                <w:szCs w:val="20"/>
                <w:color w:val="auto"/>
              </w:rPr>
            </w:pPr>
            <w:r>
              <w:rPr>
                <w:rFonts w:ascii="Arial" w:cs="Arial" w:eastAsia="Arial" w:hAnsi="Arial"/>
                <w:sz w:val="12"/>
                <w:szCs w:val="12"/>
                <w:b w:val="1"/>
                <w:bCs w:val="1"/>
                <w:color w:val="auto"/>
                <w:w w:val="98"/>
              </w:rPr>
              <w:t>Maturity</w:t>
            </w:r>
          </w:p>
        </w:tc>
        <w:tc>
          <w:tcPr>
            <w:tcW w:w="22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line="153" w:lineRule="exact"/>
              <w:rPr>
                <w:sz w:val="20"/>
                <w:szCs w:val="20"/>
                <w:color w:val="auto"/>
              </w:rPr>
            </w:pPr>
            <w:r>
              <w:rPr>
                <w:rFonts w:ascii="Arial" w:cs="Arial" w:eastAsia="Arial" w:hAnsi="Arial"/>
                <w:sz w:val="11"/>
                <w:szCs w:val="11"/>
                <w:b w:val="1"/>
                <w:bCs w:val="1"/>
                <w:color w:val="auto"/>
                <w:w w:val="91"/>
              </w:rPr>
              <w:t xml:space="preserve">Index </w:t>
            </w:r>
            <w:r>
              <w:rPr>
                <w:rFonts w:ascii="Arial" w:cs="Arial" w:eastAsia="Arial" w:hAnsi="Arial"/>
                <w:sz w:val="17"/>
                <w:szCs w:val="17"/>
                <w:b w:val="1"/>
                <w:bCs w:val="1"/>
                <w:color w:val="auto"/>
                <w:w w:val="91"/>
                <w:vertAlign w:val="superscript"/>
              </w:rPr>
              <w:t>(1)</w:t>
            </w:r>
          </w:p>
        </w:tc>
        <w:tc>
          <w:tcPr>
            <w:tcW w:w="72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spacing w:after="0" w:line="153" w:lineRule="exact"/>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142"/>
        </w:trPr>
        <w:tc>
          <w:tcPr>
            <w:tcW w:w="4220" w:type="dxa"/>
            <w:vAlign w:val="bottom"/>
            <w:tcBorders>
              <w:top w:val="single" w:sz="8" w:color="auto"/>
            </w:tcBorders>
            <w:gridSpan w:val="2"/>
            <w:shd w:val="clear" w:color="auto" w:fill="CCEC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Affiliated Portfolio Companies—4.1% </w:t>
            </w:r>
            <w:r>
              <w:rPr>
                <w:rFonts w:ascii="Arial" w:cs="Arial" w:eastAsia="Arial" w:hAnsi="Arial"/>
                <w:sz w:val="16"/>
                <w:szCs w:val="16"/>
                <w:b w:val="1"/>
                <w:bCs w:val="1"/>
                <w:color w:val="auto"/>
                <w:vertAlign w:val="superscript"/>
              </w:rPr>
              <w:t>(3), (4)</w:t>
            </w:r>
          </w:p>
        </w:tc>
        <w:tc>
          <w:tcPr>
            <w:tcW w:w="216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0" w:type="dxa"/>
            <w:vAlign w:val="bottom"/>
            <w:tcBorders>
              <w:top w:val="single" w:sz="8" w:color="auto"/>
            </w:tcBorders>
            <w:shd w:val="clear" w:color="auto" w:fill="CCECFF"/>
          </w:tcPr>
          <w:p>
            <w:pPr>
              <w:spacing w:after="0"/>
              <w:rPr>
                <w:sz w:val="12"/>
                <w:szCs w:val="12"/>
                <w:color w:val="auto"/>
              </w:rPr>
            </w:pPr>
          </w:p>
        </w:tc>
        <w:tc>
          <w:tcPr>
            <w:tcW w:w="7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2"/>
                <w:szCs w:val="12"/>
                <w:b w:val="1"/>
                <w:bCs w:val="1"/>
                <w:color w:val="auto"/>
              </w:rPr>
              <w:t>First Lien Secured Debt—0.9%</w:t>
            </w: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17"/>
                <w:szCs w:val="17"/>
                <w:color w:val="auto"/>
                <w:vertAlign w:val="superscript"/>
              </w:rPr>
              <w:t>(7)</w:t>
            </w:r>
          </w:p>
        </w:tc>
        <w:tc>
          <w:tcPr>
            <w:tcW w:w="10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9"/>
              </w:rPr>
              <w:t>05/01/2023</w:t>
            </w:r>
          </w:p>
        </w:tc>
        <w:tc>
          <w:tcPr>
            <w:tcW w:w="228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L+500</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1,544,161</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1,505,589</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1,544,161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17"/>
                <w:szCs w:val="17"/>
                <w:color w:val="auto"/>
                <w:vertAlign w:val="superscript"/>
              </w:rPr>
              <w:t>(7)</w:t>
            </w:r>
          </w:p>
        </w:tc>
        <w:tc>
          <w:tcPr>
            <w:tcW w:w="1000" w:type="dxa"/>
            <w:vAlign w:val="bottom"/>
          </w:tcPr>
          <w:p>
            <w:pPr>
              <w:jc w:val="center"/>
              <w:ind w:right="162"/>
              <w:spacing w:after="0"/>
              <w:rPr>
                <w:sz w:val="20"/>
                <w:szCs w:val="20"/>
                <w:color w:val="auto"/>
              </w:rPr>
            </w:pPr>
            <w:r>
              <w:rPr>
                <w:rFonts w:ascii="Arial" w:cs="Arial" w:eastAsia="Arial" w:hAnsi="Arial"/>
                <w:sz w:val="12"/>
                <w:szCs w:val="12"/>
                <w:color w:val="auto"/>
                <w:w w:val="89"/>
              </w:rPr>
              <w:t>05/01/2023</w:t>
            </w:r>
          </w:p>
        </w:tc>
        <w:tc>
          <w:tcPr>
            <w:tcW w:w="228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7.10%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L+500</w:t>
            </w:r>
          </w:p>
        </w:tc>
        <w:tc>
          <w:tcPr>
            <w:tcW w:w="720" w:type="dxa"/>
            <w:vAlign w:val="bottom"/>
          </w:tcPr>
          <w:p>
            <w:pPr>
              <w:jc w:val="right"/>
              <w:spacing w:after="0"/>
              <w:rPr>
                <w:sz w:val="20"/>
                <w:szCs w:val="20"/>
                <w:color w:val="auto"/>
              </w:rPr>
            </w:pPr>
            <w:r>
              <w:rPr>
                <w:rFonts w:ascii="Arial" w:cs="Arial" w:eastAsia="Arial" w:hAnsi="Arial"/>
                <w:sz w:val="12"/>
                <w:szCs w:val="12"/>
                <w:color w:val="auto"/>
              </w:rPr>
              <w:t>769,038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769,038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769,038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17"/>
                <w:szCs w:val="17"/>
                <w:color w:val="auto"/>
                <w:vertAlign w:val="superscript"/>
              </w:rPr>
              <w:t>(7), (9)</w:t>
            </w:r>
          </w:p>
        </w:tc>
        <w:tc>
          <w:tcPr>
            <w:tcW w:w="1000" w:type="dxa"/>
            <w:vAlign w:val="bottom"/>
            <w:shd w:val="clear" w:color="auto" w:fill="CCECFF"/>
          </w:tcPr>
          <w:p>
            <w:pPr>
              <w:jc w:val="center"/>
              <w:ind w:right="162"/>
              <w:spacing w:after="0"/>
              <w:rPr>
                <w:sz w:val="20"/>
                <w:szCs w:val="20"/>
                <w:color w:val="auto"/>
              </w:rPr>
            </w:pPr>
            <w:r>
              <w:rPr>
                <w:rFonts w:ascii="Arial" w:cs="Arial" w:eastAsia="Arial" w:hAnsi="Arial"/>
                <w:sz w:val="12"/>
                <w:szCs w:val="12"/>
                <w:color w:val="auto"/>
                <w:w w:val="89"/>
              </w:rPr>
              <w:t>05/01/2023</w:t>
            </w:r>
          </w:p>
        </w:tc>
        <w:tc>
          <w:tcPr>
            <w:tcW w:w="228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1,977,526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1"/>
                <w:szCs w:val="11"/>
                <w:color w:val="auto"/>
              </w:rPr>
              <w:t xml:space="preserve">Quick Weight Loss Centers, LLC </w:t>
            </w:r>
            <w:r>
              <w:rPr>
                <w:rFonts w:ascii="Arial" w:cs="Arial" w:eastAsia="Arial" w:hAnsi="Arial"/>
                <w:sz w:val="17"/>
                <w:szCs w:val="17"/>
                <w:color w:val="auto"/>
                <w:vertAlign w:val="superscript"/>
              </w:rPr>
              <w:t>(7)</w:t>
            </w:r>
          </w:p>
        </w:tc>
        <w:tc>
          <w:tcPr>
            <w:tcW w:w="1000" w:type="dxa"/>
            <w:vAlign w:val="bottom"/>
          </w:tcPr>
          <w:p>
            <w:pPr>
              <w:jc w:val="center"/>
              <w:ind w:right="162"/>
              <w:spacing w:after="0"/>
              <w:rPr>
                <w:sz w:val="20"/>
                <w:szCs w:val="20"/>
                <w:color w:val="auto"/>
              </w:rPr>
            </w:pPr>
            <w:r>
              <w:rPr>
                <w:rFonts w:ascii="Arial" w:cs="Arial" w:eastAsia="Arial" w:hAnsi="Arial"/>
                <w:sz w:val="12"/>
                <w:szCs w:val="12"/>
                <w:color w:val="auto"/>
                <w:w w:val="89"/>
              </w:rPr>
              <w:t>10/12/2023</w:t>
            </w:r>
          </w:p>
        </w:tc>
        <w:tc>
          <w:tcPr>
            <w:tcW w:w="228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4.00%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2,016,667</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2,016,667</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2,036,833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(PIK 4.00%)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4,291,294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4,350,032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Debt—1.1%</w:t>
            </w:r>
          </w:p>
        </w:tc>
        <w:tc>
          <w:tcPr>
            <w:tcW w:w="100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line="156" w:lineRule="exact"/>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18"/>
                <w:szCs w:val="18"/>
                <w:color w:val="auto"/>
                <w:vertAlign w:val="superscript"/>
              </w:rPr>
              <w:t>(7)</w:t>
            </w:r>
          </w:p>
        </w:tc>
        <w:tc>
          <w:tcPr>
            <w:tcW w:w="1000" w:type="dxa"/>
            <w:vAlign w:val="bottom"/>
          </w:tcPr>
          <w:p>
            <w:pPr>
              <w:jc w:val="center"/>
              <w:ind w:right="162"/>
              <w:spacing w:after="0"/>
              <w:rPr>
                <w:sz w:val="20"/>
                <w:szCs w:val="20"/>
                <w:color w:val="auto"/>
              </w:rPr>
            </w:pPr>
            <w:r>
              <w:rPr>
                <w:rFonts w:ascii="Arial" w:cs="Arial" w:eastAsia="Arial" w:hAnsi="Arial"/>
                <w:sz w:val="12"/>
                <w:szCs w:val="12"/>
                <w:color w:val="auto"/>
                <w:w w:val="89"/>
              </w:rPr>
              <w:t>04/29/2024</w:t>
            </w:r>
          </w:p>
        </w:tc>
        <w:tc>
          <w:tcPr>
            <w:tcW w:w="228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10.60%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720" w:type="dxa"/>
            <w:vAlign w:val="bottom"/>
          </w:tcPr>
          <w:p>
            <w:pPr>
              <w:jc w:val="right"/>
              <w:spacing w:after="0"/>
              <w:rPr>
                <w:sz w:val="20"/>
                <w:szCs w:val="20"/>
                <w:color w:val="auto"/>
              </w:rPr>
            </w:pPr>
            <w:r>
              <w:rPr>
                <w:rFonts w:ascii="Arial" w:cs="Arial" w:eastAsia="Arial" w:hAnsi="Arial"/>
                <w:sz w:val="12"/>
                <w:szCs w:val="12"/>
                <w:color w:val="auto"/>
              </w:rPr>
              <w:t>5,314,125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5,314,125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5,314,125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(PIK 10.60%)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Borders>
              <w:bottom w:val="single" w:sz="8" w:color="CCECFF"/>
            </w:tcBorders>
            <w:shd w:val="clear" w:color="auto" w:fill="CCECFF"/>
          </w:tcPr>
          <w:p>
            <w:pPr>
              <w:spacing w:after="0" w:line="149" w:lineRule="exact"/>
              <w:rPr>
                <w:sz w:val="20"/>
                <w:szCs w:val="20"/>
                <w:color w:val="auto"/>
              </w:rPr>
            </w:pPr>
            <w:r>
              <w:rPr>
                <w:rFonts w:ascii="Arial" w:cs="Arial" w:eastAsia="Arial" w:hAnsi="Arial"/>
                <w:sz w:val="11"/>
                <w:szCs w:val="11"/>
                <w:color w:val="auto"/>
              </w:rPr>
              <w:t xml:space="preserve">Quick Weight Loss Centers, LLC </w:t>
            </w:r>
            <w:r>
              <w:rPr>
                <w:rFonts w:ascii="Arial" w:cs="Arial" w:eastAsia="Arial" w:hAnsi="Arial"/>
                <w:sz w:val="17"/>
                <w:szCs w:val="17"/>
                <w:color w:val="auto"/>
                <w:vertAlign w:val="superscript"/>
              </w:rPr>
              <w:t>(7)</w:t>
            </w:r>
          </w:p>
        </w:tc>
        <w:tc>
          <w:tcPr>
            <w:tcW w:w="1000" w:type="dxa"/>
            <w:vAlign w:val="bottom"/>
            <w:tcBorders>
              <w:bottom w:val="single" w:sz="8" w:color="CCECFF"/>
            </w:tcBorders>
            <w:shd w:val="clear" w:color="auto" w:fill="CCECFF"/>
          </w:tcPr>
          <w:p>
            <w:pPr>
              <w:jc w:val="center"/>
              <w:ind w:right="162"/>
              <w:spacing w:after="0"/>
              <w:rPr>
                <w:sz w:val="20"/>
                <w:szCs w:val="20"/>
                <w:color w:val="auto"/>
              </w:rPr>
            </w:pPr>
            <w:r>
              <w:rPr>
                <w:rFonts w:ascii="Arial" w:cs="Arial" w:eastAsia="Arial" w:hAnsi="Arial"/>
                <w:sz w:val="12"/>
                <w:szCs w:val="12"/>
                <w:color w:val="auto"/>
                <w:w w:val="89"/>
              </w:rPr>
              <w:t>10/12/2023</w:t>
            </w:r>
          </w:p>
        </w:tc>
        <w:tc>
          <w:tcPr>
            <w:tcW w:w="2280" w:type="dxa"/>
            <w:vAlign w:val="bottom"/>
            <w:tcBorders>
              <w:bottom w:val="single" w:sz="8" w:color="CCECFF"/>
            </w:tcBorders>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4.00%</w:t>
            </w:r>
          </w:p>
        </w:tc>
        <w:tc>
          <w:tcPr>
            <w:tcW w:w="90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233,572</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233,572</w:t>
            </w:r>
          </w:p>
        </w:tc>
        <w:tc>
          <w:tcPr>
            <w:tcW w:w="24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235,908</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100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4.00%)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5,547,697</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5,550,033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Preferred Equity—0.2% </w:t>
            </w:r>
            <w:r>
              <w:rPr>
                <w:rFonts w:ascii="Arial" w:cs="Arial" w:eastAsia="Arial" w:hAnsi="Arial"/>
                <w:sz w:val="17"/>
                <w:szCs w:val="17"/>
                <w:b w:val="1"/>
                <w:bCs w:val="1"/>
                <w:color w:val="auto"/>
                <w:vertAlign w:val="superscript"/>
              </w:rPr>
              <w:t>(6)</w:t>
            </w: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Quick Weight Loss Centers Holdings, LLC </w:t>
            </w:r>
            <w:r>
              <w:rPr>
                <w:rFonts w:ascii="Arial" w:cs="Arial" w:eastAsia="Arial" w:hAnsi="Arial"/>
                <w:sz w:val="17"/>
                <w:szCs w:val="17"/>
                <w:color w:val="auto"/>
                <w:vertAlign w:val="superscript"/>
              </w:rPr>
              <w:t>(7), (8)</w:t>
            </w:r>
          </w:p>
        </w:tc>
        <w:tc>
          <w:tcPr>
            <w:tcW w:w="10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28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9,568,216</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842,352</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891,816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20"/>
                <w:szCs w:val="20"/>
                <w:color w:val="auto"/>
              </w:rPr>
            </w:pPr>
            <w:r>
              <w:rPr>
                <w:rFonts w:ascii="Arial" w:cs="Arial" w:eastAsia="Arial" w:hAnsi="Arial"/>
                <w:sz w:val="12"/>
                <w:szCs w:val="12"/>
                <w:b w:val="1"/>
                <w:bCs w:val="1"/>
                <w:color w:val="auto"/>
              </w:rPr>
              <w:t>Total Preferred Equity</w:t>
            </w: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842,352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891,816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CFF"/>
          </w:tcPr>
          <w:p>
            <w:pPr>
              <w:spacing w:after="0" w:line="149" w:lineRule="exact"/>
              <w:rPr>
                <w:sz w:val="20"/>
                <w:szCs w:val="20"/>
                <w:color w:val="auto"/>
              </w:rPr>
            </w:pPr>
            <w:r>
              <w:rPr>
                <w:rFonts w:ascii="Arial" w:cs="Arial" w:eastAsia="Arial" w:hAnsi="Arial"/>
                <w:sz w:val="11"/>
                <w:szCs w:val="11"/>
                <w:b w:val="1"/>
                <w:bCs w:val="1"/>
                <w:color w:val="auto"/>
              </w:rPr>
              <w:t xml:space="preserve">Common Equity/Warrants—1.9% </w:t>
            </w:r>
            <w:r>
              <w:rPr>
                <w:rFonts w:ascii="Arial" w:cs="Arial" w:eastAsia="Arial" w:hAnsi="Arial"/>
                <w:sz w:val="17"/>
                <w:szCs w:val="17"/>
                <w:b w:val="1"/>
                <w:bCs w:val="1"/>
                <w:color w:val="auto"/>
                <w:vertAlign w:val="superscript"/>
              </w:rPr>
              <w:t>(6)</w:t>
            </w:r>
          </w:p>
        </w:tc>
        <w:tc>
          <w:tcPr>
            <w:tcW w:w="100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1"/>
                <w:szCs w:val="11"/>
                <w:color w:val="auto"/>
              </w:rPr>
              <w:t xml:space="preserve">Country Fresh Holding Company Inc. </w:t>
            </w:r>
            <w:r>
              <w:rPr>
                <w:rFonts w:ascii="Arial" w:cs="Arial" w:eastAsia="Arial" w:hAnsi="Arial"/>
                <w:sz w:val="17"/>
                <w:szCs w:val="17"/>
                <w:color w:val="auto"/>
                <w:vertAlign w:val="superscript"/>
              </w:rPr>
              <w:t>(7)</w:t>
            </w:r>
          </w:p>
        </w:tc>
        <w:tc>
          <w:tcPr>
            <w:tcW w:w="1000" w:type="dxa"/>
            <w:vAlign w:val="bottom"/>
          </w:tcPr>
          <w:p>
            <w:pPr>
              <w:ind w:left="380"/>
              <w:spacing w:after="0"/>
              <w:rPr>
                <w:sz w:val="20"/>
                <w:szCs w:val="20"/>
                <w:color w:val="auto"/>
              </w:rPr>
            </w:pPr>
            <w:r>
              <w:rPr>
                <w:rFonts w:ascii="Arial" w:cs="Arial" w:eastAsia="Arial" w:hAnsi="Arial"/>
                <w:sz w:val="12"/>
                <w:szCs w:val="12"/>
                <w:color w:val="auto"/>
              </w:rPr>
              <w:t>—</w:t>
            </w:r>
          </w:p>
        </w:tc>
        <w:tc>
          <w:tcPr>
            <w:tcW w:w="228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8,034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10,453,350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6,864,302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Quick Weight Loss Centers, LLC </w:t>
            </w:r>
            <w:r>
              <w:rPr>
                <w:rFonts w:ascii="Arial" w:cs="Arial" w:eastAsia="Arial" w:hAnsi="Arial"/>
                <w:sz w:val="17"/>
                <w:szCs w:val="17"/>
                <w:color w:val="auto"/>
                <w:vertAlign w:val="superscript"/>
              </w:rPr>
              <w:t>(7), (8)</w:t>
            </w:r>
          </w:p>
        </w:tc>
        <w:tc>
          <w:tcPr>
            <w:tcW w:w="10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28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2,520,000</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2,774,382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Equity/Warrants</w:t>
            </w:r>
          </w:p>
        </w:tc>
        <w:tc>
          <w:tcPr>
            <w:tcW w:w="1000" w:type="dxa"/>
            <w:vAlign w:val="bottom"/>
            <w:tcBorders>
              <w:bottom w:val="single" w:sz="8" w:color="CCECFF"/>
            </w:tcBorders>
          </w:tcPr>
          <w:p>
            <w:pPr>
              <w:spacing w:after="0"/>
              <w:rPr>
                <w:sz w:val="12"/>
                <w:szCs w:val="12"/>
                <w:color w:val="auto"/>
              </w:rPr>
            </w:pPr>
          </w:p>
        </w:tc>
        <w:tc>
          <w:tcPr>
            <w:tcW w:w="21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12,973,350</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9,638,684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23,654,693</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20,430,565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2" w:lineRule="exact"/>
              <w:rPr>
                <w:sz w:val="20"/>
                <w:szCs w:val="20"/>
                <w:color w:val="auto"/>
              </w:rPr>
            </w:pPr>
            <w:r>
              <w:rPr>
                <w:rFonts w:ascii="Arial" w:cs="Arial" w:eastAsia="Arial" w:hAnsi="Arial"/>
                <w:sz w:val="10"/>
                <w:szCs w:val="10"/>
                <w:b w:val="1"/>
                <w:bCs w:val="1"/>
                <w:color w:val="auto"/>
              </w:rPr>
              <w:t xml:space="preserve">Investments in Controlled, Affiliated Portfolio Companies—34.2% </w:t>
            </w:r>
            <w:r>
              <w:rPr>
                <w:rFonts w:ascii="Arial" w:cs="Arial" w:eastAsia="Arial" w:hAnsi="Arial"/>
                <w:sz w:val="16"/>
                <w:szCs w:val="16"/>
                <w:b w:val="1"/>
                <w:bCs w:val="1"/>
                <w:color w:val="auto"/>
                <w:vertAlign w:val="superscript"/>
              </w:rPr>
              <w:t>(3), (4)</w:t>
            </w: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Debt—24.3%</w:t>
            </w:r>
          </w:p>
        </w:tc>
        <w:tc>
          <w:tcPr>
            <w:tcW w:w="100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Borders>
              <w:bottom w:val="single" w:sz="8" w:color="CCECFF"/>
            </w:tcBorders>
          </w:tcPr>
          <w:p>
            <w:pPr>
              <w:spacing w:after="0" w:line="149"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7"/>
                <w:szCs w:val="17"/>
                <w:color w:val="auto"/>
                <w:vertAlign w:val="superscript"/>
              </w:rPr>
              <w:t>(7), (9), (10)</w:t>
            </w:r>
          </w:p>
        </w:tc>
        <w:tc>
          <w:tcPr>
            <w:tcW w:w="1000" w:type="dxa"/>
            <w:vAlign w:val="bottom"/>
            <w:tcBorders>
              <w:bottom w:val="single" w:sz="8" w:color="CCECFF"/>
            </w:tcBorders>
          </w:tcPr>
          <w:p>
            <w:pPr>
              <w:jc w:val="center"/>
              <w:ind w:right="162"/>
              <w:spacing w:after="0"/>
              <w:rPr>
                <w:sz w:val="20"/>
                <w:szCs w:val="20"/>
                <w:color w:val="auto"/>
              </w:rPr>
            </w:pPr>
            <w:r>
              <w:rPr>
                <w:rFonts w:ascii="Arial" w:cs="Arial" w:eastAsia="Arial" w:hAnsi="Arial"/>
                <w:sz w:val="12"/>
                <w:szCs w:val="12"/>
                <w:color w:val="auto"/>
                <w:w w:val="89"/>
              </w:rPr>
              <w:t>05/06/2024</w:t>
            </w:r>
          </w:p>
        </w:tc>
        <w:tc>
          <w:tcPr>
            <w:tcW w:w="2280" w:type="dxa"/>
            <w:vAlign w:val="bottom"/>
            <w:tcBorders>
              <w:bottom w:val="single" w:sz="8" w:color="CCECFF"/>
            </w:tcBorders>
            <w:gridSpan w:val="2"/>
          </w:tcPr>
          <w:p>
            <w:pPr>
              <w:jc w:val="center"/>
              <w:ind w:right="260"/>
              <w:spacing w:after="0"/>
              <w:rPr>
                <w:sz w:val="20"/>
                <w:szCs w:val="20"/>
                <w:color w:val="auto"/>
              </w:rPr>
            </w:pPr>
            <w:r>
              <w:rPr>
                <w:rFonts w:ascii="Arial" w:cs="Arial" w:eastAsia="Arial" w:hAnsi="Arial"/>
                <w:sz w:val="12"/>
                <w:szCs w:val="12"/>
                <w:color w:val="auto"/>
                <w:w w:val="88"/>
              </w:rPr>
              <w:t>Financial Services</w:t>
            </w:r>
          </w:p>
        </w:tc>
        <w:tc>
          <w:tcPr>
            <w:tcW w:w="9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10.10%</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72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122,193,750</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122,193,750</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122,193,750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00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122,193,750</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122,193,750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2"/>
                <w:szCs w:val="12"/>
                <w:b w:val="1"/>
                <w:bCs w:val="1"/>
                <w:color w:val="auto"/>
              </w:rPr>
              <w:t>Equity Interests—9.9%</w:t>
            </w: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7"/>
                <w:szCs w:val="17"/>
                <w:color w:val="auto"/>
                <w:vertAlign w:val="superscript"/>
              </w:rPr>
              <w:t>(7), (9), (10)</w:t>
            </w:r>
          </w:p>
        </w:tc>
        <w:tc>
          <w:tcPr>
            <w:tcW w:w="10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28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52,369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52,368,750</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49,969,330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Equity Interests</w:t>
            </w:r>
          </w:p>
        </w:tc>
        <w:tc>
          <w:tcPr>
            <w:tcW w:w="1000" w:type="dxa"/>
            <w:vAlign w:val="bottom"/>
            <w:tcBorders>
              <w:bottom w:val="single" w:sz="8" w:color="CCECFF"/>
            </w:tcBorders>
          </w:tcPr>
          <w:p>
            <w:pPr>
              <w:spacing w:after="0"/>
              <w:rPr>
                <w:sz w:val="12"/>
                <w:szCs w:val="12"/>
                <w:color w:val="auto"/>
              </w:rPr>
            </w:pPr>
          </w:p>
        </w:tc>
        <w:tc>
          <w:tcPr>
            <w:tcW w:w="21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52,368,750</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49,969,330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89"/>
              </w:rPr>
              <w:t>Total Investments in Controlled, Affiliated Portfolio Companies</w:t>
            </w:r>
          </w:p>
        </w:tc>
        <w:tc>
          <w:tcPr>
            <w:tcW w:w="100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174,562,500</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172,163,080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Investments—215.0%</w:t>
            </w:r>
          </w:p>
        </w:tc>
        <w:tc>
          <w:tcPr>
            <w:tcW w:w="1000" w:type="dxa"/>
            <w:vAlign w:val="bottom"/>
            <w:tcBorders>
              <w:bottom w:val="single" w:sz="8" w:color="CCECFF"/>
            </w:tcBorders>
          </w:tcPr>
          <w:p>
            <w:pPr>
              <w:spacing w:after="0"/>
              <w:rPr>
                <w:sz w:val="12"/>
                <w:szCs w:val="12"/>
                <w:color w:val="auto"/>
              </w:rPr>
            </w:pPr>
          </w:p>
        </w:tc>
        <w:tc>
          <w:tcPr>
            <w:tcW w:w="21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1,085,172,349</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1"/>
              </w:rPr>
              <w:t>1,081,706,909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Equivalents—12.6%</w:t>
            </w:r>
          </w:p>
        </w:tc>
        <w:tc>
          <w:tcPr>
            <w:tcW w:w="100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18,053,873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18,053,873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w:t>
            </w:r>
          </w:p>
        </w:tc>
        <w:tc>
          <w:tcPr>
            <w:tcW w:w="100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45,313,364</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45,283,855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00" w:type="dxa"/>
            <w:vAlign w:val="bottom"/>
            <w:tcBorders>
              <w:bottom w:val="single" w:sz="8" w:color="CCECFF"/>
            </w:tcBorders>
          </w:tcPr>
          <w:p>
            <w:pPr>
              <w:spacing w:after="0"/>
              <w:rPr>
                <w:sz w:val="12"/>
                <w:szCs w:val="12"/>
                <w:color w:val="auto"/>
              </w:rPr>
            </w:pPr>
          </w:p>
        </w:tc>
        <w:tc>
          <w:tcPr>
            <w:tcW w:w="21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7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63,367,237</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63,337,728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Equivalents—227.6%</w:t>
            </w:r>
          </w:p>
        </w:tc>
        <w:tc>
          <w:tcPr>
            <w:tcW w:w="100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1,148,539,586</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1"/>
              </w:rPr>
              <w:t>1,145,044,637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Assets—(127.6)%</w:t>
            </w:r>
          </w:p>
        </w:tc>
        <w:tc>
          <w:tcPr>
            <w:tcW w:w="100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7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2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641,987,126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00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503,057,511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7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17" w:lineRule="exact"/>
        <w:rPr>
          <w:sz w:val="20"/>
          <w:szCs w:val="20"/>
          <w:color w:val="auto"/>
        </w:rPr>
      </w:pPr>
    </w:p>
    <w:p>
      <w:pPr>
        <w:ind w:left="380" w:right="40" w:hanging="372"/>
        <w:spacing w:after="0" w:line="344" w:lineRule="auto"/>
        <w:tabs>
          <w:tab w:leader="none" w:pos="380" w:val="left"/>
        </w:tabs>
        <w:numPr>
          <w:ilvl w:val="0"/>
          <w:numId w:val="54"/>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secure the 2031 Asset-Backed Debt (See Note 11) and held through PennantPark CLO I, Ltd.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79% of our total assets and non-qualifying assets represent 21%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6"/>
        </w:trPr>
        <w:tc>
          <w:tcPr>
            <w:tcW w:w="3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right"/>
              <w:ind w:right="420"/>
              <w:spacing w:after="0" w:line="126"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62"/>
              <w:spacing w:after="0" w:line="126"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33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680" w:type="dxa"/>
            <w:vAlign w:val="bottom"/>
          </w:tcPr>
          <w:p>
            <w:pPr>
              <w:jc w:val="center"/>
              <w:spacing w:after="0" w:line="153" w:lineRule="exact"/>
              <w:rPr>
                <w:sz w:val="20"/>
                <w:szCs w:val="20"/>
                <w:color w:val="auto"/>
              </w:rPr>
            </w:pPr>
            <w:r>
              <w:rPr>
                <w:rFonts w:ascii="Arial" w:cs="Arial" w:eastAsia="Arial" w:hAnsi="Arial"/>
                <w:sz w:val="11"/>
                <w:szCs w:val="11"/>
                <w:b w:val="1"/>
                <w:bCs w:val="1"/>
                <w:color w:val="auto"/>
                <w:w w:val="96"/>
              </w:rPr>
              <w:t xml:space="preserve">Index </w:t>
            </w:r>
            <w:r>
              <w:rPr>
                <w:rFonts w:ascii="Arial" w:cs="Arial" w:eastAsia="Arial" w:hAnsi="Arial"/>
                <w:sz w:val="17"/>
                <w:szCs w:val="17"/>
                <w:b w:val="1"/>
                <w:bCs w:val="1"/>
                <w:color w:val="auto"/>
                <w:w w:val="96"/>
                <w:vertAlign w:val="superscript"/>
              </w:rPr>
              <w:t>(1)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3"/>
                <w:szCs w:val="13"/>
                <w:color w:val="auto"/>
              </w:rPr>
            </w:pPr>
          </w:p>
        </w:tc>
        <w:tc>
          <w:tcPr>
            <w:tcW w:w="820" w:type="dxa"/>
            <w:vAlign w:val="bottom"/>
            <w:gridSpan w:val="3"/>
          </w:tcPr>
          <w:p>
            <w:pPr>
              <w:spacing w:after="0" w:line="153" w:lineRule="exact"/>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17"/>
                <w:szCs w:val="17"/>
                <w:b w:val="1"/>
                <w:bCs w:val="1"/>
                <w:color w:val="auto"/>
                <w:vertAlign w:val="superscript"/>
              </w:rPr>
              <w:t>(2)</w:t>
            </w:r>
          </w:p>
        </w:tc>
      </w:tr>
      <w:tr>
        <w:trPr>
          <w:trHeight w:val="142"/>
        </w:trPr>
        <w:tc>
          <w:tcPr>
            <w:tcW w:w="4280" w:type="dxa"/>
            <w:vAlign w:val="bottom"/>
            <w:tcBorders>
              <w:top w:val="single" w:sz="8" w:color="auto"/>
            </w:tcBorders>
            <w:gridSpan w:val="2"/>
            <w:shd w:val="clear" w:color="auto" w:fill="CCEC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Companies—159.5% </w:t>
            </w:r>
            <w:r>
              <w:rPr>
                <w:rFonts w:ascii="Arial" w:cs="Arial" w:eastAsia="Arial" w:hAnsi="Arial"/>
                <w:sz w:val="16"/>
                <w:szCs w:val="16"/>
                <w:b w:val="1"/>
                <w:bCs w:val="1"/>
                <w:color w:val="auto"/>
                <w:vertAlign w:val="superscript"/>
              </w:rPr>
              <w:t>(3), (4)</w:t>
            </w:r>
          </w:p>
        </w:tc>
        <w:tc>
          <w:tcPr>
            <w:tcW w:w="232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b w:val="1"/>
                <w:bCs w:val="1"/>
                <w:color w:val="auto"/>
              </w:rPr>
              <w:t>First Lien Secured Debt—151.6%</w:t>
            </w:r>
          </w:p>
        </w:tc>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Alera Group Intermediate Holdings, Inc.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08/01/2025</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Banking, Finance, Insurance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9,950,063</w:t>
            </w:r>
          </w:p>
        </w:tc>
        <w:tc>
          <w:tcPr>
            <w:tcW w:w="3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10,099,688</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Allied America, Inc.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08/08/2022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9.39%</w:t>
            </w:r>
          </w:p>
        </w:tc>
        <w:tc>
          <w:tcPr>
            <w:tcW w:w="680" w:type="dxa"/>
            <w:vAlign w:val="bottom"/>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1,685,452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1,685,452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1,688,823</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11/30/2021</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Transportation: Consumer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5,857,878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5,800,066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5,770,010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American Scaffold</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03/31/2022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8.89%</w:t>
            </w:r>
          </w:p>
        </w:tc>
        <w:tc>
          <w:tcPr>
            <w:tcW w:w="680" w:type="dxa"/>
            <w:vAlign w:val="bottom"/>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4,455,413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4,455,000</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American Teleconferencing Services, Ltd.</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12/08/2021</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8.84%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10,107,368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9,986,139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9,715,708</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API Technologies Corp.</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04/22/2024</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8.25%</w:t>
            </w:r>
          </w:p>
        </w:tc>
        <w:tc>
          <w:tcPr>
            <w:tcW w:w="680" w:type="dxa"/>
            <w:vAlign w:val="bottom"/>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4,987,500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4,927,669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4,937,625</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API Technologies Corp. (Revolver) </w:t>
            </w:r>
            <w:r>
              <w:rPr>
                <w:rFonts w:ascii="Arial" w:cs="Arial" w:eastAsia="Arial" w:hAnsi="Arial"/>
                <w:sz w:val="17"/>
                <w:szCs w:val="17"/>
                <w:color w:val="auto"/>
                <w:vertAlign w:val="superscript"/>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04/22/2024</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1,968,504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(9,843)</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Beauty Industry Group Opco,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04/06/2023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7.00%</w:t>
            </w:r>
          </w:p>
        </w:tc>
        <w:tc>
          <w:tcPr>
            <w:tcW w:w="680" w:type="dxa"/>
            <w:vAlign w:val="bottom"/>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33,047,995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32,717,900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32,882,753</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BEI Precision Systems &amp; Space Company, Inc.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04/28/2023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11,850,000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11,752,654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11,731,500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05/16/2022</w:t>
            </w:r>
          </w:p>
        </w:tc>
        <w:tc>
          <w:tcPr>
            <w:tcW w:w="246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9.57%</w:t>
            </w:r>
          </w:p>
        </w:tc>
        <w:tc>
          <w:tcPr>
            <w:tcW w:w="680" w:type="dxa"/>
            <w:vAlign w:val="bottom"/>
          </w:tcPr>
          <w:p>
            <w:pPr>
              <w:jc w:val="right"/>
              <w:spacing w:after="0"/>
              <w:rPr>
                <w:sz w:val="20"/>
                <w:szCs w:val="20"/>
                <w:color w:val="auto"/>
              </w:rPr>
            </w:pPr>
            <w:r>
              <w:rPr>
                <w:rFonts w:ascii="Arial" w:cs="Arial" w:eastAsia="Arial" w:hAnsi="Arial"/>
                <w:sz w:val="12"/>
                <w:szCs w:val="12"/>
                <w:color w:val="auto"/>
              </w:rPr>
              <w:t>3M L+725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15,454,395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15,157,019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15,454,395</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17"/>
                <w:szCs w:val="17"/>
                <w:color w:val="auto"/>
                <w:vertAlign w:val="superscript"/>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05/16/2022</w:t>
            </w:r>
          </w:p>
        </w:tc>
        <w:tc>
          <w:tcPr>
            <w:tcW w:w="24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2,311,784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Cadence Aerospace,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11/14/2023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8.82%</w:t>
            </w:r>
          </w:p>
        </w:tc>
        <w:tc>
          <w:tcPr>
            <w:tcW w:w="680" w:type="dxa"/>
            <w:vAlign w:val="bottom"/>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10,917,500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10,824,456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10,937,086</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Camin Cargo Control, Inc.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06/30/2021</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Transportation: Cargo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6.99%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2,418,750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2,406,335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2,322,000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Cardenas Markets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11/29/2023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7.99%</w:t>
            </w:r>
          </w:p>
        </w:tc>
        <w:tc>
          <w:tcPr>
            <w:tcW w:w="680" w:type="dxa"/>
            <w:vAlign w:val="bottom"/>
          </w:tcPr>
          <w:p>
            <w:pPr>
              <w:jc w:val="right"/>
              <w:spacing w:after="0"/>
              <w:rPr>
                <w:sz w:val="20"/>
                <w:szCs w:val="20"/>
                <w:color w:val="auto"/>
              </w:rPr>
            </w:pPr>
            <w:r>
              <w:rPr>
                <w:rFonts w:ascii="Arial" w:cs="Arial" w:eastAsia="Arial" w:hAnsi="Arial"/>
                <w:sz w:val="12"/>
                <w:szCs w:val="12"/>
                <w:color w:val="auto"/>
              </w:rPr>
              <w:t>1M L+575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3,874,317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3,881,627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3,874,317</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CD&amp;R TZ Purchaser, Inc. </w:t>
            </w:r>
            <w:r>
              <w:rPr>
                <w:rFonts w:ascii="Arial" w:cs="Arial" w:eastAsia="Arial" w:hAnsi="Arial"/>
                <w:sz w:val="17"/>
                <w:szCs w:val="17"/>
                <w:color w:val="auto"/>
                <w:vertAlign w:val="superscript"/>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07/21/2023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16,161,170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15,861,453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15,837,947</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CHA Holdings, Inc. </w:t>
            </w:r>
            <w:r>
              <w:rPr>
                <w:rFonts w:ascii="Arial" w:cs="Arial" w:eastAsia="Arial" w:hAnsi="Arial"/>
                <w:sz w:val="17"/>
                <w:szCs w:val="17"/>
                <w:color w:val="auto"/>
                <w:vertAlign w:val="superscript"/>
              </w:rPr>
              <w:t>(7)</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04/10/2025</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90"/>
              </w:rPr>
              <w:t>Environmental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6.89%</w:t>
            </w:r>
          </w:p>
        </w:tc>
        <w:tc>
          <w:tcPr>
            <w:tcW w:w="680" w:type="dxa"/>
            <w:vAlign w:val="bottom"/>
          </w:tcPr>
          <w:p>
            <w:pPr>
              <w:jc w:val="right"/>
              <w:spacing w:after="0"/>
              <w:rPr>
                <w:sz w:val="20"/>
                <w:szCs w:val="20"/>
                <w:color w:val="auto"/>
              </w:rPr>
            </w:pPr>
            <w:r>
              <w:rPr>
                <w:rFonts w:ascii="Arial" w:cs="Arial" w:eastAsia="Arial" w:hAnsi="Arial"/>
                <w:sz w:val="12"/>
                <w:szCs w:val="12"/>
                <w:color w:val="auto"/>
              </w:rPr>
              <w:t>3M L+450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6,145,313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6,115,613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6,176,039</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CHA Holdings, Inc. </w:t>
            </w:r>
            <w:r>
              <w:rPr>
                <w:rFonts w:ascii="Arial" w:cs="Arial" w:eastAsia="Arial" w:hAnsi="Arial"/>
                <w:sz w:val="17"/>
                <w:szCs w:val="17"/>
                <w:color w:val="auto"/>
                <w:vertAlign w:val="superscript"/>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04/10/2025</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0"/>
              </w:rPr>
              <w:t>Environmental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1,339,286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6,696</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Challenger Performance Optimization, Inc. (Revolver)</w:t>
            </w:r>
            <w:r>
              <w:rPr>
                <w:rFonts w:ascii="Arial" w:cs="Arial" w:eastAsia="Arial" w:hAnsi="Arial"/>
                <w:sz w:val="17"/>
                <w:szCs w:val="17"/>
                <w:color w:val="auto"/>
                <w:vertAlign w:val="superscript"/>
              </w:rPr>
              <w:t>(7)</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08/31/2023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7.89%</w:t>
            </w:r>
          </w:p>
        </w:tc>
        <w:tc>
          <w:tcPr>
            <w:tcW w:w="680" w:type="dxa"/>
            <w:vAlign w:val="bottom"/>
          </w:tcPr>
          <w:p>
            <w:pPr>
              <w:jc w:val="right"/>
              <w:spacing w:after="0"/>
              <w:rPr>
                <w:sz w:val="20"/>
                <w:szCs w:val="20"/>
                <w:color w:val="auto"/>
              </w:rPr>
            </w:pPr>
            <w:r>
              <w:rPr>
                <w:rFonts w:ascii="Arial" w:cs="Arial" w:eastAsia="Arial" w:hAnsi="Arial"/>
                <w:sz w:val="12"/>
                <w:szCs w:val="12"/>
                <w:color w:val="auto"/>
              </w:rPr>
              <w:t>1M L+575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426,868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426,868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422,599</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Challenger Performance Optimization, Inc. (Revolver)</w:t>
            </w:r>
            <w:r>
              <w:rPr>
                <w:rFonts w:ascii="Arial" w:cs="Arial" w:eastAsia="Arial" w:hAnsi="Arial"/>
                <w:sz w:val="17"/>
                <w:szCs w:val="17"/>
                <w:color w:val="auto"/>
                <w:vertAlign w:val="superscript"/>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08/31/2023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284,579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(2,846)</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Chicken Soup for the Soul Publishing,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01/08/2019</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8.35%</w:t>
            </w:r>
          </w:p>
        </w:tc>
        <w:tc>
          <w:tcPr>
            <w:tcW w:w="680" w:type="dxa"/>
            <w:vAlign w:val="bottom"/>
          </w:tcPr>
          <w:p>
            <w:pPr>
              <w:jc w:val="right"/>
              <w:spacing w:after="0"/>
              <w:rPr>
                <w:sz w:val="20"/>
                <w:szCs w:val="20"/>
                <w:color w:val="auto"/>
              </w:rPr>
            </w:pPr>
            <w:r>
              <w:rPr>
                <w:rFonts w:ascii="Arial" w:cs="Arial" w:eastAsia="Arial" w:hAnsi="Arial"/>
                <w:sz w:val="12"/>
                <w:szCs w:val="12"/>
                <w:color w:val="auto"/>
              </w:rPr>
              <w:t>1M 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4,539,286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4,535,666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3,994,572</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03/31/2023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17,727,205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17,691,760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17,195,389</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Credit Infonet, Inc.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03/13/2023</w:t>
            </w:r>
          </w:p>
        </w:tc>
        <w:tc>
          <w:tcPr>
            <w:tcW w:w="246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8.52%</w:t>
            </w:r>
          </w:p>
        </w:tc>
        <w:tc>
          <w:tcPr>
            <w:tcW w:w="680" w:type="dxa"/>
            <w:vAlign w:val="bottom"/>
          </w:tcPr>
          <w:p>
            <w:pPr>
              <w:jc w:val="right"/>
              <w:spacing w:after="0"/>
              <w:rPr>
                <w:sz w:val="20"/>
                <w:szCs w:val="20"/>
                <w:color w:val="auto"/>
              </w:rPr>
            </w:pPr>
            <w:r>
              <w:rPr>
                <w:rFonts w:ascii="Arial" w:cs="Arial" w:eastAsia="Arial" w:hAnsi="Arial"/>
                <w:sz w:val="12"/>
                <w:szCs w:val="12"/>
                <w:color w:val="auto"/>
              </w:rPr>
              <w:t>6M 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26,713,426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26,527,311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26,713,426</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Credit Infonet, Inc. (Revolver) </w:t>
            </w:r>
            <w:r>
              <w:rPr>
                <w:rFonts w:ascii="Arial" w:cs="Arial" w:eastAsia="Arial" w:hAnsi="Arial"/>
                <w:sz w:val="17"/>
                <w:szCs w:val="17"/>
                <w:color w:val="auto"/>
                <w:vertAlign w:val="superscript"/>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03/13/2023</w:t>
            </w:r>
          </w:p>
        </w:tc>
        <w:tc>
          <w:tcPr>
            <w:tcW w:w="24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DBI Holding,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08/02/2021</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7.51%</w:t>
            </w:r>
          </w:p>
        </w:tc>
        <w:tc>
          <w:tcPr>
            <w:tcW w:w="680" w:type="dxa"/>
            <w:vAlign w:val="bottom"/>
          </w:tcPr>
          <w:p>
            <w:pPr>
              <w:jc w:val="right"/>
              <w:spacing w:after="0"/>
              <w:rPr>
                <w:sz w:val="20"/>
                <w:szCs w:val="20"/>
                <w:color w:val="auto"/>
              </w:rPr>
            </w:pPr>
            <w:r>
              <w:rPr>
                <w:rFonts w:ascii="Arial" w:cs="Arial" w:eastAsia="Arial" w:hAnsi="Arial"/>
                <w:sz w:val="12"/>
                <w:szCs w:val="12"/>
                <w:color w:val="auto"/>
              </w:rPr>
              <w:t>1M 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17,395,068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17,297,351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17,395,068</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10/31/2023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7,344,001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7,214,912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7,344,001</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Deva Holdings, Inc. (Revolver) </w:t>
            </w:r>
            <w:r>
              <w:rPr>
                <w:rFonts w:ascii="Arial" w:cs="Arial" w:eastAsia="Arial" w:hAnsi="Arial"/>
                <w:sz w:val="17"/>
                <w:szCs w:val="17"/>
                <w:color w:val="auto"/>
                <w:vertAlign w:val="superscript"/>
              </w:rPr>
              <w:t>(7), (8)</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10/31/2022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Consumer Goods: Non-Durable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2,115,000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Digital Room Holdings, Inc. </w:t>
            </w:r>
            <w:r>
              <w:rPr>
                <w:rFonts w:ascii="Arial" w:cs="Arial" w:eastAsia="Arial" w:hAnsi="Arial"/>
                <w:sz w:val="17"/>
                <w:szCs w:val="17"/>
                <w:color w:val="auto"/>
                <w:vertAlign w:val="superscript"/>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12/29/2023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16,376,250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16,227,058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16,192,017</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03/29/2022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8.14%</w:t>
            </w:r>
          </w:p>
        </w:tc>
        <w:tc>
          <w:tcPr>
            <w:tcW w:w="680" w:type="dxa"/>
            <w:vAlign w:val="bottom"/>
          </w:tcPr>
          <w:p>
            <w:pPr>
              <w:jc w:val="right"/>
              <w:spacing w:after="0"/>
              <w:rPr>
                <w:sz w:val="20"/>
                <w:szCs w:val="20"/>
                <w:color w:val="auto"/>
              </w:rPr>
            </w:pPr>
            <w:r>
              <w:rPr>
                <w:rFonts w:ascii="Arial" w:cs="Arial" w:eastAsia="Arial" w:hAnsi="Arial"/>
                <w:sz w:val="12"/>
                <w:szCs w:val="12"/>
                <w:color w:val="auto"/>
              </w:rPr>
              <w:t>3M L+575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14,486,029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14,260,279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14,341,169</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03/29/2022</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2,941,176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(29,412)</w:t>
            </w:r>
          </w:p>
        </w:tc>
      </w:tr>
      <w:tr>
        <w:trPr>
          <w:trHeight w:val="148"/>
        </w:trPr>
        <w:tc>
          <w:tcPr>
            <w:tcW w:w="3360" w:type="dxa"/>
            <w:vAlign w:val="bottom"/>
            <w:shd w:val="clear" w:color="auto" w:fill="CCECFF"/>
          </w:tcPr>
          <w:p>
            <w:pPr>
              <w:ind w:left="140"/>
              <w:spacing w:after="0" w:line="149" w:lineRule="exact"/>
              <w:rPr>
                <w:sz w:val="20"/>
                <w:szCs w:val="20"/>
                <w:color w:val="auto"/>
              </w:rPr>
            </w:pPr>
            <w:r>
              <w:rPr>
                <w:rFonts w:ascii="Arial" w:cs="Arial" w:eastAsia="Arial" w:hAnsi="Arial"/>
                <w:sz w:val="11"/>
                <w:szCs w:val="11"/>
                <w:color w:val="auto"/>
              </w:rPr>
              <w:t xml:space="preserve">(Revolver) </w:t>
            </w:r>
            <w:r>
              <w:rPr>
                <w:rFonts w:ascii="Arial" w:cs="Arial" w:eastAsia="Arial" w:hAnsi="Arial"/>
                <w:sz w:val="17"/>
                <w:szCs w:val="17"/>
                <w:color w:val="auto"/>
                <w:vertAlign w:val="superscript"/>
              </w:rPr>
              <w:t>(7), (8)</w:t>
            </w:r>
          </w:p>
        </w:tc>
        <w:tc>
          <w:tcPr>
            <w:tcW w:w="92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09/30/2022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6.92%</w:t>
            </w:r>
          </w:p>
        </w:tc>
        <w:tc>
          <w:tcPr>
            <w:tcW w:w="680" w:type="dxa"/>
            <w:vAlign w:val="bottom"/>
          </w:tcPr>
          <w:p>
            <w:pPr>
              <w:jc w:val="right"/>
              <w:spacing w:after="0"/>
              <w:rPr>
                <w:sz w:val="20"/>
                <w:szCs w:val="20"/>
                <w:color w:val="auto"/>
              </w:rPr>
            </w:pPr>
            <w:r>
              <w:rPr>
                <w:rFonts w:ascii="Arial" w:cs="Arial" w:eastAsia="Arial" w:hAnsi="Arial"/>
                <w:sz w:val="12"/>
                <w:szCs w:val="12"/>
                <w:color w:val="auto"/>
              </w:rPr>
              <w:t>2M L+475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10,085,149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10,062,733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10,085,149</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Driven Performance Brands, Inc. (Revolver) </w:t>
            </w:r>
            <w:r>
              <w:rPr>
                <w:rFonts w:ascii="Arial" w:cs="Arial" w:eastAsia="Arial" w:hAnsi="Arial"/>
                <w:sz w:val="17"/>
                <w:szCs w:val="17"/>
                <w:color w:val="auto"/>
                <w:vertAlign w:val="superscript"/>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09/30/2022</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03/07/2022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10.39%</w:t>
            </w:r>
          </w:p>
        </w:tc>
        <w:tc>
          <w:tcPr>
            <w:tcW w:w="680" w:type="dxa"/>
            <w:vAlign w:val="bottom"/>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19,923,750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19,762,133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20,172,797</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05/06/2021</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9.24%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20,742,489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20,646,931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20,742,489</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Education Networks of America, Inc. (Revolver) </w:t>
            </w:r>
            <w:r>
              <w:rPr>
                <w:rFonts w:ascii="Arial" w:cs="Arial" w:eastAsia="Arial" w:hAnsi="Arial"/>
                <w:sz w:val="17"/>
                <w:szCs w:val="17"/>
                <w:color w:val="auto"/>
                <w:vertAlign w:val="superscript"/>
              </w:rPr>
              <w:t>(7)</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05/06/2021</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9.19%</w:t>
            </w:r>
          </w:p>
        </w:tc>
        <w:tc>
          <w:tcPr>
            <w:tcW w:w="680" w:type="dxa"/>
            <w:vAlign w:val="bottom"/>
          </w:tcPr>
          <w:p>
            <w:pPr>
              <w:jc w:val="right"/>
              <w:spacing w:after="0"/>
              <w:rPr>
                <w:sz w:val="20"/>
                <w:szCs w:val="20"/>
                <w:color w:val="auto"/>
              </w:rPr>
            </w:pPr>
            <w:r>
              <w:rPr>
                <w:rFonts w:ascii="Arial" w:cs="Arial" w:eastAsia="Arial" w:hAnsi="Arial"/>
                <w:sz w:val="12"/>
                <w:szCs w:val="12"/>
                <w:color w:val="auto"/>
              </w:rPr>
              <w:t>1M 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1,304,348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1,304,348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1,304,348</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Education Networks of America, Inc. (Revolver) </w:t>
            </w:r>
            <w:r>
              <w:rPr>
                <w:rFonts w:ascii="Arial" w:cs="Arial" w:eastAsia="Arial" w:hAnsi="Arial"/>
                <w:sz w:val="17"/>
                <w:szCs w:val="17"/>
                <w:color w:val="auto"/>
                <w:vertAlign w:val="superscript"/>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05/06/2021</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869,565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06/15/2022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68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9,331,620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9,268,771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9,284,961</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ENC Holding Corporation </w:t>
            </w:r>
            <w:r>
              <w:rPr>
                <w:rFonts w:ascii="Arial" w:cs="Arial" w:eastAsia="Arial" w:hAnsi="Arial"/>
                <w:sz w:val="17"/>
                <w:szCs w:val="17"/>
                <w:color w:val="auto"/>
                <w:vertAlign w:val="superscript"/>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05/30/2025</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Transportation: Cargo</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628,571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(1,571)</w:t>
            </w: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GCOM Software LLC (Revolver) </w:t>
            </w:r>
            <w:r>
              <w:rPr>
                <w:rFonts w:ascii="Arial" w:cs="Arial" w:eastAsia="Arial" w:hAnsi="Arial"/>
                <w:sz w:val="17"/>
                <w:szCs w:val="17"/>
                <w:color w:val="auto"/>
                <w:vertAlign w:val="superscript"/>
              </w:rPr>
              <w:t>(7), (8)</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11/14/2022</w:t>
            </w:r>
          </w:p>
        </w:tc>
        <w:tc>
          <w:tcPr>
            <w:tcW w:w="246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2,666,667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GSM Holdings, Inc. </w:t>
            </w:r>
            <w:r>
              <w:rPr>
                <w:rFonts w:ascii="Arial" w:cs="Arial" w:eastAsia="Arial" w:hAnsi="Arial"/>
                <w:sz w:val="17"/>
                <w:szCs w:val="17"/>
                <w:color w:val="auto"/>
                <w:vertAlign w:val="superscript"/>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06/03/2024</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6.86%</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5,097,491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5,072,239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5,072,003</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GSM Holdings, Inc. (Revolver) </w:t>
            </w:r>
            <w:r>
              <w:rPr>
                <w:rFonts w:ascii="Arial" w:cs="Arial" w:eastAsia="Arial" w:hAnsi="Arial"/>
                <w:sz w:val="17"/>
                <w:szCs w:val="17"/>
                <w:color w:val="auto"/>
                <w:vertAlign w:val="superscript"/>
              </w:rPr>
              <w:t>(7)</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06/03/2024</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6.87%</w:t>
            </w:r>
          </w:p>
        </w:tc>
        <w:tc>
          <w:tcPr>
            <w:tcW w:w="680" w:type="dxa"/>
            <w:vAlign w:val="bottom"/>
          </w:tcPr>
          <w:p>
            <w:pPr>
              <w:jc w:val="right"/>
              <w:spacing w:after="0"/>
              <w:rPr>
                <w:sz w:val="20"/>
                <w:szCs w:val="20"/>
                <w:color w:val="auto"/>
              </w:rPr>
            </w:pPr>
            <w:r>
              <w:rPr>
                <w:rFonts w:ascii="Arial" w:cs="Arial" w:eastAsia="Arial" w:hAnsi="Arial"/>
                <w:sz w:val="12"/>
                <w:szCs w:val="12"/>
                <w:color w:val="auto"/>
              </w:rPr>
              <w:t>3M L+450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1,187,750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1,187,750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1,181,811</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GSM Holdings, Inc. (Revolver) </w:t>
            </w:r>
            <w:r>
              <w:rPr>
                <w:rFonts w:ascii="Arial" w:cs="Arial" w:eastAsia="Arial" w:hAnsi="Arial"/>
                <w:sz w:val="17"/>
                <w:szCs w:val="17"/>
                <w:color w:val="auto"/>
                <w:vertAlign w:val="superscript"/>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06/03/2024</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3,563,250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(17,817)</w:t>
            </w: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06/09/2023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10.39%</w:t>
            </w:r>
          </w:p>
        </w:tc>
        <w:tc>
          <w:tcPr>
            <w:tcW w:w="680" w:type="dxa"/>
            <w:vAlign w:val="bottom"/>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10,952,132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10,770,250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10,842,611</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iEnergizer Limited and Aptara, Inc. </w:t>
            </w:r>
            <w:r>
              <w:rPr>
                <w:rFonts w:ascii="Arial" w:cs="Arial" w:eastAsia="Arial" w:hAnsi="Arial"/>
                <w:sz w:val="17"/>
                <w:szCs w:val="17"/>
                <w:color w:val="auto"/>
                <w:vertAlign w:val="superscript"/>
              </w:rPr>
              <w:t>(5), (9)</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05/01/2019</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5,445,988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5,434,106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5,432,373</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Impact Group, LLC </w:t>
            </w:r>
            <w:r>
              <w:rPr>
                <w:rFonts w:ascii="Arial" w:cs="Arial" w:eastAsia="Arial" w:hAnsi="Arial"/>
                <w:sz w:val="17"/>
                <w:szCs w:val="17"/>
                <w:color w:val="auto"/>
                <w:vertAlign w:val="superscript"/>
              </w:rPr>
              <w:t>(7)</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06/27/2023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8.64%</w:t>
            </w:r>
          </w:p>
        </w:tc>
        <w:tc>
          <w:tcPr>
            <w:tcW w:w="680" w:type="dxa"/>
            <w:vAlign w:val="bottom"/>
          </w:tcPr>
          <w:p>
            <w:pPr>
              <w:jc w:val="right"/>
              <w:spacing w:after="0"/>
              <w:rPr>
                <w:sz w:val="20"/>
                <w:szCs w:val="20"/>
                <w:color w:val="auto"/>
              </w:rPr>
            </w:pPr>
            <w:r>
              <w:rPr>
                <w:rFonts w:ascii="Arial" w:cs="Arial" w:eastAsia="Arial" w:hAnsi="Arial"/>
                <w:sz w:val="12"/>
                <w:szCs w:val="12"/>
                <w:color w:val="auto"/>
              </w:rPr>
              <w:t>1M 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12,482,923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12,364,105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12,420,509</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Impact Group, LLC </w:t>
            </w:r>
            <w:r>
              <w:rPr>
                <w:rFonts w:ascii="Arial" w:cs="Arial" w:eastAsia="Arial" w:hAnsi="Arial"/>
                <w:sz w:val="17"/>
                <w:szCs w:val="17"/>
                <w:color w:val="auto"/>
                <w:vertAlign w:val="superscript"/>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06/27/2023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Wholesale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12,491,009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(62,455)</w:t>
            </w: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17"/>
                <w:szCs w:val="17"/>
                <w:color w:val="auto"/>
                <w:vertAlign w:val="superscript"/>
              </w:rPr>
              <w:t>(5), (9)</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04/13/2022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68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3,339,631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3,303,281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3,322,933</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17"/>
                <w:szCs w:val="17"/>
                <w:color w:val="auto"/>
                <w:vertAlign w:val="superscript"/>
              </w:rPr>
              <w:t>(5), (7), (9)</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04/13/2022</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176,991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176,106</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17"/>
                <w:szCs w:val="17"/>
                <w:color w:val="auto"/>
                <w:vertAlign w:val="superscript"/>
              </w:rPr>
              <w:t>(5), (7), (8), (9)</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04/13/2022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353,982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(1,770)</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Integrative Nutrition, LLC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09/29/2023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Consumer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36,000,000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35,640,000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35,640,000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17"/>
                <w:szCs w:val="17"/>
                <w:color w:val="auto"/>
                <w:vertAlign w:val="superscript"/>
              </w:rPr>
              <w:t>(7), (8)</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09/29/2023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Consumer Services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Intralinks, Inc.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11/14/2024</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14,451,316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14,384,410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14,478,484</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Inventus Power, Inc.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04/30/2020</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8.74%</w:t>
            </w:r>
          </w:p>
        </w:tc>
        <w:tc>
          <w:tcPr>
            <w:tcW w:w="680" w:type="dxa"/>
            <w:vAlign w:val="bottom"/>
          </w:tcPr>
          <w:p>
            <w:pPr>
              <w:jc w:val="right"/>
              <w:spacing w:after="0"/>
              <w:rPr>
                <w:sz w:val="20"/>
                <w:szCs w:val="20"/>
                <w:color w:val="auto"/>
              </w:rPr>
            </w:pPr>
            <w:r>
              <w:rPr>
                <w:rFonts w:ascii="Arial" w:cs="Arial" w:eastAsia="Arial" w:hAnsi="Arial"/>
                <w:sz w:val="12"/>
                <w:szCs w:val="12"/>
                <w:color w:val="auto"/>
              </w:rPr>
              <w:t>1M 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4,230,023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4,216,353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3,933,921</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02/19/2021</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11.24%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3,925,501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3,865,568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3,925,501</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KHC Holdings, Inc.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10/31/2022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8.39%</w:t>
            </w:r>
          </w:p>
        </w:tc>
        <w:tc>
          <w:tcPr>
            <w:tcW w:w="680" w:type="dxa"/>
            <w:vAlign w:val="bottom"/>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12,109,261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11,972,865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12,109,261</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KHC Holdings, Inc. (Revolver) </w:t>
            </w:r>
            <w:r>
              <w:rPr>
                <w:rFonts w:ascii="Arial" w:cs="Arial" w:eastAsia="Arial" w:hAnsi="Arial"/>
                <w:sz w:val="17"/>
                <w:szCs w:val="17"/>
                <w:color w:val="auto"/>
                <w:vertAlign w:val="superscript"/>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10/30/2020</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262,097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262,097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262,097</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KHC Holdings, Inc. (Revolver) </w:t>
            </w:r>
            <w:r>
              <w:rPr>
                <w:rFonts w:ascii="Arial" w:cs="Arial" w:eastAsia="Arial" w:hAnsi="Arial"/>
                <w:sz w:val="17"/>
                <w:szCs w:val="17"/>
                <w:color w:val="auto"/>
                <w:vertAlign w:val="superscript"/>
              </w:rPr>
              <w:t>(7), (8)</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10/30/2020</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Wholesale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947,581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Lago Resort &amp; Casino, LLC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03/07/2022</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Hotel, Gaming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11.89%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10,098,000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9,966,385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9,694,080</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17"/>
                <w:szCs w:val="17"/>
                <w:color w:val="auto"/>
                <w:vertAlign w:val="superscript"/>
              </w:rPr>
              <w:t>(5), (9), (10)</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09/12/2022</w:t>
            </w:r>
          </w:p>
        </w:tc>
        <w:tc>
          <w:tcPr>
            <w:tcW w:w="246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7.73%</w:t>
            </w:r>
          </w:p>
        </w:tc>
        <w:tc>
          <w:tcPr>
            <w:tcW w:w="680" w:type="dxa"/>
            <w:vAlign w:val="bottom"/>
          </w:tcPr>
          <w:p>
            <w:pPr>
              <w:jc w:val="right"/>
              <w:spacing w:after="0"/>
              <w:rPr>
                <w:sz w:val="20"/>
                <w:szCs w:val="20"/>
                <w:color w:val="auto"/>
              </w:rPr>
            </w:pPr>
            <w:r>
              <w:rPr>
                <w:rFonts w:ascii="Arial" w:cs="Arial" w:eastAsia="Arial" w:hAnsi="Arial"/>
                <w:sz w:val="12"/>
                <w:szCs w:val="12"/>
                <w:color w:val="auto"/>
              </w:rPr>
              <w:t>3M L+575</w:t>
            </w:r>
          </w:p>
        </w:tc>
        <w:tc>
          <w:tcPr>
            <w:tcW w:w="340" w:type="dxa"/>
            <w:vAlign w:val="bottom"/>
            <w:gridSpan w:val="2"/>
          </w:tcPr>
          <w:p>
            <w:pPr>
              <w:ind w:left="120"/>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rPr>
              <w:t>9,925,000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7,688,759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7,181,254</w:t>
            </w:r>
          </w:p>
        </w:tc>
        <w:tc>
          <w:tcPr>
            <w:tcW w:w="120" w:type="dxa"/>
            <w:vAlign w:val="bottom"/>
          </w:tcPr>
          <w:p>
            <w:pPr>
              <w:spacing w:after="0"/>
              <w:rPr>
                <w:sz w:val="12"/>
                <w:szCs w:val="12"/>
                <w:color w:val="auto"/>
              </w:rPr>
            </w:pPr>
          </w:p>
        </w:tc>
      </w:tr>
      <w:tr>
        <w:trPr>
          <w:trHeight w:val="148"/>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17"/>
                <w:szCs w:val="17"/>
                <w:color w:val="auto"/>
                <w:vertAlign w:val="superscript"/>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11/30/2021</w:t>
            </w:r>
          </w:p>
        </w:tc>
        <w:tc>
          <w:tcPr>
            <w:tcW w:w="24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4,596,389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4,528,529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2,987,653</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3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6.00%)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rPr>
                <w:sz w:val="20"/>
                <w:szCs w:val="20"/>
                <w:color w:val="auto"/>
              </w:rPr>
            </w:pPr>
            <w:r>
              <w:rPr>
                <w:rFonts w:ascii="Arial" w:cs="Arial" w:eastAsia="Arial" w:hAnsi="Arial"/>
                <w:sz w:val="12"/>
                <w:szCs w:val="12"/>
                <w:color w:val="auto"/>
              </w:rPr>
              <w:t>Lombart Brothers, Inc.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04/13/2022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68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9,251,830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9,147,743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9,205,570</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17"/>
                <w:szCs w:val="17"/>
                <w:color w:val="auto"/>
                <w:vertAlign w:val="superscript"/>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04/13/2022</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P+550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619,469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619,469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616,372</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17"/>
                <w:szCs w:val="17"/>
                <w:color w:val="auto"/>
                <w:vertAlign w:val="superscript"/>
              </w:rPr>
              <w:t>(7), (8)</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04/13/2022</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619,469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(3,098)</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Long Island Vision Management, LLC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09/11/2023</w:t>
            </w:r>
          </w:p>
        </w:tc>
        <w:tc>
          <w:tcPr>
            <w:tcW w:w="24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6,052,632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5,992,433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5,976,091</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Long Island Vision Management, LLC </w:t>
            </w:r>
            <w:r>
              <w:rPr>
                <w:rFonts w:ascii="Arial" w:cs="Arial" w:eastAsia="Arial" w:hAnsi="Arial"/>
                <w:sz w:val="17"/>
                <w:szCs w:val="17"/>
                <w:color w:val="auto"/>
                <w:vertAlign w:val="superscript"/>
              </w:rPr>
              <w:t>(7), (8)</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09/11/2023</w:t>
            </w:r>
          </w:p>
        </w:tc>
        <w:tc>
          <w:tcPr>
            <w:tcW w:w="246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3,947,368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(49,918)</w:t>
            </w:r>
          </w:p>
        </w:tc>
      </w:tr>
      <w:tr>
        <w:trPr>
          <w:trHeight w:val="148"/>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08/19/2022</w:t>
            </w:r>
          </w:p>
        </w:tc>
        <w:tc>
          <w:tcPr>
            <w:tcW w:w="246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7.12%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9,914,849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9,900,000</w:t>
            </w:r>
          </w:p>
        </w:tc>
        <w:tc>
          <w:tcPr>
            <w:tcW w:w="120" w:type="dxa"/>
            <w:vAlign w:val="bottom"/>
            <w:shd w:val="clear" w:color="auto" w:fill="CCECFF"/>
          </w:tcPr>
          <w:p>
            <w:pPr>
              <w:spacing w:after="0"/>
              <w:rPr>
                <w:sz w:val="12"/>
                <w:szCs w:val="12"/>
                <w:color w:val="auto"/>
              </w:rPr>
            </w:pPr>
          </w:p>
        </w:tc>
      </w:tr>
      <w:tr>
        <w:trPr>
          <w:trHeight w:val="149"/>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Long’s Drugs Incorporated (Revolver) </w:t>
            </w:r>
            <w:r>
              <w:rPr>
                <w:rFonts w:ascii="Arial" w:cs="Arial" w:eastAsia="Arial" w:hAnsi="Arial"/>
                <w:sz w:val="17"/>
                <w:szCs w:val="17"/>
                <w:color w:val="auto"/>
                <w:vertAlign w:val="superscript"/>
              </w:rPr>
              <w:t>(7), (8)</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08/19/2022</w:t>
            </w:r>
          </w:p>
        </w:tc>
        <w:tc>
          <w:tcPr>
            <w:tcW w:w="246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(60,000)</w:t>
            </w:r>
          </w:p>
        </w:tc>
      </w:tr>
      <w:tr>
        <w:trPr>
          <w:trHeight w:val="149"/>
        </w:trPr>
        <w:tc>
          <w:tcPr>
            <w:tcW w:w="336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05/01/2023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8.12%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14,046,875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13,932,255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13,537,676</w:t>
            </w:r>
          </w:p>
        </w:tc>
        <w:tc>
          <w:tcPr>
            <w:tcW w:w="120" w:type="dxa"/>
            <w:vAlign w:val="bottom"/>
            <w:shd w:val="clear" w:color="auto" w:fill="CCECFF"/>
          </w:tcPr>
          <w:p>
            <w:pPr>
              <w:spacing w:after="0"/>
              <w:rPr>
                <w:sz w:val="12"/>
                <w:szCs w:val="12"/>
                <w:color w:val="auto"/>
              </w:rPr>
            </w:pPr>
          </w:p>
        </w:tc>
      </w:tr>
      <w:tr>
        <w:trPr>
          <w:trHeight w:val="148"/>
        </w:trPr>
        <w:tc>
          <w:tcPr>
            <w:tcW w:w="3360" w:type="dxa"/>
            <w:vAlign w:val="bottom"/>
          </w:tcPr>
          <w:p>
            <w:pPr>
              <w:spacing w:after="0" w:line="149" w:lineRule="exact"/>
              <w:rPr>
                <w:sz w:val="20"/>
                <w:szCs w:val="20"/>
                <w:color w:val="auto"/>
              </w:rPr>
            </w:pPr>
            <w:r>
              <w:rPr>
                <w:rFonts w:ascii="Arial" w:cs="Arial" w:eastAsia="Arial" w:hAnsi="Arial"/>
                <w:sz w:val="11"/>
                <w:szCs w:val="11"/>
                <w:color w:val="auto"/>
              </w:rPr>
              <w:t xml:space="preserve">Manna Pro Products, LLC </w:t>
            </w:r>
            <w:r>
              <w:rPr>
                <w:rFonts w:ascii="Arial" w:cs="Arial" w:eastAsia="Arial" w:hAnsi="Arial"/>
                <w:sz w:val="17"/>
                <w:szCs w:val="17"/>
                <w:color w:val="auto"/>
                <w:vertAlign w:val="superscript"/>
              </w:rPr>
              <w:t>(7)</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12/08/2023</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8.17%</w:t>
            </w:r>
          </w:p>
        </w:tc>
        <w:tc>
          <w:tcPr>
            <w:tcW w:w="680" w:type="dxa"/>
            <w:vAlign w:val="bottom"/>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6,983,750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6,909,661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6,930,659</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Manna Pro Products, LLC </w:t>
            </w:r>
            <w:r>
              <w:rPr>
                <w:rFonts w:ascii="Arial" w:cs="Arial" w:eastAsia="Arial" w:hAnsi="Arial"/>
                <w:sz w:val="17"/>
                <w:szCs w:val="17"/>
                <w:color w:val="auto"/>
                <w:vertAlign w:val="superscript"/>
              </w:rPr>
              <w:t>(7), (8)</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12/08/2023</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Consumer Goods: Non-Durable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975,000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(7,412)</w:t>
            </w:r>
          </w:p>
        </w:tc>
      </w:tr>
      <w:tr>
        <w:trPr>
          <w:trHeight w:val="149"/>
        </w:trPr>
        <w:tc>
          <w:tcPr>
            <w:tcW w:w="3360" w:type="dxa"/>
            <w:vAlign w:val="bottom"/>
          </w:tcPr>
          <w:p>
            <w:pPr>
              <w:spacing w:after="0"/>
              <w:rPr>
                <w:sz w:val="20"/>
                <w:szCs w:val="20"/>
                <w:color w:val="auto"/>
              </w:rPr>
            </w:pPr>
            <w:r>
              <w:rPr>
                <w:rFonts w:ascii="Arial" w:cs="Arial" w:eastAsia="Arial" w:hAnsi="Arial"/>
                <w:sz w:val="12"/>
                <w:szCs w:val="12"/>
                <w:color w:val="auto"/>
              </w:rPr>
              <w:t>Marketplace Events LLC</w:t>
            </w:r>
          </w:p>
        </w:tc>
        <w:tc>
          <w:tcPr>
            <w:tcW w:w="920" w:type="dxa"/>
            <w:vAlign w:val="bottom"/>
          </w:tcPr>
          <w:p>
            <w:pPr>
              <w:jc w:val="center"/>
              <w:spacing w:after="0"/>
              <w:rPr>
                <w:sz w:val="20"/>
                <w:szCs w:val="20"/>
                <w:color w:val="auto"/>
              </w:rPr>
            </w:pPr>
            <w:r>
              <w:rPr>
                <w:rFonts w:ascii="Arial" w:cs="Arial" w:eastAsia="Arial" w:hAnsi="Arial"/>
                <w:sz w:val="12"/>
                <w:szCs w:val="12"/>
                <w:color w:val="auto"/>
                <w:w w:val="86"/>
              </w:rPr>
              <w:t>01/27/2021</w:t>
            </w:r>
          </w:p>
        </w:tc>
        <w:tc>
          <w:tcPr>
            <w:tcW w:w="246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7.64%</w:t>
            </w:r>
          </w:p>
        </w:tc>
        <w:tc>
          <w:tcPr>
            <w:tcW w:w="680" w:type="dxa"/>
            <w:vAlign w:val="bottom"/>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3,343,309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3,313,221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3,343,309</w:t>
            </w:r>
          </w:p>
        </w:tc>
        <w:tc>
          <w:tcPr>
            <w:tcW w:w="120" w:type="dxa"/>
            <w:vAlign w:val="bottom"/>
          </w:tcPr>
          <w:p>
            <w:pPr>
              <w:spacing w:after="0"/>
              <w:rPr>
                <w:sz w:val="12"/>
                <w:szCs w:val="12"/>
                <w:color w:val="auto"/>
              </w:rPr>
            </w:pPr>
          </w:p>
        </w:tc>
      </w:tr>
      <w:tr>
        <w:trPr>
          <w:trHeight w:val="149"/>
        </w:trPr>
        <w:tc>
          <w:tcPr>
            <w:tcW w:w="33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7"/>
                <w:szCs w:val="17"/>
                <w:color w:val="auto"/>
                <w:vertAlign w:val="superscript"/>
              </w:rPr>
              <w:t>(10)</w:t>
            </w:r>
          </w:p>
        </w:tc>
        <w:tc>
          <w:tcPr>
            <w:tcW w:w="9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01/27/2021</w:t>
            </w:r>
          </w:p>
        </w:tc>
        <w:tc>
          <w:tcPr>
            <w:tcW w:w="246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340" w:type="dxa"/>
            <w:vAlign w:val="bottom"/>
            <w:gridSpan w:val="2"/>
            <w:shd w:val="clear" w:color="auto" w:fill="CCECFF"/>
          </w:tcPr>
          <w:p>
            <w:pPr>
              <w:ind w:left="120"/>
              <w:spacing w:after="0"/>
              <w:rPr>
                <w:sz w:val="20"/>
                <w:szCs w:val="20"/>
                <w:color w:val="auto"/>
              </w:rPr>
            </w:pPr>
            <w:r>
              <w:rPr>
                <w:rFonts w:ascii="Arial" w:cs="Arial" w:eastAsia="Arial" w:hAnsi="Arial"/>
                <w:sz w:val="12"/>
                <w:szCs w:val="12"/>
                <w:color w:val="auto"/>
              </w:rPr>
              <w:t>C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16,473,429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11,599,021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12,744,421</w:t>
            </w:r>
          </w:p>
        </w:tc>
        <w:tc>
          <w:tcPr>
            <w:tcW w:w="120" w:type="dxa"/>
            <w:vAlign w:val="bottom"/>
            <w:shd w:val="clear" w:color="auto" w:fill="CCECFF"/>
          </w:tcPr>
          <w:p>
            <w:pPr>
              <w:spacing w:after="0"/>
              <w:rPr>
                <w:sz w:val="12"/>
                <w:szCs w:val="1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6"/>
        </w:trPr>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20"/>
              <w:spacing w:after="0" w:line="126"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26"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3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40" w:type="dxa"/>
            <w:vAlign w:val="bottom"/>
            <w:tcBorders>
              <w:bottom w:val="single" w:sz="8" w:color="CFF0FC"/>
            </w:tcBorders>
          </w:tcPr>
          <w:p>
            <w:pPr>
              <w:spacing w:after="0"/>
              <w:rPr>
                <w:sz w:val="13"/>
                <w:szCs w:val="13"/>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1"/>
                <w:szCs w:val="11"/>
                <w:b w:val="1"/>
                <w:bCs w:val="1"/>
                <w:color w:val="auto"/>
                <w:w w:val="91"/>
              </w:rPr>
              <w:t xml:space="preserve">Index </w:t>
            </w:r>
            <w:r>
              <w:rPr>
                <w:rFonts w:ascii="Arial" w:cs="Arial" w:eastAsia="Arial" w:hAnsi="Arial"/>
                <w:sz w:val="17"/>
                <w:szCs w:val="17"/>
                <w:b w:val="1"/>
                <w:bCs w:val="1"/>
                <w:color w:val="auto"/>
                <w:w w:val="91"/>
                <w:vertAlign w:val="superscript"/>
              </w:rPr>
              <w:t>(1)</w:t>
            </w:r>
          </w:p>
        </w:tc>
        <w:tc>
          <w:tcPr>
            <w:tcW w:w="2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1"/>
                <w:szCs w:val="11"/>
                <w:b w:val="1"/>
                <w:bCs w:val="1"/>
                <w:color w:val="auto"/>
                <w:w w:val="94"/>
              </w:rPr>
              <w:t xml:space="preserve">Fair Value </w:t>
            </w:r>
            <w:r>
              <w:rPr>
                <w:rFonts w:ascii="Arial" w:cs="Arial" w:eastAsia="Arial" w:hAnsi="Arial"/>
                <w:sz w:val="17"/>
                <w:szCs w:val="17"/>
                <w:b w:val="1"/>
                <w:bCs w:val="1"/>
                <w:color w:val="auto"/>
                <w:w w:val="94"/>
                <w:vertAlign w:val="superscript"/>
              </w:rPr>
              <w:t>(2)</w:t>
            </w:r>
          </w:p>
        </w:tc>
        <w:tc>
          <w:tcPr>
            <w:tcW w:w="100" w:type="dxa"/>
            <w:vAlign w:val="bottom"/>
            <w:tcBorders>
              <w:bottom w:val="single" w:sz="8" w:color="CFF0FC"/>
            </w:tcBorders>
          </w:tcPr>
          <w:p>
            <w:pPr>
              <w:spacing w:after="0"/>
              <w:rPr>
                <w:sz w:val="13"/>
                <w:szCs w:val="13"/>
                <w:color w:val="auto"/>
              </w:rPr>
            </w:pPr>
          </w:p>
        </w:tc>
      </w:tr>
      <w:tr>
        <w:trPr>
          <w:trHeight w:val="142"/>
        </w:trPr>
        <w:tc>
          <w:tcPr>
            <w:tcW w:w="3340" w:type="dxa"/>
            <w:vAlign w:val="bottom"/>
            <w:shd w:val="clear" w:color="auto" w:fill="CFF0FC"/>
          </w:tcPr>
          <w:p>
            <w:pPr>
              <w:spacing w:after="0" w:line="142" w:lineRule="exact"/>
              <w:rPr>
                <w:sz w:val="20"/>
                <w:szCs w:val="20"/>
                <w:color w:val="auto"/>
              </w:rPr>
            </w:pPr>
            <w:r>
              <w:rPr>
                <w:rFonts w:ascii="Arial" w:cs="Arial" w:eastAsia="Arial" w:hAnsi="Arial"/>
                <w:sz w:val="10"/>
                <w:szCs w:val="10"/>
                <w:color w:val="auto"/>
              </w:rPr>
              <w:t xml:space="preserve">Marketplace Events LLC (Revolver) </w:t>
            </w:r>
            <w:r>
              <w:rPr>
                <w:rFonts w:ascii="Arial" w:cs="Arial" w:eastAsia="Arial" w:hAnsi="Arial"/>
                <w:sz w:val="16"/>
                <w:szCs w:val="16"/>
                <w:color w:val="auto"/>
                <w:vertAlign w:val="superscript"/>
              </w:rPr>
              <w:t>(7)</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01/27/2021</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1"/>
              </w:rPr>
              <w:t>Media: Diversified and Production</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P+275</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425,791</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425,791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425,791</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Marketplace Events LLC (Revolver) </w:t>
            </w:r>
            <w:r>
              <w:rPr>
                <w:rFonts w:ascii="Arial" w:cs="Arial" w:eastAsia="Arial" w:hAnsi="Arial"/>
                <w:sz w:val="17"/>
                <w:szCs w:val="17"/>
                <w:color w:val="auto"/>
                <w:vertAlign w:val="superscript"/>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01/27/2021</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Diversified and Production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1,277,372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17"/>
                <w:szCs w:val="17"/>
                <w:color w:val="auto"/>
                <w:vertAlign w:val="superscript"/>
              </w:rPr>
              <w:t>(7), (8)</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09/28/2021</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(2,122)</w:t>
            </w:r>
          </w:p>
        </w:tc>
      </w:tr>
      <w:tr>
        <w:trPr>
          <w:trHeight w:val="148"/>
        </w:trPr>
        <w:tc>
          <w:tcPr>
            <w:tcW w:w="3340" w:type="dxa"/>
            <w:vAlign w:val="bottom"/>
          </w:tcPr>
          <w:p>
            <w:pPr>
              <w:spacing w:after="0"/>
              <w:rPr>
                <w:sz w:val="20"/>
                <w:szCs w:val="20"/>
                <w:color w:val="auto"/>
              </w:rPr>
            </w:pPr>
            <w:r>
              <w:rPr>
                <w:rFonts w:ascii="Arial" w:cs="Arial" w:eastAsia="Arial" w:hAnsi="Arial"/>
                <w:sz w:val="12"/>
                <w:szCs w:val="12"/>
                <w:color w:val="auto"/>
              </w:rPr>
              <w:t>Montreign Operating Company,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01/24/2023</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Hotel, Gaming and Leisure</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10.59%</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L+825</w:t>
            </w:r>
          </w:p>
        </w:tc>
        <w:tc>
          <w:tcPr>
            <w:tcW w:w="680" w:type="dxa"/>
            <w:vAlign w:val="bottom"/>
          </w:tcPr>
          <w:p>
            <w:pPr>
              <w:jc w:val="right"/>
              <w:spacing w:after="0"/>
              <w:rPr>
                <w:sz w:val="20"/>
                <w:szCs w:val="20"/>
                <w:color w:val="auto"/>
              </w:rPr>
            </w:pPr>
            <w:r>
              <w:rPr>
                <w:rFonts w:ascii="Arial" w:cs="Arial" w:eastAsia="Arial" w:hAnsi="Arial"/>
                <w:sz w:val="12"/>
                <w:szCs w:val="12"/>
                <w:color w:val="auto"/>
              </w:rPr>
              <w:t>26,163,397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26,518,501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23,350,832</w:t>
            </w: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Morphe, LLC</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02/10/2023</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Consumer Goods: Non-Durable</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8.40%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L+600</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20,644,462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20,276,981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20,541,240</w:t>
            </w:r>
          </w:p>
        </w:tc>
        <w:tc>
          <w:tcPr>
            <w:tcW w:w="100" w:type="dxa"/>
            <w:vAlign w:val="bottom"/>
            <w:shd w:val="clear" w:color="auto" w:fill="CFF0FC"/>
          </w:tcPr>
          <w:p>
            <w:pPr>
              <w:spacing w:after="0"/>
              <w:rPr>
                <w:sz w:val="12"/>
                <w:szCs w:val="12"/>
                <w:color w:val="auto"/>
              </w:rPr>
            </w:pPr>
          </w:p>
        </w:tc>
      </w:tr>
      <w:tr>
        <w:trPr>
          <w:trHeight w:val="156"/>
        </w:trPr>
        <w:tc>
          <w:tcPr>
            <w:tcW w:w="3340" w:type="dxa"/>
            <w:vAlign w:val="bottom"/>
          </w:tcPr>
          <w:p>
            <w:pPr>
              <w:spacing w:after="0"/>
              <w:rPr>
                <w:sz w:val="20"/>
                <w:szCs w:val="20"/>
                <w:color w:val="auto"/>
              </w:rPr>
            </w:pPr>
            <w:r>
              <w:rPr>
                <w:rFonts w:ascii="Arial" w:cs="Arial" w:eastAsia="Arial" w:hAnsi="Arial"/>
                <w:sz w:val="12"/>
                <w:szCs w:val="12"/>
                <w:color w:val="auto"/>
              </w:rPr>
              <w:t>New Trident HoldCorp,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08/01/2022</w:t>
            </w:r>
          </w:p>
        </w:tc>
        <w:tc>
          <w:tcPr>
            <w:tcW w:w="240" w:type="dxa"/>
            <w:vAlign w:val="bottom"/>
          </w:tcPr>
          <w:p>
            <w:pPr>
              <w:spacing w:after="0"/>
              <w:rPr>
                <w:sz w:val="13"/>
                <w:szCs w:val="13"/>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8.24%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80" w:type="dxa"/>
            <w:vAlign w:val="bottom"/>
          </w:tcPr>
          <w:p>
            <w:pPr>
              <w:jc w:val="right"/>
              <w:spacing w:after="0"/>
              <w:rPr>
                <w:sz w:val="20"/>
                <w:szCs w:val="20"/>
                <w:color w:val="auto"/>
              </w:rPr>
            </w:pPr>
            <w:r>
              <w:rPr>
                <w:rFonts w:ascii="Arial" w:cs="Arial" w:eastAsia="Arial" w:hAnsi="Arial"/>
                <w:sz w:val="12"/>
                <w:szCs w:val="12"/>
                <w:color w:val="auto"/>
              </w:rPr>
              <w:t>7,068,161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6,998,756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5,654,528</w:t>
            </w:r>
          </w:p>
        </w:tc>
        <w:tc>
          <w:tcPr>
            <w:tcW w:w="100" w:type="dxa"/>
            <w:vAlign w:val="bottom"/>
          </w:tcPr>
          <w:p>
            <w:pPr>
              <w:spacing w:after="0"/>
              <w:rPr>
                <w:sz w:val="13"/>
                <w:szCs w:val="13"/>
                <w:color w:val="auto"/>
              </w:rPr>
            </w:pPr>
          </w:p>
        </w:tc>
      </w:tr>
      <w:tr>
        <w:trPr>
          <w:trHeight w:val="141"/>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(PIK 3.00%)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NextiraOne Federal, LLC</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08/27/2024</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6"/>
              </w:rPr>
              <w:t>Aerospace and Defense</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8.07%</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L+575</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18,181,818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17,911,938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17,906,255</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NextiraOne Federal, LLC (Revolver) </w:t>
            </w:r>
            <w:r>
              <w:rPr>
                <w:rFonts w:ascii="Arial" w:cs="Arial" w:eastAsia="Arial" w:hAnsi="Arial"/>
                <w:sz w:val="17"/>
                <w:szCs w:val="17"/>
                <w:color w:val="auto"/>
                <w:vertAlign w:val="superscript"/>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08/27/2024</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Aerospace and Defense</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8.07%</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L+575</w:t>
            </w:r>
          </w:p>
        </w:tc>
        <w:tc>
          <w:tcPr>
            <w:tcW w:w="680" w:type="dxa"/>
            <w:vAlign w:val="bottom"/>
          </w:tcPr>
          <w:p>
            <w:pPr>
              <w:jc w:val="right"/>
              <w:spacing w:after="0"/>
              <w:rPr>
                <w:sz w:val="20"/>
                <w:szCs w:val="20"/>
                <w:color w:val="auto"/>
              </w:rPr>
            </w:pPr>
            <w:r>
              <w:rPr>
                <w:rFonts w:ascii="Arial" w:cs="Arial" w:eastAsia="Arial" w:hAnsi="Arial"/>
                <w:sz w:val="12"/>
                <w:szCs w:val="12"/>
                <w:color w:val="auto"/>
              </w:rPr>
              <w:t>2,647,727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2,647,727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2,607,599</w:t>
            </w: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NextiraOne Federal, LLC (Revolver) </w:t>
            </w:r>
            <w:r>
              <w:rPr>
                <w:rFonts w:ascii="Arial" w:cs="Arial" w:eastAsia="Arial" w:hAnsi="Arial"/>
                <w:sz w:val="17"/>
                <w:szCs w:val="17"/>
                <w:color w:val="auto"/>
                <w:vertAlign w:val="superscript"/>
              </w:rPr>
              <w:t>(7), (8)</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08/27/2024</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6"/>
              </w:rPr>
              <w:t>Aerospace and Defense</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4,170,455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(63,207)</w:t>
            </w:r>
          </w:p>
        </w:tc>
      </w:tr>
      <w:tr>
        <w:trPr>
          <w:trHeight w:val="148"/>
        </w:trPr>
        <w:tc>
          <w:tcPr>
            <w:tcW w:w="3340" w:type="dxa"/>
            <w:vAlign w:val="bottom"/>
          </w:tcPr>
          <w:p>
            <w:pPr>
              <w:spacing w:after="0"/>
              <w:rPr>
                <w:sz w:val="20"/>
                <w:szCs w:val="20"/>
                <w:color w:val="auto"/>
              </w:rPr>
            </w:pPr>
            <w:r>
              <w:rPr>
                <w:rFonts w:ascii="Arial" w:cs="Arial" w:eastAsia="Arial" w:hAnsi="Arial"/>
                <w:sz w:val="12"/>
                <w:szCs w:val="12"/>
                <w:color w:val="auto"/>
              </w:rPr>
              <w:t>Olde Thompson,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05/14/2024</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6.66%</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L+450</w:t>
            </w:r>
          </w:p>
        </w:tc>
        <w:tc>
          <w:tcPr>
            <w:tcW w:w="680" w:type="dxa"/>
            <w:vAlign w:val="bottom"/>
          </w:tcPr>
          <w:p>
            <w:pPr>
              <w:jc w:val="right"/>
              <w:spacing w:after="0"/>
              <w:rPr>
                <w:sz w:val="20"/>
                <w:szCs w:val="20"/>
                <w:color w:val="auto"/>
              </w:rPr>
            </w:pPr>
            <w:r>
              <w:rPr>
                <w:rFonts w:ascii="Arial" w:cs="Arial" w:eastAsia="Arial" w:hAnsi="Arial"/>
                <w:sz w:val="12"/>
                <w:szCs w:val="12"/>
                <w:color w:val="auto"/>
              </w:rPr>
              <w:t>1,852,500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1,833,975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1,852,500</w:t>
            </w: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Olde Thompson, LLC - Revolver </w:t>
            </w:r>
            <w:r>
              <w:rPr>
                <w:rFonts w:ascii="Arial" w:cs="Arial" w:eastAsia="Arial" w:hAnsi="Arial"/>
                <w:sz w:val="17"/>
                <w:szCs w:val="17"/>
                <w:color w:val="auto"/>
                <w:vertAlign w:val="superscript"/>
              </w:rPr>
              <w:t>(7), (8)</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05/14/2024</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2,642,857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340" w:type="dxa"/>
            <w:vAlign w:val="bottom"/>
          </w:tcPr>
          <w:p>
            <w:pPr>
              <w:spacing w:after="0"/>
              <w:rPr>
                <w:sz w:val="20"/>
                <w:szCs w:val="20"/>
                <w:color w:val="auto"/>
              </w:rPr>
            </w:pPr>
            <w:r>
              <w:rPr>
                <w:rFonts w:ascii="Arial" w:cs="Arial" w:eastAsia="Arial" w:hAnsi="Arial"/>
                <w:sz w:val="12"/>
                <w:szCs w:val="12"/>
                <w:color w:val="auto"/>
              </w:rPr>
              <w:t>Ox Two,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02/27/2023</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8.49%</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80" w:type="dxa"/>
            <w:vAlign w:val="bottom"/>
          </w:tcPr>
          <w:p>
            <w:pPr>
              <w:jc w:val="right"/>
              <w:spacing w:after="0"/>
              <w:rPr>
                <w:sz w:val="20"/>
                <w:szCs w:val="20"/>
                <w:color w:val="auto"/>
              </w:rPr>
            </w:pPr>
            <w:r>
              <w:rPr>
                <w:rFonts w:ascii="Arial" w:cs="Arial" w:eastAsia="Arial" w:hAnsi="Arial"/>
                <w:sz w:val="12"/>
                <w:szCs w:val="12"/>
                <w:color w:val="auto"/>
              </w:rPr>
              <w:t>13,034,722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12,946,045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13,034,722</w:t>
            </w:r>
          </w:p>
        </w:tc>
        <w:tc>
          <w:tcPr>
            <w:tcW w:w="100" w:type="dxa"/>
            <w:vAlign w:val="bottom"/>
          </w:tcPr>
          <w:p>
            <w:pPr>
              <w:spacing w:after="0"/>
              <w:rPr>
                <w:sz w:val="12"/>
                <w:szCs w:val="12"/>
                <w:color w:val="auto"/>
              </w:rPr>
            </w:pPr>
          </w:p>
        </w:tc>
      </w:tr>
      <w:tr>
        <w:trPr>
          <w:trHeight w:val="149"/>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7"/>
                <w:szCs w:val="17"/>
                <w:color w:val="auto"/>
                <w:vertAlign w:val="superscript"/>
              </w:rPr>
              <w:t>(7)</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02/27/2023</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12.50%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P+725</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166,667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166,667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166,667</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7"/>
                <w:szCs w:val="17"/>
                <w:color w:val="auto"/>
                <w:vertAlign w:val="superscript"/>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02/27/2023</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388,889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Pestell Minerals and Ingredients Inc. </w:t>
            </w:r>
            <w:r>
              <w:rPr>
                <w:rFonts w:ascii="Arial" w:cs="Arial" w:eastAsia="Arial" w:hAnsi="Arial"/>
                <w:sz w:val="17"/>
                <w:szCs w:val="17"/>
                <w:color w:val="auto"/>
                <w:vertAlign w:val="superscript"/>
              </w:rPr>
              <w:t>(5), (9)</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06/01/2023</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7.51%</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L+525</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14,850,000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14,850,000</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Profile Products LLC </w:t>
            </w:r>
            <w:r>
              <w:rPr>
                <w:rFonts w:ascii="Arial" w:cs="Arial" w:eastAsia="Arial" w:hAnsi="Arial"/>
                <w:sz w:val="17"/>
                <w:szCs w:val="17"/>
                <w:color w:val="auto"/>
                <w:vertAlign w:val="superscript"/>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01/31/2023</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Environmental Industries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7.29%</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2M L+500</w:t>
            </w:r>
          </w:p>
        </w:tc>
        <w:tc>
          <w:tcPr>
            <w:tcW w:w="680" w:type="dxa"/>
            <w:vAlign w:val="bottom"/>
          </w:tcPr>
          <w:p>
            <w:pPr>
              <w:jc w:val="right"/>
              <w:spacing w:after="0"/>
              <w:rPr>
                <w:sz w:val="20"/>
                <w:szCs w:val="20"/>
                <w:color w:val="auto"/>
              </w:rPr>
            </w:pPr>
            <w:r>
              <w:rPr>
                <w:rFonts w:ascii="Arial" w:cs="Arial" w:eastAsia="Arial" w:hAnsi="Arial"/>
                <w:sz w:val="12"/>
                <w:szCs w:val="12"/>
                <w:color w:val="auto"/>
              </w:rPr>
              <w:t>10,075,023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9,997,462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10,075,023</w:t>
            </w: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Profile Products LLC (Revolver) </w:t>
            </w:r>
            <w:r>
              <w:rPr>
                <w:rFonts w:ascii="Arial" w:cs="Arial" w:eastAsia="Arial" w:hAnsi="Arial"/>
                <w:sz w:val="17"/>
                <w:szCs w:val="17"/>
                <w:color w:val="auto"/>
                <w:vertAlign w:val="superscript"/>
              </w:rPr>
              <w:t>(7), (8)</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01/31/2022</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Environmental Industries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340" w:type="dxa"/>
            <w:vAlign w:val="bottom"/>
          </w:tcPr>
          <w:p>
            <w:pPr>
              <w:spacing w:after="0"/>
              <w:rPr>
                <w:sz w:val="20"/>
                <w:szCs w:val="20"/>
                <w:color w:val="auto"/>
              </w:rPr>
            </w:pPr>
            <w:r>
              <w:rPr>
                <w:rFonts w:ascii="Arial" w:cs="Arial" w:eastAsia="Arial" w:hAnsi="Arial"/>
                <w:sz w:val="12"/>
                <w:szCs w:val="12"/>
                <w:color w:val="auto"/>
              </w:rPr>
              <w:t>Questex,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09/09/2024</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Diversified and Production</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8.57%</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80" w:type="dxa"/>
            <w:vAlign w:val="bottom"/>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7,351,373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7,350,000</w:t>
            </w: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7"/>
                <w:szCs w:val="17"/>
                <w:color w:val="auto"/>
                <w:vertAlign w:val="superscript"/>
              </w:rPr>
              <w:t>(7)</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09/09/2024</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1"/>
              </w:rPr>
              <w:t>Media: Diversified and Production</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8.57%</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L+625</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199,468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199,468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195,479</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7"/>
                <w:szCs w:val="17"/>
                <w:color w:val="auto"/>
                <w:vertAlign w:val="superscript"/>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09/09/2024</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Diversified and Production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997,340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(19,947)</w:t>
            </w:r>
          </w:p>
        </w:tc>
      </w:tr>
      <w:tr>
        <w:trPr>
          <w:trHeight w:val="148"/>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Quick Weight Loss Centers, LLC</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08/23/2021</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7.06%</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L+475</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9,375,000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9,288,885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7,921,875</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Pr>
          <w:p>
            <w:pPr>
              <w:spacing w:after="0"/>
              <w:rPr>
                <w:sz w:val="20"/>
                <w:szCs w:val="20"/>
                <w:color w:val="auto"/>
              </w:rPr>
            </w:pPr>
            <w:r>
              <w:rPr>
                <w:rFonts w:ascii="Arial" w:cs="Arial" w:eastAsia="Arial" w:hAnsi="Arial"/>
                <w:sz w:val="12"/>
                <w:szCs w:val="12"/>
                <w:color w:val="auto"/>
              </w:rPr>
              <w:t>Research Horizons,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06/28/2022</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8.36%</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80" w:type="dxa"/>
            <w:vAlign w:val="bottom"/>
          </w:tcPr>
          <w:p>
            <w:pPr>
              <w:jc w:val="right"/>
              <w:spacing w:after="0"/>
              <w:rPr>
                <w:sz w:val="20"/>
                <w:szCs w:val="20"/>
                <w:color w:val="auto"/>
              </w:rPr>
            </w:pPr>
            <w:r>
              <w:rPr>
                <w:rFonts w:ascii="Arial" w:cs="Arial" w:eastAsia="Arial" w:hAnsi="Arial"/>
                <w:sz w:val="12"/>
                <w:szCs w:val="12"/>
                <w:color w:val="auto"/>
              </w:rPr>
              <w:t>5,250,000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5,150,977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5,145,000</w:t>
            </w: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Research Horizons, LLC </w:t>
            </w:r>
            <w:r>
              <w:rPr>
                <w:rFonts w:ascii="Arial" w:cs="Arial" w:eastAsia="Arial" w:hAnsi="Arial"/>
                <w:sz w:val="17"/>
                <w:szCs w:val="17"/>
                <w:color w:val="auto"/>
                <w:vertAlign w:val="superscript"/>
              </w:rPr>
              <w:t>(7), (8)</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06/28/2022</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2,128,378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(42,568)</w:t>
            </w: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Research Horizons, LLC (Revolver) </w:t>
            </w:r>
            <w:r>
              <w:rPr>
                <w:rFonts w:ascii="Arial" w:cs="Arial" w:eastAsia="Arial" w:hAnsi="Arial"/>
                <w:sz w:val="17"/>
                <w:szCs w:val="17"/>
                <w:color w:val="auto"/>
                <w:vertAlign w:val="superscript"/>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06/28/2022</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8.36%</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80" w:type="dxa"/>
            <w:vAlign w:val="bottom"/>
          </w:tcPr>
          <w:p>
            <w:pPr>
              <w:jc w:val="right"/>
              <w:spacing w:after="0"/>
              <w:rPr>
                <w:sz w:val="20"/>
                <w:szCs w:val="20"/>
                <w:color w:val="auto"/>
              </w:rPr>
            </w:pPr>
            <w:r>
              <w:rPr>
                <w:rFonts w:ascii="Arial" w:cs="Arial" w:eastAsia="Arial" w:hAnsi="Arial"/>
                <w:sz w:val="12"/>
                <w:szCs w:val="12"/>
                <w:color w:val="auto"/>
              </w:rPr>
              <w:t>416,216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416,216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407,892</w:t>
            </w: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Research Horizons, LLC (Revolver) </w:t>
            </w:r>
            <w:r>
              <w:rPr>
                <w:rFonts w:ascii="Arial" w:cs="Arial" w:eastAsia="Arial" w:hAnsi="Arial"/>
                <w:sz w:val="17"/>
                <w:szCs w:val="17"/>
                <w:color w:val="auto"/>
                <w:vertAlign w:val="superscript"/>
              </w:rPr>
              <w:t>(7), (8)</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06/28/2022</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529,730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(10,595)</w:t>
            </w:r>
          </w:p>
        </w:tc>
      </w:tr>
      <w:tr>
        <w:trPr>
          <w:trHeight w:val="156"/>
        </w:trPr>
        <w:tc>
          <w:tcPr>
            <w:tcW w:w="3340" w:type="dxa"/>
            <w:vAlign w:val="bottom"/>
          </w:tcPr>
          <w:p>
            <w:pPr>
              <w:spacing w:after="0"/>
              <w:rPr>
                <w:sz w:val="20"/>
                <w:szCs w:val="20"/>
                <w:color w:val="auto"/>
              </w:rPr>
            </w:pPr>
            <w:r>
              <w:rPr>
                <w:rFonts w:ascii="Arial" w:cs="Arial" w:eastAsia="Arial" w:hAnsi="Arial"/>
                <w:sz w:val="12"/>
                <w:szCs w:val="12"/>
                <w:color w:val="auto"/>
              </w:rPr>
              <w:t>Research Now Group, Inc. and Survey Sampling</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12/20/2024</w:t>
            </w:r>
          </w:p>
        </w:tc>
        <w:tc>
          <w:tcPr>
            <w:tcW w:w="240" w:type="dxa"/>
            <w:vAlign w:val="bottom"/>
          </w:tcPr>
          <w:p>
            <w:pPr>
              <w:spacing w:after="0"/>
              <w:rPr>
                <w:sz w:val="13"/>
                <w:szCs w:val="13"/>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7.74%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L+550</w:t>
            </w:r>
          </w:p>
        </w:tc>
        <w:tc>
          <w:tcPr>
            <w:tcW w:w="680" w:type="dxa"/>
            <w:vAlign w:val="bottom"/>
          </w:tcPr>
          <w:p>
            <w:pPr>
              <w:jc w:val="right"/>
              <w:spacing w:after="0"/>
              <w:rPr>
                <w:sz w:val="20"/>
                <w:szCs w:val="20"/>
                <w:color w:val="auto"/>
              </w:rPr>
            </w:pPr>
            <w:r>
              <w:rPr>
                <w:rFonts w:ascii="Arial" w:cs="Arial" w:eastAsia="Arial" w:hAnsi="Arial"/>
                <w:sz w:val="12"/>
                <w:szCs w:val="12"/>
                <w:color w:val="auto"/>
              </w:rPr>
              <w:t>24,812,500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23,676,196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24,882,223</w:t>
            </w:r>
          </w:p>
        </w:tc>
        <w:tc>
          <w:tcPr>
            <w:tcW w:w="100" w:type="dxa"/>
            <w:vAlign w:val="bottom"/>
          </w:tcPr>
          <w:p>
            <w:pPr>
              <w:spacing w:after="0"/>
              <w:rPr>
                <w:sz w:val="13"/>
                <w:szCs w:val="13"/>
                <w:color w:val="auto"/>
              </w:rPr>
            </w:pPr>
          </w:p>
        </w:tc>
      </w:tr>
      <w:tr>
        <w:trPr>
          <w:trHeight w:val="141"/>
        </w:trPr>
        <w:tc>
          <w:tcPr>
            <w:tcW w:w="3340" w:type="dxa"/>
            <w:vAlign w:val="bottom"/>
          </w:tcPr>
          <w:p>
            <w:pPr>
              <w:ind w:left="140"/>
              <w:spacing w:after="0"/>
              <w:rPr>
                <w:sz w:val="20"/>
                <w:szCs w:val="20"/>
                <w:color w:val="auto"/>
              </w:rPr>
            </w:pPr>
            <w:r>
              <w:rPr>
                <w:rFonts w:ascii="Arial" w:cs="Arial" w:eastAsia="Arial" w:hAnsi="Arial"/>
                <w:sz w:val="12"/>
                <w:szCs w:val="12"/>
                <w:color w:val="auto"/>
              </w:rPr>
              <w:t>International LLC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Salient CRGT Inc.</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02/28/2022</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7.99%</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L+575</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18,136,905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17,867,722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18,318,274</w:t>
            </w:r>
          </w:p>
        </w:tc>
        <w:tc>
          <w:tcPr>
            <w:tcW w:w="100" w:type="dxa"/>
            <w:vAlign w:val="bottom"/>
            <w:shd w:val="clear" w:color="auto" w:fill="CFF0FC"/>
          </w:tcPr>
          <w:p>
            <w:pPr>
              <w:spacing w:after="0"/>
              <w:rPr>
                <w:sz w:val="12"/>
                <w:szCs w:val="12"/>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SFP Holding, Inc. </w:t>
            </w:r>
            <w:r>
              <w:rPr>
                <w:rFonts w:ascii="Arial" w:cs="Arial" w:eastAsia="Arial" w:hAnsi="Arial"/>
                <w:sz w:val="17"/>
                <w:szCs w:val="17"/>
                <w:color w:val="auto"/>
                <w:vertAlign w:val="superscript"/>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09/01/2022</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8.59%</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80" w:type="dxa"/>
            <w:vAlign w:val="bottom"/>
          </w:tcPr>
          <w:p>
            <w:pPr>
              <w:jc w:val="right"/>
              <w:spacing w:after="0"/>
              <w:rPr>
                <w:sz w:val="20"/>
                <w:szCs w:val="20"/>
                <w:color w:val="auto"/>
              </w:rPr>
            </w:pPr>
            <w:r>
              <w:rPr>
                <w:rFonts w:ascii="Arial" w:cs="Arial" w:eastAsia="Arial" w:hAnsi="Arial"/>
                <w:sz w:val="12"/>
                <w:szCs w:val="12"/>
                <w:color w:val="auto"/>
              </w:rPr>
              <w:t>5,985,000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5,898,822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5,985,000</w:t>
            </w: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SFP Holding, Inc. </w:t>
            </w:r>
            <w:r>
              <w:rPr>
                <w:rFonts w:ascii="Arial" w:cs="Arial" w:eastAsia="Arial" w:hAnsi="Arial"/>
                <w:sz w:val="17"/>
                <w:szCs w:val="17"/>
                <w:color w:val="auto"/>
                <w:vertAlign w:val="superscript"/>
              </w:rPr>
              <w:t>(7), (8)</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09/01/2022</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4,125,000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SFP Holding, Inc. (Revolver) </w:t>
            </w:r>
            <w:r>
              <w:rPr>
                <w:rFonts w:ascii="Arial" w:cs="Arial" w:eastAsia="Arial" w:hAnsi="Arial"/>
                <w:sz w:val="17"/>
                <w:szCs w:val="17"/>
                <w:color w:val="auto"/>
                <w:vertAlign w:val="superscript"/>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09/01/2022</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7"/>
                <w:szCs w:val="17"/>
                <w:color w:val="auto"/>
                <w:vertAlign w:val="superscript"/>
              </w:rPr>
              <w:t>(7)</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07/19/2021</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8.10%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L+600</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483,333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483,333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418,084</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7"/>
                <w:szCs w:val="17"/>
                <w:color w:val="auto"/>
                <w:vertAlign w:val="superscript"/>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07/19/2021</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183,333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(24,750)</w:t>
            </w:r>
          </w:p>
        </w:tc>
      </w:tr>
      <w:tr>
        <w:trPr>
          <w:trHeight w:val="149"/>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17"/>
                <w:szCs w:val="17"/>
                <w:color w:val="auto"/>
                <w:vertAlign w:val="superscript"/>
              </w:rPr>
              <w:t>(7), (8)</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02/22/2019</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133,333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(667)</w:t>
            </w:r>
          </w:p>
        </w:tc>
      </w:tr>
      <w:tr>
        <w:trPr>
          <w:trHeight w:val="148"/>
        </w:trPr>
        <w:tc>
          <w:tcPr>
            <w:tcW w:w="3340" w:type="dxa"/>
            <w:vAlign w:val="bottom"/>
          </w:tcPr>
          <w:p>
            <w:pPr>
              <w:spacing w:after="0"/>
              <w:rPr>
                <w:sz w:val="20"/>
                <w:szCs w:val="20"/>
                <w:color w:val="auto"/>
              </w:rPr>
            </w:pPr>
            <w:r>
              <w:rPr>
                <w:rFonts w:ascii="Arial" w:cs="Arial" w:eastAsia="Arial" w:hAnsi="Arial"/>
                <w:sz w:val="12"/>
                <w:szCs w:val="12"/>
                <w:color w:val="auto"/>
              </w:rPr>
              <w:t>Softvision,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05/21/2021</w:t>
            </w:r>
          </w:p>
        </w:tc>
        <w:tc>
          <w:tcPr>
            <w:tcW w:w="240" w:type="dxa"/>
            <w:vAlign w:val="bottom"/>
          </w:tcPr>
          <w:p>
            <w:pPr>
              <w:spacing w:after="0"/>
              <w:rPr>
                <w:sz w:val="12"/>
                <w:szCs w:val="12"/>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7.74%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L+550</w:t>
            </w:r>
          </w:p>
        </w:tc>
        <w:tc>
          <w:tcPr>
            <w:tcW w:w="680" w:type="dxa"/>
            <w:vAlign w:val="bottom"/>
          </w:tcPr>
          <w:p>
            <w:pPr>
              <w:jc w:val="right"/>
              <w:spacing w:after="0"/>
              <w:rPr>
                <w:sz w:val="20"/>
                <w:szCs w:val="20"/>
                <w:color w:val="auto"/>
              </w:rPr>
            </w:pPr>
            <w:r>
              <w:rPr>
                <w:rFonts w:ascii="Arial" w:cs="Arial" w:eastAsia="Arial" w:hAnsi="Arial"/>
                <w:sz w:val="12"/>
                <w:szCs w:val="12"/>
                <w:color w:val="auto"/>
              </w:rPr>
              <w:t>10,201,863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10,146,148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10,201,863</w:t>
            </w:r>
          </w:p>
        </w:tc>
        <w:tc>
          <w:tcPr>
            <w:tcW w:w="100" w:type="dxa"/>
            <w:vAlign w:val="bottom"/>
          </w:tcPr>
          <w:p>
            <w:pPr>
              <w:spacing w:after="0"/>
              <w:rPr>
                <w:sz w:val="12"/>
                <w:szCs w:val="12"/>
                <w:color w:val="auto"/>
              </w:rPr>
            </w:pPr>
          </w:p>
        </w:tc>
      </w:tr>
      <w:tr>
        <w:trPr>
          <w:trHeight w:val="149"/>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TeleGuam Holdings, LLC</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07/25/2023</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7.24%</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L+500</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7,920,000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7,818,453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7,939,800</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Pr>
          <w:p>
            <w:pPr>
              <w:spacing w:after="0"/>
              <w:rPr>
                <w:sz w:val="20"/>
                <w:szCs w:val="20"/>
                <w:color w:val="auto"/>
              </w:rPr>
            </w:pPr>
            <w:r>
              <w:rPr>
                <w:rFonts w:ascii="Arial" w:cs="Arial" w:eastAsia="Arial" w:hAnsi="Arial"/>
                <w:sz w:val="12"/>
                <w:szCs w:val="12"/>
                <w:color w:val="auto"/>
              </w:rPr>
              <w:t>Tensar Corporation</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07/09/2021</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7.14%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L+475</w:t>
            </w:r>
          </w:p>
        </w:tc>
        <w:tc>
          <w:tcPr>
            <w:tcW w:w="680" w:type="dxa"/>
            <w:vAlign w:val="bottom"/>
          </w:tcPr>
          <w:p>
            <w:pPr>
              <w:jc w:val="right"/>
              <w:spacing w:after="0"/>
              <w:rPr>
                <w:sz w:val="20"/>
                <w:szCs w:val="20"/>
                <w:color w:val="auto"/>
              </w:rPr>
            </w:pPr>
            <w:r>
              <w:rPr>
                <w:rFonts w:ascii="Arial" w:cs="Arial" w:eastAsia="Arial" w:hAnsi="Arial"/>
                <w:sz w:val="12"/>
                <w:szCs w:val="12"/>
                <w:color w:val="auto"/>
              </w:rPr>
              <w:t>22,620,696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22,474,697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22,281,386</w:t>
            </w:r>
          </w:p>
        </w:tc>
        <w:tc>
          <w:tcPr>
            <w:tcW w:w="100" w:type="dxa"/>
            <w:vAlign w:val="bottom"/>
          </w:tcPr>
          <w:p>
            <w:pPr>
              <w:spacing w:after="0"/>
              <w:rPr>
                <w:sz w:val="12"/>
                <w:szCs w:val="12"/>
                <w:color w:val="auto"/>
              </w:rPr>
            </w:pPr>
          </w:p>
        </w:tc>
      </w:tr>
      <w:tr>
        <w:trPr>
          <w:trHeight w:val="149"/>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The Infosoft Group, LLC</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12/02/2021</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7.56%</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L+525</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6,689,308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6,644,404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6,622,415</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The Original Cakerie, Co. </w:t>
            </w:r>
            <w:r>
              <w:rPr>
                <w:rFonts w:ascii="Arial" w:cs="Arial" w:eastAsia="Arial" w:hAnsi="Arial"/>
                <w:sz w:val="17"/>
                <w:szCs w:val="17"/>
                <w:color w:val="auto"/>
                <w:vertAlign w:val="superscript"/>
              </w:rPr>
              <w:t>(5), (9)</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07/20/2022</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Consumer Goods: Non-Durable</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7.20%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2M L+500</w:t>
            </w:r>
          </w:p>
        </w:tc>
        <w:tc>
          <w:tcPr>
            <w:tcW w:w="680" w:type="dxa"/>
            <w:vAlign w:val="bottom"/>
          </w:tcPr>
          <w:p>
            <w:pPr>
              <w:jc w:val="right"/>
              <w:spacing w:after="0"/>
              <w:rPr>
                <w:sz w:val="20"/>
                <w:szCs w:val="20"/>
                <w:color w:val="auto"/>
              </w:rPr>
            </w:pPr>
            <w:r>
              <w:rPr>
                <w:rFonts w:ascii="Arial" w:cs="Arial" w:eastAsia="Arial" w:hAnsi="Arial"/>
                <w:sz w:val="12"/>
                <w:szCs w:val="12"/>
                <w:color w:val="auto"/>
              </w:rPr>
              <w:t>7,721,739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7,658,431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7,721,739</w:t>
            </w: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The Original Cakerie Ltd. </w:t>
            </w:r>
            <w:r>
              <w:rPr>
                <w:rFonts w:ascii="Arial" w:cs="Arial" w:eastAsia="Arial" w:hAnsi="Arial"/>
                <w:sz w:val="17"/>
                <w:szCs w:val="17"/>
                <w:color w:val="auto"/>
                <w:vertAlign w:val="superscript"/>
              </w:rPr>
              <w:t>(5), (9)</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07/20/2022</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Consumer Goods: Non-Durable</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6.70%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2M L+450</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5,500,217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5,459,582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5,500,217</w:t>
            </w:r>
          </w:p>
        </w:tc>
        <w:tc>
          <w:tcPr>
            <w:tcW w:w="100" w:type="dxa"/>
            <w:vAlign w:val="bottom"/>
            <w:shd w:val="clear" w:color="auto" w:fill="CFF0FC"/>
          </w:tcPr>
          <w:p>
            <w:pPr>
              <w:spacing w:after="0"/>
              <w:rPr>
                <w:sz w:val="12"/>
                <w:szCs w:val="12"/>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17"/>
                <w:szCs w:val="17"/>
                <w:color w:val="auto"/>
                <w:vertAlign w:val="superscript"/>
              </w:rPr>
              <w:t>(5), (7), (9)</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07/20/2022</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Consumer Goods: Non-Durable</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6.58%</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80" w:type="dxa"/>
            <w:vAlign w:val="bottom"/>
          </w:tcPr>
          <w:p>
            <w:pPr>
              <w:jc w:val="right"/>
              <w:spacing w:after="0"/>
              <w:rPr>
                <w:sz w:val="20"/>
                <w:szCs w:val="20"/>
                <w:color w:val="auto"/>
              </w:rPr>
            </w:pPr>
            <w:r>
              <w:rPr>
                <w:rFonts w:ascii="Arial" w:cs="Arial" w:eastAsia="Arial" w:hAnsi="Arial"/>
                <w:sz w:val="12"/>
                <w:szCs w:val="12"/>
                <w:color w:val="auto"/>
              </w:rPr>
              <w:t>255,327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255,327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255,327</w:t>
            </w: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17"/>
                <w:szCs w:val="17"/>
                <w:color w:val="auto"/>
                <w:vertAlign w:val="superscript"/>
              </w:rPr>
              <w:t>(5), (7), (8), (9)</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07/20/2022</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Consumer Goods: Non-Durable</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1,163,157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34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12/28/2020</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15.49%</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1ML+1,325</w:t>
            </w:r>
          </w:p>
        </w:tc>
        <w:tc>
          <w:tcPr>
            <w:tcW w:w="680" w:type="dxa"/>
            <w:vAlign w:val="bottom"/>
          </w:tcPr>
          <w:p>
            <w:pPr>
              <w:jc w:val="right"/>
              <w:spacing w:after="0"/>
              <w:rPr>
                <w:sz w:val="20"/>
                <w:szCs w:val="20"/>
                <w:color w:val="auto"/>
              </w:rPr>
            </w:pPr>
            <w:r>
              <w:rPr>
                <w:rFonts w:ascii="Arial" w:cs="Arial" w:eastAsia="Arial" w:hAnsi="Arial"/>
                <w:sz w:val="12"/>
                <w:szCs w:val="12"/>
                <w:color w:val="auto"/>
              </w:rPr>
              <w:t>8,470,850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8,383,257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8,216,724</w:t>
            </w:r>
          </w:p>
        </w:tc>
        <w:tc>
          <w:tcPr>
            <w:tcW w:w="100" w:type="dxa"/>
            <w:vAlign w:val="bottom"/>
          </w:tcPr>
          <w:p>
            <w:pPr>
              <w:spacing w:after="0"/>
              <w:rPr>
                <w:sz w:val="12"/>
                <w:szCs w:val="12"/>
                <w:color w:val="auto"/>
              </w:rPr>
            </w:pPr>
          </w:p>
        </w:tc>
      </w:tr>
      <w:tr>
        <w:trPr>
          <w:trHeight w:val="149"/>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UBEO, LLC </w:t>
            </w:r>
            <w:r>
              <w:rPr>
                <w:rFonts w:ascii="Arial" w:cs="Arial" w:eastAsia="Arial" w:hAnsi="Arial"/>
                <w:sz w:val="17"/>
                <w:szCs w:val="17"/>
                <w:color w:val="auto"/>
                <w:vertAlign w:val="superscript"/>
              </w:rPr>
              <w:t>(7)</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04/03/2024</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6.60%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L+450</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1,995,000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1,976,435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1,995,000</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17"/>
                <w:szCs w:val="17"/>
                <w:color w:val="auto"/>
                <w:vertAlign w:val="superscript"/>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04/03/2024</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6.88%</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L+450</w:t>
            </w:r>
          </w:p>
        </w:tc>
        <w:tc>
          <w:tcPr>
            <w:tcW w:w="680" w:type="dxa"/>
            <w:vAlign w:val="bottom"/>
          </w:tcPr>
          <w:p>
            <w:pPr>
              <w:jc w:val="right"/>
              <w:spacing w:after="0"/>
              <w:rPr>
                <w:sz w:val="20"/>
                <w:szCs w:val="20"/>
                <w:color w:val="auto"/>
              </w:rPr>
            </w:pPr>
            <w:r>
              <w:rPr>
                <w:rFonts w:ascii="Arial" w:cs="Arial" w:eastAsia="Arial" w:hAnsi="Arial"/>
                <w:sz w:val="12"/>
                <w:szCs w:val="12"/>
                <w:color w:val="auto"/>
              </w:rPr>
              <w:t>1,173,333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1,173,333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1,173,333</w:t>
            </w:r>
          </w:p>
        </w:tc>
        <w:tc>
          <w:tcPr>
            <w:tcW w:w="100" w:type="dxa"/>
            <w:vAlign w:val="bottom"/>
          </w:tcPr>
          <w:p>
            <w:pPr>
              <w:spacing w:after="0"/>
              <w:rPr>
                <w:sz w:val="12"/>
                <w:szCs w:val="12"/>
                <w:color w:val="auto"/>
              </w:rPr>
            </w:pPr>
          </w:p>
        </w:tc>
      </w:tr>
      <w:tr>
        <w:trPr>
          <w:trHeight w:val="149"/>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17"/>
                <w:szCs w:val="17"/>
                <w:color w:val="auto"/>
                <w:vertAlign w:val="superscript"/>
              </w:rPr>
              <w:t>(7), (8)</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04/03/2024</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1,026,667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7"/>
                <w:szCs w:val="17"/>
                <w:color w:val="auto"/>
                <w:vertAlign w:val="superscript"/>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08/20/2024</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7.89%</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L+550</w:t>
            </w:r>
          </w:p>
        </w:tc>
        <w:tc>
          <w:tcPr>
            <w:tcW w:w="680" w:type="dxa"/>
            <w:vAlign w:val="bottom"/>
          </w:tcPr>
          <w:p>
            <w:pPr>
              <w:jc w:val="right"/>
              <w:spacing w:after="0"/>
              <w:rPr>
                <w:sz w:val="20"/>
                <w:szCs w:val="20"/>
                <w:color w:val="auto"/>
              </w:rPr>
            </w:pPr>
            <w:r>
              <w:rPr>
                <w:rFonts w:ascii="Arial" w:cs="Arial" w:eastAsia="Arial" w:hAnsi="Arial"/>
                <w:sz w:val="12"/>
                <w:szCs w:val="12"/>
                <w:color w:val="auto"/>
              </w:rPr>
              <w:t>8,750,000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8,533,866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8,662,500</w:t>
            </w: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17"/>
                <w:szCs w:val="17"/>
                <w:color w:val="auto"/>
                <w:vertAlign w:val="superscript"/>
              </w:rPr>
              <w:t>(7), (8)</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08/20/2024</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1,750,000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(17,500)</w:t>
            </w:r>
          </w:p>
        </w:tc>
      </w:tr>
      <w:tr>
        <w:trPr>
          <w:trHeight w:val="149"/>
        </w:trPr>
        <w:tc>
          <w:tcPr>
            <w:tcW w:w="3340" w:type="dxa"/>
            <w:vAlign w:val="bottom"/>
          </w:tcPr>
          <w:p>
            <w:pPr>
              <w:spacing w:after="0"/>
              <w:rPr>
                <w:sz w:val="20"/>
                <w:szCs w:val="20"/>
                <w:color w:val="auto"/>
              </w:rPr>
            </w:pPr>
            <w:r>
              <w:rPr>
                <w:rFonts w:ascii="Arial" w:cs="Arial" w:eastAsia="Arial" w:hAnsi="Arial"/>
                <w:sz w:val="12"/>
                <w:szCs w:val="12"/>
                <w:color w:val="auto"/>
              </w:rPr>
              <w:t>US Dominion,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07/15/2024</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9.14%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L+675</w:t>
            </w:r>
          </w:p>
        </w:tc>
        <w:tc>
          <w:tcPr>
            <w:tcW w:w="680" w:type="dxa"/>
            <w:vAlign w:val="bottom"/>
          </w:tcPr>
          <w:p>
            <w:pPr>
              <w:jc w:val="right"/>
              <w:spacing w:after="0"/>
              <w:rPr>
                <w:sz w:val="20"/>
                <w:szCs w:val="20"/>
                <w:color w:val="auto"/>
              </w:rPr>
            </w:pPr>
            <w:r>
              <w:rPr>
                <w:rFonts w:ascii="Arial" w:cs="Arial" w:eastAsia="Arial" w:hAnsi="Arial"/>
                <w:sz w:val="12"/>
                <w:szCs w:val="12"/>
                <w:color w:val="auto"/>
              </w:rPr>
              <w:t>5,985,000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5,883,015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5,985,000</w:t>
            </w: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US Dominion, Inc. (Revolver) </w:t>
            </w:r>
            <w:r>
              <w:rPr>
                <w:rFonts w:ascii="Arial" w:cs="Arial" w:eastAsia="Arial" w:hAnsi="Arial"/>
                <w:sz w:val="17"/>
                <w:szCs w:val="17"/>
                <w:color w:val="auto"/>
                <w:vertAlign w:val="superscript"/>
              </w:rPr>
              <w:t>(7), (8)</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07/15/2024</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US Med Acquisition, Inc. </w:t>
            </w:r>
            <w:r>
              <w:rPr>
                <w:rFonts w:ascii="Arial" w:cs="Arial" w:eastAsia="Arial" w:hAnsi="Arial"/>
                <w:sz w:val="17"/>
                <w:szCs w:val="17"/>
                <w:color w:val="auto"/>
                <w:vertAlign w:val="superscript"/>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08/13/2021</w:t>
            </w:r>
          </w:p>
        </w:tc>
        <w:tc>
          <w:tcPr>
            <w:tcW w:w="240" w:type="dxa"/>
            <w:vAlign w:val="bottom"/>
          </w:tcPr>
          <w:p>
            <w:pPr>
              <w:spacing w:after="0"/>
              <w:rPr>
                <w:sz w:val="12"/>
                <w:szCs w:val="12"/>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11.39%</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80" w:type="dxa"/>
            <w:vAlign w:val="bottom"/>
          </w:tcPr>
          <w:p>
            <w:pPr>
              <w:jc w:val="right"/>
              <w:spacing w:after="0"/>
              <w:rPr>
                <w:sz w:val="20"/>
                <w:szCs w:val="20"/>
                <w:color w:val="auto"/>
              </w:rPr>
            </w:pPr>
            <w:r>
              <w:rPr>
                <w:rFonts w:ascii="Arial" w:cs="Arial" w:eastAsia="Arial" w:hAnsi="Arial"/>
                <w:sz w:val="12"/>
                <w:szCs w:val="12"/>
                <w:color w:val="auto"/>
              </w:rPr>
              <w:t>3,027,344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3,027,344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2,875,976</w:t>
            </w:r>
          </w:p>
        </w:tc>
        <w:tc>
          <w:tcPr>
            <w:tcW w:w="100" w:type="dxa"/>
            <w:vAlign w:val="bottom"/>
          </w:tcPr>
          <w:p>
            <w:pPr>
              <w:spacing w:after="0"/>
              <w:rPr>
                <w:sz w:val="12"/>
                <w:szCs w:val="12"/>
                <w:color w:val="auto"/>
              </w:rPr>
            </w:pPr>
          </w:p>
        </w:tc>
      </w:tr>
      <w:tr>
        <w:trPr>
          <w:trHeight w:val="149"/>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Veterinary Specialists of North America, LLC </w:t>
            </w:r>
            <w:r>
              <w:rPr>
                <w:rFonts w:ascii="Arial" w:cs="Arial" w:eastAsia="Arial" w:hAnsi="Arial"/>
                <w:sz w:val="17"/>
                <w:szCs w:val="17"/>
                <w:color w:val="auto"/>
                <w:vertAlign w:val="superscript"/>
              </w:rPr>
              <w:t>(7)</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07/15/2021</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7.75%</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1M L+550</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15,398,203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15,324,732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15,475,194</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Veterinary Specialists of North America, LLC </w:t>
            </w:r>
            <w:r>
              <w:rPr>
                <w:rFonts w:ascii="Arial" w:cs="Arial" w:eastAsia="Arial" w:hAnsi="Arial"/>
                <w:sz w:val="17"/>
                <w:szCs w:val="17"/>
                <w:color w:val="auto"/>
                <w:vertAlign w:val="superscript"/>
              </w:rPr>
              <w:t>(7), (8)</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07/15/2021</w:t>
            </w:r>
          </w:p>
        </w:tc>
        <w:tc>
          <w:tcPr>
            <w:tcW w:w="240" w:type="dxa"/>
            <w:vAlign w:val="bottom"/>
          </w:tcPr>
          <w:p>
            <w:pPr>
              <w:spacing w:after="0"/>
              <w:rPr>
                <w:sz w:val="12"/>
                <w:szCs w:val="12"/>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2,094,671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10,473</w:t>
            </w:r>
          </w:p>
        </w:tc>
        <w:tc>
          <w:tcPr>
            <w:tcW w:w="100" w:type="dxa"/>
            <w:vAlign w:val="bottom"/>
          </w:tcPr>
          <w:p>
            <w:pPr>
              <w:spacing w:after="0"/>
              <w:rPr>
                <w:sz w:val="12"/>
                <w:szCs w:val="12"/>
                <w:color w:val="auto"/>
              </w:rPr>
            </w:pPr>
          </w:p>
        </w:tc>
      </w:tr>
      <w:tr>
        <w:trPr>
          <w:trHeight w:val="149"/>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Veterinary Specialists of North America, LLC</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07/15/2021</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4,400</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shd w:val="clear" w:color="auto" w:fill="CFF0FC"/>
          </w:tcPr>
          <w:p>
            <w:pPr>
              <w:ind w:left="140"/>
              <w:spacing w:after="0" w:line="149" w:lineRule="exact"/>
              <w:rPr>
                <w:sz w:val="20"/>
                <w:szCs w:val="20"/>
                <w:color w:val="auto"/>
              </w:rPr>
            </w:pPr>
            <w:r>
              <w:rPr>
                <w:rFonts w:ascii="Arial" w:cs="Arial" w:eastAsia="Arial" w:hAnsi="Arial"/>
                <w:sz w:val="11"/>
                <w:szCs w:val="11"/>
                <w:color w:val="auto"/>
              </w:rPr>
              <w:t xml:space="preserve">(Revolver) </w:t>
            </w:r>
            <w:r>
              <w:rPr>
                <w:rFonts w:ascii="Arial" w:cs="Arial" w:eastAsia="Arial" w:hAnsi="Arial"/>
                <w:sz w:val="17"/>
                <w:szCs w:val="17"/>
                <w:color w:val="auto"/>
                <w:vertAlign w:val="superscript"/>
              </w:rPr>
              <w:t>(7), (8)</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03/01/2023</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Goods: Durable</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8.25%</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80" w:type="dxa"/>
            <w:vAlign w:val="bottom"/>
          </w:tcPr>
          <w:p>
            <w:pPr>
              <w:jc w:val="right"/>
              <w:spacing w:after="0"/>
              <w:rPr>
                <w:sz w:val="20"/>
                <w:szCs w:val="20"/>
                <w:color w:val="auto"/>
              </w:rPr>
            </w:pPr>
            <w:r>
              <w:rPr>
                <w:rFonts w:ascii="Arial" w:cs="Arial" w:eastAsia="Arial" w:hAnsi="Arial"/>
                <w:sz w:val="12"/>
                <w:szCs w:val="12"/>
                <w:color w:val="auto"/>
              </w:rPr>
              <w:t>6,937,500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6,910,133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6,954,844</w:t>
            </w:r>
          </w:p>
        </w:tc>
        <w:tc>
          <w:tcPr>
            <w:tcW w:w="100" w:type="dxa"/>
            <w:vAlign w:val="bottom"/>
          </w:tcPr>
          <w:p>
            <w:pPr>
              <w:spacing w:after="0"/>
              <w:rPr>
                <w:sz w:val="12"/>
                <w:szCs w:val="12"/>
                <w:color w:val="auto"/>
              </w:rPr>
            </w:pPr>
          </w:p>
        </w:tc>
      </w:tr>
      <w:tr>
        <w:trPr>
          <w:trHeight w:val="149"/>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7"/>
                <w:szCs w:val="17"/>
                <w:color w:val="auto"/>
                <w:vertAlign w:val="superscript"/>
              </w:rPr>
              <w:t>(7)</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09/26/2024</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Wholesale</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8.88%</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L+650</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16,307,500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15,981,904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15,981,350</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Winchester Electronics Corporation</w:t>
            </w:r>
          </w:p>
        </w:tc>
        <w:tc>
          <w:tcPr>
            <w:tcW w:w="660" w:type="dxa"/>
            <w:vAlign w:val="bottom"/>
            <w:tcBorders>
              <w:bottom w:val="single" w:sz="8" w:color="CFF0FC"/>
            </w:tcBorders>
            <w:gridSpan w:val="2"/>
          </w:tcPr>
          <w:p>
            <w:pPr>
              <w:jc w:val="center"/>
              <w:ind w:left="62"/>
              <w:spacing w:after="0"/>
              <w:rPr>
                <w:sz w:val="20"/>
                <w:szCs w:val="20"/>
                <w:color w:val="auto"/>
              </w:rPr>
            </w:pPr>
            <w:r>
              <w:rPr>
                <w:rFonts w:ascii="Arial" w:cs="Arial" w:eastAsia="Arial" w:hAnsi="Arial"/>
                <w:sz w:val="12"/>
                <w:szCs w:val="12"/>
                <w:color w:val="auto"/>
                <w:w w:val="89"/>
              </w:rPr>
              <w:t>06/30/2022</w:t>
            </w:r>
          </w:p>
        </w:tc>
        <w:tc>
          <w:tcPr>
            <w:tcW w:w="240" w:type="dxa"/>
            <w:vAlign w:val="bottom"/>
            <w:tcBorders>
              <w:bottom w:val="single" w:sz="8" w:color="CFF0FC"/>
            </w:tcBorders>
          </w:tcPr>
          <w:p>
            <w:pPr>
              <w:spacing w:after="0"/>
              <w:rPr>
                <w:sz w:val="12"/>
                <w:szCs w:val="12"/>
                <w:color w:val="auto"/>
              </w:rPr>
            </w:pPr>
          </w:p>
        </w:tc>
        <w:tc>
          <w:tcPr>
            <w:tcW w:w="246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6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2"/>
                <w:szCs w:val="12"/>
                <w:color w:val="auto"/>
              </w:rPr>
              <w:t>8.74%</w:t>
            </w:r>
          </w:p>
        </w:tc>
        <w:tc>
          <w:tcPr>
            <w:tcW w:w="9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2"/>
                <w:szCs w:val="12"/>
                <w:color w:val="auto"/>
              </w:rPr>
              <w:t>1M L+650</w:t>
            </w: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11,724,183</w:t>
            </w: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11,675,472</w:t>
            </w: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11,724,182</w:t>
            </w:r>
          </w:p>
        </w:tc>
        <w:tc>
          <w:tcPr>
            <w:tcW w:w="100" w:type="dxa"/>
            <w:vAlign w:val="bottom"/>
            <w:tcBorders>
              <w:bottom w:val="single" w:sz="8" w:color="CFF0FC"/>
            </w:tcBorders>
          </w:tcPr>
          <w:p>
            <w:pPr>
              <w:spacing w:after="0"/>
              <w:rPr>
                <w:sz w:val="12"/>
                <w:szCs w:val="12"/>
                <w:color w:val="auto"/>
              </w:rPr>
            </w:pPr>
          </w:p>
        </w:tc>
      </w:tr>
      <w:tr>
        <w:trPr>
          <w:trHeight w:val="142"/>
        </w:trPr>
        <w:tc>
          <w:tcPr>
            <w:tcW w:w="33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817,243,688</w:t>
            </w:r>
          </w:p>
        </w:tc>
        <w:tc>
          <w:tcPr>
            <w:tcW w:w="2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812,235,476</w:t>
            </w:r>
          </w:p>
        </w:tc>
        <w:tc>
          <w:tcPr>
            <w:tcW w:w="100" w:type="dxa"/>
            <w:vAlign w:val="bottom"/>
            <w:shd w:val="clear" w:color="auto" w:fill="CFF0FC"/>
          </w:tcPr>
          <w:p>
            <w:pPr>
              <w:spacing w:after="0"/>
              <w:rPr>
                <w:sz w:val="12"/>
                <w:szCs w:val="12"/>
                <w:color w:val="auto"/>
              </w:rPr>
            </w:pPr>
          </w:p>
        </w:tc>
      </w:tr>
      <w:tr>
        <w:trPr>
          <w:trHeight w:val="142"/>
        </w:trPr>
        <w:tc>
          <w:tcPr>
            <w:tcW w:w="3340" w:type="dxa"/>
            <w:vAlign w:val="bottom"/>
          </w:tcPr>
          <w:p>
            <w:pPr>
              <w:spacing w:after="0"/>
              <w:rPr>
                <w:sz w:val="20"/>
                <w:szCs w:val="20"/>
                <w:color w:val="auto"/>
              </w:rPr>
            </w:pPr>
            <w:r>
              <w:rPr>
                <w:rFonts w:ascii="Arial" w:cs="Arial" w:eastAsia="Arial" w:hAnsi="Arial"/>
                <w:sz w:val="12"/>
                <w:szCs w:val="12"/>
                <w:b w:val="1"/>
                <w:bCs w:val="1"/>
                <w:color w:val="auto"/>
              </w:rPr>
              <w:t>Second Lien Secured Debt—4.0%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Condor Borrower, LLC </w:t>
            </w:r>
            <w:r>
              <w:rPr>
                <w:rFonts w:ascii="Arial" w:cs="Arial" w:eastAsia="Arial" w:hAnsi="Arial"/>
                <w:sz w:val="17"/>
                <w:szCs w:val="17"/>
                <w:color w:val="auto"/>
                <w:vertAlign w:val="superscript"/>
              </w:rPr>
              <w:t>(7)</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04/25/2025</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11.09%</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L+875</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1,963,478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2,000,000</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DecoPac, Inc. </w:t>
            </w:r>
            <w:r>
              <w:rPr>
                <w:rFonts w:ascii="Arial" w:cs="Arial" w:eastAsia="Arial" w:hAnsi="Arial"/>
                <w:sz w:val="17"/>
                <w:szCs w:val="17"/>
                <w:color w:val="auto"/>
                <w:vertAlign w:val="superscript"/>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03/31/2025</w:t>
            </w:r>
          </w:p>
        </w:tc>
        <w:tc>
          <w:tcPr>
            <w:tcW w:w="240" w:type="dxa"/>
            <w:vAlign w:val="bottom"/>
          </w:tcPr>
          <w:p>
            <w:pPr>
              <w:spacing w:after="0"/>
              <w:rPr>
                <w:sz w:val="12"/>
                <w:szCs w:val="12"/>
                <w:color w:val="auto"/>
              </w:rPr>
            </w:pPr>
          </w:p>
        </w:tc>
        <w:tc>
          <w:tcPr>
            <w:tcW w:w="24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10.64%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3M L+825</w:t>
            </w:r>
          </w:p>
        </w:tc>
        <w:tc>
          <w:tcPr>
            <w:tcW w:w="680" w:type="dxa"/>
            <w:vAlign w:val="bottom"/>
          </w:tcPr>
          <w:p>
            <w:pPr>
              <w:jc w:val="right"/>
              <w:spacing w:after="0"/>
              <w:rPr>
                <w:sz w:val="20"/>
                <w:szCs w:val="20"/>
                <w:color w:val="auto"/>
              </w:rPr>
            </w:pPr>
            <w:r>
              <w:rPr>
                <w:rFonts w:ascii="Arial" w:cs="Arial" w:eastAsia="Arial" w:hAnsi="Arial"/>
                <w:sz w:val="12"/>
                <w:szCs w:val="12"/>
                <w:color w:val="auto"/>
              </w:rPr>
              <w:t>11,341,463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11,136,261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11,341,463</w:t>
            </w:r>
          </w:p>
        </w:tc>
        <w:tc>
          <w:tcPr>
            <w:tcW w:w="100" w:type="dxa"/>
            <w:vAlign w:val="bottom"/>
          </w:tcPr>
          <w:p>
            <w:pPr>
              <w:spacing w:after="0"/>
              <w:rPr>
                <w:sz w:val="12"/>
                <w:szCs w:val="12"/>
                <w:color w:val="auto"/>
              </w:rPr>
            </w:pPr>
          </w:p>
        </w:tc>
      </w:tr>
      <w:tr>
        <w:trPr>
          <w:trHeight w:val="149"/>
        </w:trPr>
        <w:tc>
          <w:tcPr>
            <w:tcW w:w="3340" w:type="dxa"/>
            <w:vAlign w:val="bottom"/>
            <w:shd w:val="clear" w:color="auto" w:fill="CFF0FC"/>
          </w:tcPr>
          <w:p>
            <w:pPr>
              <w:spacing w:after="0"/>
              <w:rPr>
                <w:sz w:val="20"/>
                <w:szCs w:val="20"/>
                <w:color w:val="auto"/>
              </w:rPr>
            </w:pPr>
            <w:r>
              <w:rPr>
                <w:rFonts w:ascii="Arial" w:cs="Arial" w:eastAsia="Arial" w:hAnsi="Arial"/>
                <w:sz w:val="12"/>
                <w:szCs w:val="12"/>
                <w:color w:val="auto"/>
              </w:rPr>
              <w:t>MailSouth, Inc.</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10/23/2024</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1"/>
              </w:rPr>
              <w:t>Media: Advertising, Printing and Publishing</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 L+925</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3,775,000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3,702,622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3,699,500</w:t>
            </w:r>
          </w:p>
        </w:tc>
        <w:tc>
          <w:tcPr>
            <w:tcW w:w="100" w:type="dxa"/>
            <w:vAlign w:val="bottom"/>
            <w:shd w:val="clear" w:color="auto" w:fill="CFF0FC"/>
          </w:tcPr>
          <w:p>
            <w:pPr>
              <w:spacing w:after="0"/>
              <w:rPr>
                <w:sz w:val="12"/>
                <w:szCs w:val="12"/>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1"/>
                <w:szCs w:val="11"/>
                <w:color w:val="auto"/>
              </w:rPr>
              <w:t xml:space="preserve">McAfee, LLC </w:t>
            </w:r>
            <w:r>
              <w:rPr>
                <w:rFonts w:ascii="Arial" w:cs="Arial" w:eastAsia="Arial" w:hAnsi="Arial"/>
                <w:sz w:val="17"/>
                <w:szCs w:val="17"/>
                <w:color w:val="auto"/>
                <w:vertAlign w:val="superscript"/>
              </w:rPr>
              <w:t>(7)</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09/29/2025</w:t>
            </w:r>
          </w:p>
        </w:tc>
        <w:tc>
          <w:tcPr>
            <w:tcW w:w="240" w:type="dxa"/>
            <w:vAlign w:val="bottom"/>
          </w:tcPr>
          <w:p>
            <w:pPr>
              <w:spacing w:after="0"/>
              <w:rPr>
                <w:sz w:val="12"/>
                <w:szCs w:val="12"/>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10.74%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80" w:type="dxa"/>
            <w:vAlign w:val="bottom"/>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2,464,229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2,543,750</w:t>
            </w:r>
          </w:p>
        </w:tc>
        <w:tc>
          <w:tcPr>
            <w:tcW w:w="100" w:type="dxa"/>
            <w:vAlign w:val="bottom"/>
          </w:tcPr>
          <w:p>
            <w:pPr>
              <w:spacing w:after="0"/>
              <w:rPr>
                <w:sz w:val="12"/>
                <w:szCs w:val="12"/>
                <w:color w:val="auto"/>
              </w:rPr>
            </w:pPr>
          </w:p>
        </w:tc>
      </w:tr>
      <w:tr>
        <w:trPr>
          <w:trHeight w:val="148"/>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7"/>
                <w:szCs w:val="17"/>
                <w:color w:val="auto"/>
                <w:vertAlign w:val="superscript"/>
              </w:rPr>
              <w:t>(7)</w:t>
            </w:r>
          </w:p>
        </w:tc>
        <w:tc>
          <w:tcPr>
            <w:tcW w:w="660" w:type="dxa"/>
            <w:vAlign w:val="bottom"/>
            <w:gridSpan w:val="2"/>
            <w:shd w:val="clear" w:color="auto" w:fill="CFF0FC"/>
          </w:tcPr>
          <w:p>
            <w:pPr>
              <w:jc w:val="center"/>
              <w:ind w:left="62"/>
              <w:spacing w:after="0"/>
              <w:rPr>
                <w:sz w:val="20"/>
                <w:szCs w:val="20"/>
                <w:color w:val="auto"/>
              </w:rPr>
            </w:pPr>
            <w:r>
              <w:rPr>
                <w:rFonts w:ascii="Arial" w:cs="Arial" w:eastAsia="Arial" w:hAnsi="Arial"/>
                <w:sz w:val="12"/>
                <w:szCs w:val="12"/>
                <w:color w:val="auto"/>
                <w:w w:val="89"/>
              </w:rPr>
              <w:t>04/12/2023</w:t>
            </w:r>
          </w:p>
        </w:tc>
        <w:tc>
          <w:tcPr>
            <w:tcW w:w="240" w:type="dxa"/>
            <w:vAlign w:val="bottom"/>
            <w:shd w:val="clear" w:color="auto" w:fill="CFF0FC"/>
          </w:tcPr>
          <w:p>
            <w:pPr>
              <w:spacing w:after="0"/>
              <w:rPr>
                <w:sz w:val="12"/>
                <w:szCs w:val="12"/>
                <w:color w:val="auto"/>
              </w:rPr>
            </w:pPr>
          </w:p>
        </w:tc>
        <w:tc>
          <w:tcPr>
            <w:tcW w:w="246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12.34%</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3ML+1,000</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1,666,667</w:t>
            </w:r>
          </w:p>
        </w:tc>
        <w:tc>
          <w:tcPr>
            <w:tcW w:w="2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1,638,368</w:t>
            </w:r>
          </w:p>
        </w:tc>
        <w:tc>
          <w:tcPr>
            <w:tcW w:w="2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1,650,000</w:t>
            </w:r>
          </w:p>
        </w:tc>
        <w:tc>
          <w:tcPr>
            <w:tcW w:w="100" w:type="dxa"/>
            <w:vAlign w:val="bottom"/>
            <w:shd w:val="clear" w:color="auto" w:fill="CFF0FC"/>
          </w:tcPr>
          <w:p>
            <w:pPr>
              <w:spacing w:after="0"/>
              <w:rPr>
                <w:sz w:val="12"/>
                <w:szCs w:val="12"/>
                <w:color w:val="auto"/>
              </w:rPr>
            </w:pPr>
          </w:p>
        </w:tc>
      </w:tr>
      <w:tr>
        <w:trPr>
          <w:trHeight w:val="142"/>
        </w:trPr>
        <w:tc>
          <w:tcPr>
            <w:tcW w:w="334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Borders>
              <w:bottom w:val="single" w:sz="8" w:color="CFF0FC"/>
            </w:tcBorders>
          </w:tcPr>
          <w:p>
            <w:pPr>
              <w:spacing w:after="0"/>
              <w:rPr>
                <w:sz w:val="12"/>
                <w:szCs w:val="12"/>
                <w:color w:val="auto"/>
              </w:rPr>
            </w:pPr>
          </w:p>
        </w:tc>
        <w:tc>
          <w:tcPr>
            <w:tcW w:w="54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3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20,904,958</w:t>
            </w: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21,234,713</w:t>
            </w:r>
          </w:p>
        </w:tc>
        <w:tc>
          <w:tcPr>
            <w:tcW w:w="100" w:type="dxa"/>
            <w:vAlign w:val="bottom"/>
            <w:tcBorders>
              <w:bottom w:val="single" w:sz="8" w:color="CFF0FC"/>
            </w:tcBorders>
          </w:tcPr>
          <w:p>
            <w:pPr>
              <w:spacing w:after="0"/>
              <w:rPr>
                <w:sz w:val="12"/>
                <w:szCs w:val="12"/>
                <w:color w:val="auto"/>
              </w:rPr>
            </w:pPr>
          </w:p>
        </w:tc>
      </w:tr>
      <w:tr>
        <w:trPr>
          <w:trHeight w:val="142"/>
        </w:trPr>
        <w:tc>
          <w:tcPr>
            <w:tcW w:w="3340" w:type="dxa"/>
            <w:vAlign w:val="bottom"/>
            <w:shd w:val="clear" w:color="auto" w:fill="CFF0FC"/>
          </w:tcPr>
          <w:p>
            <w:pPr>
              <w:spacing w:after="0" w:line="142" w:lineRule="exact"/>
              <w:rPr>
                <w:sz w:val="20"/>
                <w:szCs w:val="20"/>
                <w:color w:val="auto"/>
              </w:rPr>
            </w:pPr>
            <w:r>
              <w:rPr>
                <w:rFonts w:ascii="Arial" w:cs="Arial" w:eastAsia="Arial" w:hAnsi="Arial"/>
                <w:sz w:val="10"/>
                <w:szCs w:val="10"/>
                <w:b w:val="1"/>
                <w:bCs w:val="1"/>
                <w:color w:val="auto"/>
              </w:rPr>
              <w:t xml:space="preserve">Preferred Equity—0.6% </w:t>
            </w:r>
            <w:r>
              <w:rPr>
                <w:rFonts w:ascii="Arial" w:cs="Arial" w:eastAsia="Arial" w:hAnsi="Arial"/>
                <w:sz w:val="16"/>
                <w:szCs w:val="16"/>
                <w:b w:val="1"/>
                <w:bCs w:val="1"/>
                <w:color w:val="auto"/>
                <w:vertAlign w:val="superscript"/>
              </w:rPr>
              <w:t>(6), (7)</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6"/>
        </w:trPr>
        <w:tc>
          <w:tcPr>
            <w:tcW w:w="334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1,458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21,870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22,614</w:t>
            </w:r>
          </w:p>
        </w:tc>
        <w:tc>
          <w:tcPr>
            <w:tcW w:w="100" w:type="dxa"/>
            <w:vAlign w:val="bottom"/>
          </w:tcPr>
          <w:p>
            <w:pPr>
              <w:spacing w:after="0"/>
              <w:rPr>
                <w:sz w:val="12"/>
                <w:szCs w:val="12"/>
                <w:color w:val="auto"/>
              </w:rPr>
            </w:pPr>
          </w:p>
        </w:tc>
      </w:tr>
      <w:tr>
        <w:trPr>
          <w:trHeight w:val="151"/>
        </w:trPr>
        <w:tc>
          <w:tcPr>
            <w:tcW w:w="3340" w:type="dxa"/>
            <w:vAlign w:val="bottom"/>
          </w:tcPr>
          <w:p>
            <w:pPr>
              <w:ind w:left="140"/>
              <w:spacing w:after="0" w:line="150"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7"/>
                <w:szCs w:val="17"/>
                <w:color w:val="auto"/>
                <w:vertAlign w:val="superscript"/>
              </w:rPr>
              <w:t>(11)</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33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17"/>
                <w:szCs w:val="17"/>
                <w:color w:val="auto"/>
                <w:vertAlign w:val="superscript"/>
              </w:rPr>
              <w:t>(5), (9)</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10,173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10,173</w:t>
            </w:r>
          </w:p>
        </w:tc>
        <w:tc>
          <w:tcPr>
            <w:tcW w:w="100" w:type="dxa"/>
            <w:vAlign w:val="bottom"/>
            <w:shd w:val="clear" w:color="auto" w:fill="CFF0FC"/>
          </w:tcPr>
          <w:p>
            <w:pPr>
              <w:spacing w:after="0"/>
              <w:rPr>
                <w:sz w:val="12"/>
                <w:szCs w:val="12"/>
                <w:color w:val="auto"/>
              </w:rPr>
            </w:pPr>
          </w:p>
        </w:tc>
      </w:tr>
      <w:tr>
        <w:trPr>
          <w:trHeight w:val="259"/>
        </w:trPr>
        <w:tc>
          <w:tcPr>
            <w:tcW w:w="3340" w:type="dxa"/>
            <w:vAlign w:val="bottom"/>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19"/>
                <w:szCs w:val="19"/>
                <w:color w:val="auto"/>
                <w:vertAlign w:val="superscript"/>
              </w:rPr>
              <w:t>(5), (9)</w:t>
            </w:r>
          </w:p>
        </w:tc>
        <w:tc>
          <w:tcPr>
            <w:tcW w:w="120" w:type="dxa"/>
            <w:vAlign w:val="bottom"/>
          </w:tcPr>
          <w:p>
            <w:pPr>
              <w:spacing w:after="0"/>
              <w:rPr>
                <w:sz w:val="22"/>
                <w:szCs w:val="2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77,827</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77,827</w:t>
            </w:r>
          </w:p>
        </w:tc>
        <w:tc>
          <w:tcPr>
            <w:tcW w:w="100" w:type="dxa"/>
            <w:vAlign w:val="bottom"/>
          </w:tcPr>
          <w:p>
            <w:pPr>
              <w:spacing w:after="0"/>
              <w:rPr>
                <w:sz w:val="22"/>
                <w:szCs w:val="22"/>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Basis Point</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3"/>
              </w:rPr>
              <w:t>Spread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380"/>
              <w:spacing w:after="0" w:line="126"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40"/>
              <w:spacing w:after="0" w:line="126" w:lineRule="exact"/>
              <w:rPr>
                <w:sz w:val="20"/>
                <w:szCs w:val="20"/>
                <w:color w:val="auto"/>
              </w:rPr>
            </w:pPr>
            <w:r>
              <w:rPr>
                <w:rFonts w:ascii="Arial" w:cs="Arial" w:eastAsia="Arial" w:hAnsi="Arial"/>
                <w:sz w:val="12"/>
                <w:szCs w:val="12"/>
                <w:b w:val="1"/>
                <w:bCs w:val="1"/>
                <w:color w:val="auto"/>
                <w:w w:val="81"/>
              </w:rPr>
              <w:t>Above</w:t>
            </w:r>
          </w:p>
        </w:tc>
        <w:tc>
          <w:tcPr>
            <w:tcW w:w="720" w:type="dxa"/>
            <w:vAlign w:val="bottom"/>
          </w:tcPr>
          <w:p>
            <w:pPr>
              <w:jc w:val="right"/>
              <w:ind w:right="182"/>
              <w:spacing w:after="0" w:line="126"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220" w:type="dxa"/>
            <w:vAlign w:val="bottom"/>
            <w:tcBorders>
              <w:bottom w:val="single" w:sz="8" w:color="CFF0FC"/>
            </w:tcBorders>
          </w:tcPr>
          <w:p>
            <w:pPr>
              <w:spacing w:after="0"/>
              <w:rPr>
                <w:sz w:val="13"/>
                <w:szCs w:val="13"/>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4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1"/>
                <w:szCs w:val="11"/>
                <w:b w:val="1"/>
                <w:bCs w:val="1"/>
                <w:color w:val="auto"/>
                <w:w w:val="91"/>
              </w:rPr>
              <w:t xml:space="preserve">Index </w:t>
            </w:r>
            <w:r>
              <w:rPr>
                <w:rFonts w:ascii="Arial" w:cs="Arial" w:eastAsia="Arial" w:hAnsi="Arial"/>
                <w:sz w:val="17"/>
                <w:szCs w:val="17"/>
                <w:b w:val="1"/>
                <w:bCs w:val="1"/>
                <w:color w:val="auto"/>
                <w:w w:val="91"/>
                <w:vertAlign w:val="superscript"/>
              </w:rPr>
              <w:t>(1)</w:t>
            </w: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30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gridSpan w:val="2"/>
          </w:tcPr>
          <w:p>
            <w:pPr>
              <w:jc w:val="right"/>
              <w:ind w:right="180"/>
              <w:spacing w:after="0" w:line="153" w:lineRule="exact"/>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7"/>
                <w:szCs w:val="17"/>
                <w:b w:val="1"/>
                <w:bCs w:val="1"/>
                <w:color w:val="auto"/>
                <w:w w:val="92"/>
                <w:vertAlign w:val="superscript"/>
              </w:rPr>
              <w:t>(2)</w:t>
            </w:r>
          </w:p>
        </w:tc>
        <w:tc>
          <w:tcPr>
            <w:tcW w:w="0" w:type="dxa"/>
            <w:vAlign w:val="bottom"/>
          </w:tcPr>
          <w:p>
            <w:pPr>
              <w:spacing w:after="0"/>
              <w:rPr>
                <w:sz w:val="1"/>
                <w:szCs w:val="1"/>
                <w:color w:val="auto"/>
              </w:rPr>
            </w:pPr>
          </w:p>
        </w:tc>
      </w:tr>
      <w:tr>
        <w:trPr>
          <w:trHeight w:val="142"/>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NXOF Holdings, Inc. (NextiraOne Federal, LLC)</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490,000</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453,077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20"/>
                <w:szCs w:val="20"/>
                <w:color w:val="auto"/>
              </w:rPr>
            </w:pPr>
            <w:r>
              <w:rPr>
                <w:rFonts w:ascii="Arial" w:cs="Arial" w:eastAsia="Arial" w:hAnsi="Arial"/>
                <w:sz w:val="12"/>
                <w:szCs w:val="12"/>
                <w:color w:val="auto"/>
              </w:rPr>
              <w:t>UniTek Global Services, Inc. -</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20.00%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343,861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343,861</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351,752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20"/>
                <w:szCs w:val="20"/>
                <w:color w:val="auto"/>
              </w:rPr>
            </w:pPr>
            <w:r>
              <w:rPr>
                <w:rFonts w:ascii="Arial" w:cs="Arial" w:eastAsia="Arial" w:hAnsi="Arial"/>
                <w:sz w:val="12"/>
                <w:szCs w:val="12"/>
                <w:color w:val="auto"/>
              </w:rPr>
              <w:t>Super Senior Preferred Equity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UniTek Global Services, Inc. - Senior Preferred Equity</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18.00%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448,851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448,851</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570,762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tcBorders>
              <w:bottom w:val="single" w:sz="8" w:color="CFF0FC"/>
            </w:tcBorders>
          </w:tcPr>
          <w:p>
            <w:pPr>
              <w:spacing w:after="0"/>
              <w:rPr>
                <w:sz w:val="12"/>
                <w:szCs w:val="12"/>
                <w:color w:val="auto"/>
              </w:rPr>
            </w:pPr>
          </w:p>
        </w:tc>
        <w:tc>
          <w:tcPr>
            <w:tcW w:w="760" w:type="dxa"/>
            <w:vAlign w:val="bottom"/>
            <w:tcBorders>
              <w:bottom w:val="single" w:sz="8" w:color="CFF0FC"/>
            </w:tcBorders>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2"/>
                <w:szCs w:val="12"/>
                <w:color w:val="auto"/>
              </w:rPr>
              <w:t>13.50%</w:t>
            </w:r>
          </w:p>
        </w:tc>
        <w:tc>
          <w:tcPr>
            <w:tcW w:w="9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1,047,317</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670,283</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1,726,920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2,062,865</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3,213,125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line="142" w:lineRule="exact"/>
              <w:rPr>
                <w:sz w:val="20"/>
                <w:szCs w:val="20"/>
                <w:color w:val="auto"/>
              </w:rPr>
            </w:pPr>
            <w:r>
              <w:rPr>
                <w:rFonts w:ascii="Arial" w:cs="Arial" w:eastAsia="Arial" w:hAnsi="Arial"/>
                <w:sz w:val="10"/>
                <w:szCs w:val="10"/>
                <w:b w:val="1"/>
                <w:bCs w:val="1"/>
                <w:color w:val="auto"/>
              </w:rPr>
              <w:t xml:space="preserve">Common Equity/Warrants—3.3% </w:t>
            </w:r>
            <w:r>
              <w:rPr>
                <w:rFonts w:ascii="Arial" w:cs="Arial" w:eastAsia="Arial" w:hAnsi="Arial"/>
                <w:sz w:val="16"/>
                <w:szCs w:val="16"/>
                <w:b w:val="1"/>
                <w:bCs w:val="1"/>
                <w:color w:val="auto"/>
                <w:vertAlign w:val="superscript"/>
              </w:rPr>
              <w:t>(6), (7)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99,029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3,514,571</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2,089,710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2"/>
                <w:szCs w:val="12"/>
                <w:color w:val="auto"/>
              </w:rPr>
              <w:t>Affinion Group Holdings, Inc., Series C and Series D</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4,298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1,186,649</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7"/>
                <w:szCs w:val="17"/>
                <w:color w:val="auto"/>
                <w:vertAlign w:val="superscript"/>
              </w:rPr>
              <w:t>(11)</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21,908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2,190,771</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4,426,169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17"/>
                <w:szCs w:val="17"/>
                <w:color w:val="auto"/>
                <w:vertAlign w:val="superscript"/>
              </w:rPr>
              <w:t>(8),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5,592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CI (Allied) Investment Holdings, LLC</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840,004</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957,866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(Allied America, Inc.) </w:t>
            </w:r>
            <w:r>
              <w:rPr>
                <w:rFonts w:ascii="Arial" w:cs="Arial" w:eastAsia="Arial" w:hAnsi="Arial"/>
                <w:sz w:val="17"/>
                <w:szCs w:val="17"/>
                <w:color w:val="auto"/>
                <w:vertAlign w:val="superscript"/>
              </w:rPr>
              <w:t>(11)</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13,333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200,000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240" w:type="dxa"/>
            <w:vAlign w:val="bottom"/>
          </w:tcPr>
          <w:p>
            <w:pPr>
              <w:spacing w:after="0" w:line="150" w:lineRule="exact"/>
              <w:rPr>
                <w:sz w:val="20"/>
                <w:szCs w:val="20"/>
                <w:color w:val="auto"/>
              </w:rPr>
            </w:pPr>
            <w:r>
              <w:rPr>
                <w:rFonts w:ascii="Arial" w:cs="Arial" w:eastAsia="Arial" w:hAnsi="Arial"/>
                <w:sz w:val="11"/>
                <w:szCs w:val="11"/>
                <w:color w:val="auto"/>
              </w:rPr>
              <w:t xml:space="preserve">(PT Network, LLC) </w:t>
            </w:r>
            <w:r>
              <w:rPr>
                <w:rFonts w:ascii="Arial" w:cs="Arial" w:eastAsia="Arial" w:hAnsi="Arial"/>
                <w:sz w:val="17"/>
                <w:szCs w:val="17"/>
                <w:color w:val="auto"/>
                <w:vertAlign w:val="superscript"/>
              </w:rPr>
              <w:t>(11)</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CI (Summit) Investment Holdings, LLC</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47,893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596,660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(SFP Holding, Inc.)</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2"/>
                <w:szCs w:val="12"/>
                <w:color w:val="auto"/>
              </w:rPr>
              <w:t>DecoPac Holdings Inc.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1,633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1,632,744</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1,972,251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Faraday Holdings, LLC</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58,044</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305,907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738,439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24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7"/>
                <w:szCs w:val="17"/>
                <w:color w:val="auto"/>
                <w:vertAlign w:val="superscript"/>
              </w:rPr>
              <w:t>(11)</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1,281,433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1,281,433</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1,132,039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7"/>
                <w:szCs w:val="17"/>
                <w:color w:val="auto"/>
                <w:vertAlign w:val="superscript"/>
              </w:rPr>
              <w:t>(8),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718,567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(83,773)</w:t>
            </w: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IIN Group Holdings, LLC</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5"/>
              </w:rPr>
              <w:t>Consumer Services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17"/>
                <w:szCs w:val="17"/>
                <w:color w:val="auto"/>
                <w:vertAlign w:val="superscript"/>
              </w:rPr>
              <w:t>(11)</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2"/>
                <w:szCs w:val="12"/>
                <w:color w:val="auto"/>
              </w:rPr>
              <w:t>JWC/UMA Holdings, L.P.</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JWC-WE Holdings, L.P.</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1,381,741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1,381,741</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1,381,741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(Walker Edison Furniture Company LLC)</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2"/>
                <w:szCs w:val="12"/>
                <w:color w:val="auto"/>
              </w:rPr>
              <w:t>NXOF Holdings, Inc. (NextiraOne Federal, LLC)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32,308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FF0FC"/>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500,000</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Class A (US Dominion, Inc.)</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20"/>
                <w:szCs w:val="20"/>
                <w:color w:val="auto"/>
              </w:rPr>
            </w:pPr>
            <w:r>
              <w:rPr>
                <w:rFonts w:ascii="Arial" w:cs="Arial" w:eastAsia="Arial" w:hAnsi="Arial"/>
                <w:sz w:val="12"/>
                <w:szCs w:val="12"/>
                <w:color w:val="auto"/>
              </w:rPr>
              <w:t>Class B (US Dominion, Inc.)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TPC Broadband Investors, LP </w:t>
            </w:r>
            <w:r>
              <w:rPr>
                <w:rFonts w:ascii="Arial" w:cs="Arial" w:eastAsia="Arial" w:hAnsi="Arial"/>
                <w:sz w:val="17"/>
                <w:szCs w:val="17"/>
                <w:color w:val="auto"/>
                <w:vertAlign w:val="superscript"/>
              </w:rPr>
              <w:t>(11)</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742,692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742,692</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1,024,002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1"/>
                <w:szCs w:val="11"/>
                <w:color w:val="auto"/>
              </w:rPr>
              <w:t xml:space="preserve">TPC Broadband Investors, LP </w:t>
            </w:r>
            <w:r>
              <w:rPr>
                <w:rFonts w:ascii="Arial" w:cs="Arial" w:eastAsia="Arial" w:hAnsi="Arial"/>
                <w:sz w:val="17"/>
                <w:szCs w:val="17"/>
                <w:color w:val="auto"/>
                <w:vertAlign w:val="superscript"/>
              </w:rPr>
              <w:t>(8),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257,308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213,739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524,411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UniTek Global Services, Inc. (Warrants)</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23,889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line="149" w:lineRule="exact"/>
              <w:rPr>
                <w:sz w:val="20"/>
                <w:szCs w:val="20"/>
                <w:color w:val="auto"/>
              </w:rPr>
            </w:pPr>
            <w:r>
              <w:rPr>
                <w:rFonts w:ascii="Arial" w:cs="Arial" w:eastAsia="Arial" w:hAnsi="Arial"/>
                <w:sz w:val="11"/>
                <w:szCs w:val="11"/>
                <w:color w:val="auto"/>
              </w:rPr>
              <w:t xml:space="preserve">WBB Equity, LLC </w:t>
            </w:r>
            <w:r>
              <w:rPr>
                <w:rFonts w:ascii="Arial" w:cs="Arial" w:eastAsia="Arial" w:hAnsi="Arial"/>
                <w:sz w:val="17"/>
                <w:szCs w:val="17"/>
                <w:color w:val="auto"/>
                <w:vertAlign w:val="superscript"/>
              </w:rPr>
              <w:t>(11)</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2"/>
                <w:szCs w:val="12"/>
                <w:color w:val="auto"/>
              </w:rPr>
              <w:t>—</w:t>
            </w:r>
          </w:p>
        </w:tc>
        <w:tc>
          <w:tcPr>
            <w:tcW w:w="2420" w:type="dxa"/>
            <w:vAlign w:val="bottom"/>
            <w:gridSpan w:val="2"/>
            <w:shd w:val="clear" w:color="auto" w:fill="CFF0FC"/>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142,857</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142,857</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268,571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tcBorders>
              <w:bottom w:val="single" w:sz="8" w:color="CFF0FC"/>
            </w:tcBorders>
          </w:tcPr>
          <w:p>
            <w:pPr>
              <w:spacing w:after="0"/>
              <w:rPr>
                <w:sz w:val="12"/>
                <w:szCs w:val="12"/>
                <w:color w:val="auto"/>
              </w:rPr>
            </w:pPr>
          </w:p>
        </w:tc>
        <w:tc>
          <w:tcPr>
            <w:tcW w:w="5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3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16,681,506</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18,069,750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gridSpan w:val="4"/>
            <w:shd w:val="clear" w:color="auto" w:fill="CFF0FC"/>
          </w:tcPr>
          <w:p>
            <w:pPr>
              <w:spacing w:after="0"/>
              <w:rPr>
                <w:sz w:val="20"/>
                <w:szCs w:val="20"/>
                <w:color w:val="auto"/>
              </w:rPr>
            </w:pPr>
            <w:r>
              <w:rPr>
                <w:rFonts w:ascii="Arial" w:cs="Arial" w:eastAsia="Arial" w:hAnsi="Arial"/>
                <w:sz w:val="12"/>
                <w:szCs w:val="12"/>
                <w:b w:val="1"/>
                <w:bCs w:val="1"/>
                <w:color w:val="auto"/>
                <w:w w:val="99"/>
              </w:rPr>
              <w:t>Total Investments in Non-Controlled, Non-Affiliated Portfolio Companies</w:t>
            </w: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856,893,017</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854,753,064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gridSpan w:val="4"/>
          </w:tcPr>
          <w:p>
            <w:pPr>
              <w:spacing w:after="0" w:line="142" w:lineRule="exact"/>
              <w:rPr>
                <w:sz w:val="20"/>
                <w:szCs w:val="20"/>
                <w:color w:val="auto"/>
              </w:rPr>
            </w:pPr>
            <w:r>
              <w:rPr>
                <w:rFonts w:ascii="Arial" w:cs="Arial" w:eastAsia="Arial" w:hAnsi="Arial"/>
                <w:sz w:val="10"/>
                <w:szCs w:val="10"/>
                <w:b w:val="1"/>
                <w:bCs w:val="1"/>
                <w:color w:val="auto"/>
              </w:rPr>
              <w:t xml:space="preserve">Investments in Controlled, Affiliated Portfolio Companies—27.2% </w:t>
            </w:r>
            <w:r>
              <w:rPr>
                <w:rFonts w:ascii="Arial" w:cs="Arial" w:eastAsia="Arial" w:hAnsi="Arial"/>
                <w:sz w:val="16"/>
                <w:szCs w:val="16"/>
                <w:b w:val="1"/>
                <w:bCs w:val="1"/>
                <w:color w:val="auto"/>
                <w:vertAlign w:val="superscript"/>
              </w:rPr>
              <w:t>(3), (4)</w:t>
            </w: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First Lien Secured Debt—18.9%</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Borders>
              <w:bottom w:val="single" w:sz="8" w:color="CFF0FC"/>
            </w:tcBorders>
          </w:tcPr>
          <w:p>
            <w:pPr>
              <w:spacing w:after="0" w:line="149"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7"/>
                <w:szCs w:val="17"/>
                <w:color w:val="auto"/>
                <w:vertAlign w:val="superscript"/>
              </w:rPr>
              <w:t>(7), (9)</w:t>
            </w:r>
          </w:p>
        </w:tc>
        <w:tc>
          <w:tcPr>
            <w:tcW w:w="660" w:type="dxa"/>
            <w:vAlign w:val="bottom"/>
            <w:tcBorders>
              <w:bottom w:val="single" w:sz="8" w:color="CFF0FC"/>
            </w:tcBorders>
            <w:gridSpan w:val="2"/>
          </w:tcPr>
          <w:p>
            <w:pPr>
              <w:jc w:val="right"/>
              <w:spacing w:after="0"/>
              <w:rPr>
                <w:sz w:val="20"/>
                <w:szCs w:val="20"/>
                <w:color w:val="auto"/>
              </w:rPr>
            </w:pPr>
            <w:r>
              <w:rPr>
                <w:rFonts w:ascii="Arial" w:cs="Arial" w:eastAsia="Arial" w:hAnsi="Arial"/>
                <w:sz w:val="12"/>
                <w:szCs w:val="12"/>
                <w:color w:val="auto"/>
              </w:rPr>
              <w:t>05/06/2024</w:t>
            </w:r>
          </w:p>
        </w:tc>
        <w:tc>
          <w:tcPr>
            <w:tcW w:w="220" w:type="dxa"/>
            <w:vAlign w:val="bottom"/>
            <w:tcBorders>
              <w:bottom w:val="single" w:sz="8" w:color="CFF0FC"/>
            </w:tcBorders>
          </w:tcPr>
          <w:p>
            <w:pPr>
              <w:spacing w:after="0"/>
              <w:rPr>
                <w:sz w:val="12"/>
                <w:szCs w:val="12"/>
                <w:color w:val="auto"/>
              </w:rPr>
            </w:pPr>
          </w:p>
        </w:tc>
        <w:tc>
          <w:tcPr>
            <w:tcW w:w="242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2"/>
                <w:szCs w:val="12"/>
                <w:color w:val="auto"/>
              </w:rPr>
              <w:t>10.39%</w:t>
            </w:r>
          </w:p>
        </w:tc>
        <w:tc>
          <w:tcPr>
            <w:tcW w:w="9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101,062,500</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101,062,500</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101,062,500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Equity Interests—8.3%</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Borders>
              <w:bottom w:val="single" w:sz="8" w:color="CFF0FC"/>
            </w:tcBorders>
          </w:tcPr>
          <w:p>
            <w:pPr>
              <w:spacing w:after="0" w:line="149" w:lineRule="exact"/>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17"/>
                <w:szCs w:val="17"/>
                <w:color w:val="auto"/>
                <w:vertAlign w:val="superscript"/>
              </w:rPr>
              <w:t>(7), (9)</w:t>
            </w:r>
          </w:p>
        </w:tc>
        <w:tc>
          <w:tcPr>
            <w:tcW w:w="120" w:type="dxa"/>
            <w:vAlign w:val="bottom"/>
            <w:tcBorders>
              <w:bottom w:val="single" w:sz="8" w:color="CFF0FC"/>
            </w:tcBorders>
          </w:tcPr>
          <w:p>
            <w:pPr>
              <w:spacing w:after="0"/>
              <w:rPr>
                <w:sz w:val="12"/>
                <w:szCs w:val="12"/>
                <w:color w:val="auto"/>
              </w:rPr>
            </w:pPr>
          </w:p>
        </w:tc>
        <w:tc>
          <w:tcPr>
            <w:tcW w:w="760" w:type="dxa"/>
            <w:vAlign w:val="bottom"/>
            <w:tcBorders>
              <w:bottom w:val="single" w:sz="8" w:color="CFF0FC"/>
            </w:tcBorders>
            <w:gridSpan w:val="2"/>
          </w:tcPr>
          <w:p>
            <w:pPr>
              <w:ind w:left="260"/>
              <w:spacing w:after="0"/>
              <w:rPr>
                <w:sz w:val="20"/>
                <w:szCs w:val="20"/>
                <w:color w:val="auto"/>
              </w:rPr>
            </w:pPr>
            <w:r>
              <w:rPr>
                <w:rFonts w:ascii="Arial" w:cs="Arial" w:eastAsia="Arial" w:hAnsi="Arial"/>
                <w:sz w:val="12"/>
                <w:szCs w:val="12"/>
                <w:color w:val="auto"/>
              </w:rPr>
              <w:t>—</w:t>
            </w:r>
          </w:p>
        </w:tc>
        <w:tc>
          <w:tcPr>
            <w:tcW w:w="242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2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43,312,500</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44,797,729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w w:val="89"/>
              </w:rPr>
              <w:t>Total Investments in Controlled, Affiliated Portfolio Companies</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144,375,000</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145,860,229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Investments—186.7%</w:t>
            </w:r>
          </w:p>
        </w:tc>
        <w:tc>
          <w:tcPr>
            <w:tcW w:w="120" w:type="dxa"/>
            <w:vAlign w:val="bottom"/>
            <w:tcBorders>
              <w:bottom w:val="single" w:sz="8" w:color="CFF0FC"/>
            </w:tcBorders>
          </w:tcPr>
          <w:p>
            <w:pPr>
              <w:spacing w:after="0"/>
              <w:rPr>
                <w:sz w:val="12"/>
                <w:szCs w:val="12"/>
                <w:color w:val="auto"/>
              </w:rPr>
            </w:pPr>
          </w:p>
        </w:tc>
        <w:tc>
          <w:tcPr>
            <w:tcW w:w="5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3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1,001,268,017</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1"/>
              </w:rPr>
              <w:t>1,000,613,293</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Cash and Cash Equivalents—13.5%</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69,502,018</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69,502,018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BNY Mellon Cash</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2,729,783</w:t>
            </w:r>
          </w:p>
        </w:tc>
        <w:tc>
          <w:tcPr>
            <w:tcW w:w="30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2,722,165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tcBorders>
              <w:bottom w:val="single" w:sz="8" w:color="CFF0FC"/>
            </w:tcBorders>
          </w:tcPr>
          <w:p>
            <w:pPr>
              <w:spacing w:after="0"/>
              <w:rPr>
                <w:sz w:val="12"/>
                <w:szCs w:val="12"/>
                <w:color w:val="auto"/>
              </w:rPr>
            </w:pPr>
          </w:p>
        </w:tc>
        <w:tc>
          <w:tcPr>
            <w:tcW w:w="5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3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72,231,801</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72,224,183</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Investments and Cash Equivalents—200.2%</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8"/>
              </w:rPr>
              <w:t>1,073,499,818</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1"/>
              </w:rPr>
              <w:t>1,072,837,476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Assets—(100.2)%</w:t>
            </w: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(536,995,908)</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FF0FC"/>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535,841,568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63" w:lineRule="exact"/>
        <w:rPr>
          <w:sz w:val="20"/>
          <w:szCs w:val="20"/>
          <w:color w:val="auto"/>
        </w:rPr>
      </w:pPr>
    </w:p>
    <w:p>
      <w:pPr>
        <w:ind w:left="380" w:right="120" w:hanging="372"/>
        <w:spacing w:after="0" w:line="252" w:lineRule="auto"/>
        <w:tabs>
          <w:tab w:leader="none" w:pos="3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EURIBOR or “E,”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82% of our total assets and non-qualifying assets represent 18%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Canadian Dollars (C$) or in Euros (€)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2019</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27"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right="160" w:firstLine="438"/>
        <w:spacing w:after="0" w:line="248" w:lineRule="auto"/>
        <w:rPr>
          <w:sz w:val="20"/>
          <w:szCs w:val="20"/>
          <w:color w:val="auto"/>
        </w:rPr>
      </w:pPr>
      <w:r>
        <w:rPr>
          <w:rFonts w:ascii="Arial" w:cs="Arial" w:eastAsia="Arial" w:hAnsi="Arial"/>
          <w:sz w:val="13"/>
          <w:szCs w:val="13"/>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3"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93"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$520 million at LIBOR plus 200 basis points during the revolving period. The Credit Facility is secured by all of the assets held by Funding I. See Note 11.</w:t>
      </w:r>
    </w:p>
    <w:p>
      <w:pPr>
        <w:spacing w:after="0" w:line="10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PSSL was formed as a Delaware limited liability company. See Note 4.</w:t>
      </w:r>
    </w:p>
    <w:p>
      <w:pPr>
        <w:spacing w:after="0" w:line="124" w:lineRule="exact"/>
        <w:rPr>
          <w:sz w:val="20"/>
          <w:szCs w:val="20"/>
          <w:color w:val="auto"/>
        </w:rPr>
      </w:pPr>
    </w:p>
    <w:p>
      <w:pPr>
        <w:ind w:right="400" w:firstLine="438"/>
        <w:spacing w:after="0" w:line="238" w:lineRule="auto"/>
        <w:rPr>
          <w:sz w:val="20"/>
          <w:szCs w:val="20"/>
          <w:color w:val="auto"/>
        </w:rPr>
      </w:pPr>
      <w:r>
        <w:rPr>
          <w:rFonts w:ascii="Arial" w:cs="Arial" w:eastAsia="Arial" w:hAnsi="Arial"/>
          <w:sz w:val="14"/>
          <w:szCs w:val="14"/>
          <w:color w:val="auto"/>
        </w:rPr>
        <w:t>In November 2017, we completed a follow-on public offering of 6,292,000 shares of common stock at a public offering price of $14.15 per share resulting in net proceeds of approximately $88.0 million. The Investment Adviser paid approximately $2.1 million of the sales load payable to the underwriters. We are not obligated to repay the sales load paid by our Investment Adviser.</w:t>
      </w:r>
    </w:p>
    <w:p>
      <w:pPr>
        <w:spacing w:after="0" w:line="115"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TASE. In connection with this offering, we have dual listed our common stock on the TASE.</w:t>
      </w:r>
    </w:p>
    <w:p>
      <w:pPr>
        <w:spacing w:after="0" w:line="117"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11.</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99"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2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2019</w:t>
      </w:r>
    </w:p>
    <w:p>
      <w:pPr>
        <w:spacing w:after="0" w:line="273" w:lineRule="exact"/>
        <w:rPr>
          <w:sz w:val="20"/>
          <w:szCs w:val="20"/>
          <w:color w:val="auto"/>
        </w:rPr>
      </w:pPr>
    </w:p>
    <w:p>
      <w:pPr>
        <w:ind w:right="36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1" w:lineRule="exact"/>
        <w:rPr>
          <w:sz w:val="20"/>
          <w:szCs w:val="20"/>
          <w:color w:val="auto"/>
        </w:rPr>
      </w:pPr>
    </w:p>
    <w:p>
      <w:pPr>
        <w:ind w:left="920" w:hanging="359"/>
        <w:spacing w:after="0" w:line="253" w:lineRule="auto"/>
        <w:tabs>
          <w:tab w:leader="none" w:pos="9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ind w:left="920" w:right="40" w:hanging="359"/>
        <w:spacing w:after="0" w:line="264" w:lineRule="auto"/>
        <w:tabs>
          <w:tab w:leader="none" w:pos="9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280" w:hanging="359"/>
        <w:spacing w:after="0" w:line="238" w:lineRule="auto"/>
        <w:tabs>
          <w:tab w:leader="none" w:pos="9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60" w:hanging="359"/>
        <w:spacing w:after="0" w:line="253" w:lineRule="auto"/>
        <w:tabs>
          <w:tab w:leader="none" w:pos="9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04"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11" w:lineRule="exact"/>
        <w:rPr>
          <w:sz w:val="20"/>
          <w:szCs w:val="20"/>
          <w:color w:val="auto"/>
        </w:rPr>
      </w:pPr>
    </w:p>
    <w:p>
      <w:pPr>
        <w:ind w:right="320" w:firstLine="438"/>
        <w:spacing w:after="0" w:line="255" w:lineRule="auto"/>
        <w:rPr>
          <w:sz w:val="20"/>
          <w:szCs w:val="20"/>
          <w:color w:val="auto"/>
        </w:rPr>
      </w:pPr>
      <w:r>
        <w:rPr>
          <w:rFonts w:ascii="Arial" w:cs="Arial" w:eastAsia="Arial" w:hAnsi="Arial"/>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September 30, 2019, we had one portfolio company on non-accrual, representing 0.4% and zero of our overall portfolio on a cost and fair value basis, respectively.</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23"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We have complied with the requirements of Subchapter M of the Code and expect to be treated as a RIC for federal income tax purposes. In this regard, we account for income taxes using the asset and liability method prescribed by ASC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federal income taxes. However, we may choose to retain a portion of our calendar year income, which may result in the imposition of an excise tax, or we may incur taxes through our taxable subsidiaries, including the Taxable Subsidiary. For the years ended September 30, 2019, 2018 and 2017, we recorded a provision for taxes of zero, $0.8 million and $0.3, respectively, pertaining to U.S. federal excise tax.</w:t>
      </w:r>
    </w:p>
    <w:p>
      <w:pPr>
        <w:spacing w:after="0" w:line="113" w:lineRule="exact"/>
        <w:rPr>
          <w:sz w:val="20"/>
          <w:szCs w:val="20"/>
          <w:color w:val="auto"/>
        </w:rPr>
      </w:pPr>
    </w:p>
    <w:p>
      <w:pPr>
        <w:ind w:right="22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of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September 30, 2019,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3"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2019</w:t>
      </w:r>
    </w:p>
    <w:p>
      <w:pPr>
        <w:spacing w:after="0" w:line="273"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which was terminated on November 22, 2017, or through offerings of our common stock, are recorded when issued and offering costs are charged as a reduction of capital upon issuance of our common stock.</w:t>
      </w:r>
    </w:p>
    <w:p>
      <w:pPr>
        <w:spacing w:after="0" w:line="93" w:lineRule="exact"/>
        <w:rPr>
          <w:sz w:val="20"/>
          <w:szCs w:val="20"/>
          <w:color w:val="auto"/>
        </w:rPr>
      </w:pPr>
    </w:p>
    <w:p>
      <w:pPr>
        <w:ind w:left="460" w:hanging="204"/>
        <w:spacing w:after="0"/>
        <w:tabs>
          <w:tab w:leader="none" w:pos="460" w:val="left"/>
        </w:tabs>
        <w:numPr>
          <w:ilvl w:val="0"/>
          <w:numId w:val="5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920" w:hanging="359"/>
        <w:spacing w:after="0"/>
        <w:tabs>
          <w:tab w:leader="none" w:pos="920" w:val="left"/>
        </w:tabs>
        <w:numPr>
          <w:ilvl w:val="1"/>
          <w:numId w:val="57"/>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1"/>
          <w:numId w:val="57"/>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02"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jc w:val="both"/>
        <w:ind w:right="20" w:firstLine="438"/>
        <w:spacing w:after="0" w:line="233" w:lineRule="auto"/>
        <w:rPr>
          <w:sz w:val="20"/>
          <w:szCs w:val="20"/>
          <w:color w:val="auto"/>
        </w:rPr>
      </w:pPr>
      <w:r>
        <w:rPr>
          <w:rFonts w:ascii="Arial" w:cs="Arial" w:eastAsia="Arial" w:hAnsi="Arial"/>
          <w:sz w:val="14"/>
          <w:szCs w:val="14"/>
          <w:color w:val="auto"/>
        </w:rPr>
        <w:t>As permitted under Regulation S-X and as explained by ASC paragraph 946-810-45-3, PennantPark Floating Rate Capital Ltd. will generally not consolidate its investment in a company other than an investment company wholly-owned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non-controlling interest in PSSL. See further description of our investment in PSSL in Note 4.</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Consolidated Schedules of Investments as investments. The creditors of Funding I have received a security interest in all its assets and such assets are not intended to be available to the creditors of PennantPark Floating Rate Capital Ltd. or any of its affiliates.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(h) Recent Accounting Pronouncements</w:t>
      </w:r>
    </w:p>
    <w:p>
      <w:pPr>
        <w:spacing w:after="0" w:line="136"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In August 2018, the FASB issued ASU 2018-13, which changed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17" w:lineRule="exact"/>
        <w:rPr>
          <w:sz w:val="20"/>
          <w:szCs w:val="20"/>
          <w:color w:val="auto"/>
        </w:rPr>
      </w:pPr>
    </w:p>
    <w:p>
      <w:pPr>
        <w:ind w:right="160" w:firstLine="438"/>
        <w:spacing w:after="0" w:line="233" w:lineRule="auto"/>
        <w:rPr>
          <w:sz w:val="20"/>
          <w:szCs w:val="20"/>
          <w:color w:val="auto"/>
        </w:rPr>
      </w:pPr>
      <w:r>
        <w:rPr>
          <w:rFonts w:ascii="Arial" w:cs="Arial" w:eastAsia="Arial" w:hAnsi="Arial"/>
          <w:sz w:val="14"/>
          <w:szCs w:val="14"/>
          <w:color w:val="auto"/>
        </w:rPr>
        <w:t xml:space="preserve">In August 2018, the SEC issued Securities Act Release No. 33-10532, </w:t>
      </w:r>
      <w:r>
        <w:rPr>
          <w:rFonts w:ascii="Arial" w:cs="Arial" w:eastAsia="Arial" w:hAnsi="Arial"/>
          <w:sz w:val="14"/>
          <w:szCs w:val="14"/>
          <w:i w:val="1"/>
          <w:iCs w:val="1"/>
          <w:color w:val="auto"/>
        </w:rPr>
        <w:t>Disclosure Update and Simplification</w:t>
      </w:r>
      <w:r>
        <w:rPr>
          <w:rFonts w:ascii="Arial" w:cs="Arial" w:eastAsia="Arial" w:hAnsi="Arial"/>
          <w:sz w:val="14"/>
          <w:szCs w:val="14"/>
          <w:color w:val="auto"/>
        </w:rPr>
        <w:t>, or the Final Rule Release, amending certain disclosure requirements that were redundant, duplicative, overlapping, outdated or superseded. The amendments are intended to facilitate the disclosure of information to investors and simplify compliance. The Final Rule Release became effective for all filings on or after November 5, 2018. We adopted these amendments as currently required and they are reflected in the Company’s consolidated financial statements and related disclosures. Certain prior year information has been adjusted to conform to these amendments.</w:t>
      </w:r>
    </w:p>
    <w:p>
      <w:pPr>
        <w:spacing w:after="0" w:line="1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 xml:space="preserve">In March 2019, the SEC issued the Final Rule Release No. 33-10618, </w:t>
      </w:r>
      <w:r>
        <w:rPr>
          <w:rFonts w:ascii="Arial" w:cs="Arial" w:eastAsia="Arial" w:hAnsi="Arial"/>
          <w:sz w:val="14"/>
          <w:szCs w:val="14"/>
          <w:i w:val="1"/>
          <w:iCs w:val="1"/>
          <w:color w:val="auto"/>
        </w:rPr>
        <w:t>FAST Act Modernization and Simplification of Regulation S-K</w:t>
      </w:r>
      <w:r>
        <w:rPr>
          <w:rFonts w:ascii="Arial" w:cs="Arial" w:eastAsia="Arial" w:hAnsi="Arial"/>
          <w:sz w:val="14"/>
          <w:szCs w:val="14"/>
          <w:color w:val="auto"/>
        </w:rPr>
        <w:t>, which amends certain SEC disclosure requirements. The amendments are intended to simplify certain disclosure requirements and to provide for a consistent set of rules to govern incorporating information by reference and hyperlinking, improve readability and navigability of disclosure documents, and discourage repetition and disclosure of immaterial information. The amendments are effective for all filings submitted on or after May 2, 2019. The Company adopted the requisite amendments effective May 2, 2019. We adopted these amendments as currently required and they are reflected in the Company’s consolidated financial statements and related disclosures. Certain prior year information has been adjusted to conform to these amendments.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2019.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9"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2019, 2018 and 2017, the Investment Adviser earned a base management fee of $10.2 million, $8.4 million and $6.9 million, respectively, from us.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2019</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23" w:lineRule="exact"/>
        <w:rPr>
          <w:sz w:val="20"/>
          <w:szCs w:val="20"/>
          <w:color w:val="auto"/>
        </w:rPr>
      </w:pPr>
    </w:p>
    <w:p>
      <w:pPr>
        <w:ind w:right="20" w:firstLine="438"/>
        <w:spacing w:after="0" w:line="239"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w:t>
      </w:r>
    </w:p>
    <w:p>
      <w:pPr>
        <w:spacing w:after="0" w:line="7" w:lineRule="exact"/>
        <w:rPr>
          <w:sz w:val="20"/>
          <w:szCs w:val="20"/>
          <w:color w:val="auto"/>
        </w:rPr>
      </w:pPr>
    </w:p>
    <w:p>
      <w:pPr>
        <w:ind w:right="140"/>
        <w:spacing w:after="0" w:line="237" w:lineRule="auto"/>
        <w:rPr>
          <w:sz w:val="20"/>
          <w:szCs w:val="20"/>
          <w:color w:val="auto"/>
        </w:rPr>
      </w:pPr>
      <w:r>
        <w:rPr>
          <w:rFonts w:ascii="Arial" w:cs="Arial" w:eastAsia="Arial" w:hAnsi="Arial"/>
          <w:sz w:val="14"/>
          <w:szCs w:val="14"/>
          <w:color w:val="auto"/>
        </w:rPr>
        <w:t>2.9167% in any calendar quarter. These calculations are pro-rated for any share issuances or repurchases during the relevant quarter, if applicable. For the years ended September 30, 2019, 2018 and 2017, the Investment Adviser earned $7.6 million, $3.5 million and $4.9 million, respectively, in incentive fees on net investment income from us.</w:t>
      </w:r>
    </w:p>
    <w:p>
      <w:pPr>
        <w:spacing w:after="0" w:line="116"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2019, 2018 and 2017, the Investment Adviser accrued an incentive fee on capital gains of approximately zero, $(0.1) million and $0.1 million, respectively, as calculated under the Investment Management Agreement (as described above).</w:t>
      </w:r>
    </w:p>
    <w:p>
      <w:pPr>
        <w:spacing w:after="0" w:line="116" w:lineRule="exact"/>
        <w:rPr>
          <w:sz w:val="20"/>
          <w:szCs w:val="20"/>
          <w:color w:val="auto"/>
        </w:rPr>
      </w:pPr>
    </w:p>
    <w:p>
      <w:pPr>
        <w:ind w:right="100" w:firstLine="438"/>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2019, 2018 and 2017 was $(1.4) million, $(1.0) million and $1.2 million, respectively.</w:t>
      </w:r>
    </w:p>
    <w:p>
      <w:pPr>
        <w:spacing w:after="0" w:line="105"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2019.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2019, 2018 and 2017, we reimbursed the Investment Adviser approximately $1.9 million, $1.3 million and $1.7 million, respectively, including expenses the Investment Adviser incurred on behalf of the Administrator, for services described above.</w:t>
      </w:r>
    </w:p>
    <w:p>
      <w:pPr>
        <w:spacing w:after="0" w:line="111"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During the years ended September 30, 2019, 2018 and 2017, the Company purchased zero, $3.9 million and $38.1 million, respectively, from and sold zero, zero and $5.0 million in total investments to an affiliated fund managed by our Investment Adviser in accordance with, and pursuant to procedures adopted under, Rule 17a-7 of the 1940 Act. Realized gains on those sales for the same periods amounted to zero, zero and less than $0.1 million, respectively.</w:t>
      </w:r>
    </w:p>
    <w:p>
      <w:pPr>
        <w:spacing w:after="0" w:line="115"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For the years ended September 30, 2019, 2018 and 2017, we sold $89.6 million, $108.0 million and $85.1 million investments, respectively, in investments to PSSL at fair value and recognized $0.5 million, $0.8 million and $0.4 million of net realized gains for the same periods,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Purchases of investments, including PIK interest, for the years ended September 30, 2019, 2018 and 2017 totaled $641.7 million, $683.4 million and $509.5 million, respectively. Sales and repayments of investments for the same periods totaled $527.3 million, $391.4 million and $406.5 million, respectively.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14"/>
                <w:szCs w:val="14"/>
                <w:color w:val="auto"/>
              </w:rPr>
            </w:pPr>
          </w:p>
        </w:tc>
        <w:tc>
          <w:tcPr>
            <w:tcW w:w="312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2019</w:t>
            </w:r>
          </w:p>
        </w:tc>
        <w:tc>
          <w:tcPr>
            <w:tcW w:w="320" w:type="dxa"/>
            <w:vAlign w:val="bottom"/>
          </w:tcPr>
          <w:p>
            <w:pPr>
              <w:spacing w:after="0"/>
              <w:rPr>
                <w:sz w:val="14"/>
                <w:szCs w:val="14"/>
                <w:color w:val="auto"/>
              </w:rPr>
            </w:pPr>
          </w:p>
        </w:tc>
        <w:tc>
          <w:tcPr>
            <w:tcW w:w="294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Cost</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833,678,981</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822,707,050</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817,243,688</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812,235,476</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First lien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122,193,750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122,193,750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101,062,500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101,062,500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34,307,150</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34,370,598</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20,904,958</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21,234,713</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42,623,718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52,466,181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18,744,371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21,282,875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 interests in PSSL</w:t>
            </w: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52,368,750</w:t>
            </w:r>
          </w:p>
        </w:tc>
        <w:tc>
          <w:tcPr>
            <w:tcW w:w="28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49,969,330</w:t>
            </w:r>
          </w:p>
        </w:tc>
        <w:tc>
          <w:tcPr>
            <w:tcW w:w="28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43,312,500</w:t>
            </w:r>
          </w:p>
        </w:tc>
        <w:tc>
          <w:tcPr>
            <w:tcW w:w="26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44,797,729</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1,085,172,349</w:t>
            </w:r>
          </w:p>
        </w:tc>
        <w:tc>
          <w:tcPr>
            <w:tcW w:w="2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1,081,706,909</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1,001,268,017</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1,000,613,293</w:t>
            </w:r>
          </w:p>
        </w:tc>
        <w:tc>
          <w:tcPr>
            <w:tcW w:w="10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63,367,237</w:t>
            </w:r>
          </w:p>
        </w:tc>
        <w:tc>
          <w:tcPr>
            <w:tcW w:w="28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63,337,728</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72,231,801</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72,224,183</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1,148,539,586</w:t>
            </w:r>
          </w:p>
        </w:tc>
        <w:tc>
          <w:tcPr>
            <w:tcW w:w="28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1,145,044,637</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1,073,499,818</w:t>
            </w:r>
          </w:p>
        </w:tc>
        <w:tc>
          <w:tcPr>
            <w:tcW w:w="26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1,072,837,476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66</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2019</w:t>
      </w:r>
    </w:p>
    <w:p>
      <w:pPr>
        <w:spacing w:after="0" w:line="124"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160" w:type="dxa"/>
            <w:vAlign w:val="bottom"/>
            <w:tcBorders>
              <w:bottom w:val="single" w:sz="8" w:color="CCECFF"/>
            </w:tcBorders>
          </w:tcPr>
          <w:p>
            <w:pPr>
              <w:spacing w:after="0"/>
              <w:rPr>
                <w:sz w:val="14"/>
                <w:szCs w:val="1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 xml:space="preserve">September 30, 2019 </w:t>
            </w:r>
            <w:r>
              <w:rPr>
                <w:rFonts w:ascii="Arial" w:cs="Arial" w:eastAsia="Arial" w:hAnsi="Arial"/>
                <w:sz w:val="12"/>
                <w:szCs w:val="12"/>
                <w:b w:val="1"/>
                <w:bCs w:val="1"/>
                <w:color w:val="auto"/>
                <w:w w:val="96"/>
              </w:rPr>
              <w:t>(1)</w:t>
            </w:r>
          </w:p>
        </w:tc>
        <w:tc>
          <w:tcPr>
            <w:tcW w:w="320" w:type="dxa"/>
            <w:vAlign w:val="bottom"/>
            <w:tcBorders>
              <w:bottom w:val="single" w:sz="8" w:color="CCECFF"/>
            </w:tcBorders>
          </w:tcPr>
          <w:p>
            <w:pPr>
              <w:spacing w:after="0"/>
              <w:rPr>
                <w:sz w:val="14"/>
                <w:szCs w:val="14"/>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 xml:space="preserve">September 30, 2018 </w:t>
            </w:r>
            <w:r>
              <w:rPr>
                <w:rFonts w:ascii="Arial" w:cs="Arial" w:eastAsia="Arial" w:hAnsi="Arial"/>
                <w:sz w:val="12"/>
                <w:szCs w:val="12"/>
                <w:b w:val="1"/>
                <w:bCs w:val="1"/>
                <w:color w:val="auto"/>
                <w:w w:val="96"/>
              </w:rPr>
              <w:t>(1)</w:t>
            </w:r>
          </w:p>
        </w:tc>
        <w:tc>
          <w:tcPr>
            <w:tcW w:w="140" w:type="dxa"/>
            <w:vAlign w:val="bottom"/>
            <w:tcBorders>
              <w:bottom w:val="single" w:sz="8" w:color="CCECFF"/>
            </w:tcBorders>
          </w:tcPr>
          <w:p>
            <w:pPr>
              <w:spacing w:after="0"/>
              <w:rPr>
                <w:sz w:val="14"/>
                <w:szCs w:val="14"/>
                <w:color w:val="auto"/>
              </w:rPr>
            </w:pPr>
          </w:p>
        </w:tc>
      </w:tr>
      <w:tr>
        <w:trPr>
          <w:trHeight w:val="156"/>
        </w:trPr>
        <w:tc>
          <w:tcPr>
            <w:tcW w:w="752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Aerospace and Defense</w:t>
            </w:r>
          </w:p>
        </w:tc>
        <w:tc>
          <w:tcPr>
            <w:tcW w:w="160" w:type="dxa"/>
            <w:vAlign w:val="bottom"/>
            <w:shd w:val="clear" w:color="auto" w:fill="CCECFF"/>
          </w:tcPr>
          <w:p>
            <w:pPr>
              <w:spacing w:after="0"/>
              <w:rPr>
                <w:sz w:val="13"/>
                <w:szCs w:val="13"/>
                <w:color w:val="auto"/>
              </w:rPr>
            </w:pPr>
          </w:p>
        </w:tc>
        <w:tc>
          <w:tcPr>
            <w:tcW w:w="1880" w:type="dxa"/>
            <w:vAlign w:val="bottom"/>
            <w:gridSpan w:val="2"/>
            <w:shd w:val="clear" w:color="auto" w:fill="CCECFF"/>
          </w:tcPr>
          <w:p>
            <w:pPr>
              <w:jc w:val="right"/>
              <w:ind w:right="200"/>
              <w:spacing w:after="0" w:line="155" w:lineRule="exact"/>
              <w:rPr>
                <w:sz w:val="20"/>
                <w:szCs w:val="20"/>
                <w:color w:val="auto"/>
              </w:rPr>
            </w:pPr>
            <w:r>
              <w:rPr>
                <w:rFonts w:ascii="Arial" w:cs="Arial" w:eastAsia="Arial" w:hAnsi="Arial"/>
                <w:sz w:val="14"/>
                <w:szCs w:val="14"/>
                <w:color w:val="auto"/>
              </w:rPr>
              <w:t>7%</w:t>
            </w:r>
          </w:p>
        </w:tc>
        <w:tc>
          <w:tcPr>
            <w:tcW w:w="16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6%</w:t>
            </w:r>
          </w:p>
        </w:tc>
      </w:tr>
      <w:tr>
        <w:trPr>
          <w:trHeight w:val="162"/>
        </w:trPr>
        <w:tc>
          <w:tcPr>
            <w:tcW w:w="7680" w:type="dxa"/>
            <w:vAlign w:val="bottom"/>
            <w:gridSpan w:val="4"/>
          </w:tcPr>
          <w:p>
            <w:pPr>
              <w:spacing w:after="0"/>
              <w:rPr>
                <w:sz w:val="20"/>
                <w:szCs w:val="20"/>
                <w:color w:val="auto"/>
              </w:rPr>
            </w:pPr>
            <w:r>
              <w:rPr>
                <w:rFonts w:ascii="Arial" w:cs="Arial" w:eastAsia="Arial" w:hAnsi="Arial"/>
                <w:sz w:val="14"/>
                <w:szCs w:val="14"/>
                <w:color w:val="auto"/>
              </w:rPr>
              <w:t>Hotel, Gaming and Leisure</w:t>
            </w:r>
          </w:p>
        </w:tc>
        <w:tc>
          <w:tcPr>
            <w:tcW w:w="1560" w:type="dxa"/>
            <w:vAlign w:val="bottom"/>
          </w:tcPr>
          <w:p>
            <w:pPr>
              <w:jc w:val="right"/>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76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4"/>
          </w:tcPr>
          <w:p>
            <w:pPr>
              <w:spacing w:after="0"/>
              <w:rPr>
                <w:sz w:val="20"/>
                <w:szCs w:val="20"/>
                <w:color w:val="auto"/>
              </w:rPr>
            </w:pPr>
            <w:r>
              <w:rPr>
                <w:rFonts w:ascii="Arial" w:cs="Arial" w:eastAsia="Arial" w:hAnsi="Arial"/>
                <w:sz w:val="14"/>
                <w:szCs w:val="14"/>
                <w:color w:val="auto"/>
              </w:rPr>
              <w:t>Healthcare and Pharmaceuticals</w:t>
            </w:r>
          </w:p>
        </w:tc>
        <w:tc>
          <w:tcPr>
            <w:tcW w:w="156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76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4"/>
          </w:tcPr>
          <w:p>
            <w:pPr>
              <w:spacing w:after="0"/>
              <w:rPr>
                <w:sz w:val="20"/>
                <w:szCs w:val="20"/>
                <w:color w:val="auto"/>
              </w:rPr>
            </w:pPr>
            <w:r>
              <w:rPr>
                <w:rFonts w:ascii="Arial" w:cs="Arial" w:eastAsia="Arial" w:hAnsi="Arial"/>
                <w:sz w:val="14"/>
                <w:szCs w:val="14"/>
                <w:color w:val="auto"/>
              </w:rPr>
              <w:t>Capital Equipment</w:t>
            </w:r>
          </w:p>
        </w:tc>
        <w:tc>
          <w:tcPr>
            <w:tcW w:w="156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76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High Tech Industries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4"/>
          </w:tcPr>
          <w:p>
            <w:pPr>
              <w:spacing w:after="0"/>
              <w:rPr>
                <w:sz w:val="20"/>
                <w:szCs w:val="20"/>
                <w:color w:val="auto"/>
              </w:rPr>
            </w:pPr>
            <w:r>
              <w:rPr>
                <w:rFonts w:ascii="Arial" w:cs="Arial" w:eastAsia="Arial" w:hAnsi="Arial"/>
                <w:sz w:val="14"/>
                <w:szCs w:val="14"/>
                <w:color w:val="auto"/>
              </w:rPr>
              <w:t>Media</w:t>
            </w:r>
          </w:p>
        </w:tc>
        <w:tc>
          <w:tcPr>
            <w:tcW w:w="156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6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Construction and Building</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4"/>
          </w:tcPr>
          <w:p>
            <w:pPr>
              <w:spacing w:after="0"/>
              <w:rPr>
                <w:sz w:val="20"/>
                <w:szCs w:val="20"/>
                <w:color w:val="auto"/>
              </w:rPr>
            </w:pPr>
            <w:r>
              <w:rPr>
                <w:rFonts w:ascii="Arial" w:cs="Arial" w:eastAsia="Arial" w:hAnsi="Arial"/>
                <w:sz w:val="14"/>
                <w:szCs w:val="14"/>
                <w:color w:val="auto"/>
              </w:rPr>
              <w:t>Media: Diversified and Production</w:t>
            </w: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76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4"/>
          </w:tcPr>
          <w:p>
            <w:pPr>
              <w:spacing w:after="0"/>
              <w:rPr>
                <w:sz w:val="20"/>
                <w:szCs w:val="20"/>
                <w:color w:val="auto"/>
              </w:rPr>
            </w:pPr>
            <w:r>
              <w:rPr>
                <w:rFonts w:ascii="Arial" w:cs="Arial" w:eastAsia="Arial" w:hAnsi="Arial"/>
                <w:sz w:val="14"/>
                <w:szCs w:val="14"/>
                <w:color w:val="auto"/>
              </w:rPr>
              <w:t>Chemicals, Plastics and Rubber</w:t>
            </w:r>
          </w:p>
        </w:tc>
        <w:tc>
          <w:tcPr>
            <w:tcW w:w="156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6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Consumer Goods: Durable</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4"/>
          </w:tcPr>
          <w:p>
            <w:pPr>
              <w:spacing w:after="0"/>
              <w:rPr>
                <w:sz w:val="20"/>
                <w:szCs w:val="20"/>
                <w:color w:val="auto"/>
              </w:rPr>
            </w:pPr>
            <w:r>
              <w:rPr>
                <w:rFonts w:ascii="Arial" w:cs="Arial" w:eastAsia="Arial" w:hAnsi="Arial"/>
                <w:sz w:val="14"/>
                <w:szCs w:val="14"/>
                <w:color w:val="auto"/>
              </w:rPr>
              <w:t>Consumer Goods: Non-Durable</w:t>
            </w:r>
          </w:p>
        </w:tc>
        <w:tc>
          <w:tcPr>
            <w:tcW w:w="156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4"/>
                <w:szCs w:val="14"/>
                <w:color w:val="auto"/>
              </w:rPr>
            </w:pPr>
          </w:p>
        </w:tc>
      </w:tr>
      <w:tr>
        <w:trPr>
          <w:trHeight w:val="162"/>
        </w:trPr>
        <w:tc>
          <w:tcPr>
            <w:tcW w:w="76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Consumer Services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4"/>
          </w:tcPr>
          <w:p>
            <w:pPr>
              <w:spacing w:after="0"/>
              <w:rPr>
                <w:sz w:val="20"/>
                <w:szCs w:val="20"/>
                <w:color w:val="auto"/>
              </w:rPr>
            </w:pPr>
            <w:r>
              <w:rPr>
                <w:rFonts w:ascii="Arial" w:cs="Arial" w:eastAsia="Arial" w:hAnsi="Arial"/>
                <w:sz w:val="14"/>
                <w:szCs w:val="14"/>
                <w:color w:val="auto"/>
              </w:rPr>
              <w:t>Diversified Financial Services</w:t>
            </w:r>
          </w:p>
        </w:tc>
        <w:tc>
          <w:tcPr>
            <w:tcW w:w="156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6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Professional Services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680" w:type="dxa"/>
            <w:vAlign w:val="bottom"/>
            <w:gridSpan w:val="4"/>
          </w:tcPr>
          <w:p>
            <w:pPr>
              <w:spacing w:after="0"/>
              <w:rPr>
                <w:sz w:val="20"/>
                <w:szCs w:val="20"/>
                <w:color w:val="auto"/>
              </w:rPr>
            </w:pPr>
            <w:r>
              <w:rPr>
                <w:rFonts w:ascii="Arial" w:cs="Arial" w:eastAsia="Arial" w:hAnsi="Arial"/>
                <w:sz w:val="14"/>
                <w:szCs w:val="14"/>
                <w:color w:val="auto"/>
              </w:rPr>
              <w:t>Wholesale</w:t>
            </w:r>
          </w:p>
        </w:tc>
        <w:tc>
          <w:tcPr>
            <w:tcW w:w="156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76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Banking, Finance, Insurance &amp; Real Estate</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680" w:type="dxa"/>
            <w:vAlign w:val="bottom"/>
            <w:gridSpan w:val="4"/>
          </w:tcPr>
          <w:p>
            <w:pPr>
              <w:spacing w:after="0"/>
              <w:rPr>
                <w:sz w:val="20"/>
                <w:szCs w:val="20"/>
                <w:color w:val="auto"/>
              </w:rPr>
            </w:pPr>
            <w:r>
              <w:rPr>
                <w:rFonts w:ascii="Arial" w:cs="Arial" w:eastAsia="Arial" w:hAnsi="Arial"/>
                <w:sz w:val="14"/>
                <w:szCs w:val="14"/>
                <w:color w:val="auto"/>
              </w:rPr>
              <w:t>Building Products</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6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Commercial Services &amp; Supplies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680" w:type="dxa"/>
            <w:vAlign w:val="bottom"/>
            <w:gridSpan w:val="4"/>
          </w:tcPr>
          <w:p>
            <w:pPr>
              <w:spacing w:after="0"/>
              <w:rPr>
                <w:sz w:val="20"/>
                <w:szCs w:val="20"/>
                <w:color w:val="auto"/>
              </w:rPr>
            </w:pPr>
            <w:r>
              <w:rPr>
                <w:rFonts w:ascii="Arial" w:cs="Arial" w:eastAsia="Arial" w:hAnsi="Arial"/>
                <w:sz w:val="14"/>
                <w:szCs w:val="14"/>
                <w:color w:val="auto"/>
              </w:rPr>
              <w:t>Hotels, Restaurants and Leisure</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6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Advertising, Printing and Publishing</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680" w:type="dxa"/>
            <w:vAlign w:val="bottom"/>
            <w:gridSpan w:val="4"/>
          </w:tcPr>
          <w:p>
            <w:pPr>
              <w:spacing w:after="0"/>
              <w:rPr>
                <w:sz w:val="20"/>
                <w:szCs w:val="20"/>
                <w:color w:val="auto"/>
              </w:rPr>
            </w:pPr>
            <w:r>
              <w:rPr>
                <w:rFonts w:ascii="Arial" w:cs="Arial" w:eastAsia="Arial" w:hAnsi="Arial"/>
                <w:sz w:val="14"/>
                <w:szCs w:val="14"/>
                <w:color w:val="auto"/>
              </w:rPr>
              <w:t>Media: Broadcasting and Subscription</w:t>
            </w: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6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Diversified Consumer Services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680" w:type="dxa"/>
            <w:vAlign w:val="bottom"/>
            <w:gridSpan w:val="4"/>
          </w:tcPr>
          <w:p>
            <w:pPr>
              <w:spacing w:after="0"/>
              <w:rPr>
                <w:sz w:val="20"/>
                <w:szCs w:val="20"/>
                <w:color w:val="auto"/>
              </w:rPr>
            </w:pPr>
            <w:r>
              <w:rPr>
                <w:rFonts w:ascii="Arial" w:cs="Arial" w:eastAsia="Arial" w:hAnsi="Arial"/>
                <w:sz w:val="14"/>
                <w:szCs w:val="14"/>
                <w:color w:val="auto"/>
              </w:rPr>
              <w:t>Healthcare Technology</w:t>
            </w:r>
          </w:p>
        </w:tc>
        <w:tc>
          <w:tcPr>
            <w:tcW w:w="156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6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IT Services</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60" w:type="dxa"/>
            <w:vAlign w:val="bottom"/>
          </w:tcPr>
          <w:p>
            <w:pPr>
              <w:spacing w:after="0"/>
              <w:rPr>
                <w:sz w:val="20"/>
                <w:szCs w:val="20"/>
                <w:color w:val="auto"/>
              </w:rPr>
            </w:pPr>
            <w:r>
              <w:rPr>
                <w:rFonts w:ascii="Arial" w:cs="Arial" w:eastAsia="Arial" w:hAnsi="Arial"/>
                <w:sz w:val="14"/>
                <w:szCs w:val="14"/>
                <w:color w:val="auto"/>
                <w:w w:val="94"/>
              </w:rPr>
              <w:t>Retail</w:t>
            </w:r>
          </w:p>
        </w:tc>
        <w:tc>
          <w:tcPr>
            <w:tcW w:w="17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68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All Other</w:t>
            </w: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56"/>
        </w:trPr>
        <w:tc>
          <w:tcPr>
            <w:tcW w:w="36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76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100%</w:t>
            </w:r>
          </w:p>
        </w:tc>
        <w:tc>
          <w:tcPr>
            <w:tcW w:w="16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6"/>
        </w:trPr>
        <w:tc>
          <w:tcPr>
            <w:tcW w:w="36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5560" w:type="dxa"/>
            <w:vAlign w:val="bottom"/>
            <w:gridSpan w:val="2"/>
          </w:tcPr>
          <w:p>
            <w:pPr>
              <w:spacing w:after="0"/>
              <w:rPr>
                <w:sz w:val="10"/>
                <w:szCs w:val="10"/>
                <w:color w:val="auto"/>
              </w:rPr>
            </w:pPr>
          </w:p>
        </w:tc>
        <w:tc>
          <w:tcPr>
            <w:tcW w:w="1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97"/>
        </w:trPr>
        <w:tc>
          <w:tcPr>
            <w:tcW w:w="360" w:type="dxa"/>
            <w:vAlign w:val="bottom"/>
          </w:tcPr>
          <w:p>
            <w:pPr>
              <w:spacing w:after="0"/>
              <w:rPr>
                <w:sz w:val="20"/>
                <w:szCs w:val="20"/>
                <w:color w:val="auto"/>
              </w:rPr>
            </w:pPr>
            <w:r>
              <w:rPr>
                <w:rFonts w:ascii="Arial" w:cs="Arial" w:eastAsia="Arial" w:hAnsi="Arial"/>
                <w:sz w:val="12"/>
                <w:szCs w:val="12"/>
                <w:color w:val="auto"/>
              </w:rPr>
              <w:t>(1)</w:t>
            </w:r>
          </w:p>
        </w:tc>
        <w:tc>
          <w:tcPr>
            <w:tcW w:w="7320" w:type="dxa"/>
            <w:vAlign w:val="bottom"/>
            <w:gridSpan w:val="3"/>
          </w:tcPr>
          <w:p>
            <w:pPr>
              <w:ind w:left="20"/>
              <w:spacing w:after="0"/>
              <w:rPr>
                <w:sz w:val="20"/>
                <w:szCs w:val="20"/>
                <w:color w:val="auto"/>
              </w:rPr>
            </w:pPr>
            <w:r>
              <w:rPr>
                <w:rFonts w:ascii="Arial" w:cs="Arial" w:eastAsia="Arial" w:hAnsi="Arial"/>
                <w:sz w:val="14"/>
                <w:szCs w:val="14"/>
                <w:color w:val="auto"/>
              </w:rPr>
              <w:t>Excludes investments in PSSL.</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September 30, 2019, PSSL had total assets of $506.7 million. As of the same date, we and Kemper had remaining commitments to fund first lien secured debt and equity interests in PSSL in an aggregate amount of $10.5 million. PSSL invests in portfolio companies in the same industries in which we may directly invest.</w:t>
      </w:r>
    </w:p>
    <w:p>
      <w:pPr>
        <w:spacing w:after="0" w:line="101"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September 30, 2019, we and Kemper owned 87.5% and 12.5%, respectively, of each of the outstanding first lien secured debt and equity interests. As of the same date, our investment in PSSL consisted of first lien secured debt of 122.2 million and equity interests of $52.4 million. As of the same date, we had commitments to fund first lien secured debt to PSSL of $128.6 million, of which $6.4 million was unfunded. As of September 30, 2019, we had commitments to fund equity interests in PSSL of $55.1 million, of which $2.8 million was unfunded.</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Additionally, PSSL has entered into the PSSL Credit Facility, with Capital One, N.A. through PSSL Subsidiary, which as of September 30, 2019 allowed PSSL Subsidiary to borrow up to $420 million at any one time outstanding, subject to leverage and borrowing base restrictions.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September 30, 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September 30, 2018</w:t>
            </w:r>
          </w:p>
        </w:tc>
        <w:tc>
          <w:tcPr>
            <w:tcW w:w="20" w:type="dxa"/>
            <w:vAlign w:val="bottom"/>
          </w:tcPr>
          <w:p>
            <w:pPr>
              <w:spacing w:after="0"/>
              <w:rPr>
                <w:sz w:val="14"/>
                <w:szCs w:val="14"/>
                <w:color w:val="auto"/>
              </w:rPr>
            </w:pPr>
          </w:p>
        </w:tc>
      </w:tr>
      <w:tr>
        <w:trPr>
          <w:trHeight w:val="155"/>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31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488,549,847</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425,420,881</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7.8%</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3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22,026,186</w:t>
            </w:r>
          </w:p>
        </w:tc>
        <w:tc>
          <w:tcPr>
            <w:tcW w:w="220" w:type="dxa"/>
            <w:vAlign w:val="bottom"/>
          </w:tcPr>
          <w:p>
            <w:pPr>
              <w:spacing w:after="0"/>
              <w:rPr>
                <w:sz w:val="14"/>
                <w:szCs w:val="14"/>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21,152,781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3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102,872,275</w:t>
            </w:r>
          </w:p>
        </w:tc>
        <w:tc>
          <w:tcPr>
            <w:tcW w:w="220" w:type="dxa"/>
            <w:vAlign w:val="bottom"/>
            <w:shd w:val="clear" w:color="auto" w:fill="CCECFF"/>
          </w:tcPr>
          <w:p>
            <w:pPr>
              <w:spacing w:after="0"/>
              <w:rPr>
                <w:sz w:val="14"/>
                <w:szCs w:val="14"/>
                <w:color w:val="auto"/>
              </w:rPr>
            </w:pPr>
          </w:p>
        </w:tc>
        <w:tc>
          <w:tcPr>
            <w:tcW w:w="22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95,941,790</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28"/>
        </w:trPr>
        <w:tc>
          <w:tcPr>
            <w:tcW w:w="4580" w:type="dxa"/>
            <w:vAlign w:val="bottom"/>
          </w:tcPr>
          <w:p>
            <w:pPr>
              <w:spacing w:after="0"/>
              <w:rPr>
                <w:sz w:val="24"/>
                <w:szCs w:val="24"/>
                <w:color w:val="auto"/>
              </w:rPr>
            </w:pPr>
          </w:p>
        </w:tc>
        <w:tc>
          <w:tcPr>
            <w:tcW w:w="3100" w:type="dxa"/>
            <w:vAlign w:val="bottom"/>
          </w:tcPr>
          <w:p>
            <w:pPr>
              <w:jc w:val="right"/>
              <w:ind w:right="1908"/>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8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2019:</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2019</w:t>
      </w:r>
    </w:p>
    <w:tbl>
      <w:tblPr>
        <w:tblLayout w:type="fixed"/>
        <w:tblInd w:w="0" w:type="dxa"/>
        <w:tblCellMar>
          <w:top w:w="0" w:type="dxa"/>
          <w:left w:w="0" w:type="dxa"/>
          <w:bottom w:w="0" w:type="dxa"/>
          <w:right w:w="0" w:type="dxa"/>
        </w:tblCellMar>
      </w:tblPr>
      <w:tr>
        <w:trPr>
          <w:trHeight w:val="116"/>
        </w:trPr>
        <w:tc>
          <w:tcPr>
            <w:tcW w:w="3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3"/>
          </w:tcPr>
          <w:p>
            <w:pPr>
              <w:jc w:val="center"/>
              <w:ind w:right="200"/>
              <w:spacing w:after="0" w:line="116" w:lineRule="exact"/>
              <w:rPr>
                <w:sz w:val="20"/>
                <w:szCs w:val="20"/>
                <w:color w:val="auto"/>
              </w:rPr>
            </w:pPr>
            <w:r>
              <w:rPr>
                <w:rFonts w:ascii="Arial" w:cs="Arial" w:eastAsia="Arial" w:hAnsi="Arial"/>
                <w:sz w:val="11"/>
                <w:szCs w:val="11"/>
                <w:b w:val="1"/>
                <w:bCs w:val="1"/>
                <w:color w:val="auto"/>
                <w:w w:val="86"/>
              </w:rPr>
              <w:t>Basis Point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40"/>
              <w:spacing w:after="0" w:line="122" w:lineRule="exact"/>
              <w:rPr>
                <w:sz w:val="20"/>
                <w:szCs w:val="20"/>
                <w:color w:val="auto"/>
              </w:rPr>
            </w:pPr>
            <w:r>
              <w:rPr>
                <w:rFonts w:ascii="Arial" w:cs="Arial" w:eastAsia="Arial" w:hAnsi="Arial"/>
                <w:sz w:val="11"/>
                <w:szCs w:val="11"/>
                <w:b w:val="1"/>
                <w:bCs w:val="1"/>
                <w:color w:val="auto"/>
              </w:rPr>
              <w:t>Current</w:t>
            </w:r>
          </w:p>
        </w:tc>
        <w:tc>
          <w:tcPr>
            <w:tcW w:w="96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900" w:type="dxa"/>
            <w:vAlign w:val="bottom"/>
          </w:tcPr>
          <w:p>
            <w:pPr>
              <w:ind w:left="180"/>
              <w:spacing w:after="0"/>
              <w:rPr>
                <w:sz w:val="20"/>
                <w:szCs w:val="20"/>
                <w:color w:val="auto"/>
              </w:rPr>
            </w:pPr>
            <w:r>
              <w:rPr>
                <w:rFonts w:ascii="Arial" w:cs="Arial" w:eastAsia="Arial" w:hAnsi="Arial"/>
                <w:sz w:val="11"/>
                <w:szCs w:val="11"/>
                <w:b w:val="1"/>
                <w:bCs w:val="1"/>
                <w:color w:val="auto"/>
              </w:rPr>
              <w:t>Maturity</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9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w:t>
            </w:r>
          </w:p>
        </w:tc>
        <w:tc>
          <w:tcPr>
            <w:tcW w:w="10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4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9"/>
                <w:szCs w:val="9"/>
                <w:b w:val="1"/>
                <w:bCs w:val="1"/>
                <w:color w:val="auto"/>
                <w:w w:val="95"/>
              </w:rPr>
              <w:t>(2)</w:t>
            </w:r>
          </w:p>
        </w:tc>
      </w:tr>
      <w:tr>
        <w:trPr>
          <w:trHeight w:val="128"/>
        </w:trPr>
        <w:tc>
          <w:tcPr>
            <w:tcW w:w="39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8"/>
              </w:rPr>
              <w:t>Investments in Non-Controlled, Non-Affiliated Portfolio Companies—810.7%</w:t>
            </w:r>
          </w:p>
        </w:tc>
        <w:tc>
          <w:tcPr>
            <w:tcW w:w="25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48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6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b w:val="1"/>
                <w:bCs w:val="1"/>
                <w:color w:val="auto"/>
              </w:rPr>
              <w:t>First Lien Secured Debt—830.5%</w:t>
            </w:r>
          </w:p>
        </w:tc>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07/24/2025</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8.28%</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L+600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4,927,149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American Auto Auction Group,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01/02/2024</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Transportation: Consumer</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6.85%</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L+475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7,749,274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7,674,216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7,671,781</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05/16/2022</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8.52%</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L+725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13,772,261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13,531,751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13,772,261</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Cadence Aerospace,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11/14/2023</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8.54%</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L+650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11,735,208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11,644,440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11,680,054</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Cardenas Markets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11/29/2023</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7.79%</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L+575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7,348,866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7,311,507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7,128,400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Centauri Group Holdings,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02/12/2024</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7.36%</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10,422,726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10,413,416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10,396,669</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Challenger Performance Optimization,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08/31/2023</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7.87%</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L+575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10,127,447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10,040,432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9,874,261</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Country Fresh Holdings, LLC</w:t>
            </w:r>
          </w:p>
        </w:tc>
        <w:tc>
          <w:tcPr>
            <w:tcW w:w="900" w:type="dxa"/>
            <w:vAlign w:val="bottom"/>
          </w:tcPr>
          <w:p>
            <w:pPr>
              <w:jc w:val="center"/>
              <w:ind w:right="66"/>
              <w:spacing w:after="0"/>
              <w:rPr>
                <w:sz w:val="20"/>
                <w:szCs w:val="20"/>
                <w:color w:val="auto"/>
              </w:rPr>
            </w:pPr>
            <w:r>
              <w:rPr>
                <w:rFonts w:ascii="Arial" w:cs="Arial" w:eastAsia="Arial" w:hAnsi="Arial"/>
                <w:sz w:val="11"/>
                <w:szCs w:val="11"/>
                <w:color w:val="auto"/>
                <w:w w:val="88"/>
              </w:rPr>
              <w:t>05/01/23</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7.10%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182,403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179,170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 (Revolver)</w:t>
            </w:r>
          </w:p>
        </w:tc>
        <w:tc>
          <w:tcPr>
            <w:tcW w:w="900" w:type="dxa"/>
            <w:vAlign w:val="bottom"/>
            <w:shd w:val="clear" w:color="auto" w:fill="CCECFF"/>
          </w:tcPr>
          <w:p>
            <w:pPr>
              <w:jc w:val="center"/>
              <w:ind w:right="66"/>
              <w:spacing w:after="0"/>
              <w:rPr>
                <w:sz w:val="20"/>
                <w:szCs w:val="20"/>
                <w:color w:val="auto"/>
              </w:rPr>
            </w:pPr>
            <w:r>
              <w:rPr>
                <w:rFonts w:ascii="Arial" w:cs="Arial" w:eastAsia="Arial" w:hAnsi="Arial"/>
                <w:sz w:val="11"/>
                <w:szCs w:val="11"/>
                <w:color w:val="auto"/>
                <w:w w:val="88"/>
              </w:rPr>
              <w:t>05/01/23</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L+500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126,031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126,031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126,031</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 xml:space="preserve">Country Fresh Holdings, LLC - (Revolver) </w:t>
            </w:r>
            <w:r>
              <w:rPr>
                <w:rFonts w:ascii="Arial" w:cs="Arial" w:eastAsia="Arial" w:hAnsi="Arial"/>
                <w:sz w:val="9"/>
                <w:szCs w:val="9"/>
                <w:color w:val="auto"/>
              </w:rPr>
              <w:t>(5)</w:t>
            </w:r>
          </w:p>
        </w:tc>
        <w:tc>
          <w:tcPr>
            <w:tcW w:w="900" w:type="dxa"/>
            <w:vAlign w:val="bottom"/>
          </w:tcPr>
          <w:p>
            <w:pPr>
              <w:jc w:val="center"/>
              <w:ind w:right="66"/>
              <w:spacing w:after="0"/>
              <w:rPr>
                <w:sz w:val="20"/>
                <w:szCs w:val="20"/>
                <w:color w:val="auto"/>
              </w:rPr>
            </w:pPr>
            <w:r>
              <w:rPr>
                <w:rFonts w:ascii="Arial" w:cs="Arial" w:eastAsia="Arial" w:hAnsi="Arial"/>
                <w:sz w:val="11"/>
                <w:szCs w:val="11"/>
                <w:color w:val="auto"/>
                <w:w w:val="88"/>
              </w:rPr>
              <w:t>05/01/23</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324,080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Deva Holdings,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10/31/2023</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9"/>
              </w:rPr>
              <w:t>Consumer Goods: Non-Durable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7.54%</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L+625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19,748,744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19,748,744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19,748,744</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10/19/2022</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7.85%</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12,312,500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12,157,345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12,189,375</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Douglas Sewer Intermediate,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10/19/2022</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7.85%</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L+575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8,166,594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8,116,022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8,084,928</w:t>
            </w:r>
          </w:p>
        </w:tc>
        <w:tc>
          <w:tcPr>
            <w:tcW w:w="120" w:type="dxa"/>
            <w:vAlign w:val="bottom"/>
            <w:shd w:val="clear" w:color="auto" w:fill="CCECFF"/>
          </w:tcPr>
          <w:p>
            <w:pPr>
              <w:spacing w:after="0"/>
              <w:rPr>
                <w:sz w:val="11"/>
                <w:szCs w:val="1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05/31/2024</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Banking, Finance, Insurance and Real Estate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6.26%</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L+525A</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7,376,173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6,542,165</w:t>
            </w:r>
          </w:p>
        </w:tc>
        <w:tc>
          <w:tcPr>
            <w:tcW w:w="120" w:type="dxa"/>
            <w:vAlign w:val="bottom"/>
          </w:tcPr>
          <w:p>
            <w:pPr>
              <w:spacing w:after="0"/>
              <w:rPr>
                <w:sz w:val="12"/>
                <w:szCs w:val="12"/>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GCOM Software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11/14/2022</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8.37%</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L+750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17,384,864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17,263,748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17,384,864</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Good2Grow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11/18/2024</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3"/>
              </w:rPr>
              <w:t>Beverages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6.35%</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L+425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11,752,655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11,649,126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11,576,366</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Good Source Solutions,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06/29/2023</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6.37%</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L+600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14,357,813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14,241,579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14,135,267</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GSM Holdings, Inc.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06/03/2024</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Goods: Durable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6.60%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L+450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19,669,098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19,524,460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19,472,406</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IMIA Holdings,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10/28/2024</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6.60%</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L+450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12,406,250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12,351,255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12,344,219</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Impact Group,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06/27/2023</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Wholesale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8.60%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L+650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9,390,185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9,296,753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9,296,283</w:t>
            </w:r>
          </w:p>
        </w:tc>
        <w:tc>
          <w:tcPr>
            <w:tcW w:w="120" w:type="dxa"/>
            <w:vAlign w:val="bottom"/>
          </w:tcPr>
          <w:p>
            <w:pPr>
              <w:spacing w:after="0"/>
              <w:rPr>
                <w:sz w:val="11"/>
                <w:szCs w:val="1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12/12/2023</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5"/>
              </w:rPr>
              <w:t>Wholesale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5.80%</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w w:val="94"/>
              </w:rPr>
              <w:t>L+425A</w:t>
            </w:r>
          </w:p>
        </w:tc>
        <w:tc>
          <w:tcPr>
            <w:tcW w:w="20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10,973,919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9,717,138</w:t>
            </w:r>
          </w:p>
        </w:tc>
        <w:tc>
          <w:tcPr>
            <w:tcW w:w="120" w:type="dxa"/>
            <w:vAlign w:val="bottom"/>
            <w:shd w:val="clear" w:color="auto" w:fill="CCECFF"/>
          </w:tcPr>
          <w:p>
            <w:pPr>
              <w:spacing w:after="0"/>
              <w:rPr>
                <w:sz w:val="12"/>
                <w:szCs w:val="12"/>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Integrative Nutrition,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09/29/2023</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6.85%</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L+475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K2 Pure Solutions NoCal, L.P.</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12/20/2023</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7.30%</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19,850,000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19,586,294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19,609,815</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LAV Gear Holdings, Inc.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10/31/2024</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7.60%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9,925,000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9,837,686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9,916,068</w:t>
            </w:r>
          </w:p>
        </w:tc>
        <w:tc>
          <w:tcPr>
            <w:tcW w:w="120" w:type="dxa"/>
            <w:vAlign w:val="bottom"/>
          </w:tcPr>
          <w:p>
            <w:pPr>
              <w:spacing w:after="0"/>
              <w:rPr>
                <w:sz w:val="11"/>
                <w:szCs w:val="11"/>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9"/>
                <w:szCs w:val="9"/>
                <w:color w:val="auto"/>
              </w:rPr>
              <w:t>(3), (4)</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09/12/2022</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6.80%</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w w:val="94"/>
              </w:rPr>
              <w:t>L+575A</w:t>
            </w:r>
          </w:p>
        </w:tc>
        <w:tc>
          <w:tcPr>
            <w:tcW w:w="20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14,755,747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10,483,859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9,952,014</w:t>
            </w:r>
          </w:p>
        </w:tc>
        <w:tc>
          <w:tcPr>
            <w:tcW w:w="120" w:type="dxa"/>
            <w:vAlign w:val="bottom"/>
            <w:shd w:val="clear" w:color="auto" w:fill="CCECFF"/>
          </w:tcPr>
          <w:p>
            <w:pPr>
              <w:spacing w:after="0"/>
              <w:rPr>
                <w:sz w:val="12"/>
                <w:szCs w:val="12"/>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Long's Drugs Incorporated</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08/19/2022</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7.10%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17,820,000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17,688,160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17,641,800</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LSF9 Atlantis Holdings,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05/01/2023</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92"/>
              </w:rPr>
              <w:t>Retail</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8.04%</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L+600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7,078,125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7,118,977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6,575,083</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Manna Pro Products,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12/08/2023</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Consumer Goods: Non-Durable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8.05%</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L+600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6,877,500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6,797,207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6,688,369</w:t>
            </w:r>
          </w:p>
        </w:tc>
        <w:tc>
          <w:tcPr>
            <w:tcW w:w="120" w:type="dxa"/>
            <w:vAlign w:val="bottom"/>
          </w:tcPr>
          <w:p>
            <w:pPr>
              <w:spacing w:after="0"/>
              <w:rPr>
                <w:sz w:val="11"/>
                <w:szCs w:val="1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01/27/2021</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Media: Diversified and Production</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7.20%</w:t>
            </w:r>
          </w:p>
        </w:tc>
        <w:tc>
          <w:tcPr>
            <w:tcW w:w="480" w:type="dxa"/>
            <w:vAlign w:val="bottom"/>
            <w:shd w:val="clear" w:color="auto" w:fill="CCECFF"/>
          </w:tcPr>
          <w:p>
            <w:pPr>
              <w:spacing w:after="0"/>
              <w:rPr>
                <w:sz w:val="12"/>
                <w:szCs w:val="12"/>
                <w:color w:val="auto"/>
              </w:rPr>
            </w:pPr>
          </w:p>
        </w:tc>
        <w:tc>
          <w:tcPr>
            <w:tcW w:w="48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w w:val="89"/>
              </w:rPr>
              <w:t>P+275C</w:t>
            </w:r>
          </w:p>
        </w:tc>
        <w:tc>
          <w:tcPr>
            <w:tcW w:w="20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5,760,254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4,461,926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4,350,645</w:t>
            </w:r>
          </w:p>
        </w:tc>
        <w:tc>
          <w:tcPr>
            <w:tcW w:w="120" w:type="dxa"/>
            <w:vAlign w:val="bottom"/>
            <w:shd w:val="clear" w:color="auto" w:fill="CCECFF"/>
          </w:tcPr>
          <w:p>
            <w:pPr>
              <w:spacing w:after="0"/>
              <w:rPr>
                <w:sz w:val="12"/>
                <w:szCs w:val="12"/>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Mission Critical Electronics, Inc.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09/28/2022</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7.10%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6,009,982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5,977,867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6,009,982</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New Milani Group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06/06/2024</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9"/>
              </w:rPr>
              <w:t>Consumer Goods: Non-Durable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6.35%</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L+425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14,812,500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14,691,710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14,664,375</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Olde Thompson,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05/14/2024</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6.54%</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L+450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11,876,667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11,757,900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11,876,667</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Output Services Group,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03/27/2024</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6.54%</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L+425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7,883,419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7,909,754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6,779,740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Pestell Minerals and Ingredients Inc.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06/01/2023</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7.57%</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9,925,000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9,840,202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9,825,750</w:t>
            </w:r>
          </w:p>
        </w:tc>
        <w:tc>
          <w:tcPr>
            <w:tcW w:w="120" w:type="dxa"/>
            <w:vAlign w:val="bottom"/>
          </w:tcPr>
          <w:p>
            <w:pPr>
              <w:spacing w:after="0"/>
              <w:rPr>
                <w:sz w:val="11"/>
                <w:szCs w:val="11"/>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Pestell Minerals and Ingredients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06/01/2023</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7.23%</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w w:val="92"/>
              </w:rPr>
              <w:t>L+525C</w:t>
            </w:r>
          </w:p>
        </w:tc>
        <w:tc>
          <w:tcPr>
            <w:tcW w:w="20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3,242,655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2,412,626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2,424,644</w:t>
            </w:r>
          </w:p>
        </w:tc>
        <w:tc>
          <w:tcPr>
            <w:tcW w:w="120" w:type="dxa"/>
            <w:vAlign w:val="bottom"/>
            <w:shd w:val="clear" w:color="auto" w:fill="CCECFF"/>
          </w:tcPr>
          <w:p>
            <w:pPr>
              <w:spacing w:after="0"/>
              <w:rPr>
                <w:sz w:val="12"/>
                <w:szCs w:val="12"/>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PH Beauty Holdings III, Inc.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09/29/2025</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Wholesale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7.04%</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9,892,519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9,804,058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9,397,893</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Plant Health Intermediate,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10/19/2022</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L+575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1,758,406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1,736,386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1,740,822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PlayPower, Inc.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9"/>
              </w:rPr>
              <w:t>05/8/2026</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Leisure Products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7.60%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4,189,500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4,148,451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4,184,263</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Smile Brands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10/14/2024</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6.66%</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L+450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11,289,688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11,189,470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11,176,791</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Snak Club,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07/19/2021</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8.10%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L+600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4,359,370</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Sonny's Enterprises,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12/01/2022</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6.35%</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L+425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15,224,842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15,227,900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15,224,842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Teneo Holdings LLC</w:t>
            </w:r>
          </w:p>
        </w:tc>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7.29%</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4,804,110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4,762,500</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12/02/2021</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9"/>
              </w:rPr>
              <w:t>Media: Broadcasting and Subscription</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7.43%</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6M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L+500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8,823,392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8,790,069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8,735,157</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TVC Enterprises, LLC</w:t>
            </w:r>
          </w:p>
        </w:tc>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7.55%</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L+550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9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8.28%</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L+625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7,075,000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6,937,888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6,933,500</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UBEO,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04/03/2024</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6.78%</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L+450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22,248,673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22,045,879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22,026,186</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08/30/2024</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7.04%</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L+450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11,572,122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11,388,612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11,572,122</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Walker Edison Furniture Company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09/26/2024</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Wholesale</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8.83%</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3M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L+650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16,001,734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15,724,459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16,121,747</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Whitney, Bradley &amp; Brown, Inc.</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10/18/2022</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Aerospace and Defense</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9.55%</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L+750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5,466,024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5,389,938</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5,466,024</w:t>
            </w:r>
          </w:p>
        </w:tc>
        <w:tc>
          <w:tcPr>
            <w:tcW w:w="120" w:type="dxa"/>
            <w:vAlign w:val="bottom"/>
            <w:shd w:val="clear" w:color="auto" w:fill="CCECFF"/>
          </w:tcPr>
          <w:p>
            <w:pPr>
              <w:spacing w:after="0"/>
              <w:rPr>
                <w:sz w:val="11"/>
                <w:szCs w:val="11"/>
                <w:color w:val="auto"/>
              </w:rPr>
            </w:pPr>
          </w:p>
        </w:tc>
      </w:tr>
      <w:tr>
        <w:trPr>
          <w:trHeight w:val="129"/>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First Lien Secured Debt</w:t>
            </w:r>
          </w:p>
        </w:tc>
        <w:tc>
          <w:tcPr>
            <w:tcW w:w="9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6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478,935,867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474,289,532</w:t>
            </w:r>
          </w:p>
        </w:tc>
        <w:tc>
          <w:tcPr>
            <w:tcW w:w="120" w:type="dxa"/>
            <w:vAlign w:val="bottom"/>
            <w:tcBorders>
              <w:bottom w:val="single" w:sz="8" w:color="CCECFF"/>
            </w:tcBorders>
          </w:tcPr>
          <w:p>
            <w:pPr>
              <w:spacing w:after="0"/>
              <w:rPr>
                <w:sz w:val="11"/>
                <w:szCs w:val="11"/>
                <w:color w:val="auto"/>
              </w:rPr>
            </w:pPr>
          </w:p>
        </w:tc>
      </w:tr>
      <w:tr>
        <w:trPr>
          <w:trHeight w:val="128"/>
        </w:trPr>
        <w:tc>
          <w:tcPr>
            <w:tcW w:w="30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Debt—14.8%</w:t>
            </w:r>
          </w:p>
        </w:tc>
        <w:tc>
          <w:tcPr>
            <w:tcW w:w="9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Country Fresh Holdings, LLC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04/29/2024</w:t>
            </w:r>
          </w:p>
        </w:tc>
        <w:tc>
          <w:tcPr>
            <w:tcW w:w="2620" w:type="dxa"/>
            <w:vAlign w:val="bottom"/>
            <w:gridSpan w:val="2"/>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10.60%</w:t>
            </w:r>
          </w:p>
        </w:tc>
        <w:tc>
          <w:tcPr>
            <w:tcW w:w="480" w:type="dxa"/>
            <w:vAlign w:val="bottom"/>
          </w:tcPr>
          <w:p>
            <w:pPr>
              <w:jc w:val="center"/>
              <w:ind w:left="246"/>
              <w:spacing w:after="0"/>
              <w:rPr>
                <w:sz w:val="20"/>
                <w:szCs w:val="20"/>
                <w:color w:val="auto"/>
              </w:rPr>
            </w:pPr>
            <w:r>
              <w:rPr>
                <w:rFonts w:ascii="Arial" w:cs="Arial" w:eastAsia="Arial" w:hAnsi="Arial"/>
                <w:sz w:val="11"/>
                <w:szCs w:val="11"/>
                <w:color w:val="auto"/>
                <w:w w:val="91"/>
              </w:rPr>
              <w:t>1M</w:t>
            </w: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L+850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870,886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870,886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870,886</w:t>
            </w:r>
          </w:p>
        </w:tc>
        <w:tc>
          <w:tcPr>
            <w:tcW w:w="120" w:type="dxa"/>
            <w:vAlign w:val="bottom"/>
          </w:tcPr>
          <w:p>
            <w:pPr>
              <w:spacing w:after="0"/>
              <w:rPr>
                <w:sz w:val="12"/>
                <w:szCs w:val="12"/>
                <w:color w:val="auto"/>
              </w:rPr>
            </w:pPr>
          </w:p>
        </w:tc>
      </w:tr>
      <w:tr>
        <w:trPr>
          <w:trHeight w:val="131"/>
        </w:trPr>
        <w:tc>
          <w:tcPr>
            <w:tcW w:w="30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(PIK 10.60%)</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Term Loan B</w:t>
            </w:r>
          </w:p>
        </w:tc>
        <w:tc>
          <w:tcPr>
            <w:tcW w:w="900" w:type="dxa"/>
            <w:vAlign w:val="bottom"/>
            <w:shd w:val="clear" w:color="auto" w:fill="CCECFF"/>
          </w:tcPr>
          <w:p>
            <w:pPr>
              <w:jc w:val="center"/>
              <w:ind w:right="86"/>
              <w:spacing w:after="0"/>
              <w:rPr>
                <w:sz w:val="20"/>
                <w:szCs w:val="20"/>
                <w:color w:val="auto"/>
              </w:rPr>
            </w:pPr>
            <w:r>
              <w:rPr>
                <w:rFonts w:ascii="Arial" w:cs="Arial" w:eastAsia="Arial" w:hAnsi="Arial"/>
                <w:sz w:val="11"/>
                <w:szCs w:val="11"/>
                <w:color w:val="auto"/>
                <w:w w:val="87"/>
              </w:rPr>
              <w:t>03/26/2021</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480" w:type="dxa"/>
            <w:vAlign w:val="bottom"/>
            <w:shd w:val="clear" w:color="auto" w:fill="CCECFF"/>
          </w:tcPr>
          <w:p>
            <w:pPr>
              <w:jc w:val="center"/>
              <w:ind w:left="246"/>
              <w:spacing w:after="0"/>
              <w:rPr>
                <w:sz w:val="20"/>
                <w:szCs w:val="20"/>
                <w:color w:val="auto"/>
              </w:rPr>
            </w:pPr>
            <w:r>
              <w:rPr>
                <w:rFonts w:ascii="Arial" w:cs="Arial" w:eastAsia="Arial" w:hAnsi="Arial"/>
                <w:sz w:val="11"/>
                <w:szCs w:val="11"/>
                <w:color w:val="auto"/>
                <w:w w:val="91"/>
              </w:rPr>
              <w:t>6M</w:t>
            </w: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0"/>
              </w:rPr>
              <w:t>L+525</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15,206</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8.00%)</w:t>
            </w: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040" w:type="dxa"/>
            <w:vAlign w:val="bottom"/>
          </w:tcPr>
          <w:p>
            <w:pPr>
              <w:spacing w:after="0"/>
              <w:rPr>
                <w:sz w:val="20"/>
                <w:szCs w:val="20"/>
                <w:color w:val="auto"/>
              </w:rPr>
            </w:pPr>
            <w:r>
              <w:rPr>
                <w:rFonts w:ascii="Arial" w:cs="Arial" w:eastAsia="Arial" w:hAnsi="Arial"/>
                <w:sz w:val="11"/>
                <w:szCs w:val="11"/>
                <w:color w:val="auto"/>
              </w:rPr>
              <w:t>DBI Holding, LLC, Term Loan C</w:t>
            </w:r>
          </w:p>
        </w:tc>
        <w:tc>
          <w:tcPr>
            <w:tcW w:w="900" w:type="dxa"/>
            <w:vAlign w:val="bottom"/>
          </w:tcPr>
          <w:p>
            <w:pPr>
              <w:jc w:val="center"/>
              <w:ind w:right="86"/>
              <w:spacing w:after="0"/>
              <w:rPr>
                <w:sz w:val="20"/>
                <w:szCs w:val="20"/>
                <w:color w:val="auto"/>
              </w:rPr>
            </w:pPr>
            <w:r>
              <w:rPr>
                <w:rFonts w:ascii="Arial" w:cs="Arial" w:eastAsia="Arial" w:hAnsi="Arial"/>
                <w:sz w:val="11"/>
                <w:szCs w:val="11"/>
                <w:color w:val="auto"/>
                <w:w w:val="87"/>
              </w:rPr>
              <w:t>02/02/2026</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480" w:type="dxa"/>
            <w:vAlign w:val="bottom"/>
          </w:tcPr>
          <w:p>
            <w:pPr>
              <w:spacing w:after="0"/>
              <w:rPr>
                <w:sz w:val="12"/>
                <w:szCs w:val="12"/>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7,607,291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7,607,291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7,569,255</w:t>
            </w:r>
          </w:p>
        </w:tc>
        <w:tc>
          <w:tcPr>
            <w:tcW w:w="120" w:type="dxa"/>
            <w:vAlign w:val="bottom"/>
          </w:tcPr>
          <w:p>
            <w:pPr>
              <w:spacing w:after="0"/>
              <w:rPr>
                <w:sz w:val="12"/>
                <w:szCs w:val="12"/>
                <w:color w:val="auto"/>
              </w:rPr>
            </w:pPr>
          </w:p>
        </w:tc>
      </w:tr>
      <w:tr>
        <w:trPr>
          <w:trHeight w:val="131"/>
        </w:trPr>
        <w:tc>
          <w:tcPr>
            <w:tcW w:w="3040" w:type="dxa"/>
            <w:vAlign w:val="bottom"/>
            <w:tcBorders>
              <w:bottom w:val="single" w:sz="8" w:color="CCECFF"/>
            </w:tcBorders>
          </w:tcPr>
          <w:p>
            <w:pPr>
              <w:spacing w:after="0"/>
              <w:rPr>
                <w:sz w:val="11"/>
                <w:szCs w:val="11"/>
                <w:color w:val="auto"/>
              </w:rPr>
            </w:pPr>
          </w:p>
        </w:tc>
        <w:tc>
          <w:tcPr>
            <w:tcW w:w="9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6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8.00%)</w:t>
            </w: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6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8"/>
        </w:trPr>
        <w:tc>
          <w:tcPr>
            <w:tcW w:w="30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9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8,493,383</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8,455,347</w:t>
            </w:r>
          </w:p>
        </w:tc>
        <w:tc>
          <w:tcPr>
            <w:tcW w:w="120" w:type="dxa"/>
            <w:vAlign w:val="bottom"/>
            <w:shd w:val="clear" w:color="auto" w:fill="CCECFF"/>
          </w:tcPr>
          <w:p>
            <w:pPr>
              <w:spacing w:after="0"/>
              <w:rPr>
                <w:sz w:val="11"/>
                <w:szCs w:val="11"/>
                <w:color w:val="auto"/>
              </w:rPr>
            </w:pPr>
          </w:p>
        </w:tc>
      </w:tr>
      <w:tr>
        <w:trPr>
          <w:trHeight w:val="129"/>
        </w:trPr>
        <w:tc>
          <w:tcPr>
            <w:tcW w:w="3040" w:type="dxa"/>
            <w:vAlign w:val="bottom"/>
          </w:tcPr>
          <w:p>
            <w:pPr>
              <w:spacing w:after="0"/>
              <w:rPr>
                <w:sz w:val="20"/>
                <w:szCs w:val="20"/>
                <w:color w:val="auto"/>
              </w:rPr>
            </w:pPr>
            <w:r>
              <w:rPr>
                <w:rFonts w:ascii="Arial" w:cs="Arial" w:eastAsia="Arial" w:hAnsi="Arial"/>
                <w:sz w:val="11"/>
                <w:szCs w:val="11"/>
                <w:b w:val="1"/>
                <w:bCs w:val="1"/>
                <w:color w:val="auto"/>
              </w:rPr>
              <w:t>Equity Securities—10.2%</w:t>
            </w:r>
          </w:p>
        </w:tc>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 Company Inc.</w:t>
            </w:r>
          </w:p>
        </w:tc>
        <w:tc>
          <w:tcPr>
            <w:tcW w:w="9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6"/>
              </w:rPr>
              <w:t>Beverage, Food and Tobacco</w:t>
            </w: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1,124,929</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color w:val="auto"/>
              </w:rPr>
              <w:t>DBI Holding, LLC, Series A-1</w:t>
            </w:r>
          </w:p>
        </w:tc>
        <w:tc>
          <w:tcPr>
            <w:tcW w:w="900" w:type="dxa"/>
            <w:vAlign w:val="bottom"/>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tcPr>
          <w:p>
            <w:pPr>
              <w:jc w:val="center"/>
              <w:ind w:right="14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4,680,039</w:t>
            </w: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Series B</w:t>
            </w:r>
          </w:p>
        </w:tc>
        <w:tc>
          <w:tcPr>
            <w:tcW w:w="900" w:type="dxa"/>
            <w:vAlign w:val="bottom"/>
            <w:shd w:val="clear" w:color="auto" w:fill="CCECFF"/>
          </w:tcPr>
          <w:p>
            <w:pPr>
              <w:ind w:left="380"/>
              <w:spacing w:after="0"/>
              <w:rPr>
                <w:sz w:val="20"/>
                <w:szCs w:val="20"/>
                <w:color w:val="auto"/>
              </w:rPr>
            </w:pPr>
            <w:r>
              <w:rPr>
                <w:rFonts w:ascii="Arial" w:cs="Arial" w:eastAsia="Arial" w:hAnsi="Arial"/>
                <w:sz w:val="11"/>
                <w:szCs w:val="11"/>
                <w:color w:val="auto"/>
              </w:rPr>
              <w:t>—</w:t>
            </w:r>
          </w:p>
        </w:tc>
        <w:tc>
          <w:tcPr>
            <w:tcW w:w="262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4"/>
              </w:rPr>
              <w:t>Business Services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CFF"/>
          </w:tcPr>
          <w:p>
            <w:pPr>
              <w:spacing w:after="0"/>
              <w:rPr>
                <w:sz w:val="11"/>
                <w:szCs w:val="11"/>
                <w:color w:val="auto"/>
              </w:rPr>
            </w:pPr>
          </w:p>
        </w:tc>
        <w:tc>
          <w:tcPr>
            <w:tcW w:w="48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1,065,021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r>
      <w:tr>
        <w:trPr>
          <w:trHeight w:val="128"/>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Equity Securities</w:t>
            </w:r>
          </w:p>
        </w:tc>
        <w:tc>
          <w:tcPr>
            <w:tcW w:w="9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6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5,804,968</w:t>
            </w:r>
          </w:p>
        </w:tc>
        <w:tc>
          <w:tcPr>
            <w:tcW w:w="120" w:type="dxa"/>
            <w:vAlign w:val="bottom"/>
            <w:tcBorders>
              <w:bottom w:val="single" w:sz="8" w:color="CCECFF"/>
            </w:tcBorders>
          </w:tcPr>
          <w:p>
            <w:pPr>
              <w:spacing w:after="0"/>
              <w:rPr>
                <w:sz w:val="11"/>
                <w:szCs w:val="11"/>
                <w:color w:val="auto"/>
              </w:rPr>
            </w:pPr>
          </w:p>
        </w:tc>
      </w:tr>
      <w:tr>
        <w:trPr>
          <w:trHeight w:val="128"/>
        </w:trPr>
        <w:tc>
          <w:tcPr>
            <w:tcW w:w="39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 in Non-Controlled, Non-Affiliated Portfolio Companies</w:t>
            </w: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1"/>
              </w:rPr>
              <w:t>494,413,187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488,549,847</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Pr>
          <w:p>
            <w:pPr>
              <w:spacing w:after="0"/>
              <w:rPr>
                <w:sz w:val="20"/>
                <w:szCs w:val="20"/>
                <w:color w:val="auto"/>
              </w:rPr>
            </w:pPr>
            <w:r>
              <w:rPr>
                <w:rFonts w:ascii="Arial" w:cs="Arial" w:eastAsia="Arial" w:hAnsi="Arial"/>
                <w:sz w:val="11"/>
                <w:szCs w:val="11"/>
                <w:b w:val="1"/>
                <w:bCs w:val="1"/>
                <w:color w:val="auto"/>
              </w:rPr>
              <w:t>Cash and Cash Equivalents—26.8%</w:t>
            </w:r>
          </w:p>
        </w:tc>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9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120" w:type="dxa"/>
            <w:vAlign w:val="bottom"/>
            <w:shd w:val="clear" w:color="auto" w:fill="CCECFF"/>
          </w:tcPr>
          <w:p>
            <w:pPr>
              <w:spacing w:after="0"/>
              <w:rPr>
                <w:sz w:val="11"/>
                <w:szCs w:val="11"/>
                <w:color w:val="auto"/>
              </w:rPr>
            </w:pPr>
          </w:p>
        </w:tc>
      </w:tr>
      <w:tr>
        <w:trPr>
          <w:trHeight w:val="135"/>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US Bank Cash</w:t>
            </w:r>
          </w:p>
        </w:tc>
        <w:tc>
          <w:tcPr>
            <w:tcW w:w="90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48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6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3,156,230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3,128,580</w:t>
            </w:r>
          </w:p>
        </w:tc>
        <w:tc>
          <w:tcPr>
            <w:tcW w:w="120" w:type="dxa"/>
            <w:vAlign w:val="bottom"/>
            <w:tcBorders>
              <w:bottom w:val="single" w:sz="8" w:color="CCECFF"/>
            </w:tcBorders>
          </w:tcPr>
          <w:p>
            <w:pPr>
              <w:spacing w:after="0"/>
              <w:rPr>
                <w:sz w:val="11"/>
                <w:szCs w:val="11"/>
                <w:color w:val="auto"/>
              </w:rPr>
            </w:pPr>
          </w:p>
        </w:tc>
      </w:tr>
      <w:tr>
        <w:trPr>
          <w:trHeight w:val="129"/>
        </w:trPr>
        <w:tc>
          <w:tcPr>
            <w:tcW w:w="30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90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15,322,531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15,294,881</w:t>
            </w:r>
          </w:p>
        </w:tc>
        <w:tc>
          <w:tcPr>
            <w:tcW w:w="120" w:type="dxa"/>
            <w:vAlign w:val="bottom"/>
            <w:shd w:val="clear" w:color="auto" w:fill="CCECFF"/>
          </w:tcPr>
          <w:p>
            <w:pPr>
              <w:spacing w:after="0"/>
              <w:rPr>
                <w:sz w:val="11"/>
                <w:szCs w:val="11"/>
                <w:color w:val="auto"/>
              </w:rPr>
            </w:pPr>
          </w:p>
        </w:tc>
      </w:tr>
      <w:tr>
        <w:trPr>
          <w:trHeight w:val="168"/>
        </w:trPr>
        <w:tc>
          <w:tcPr>
            <w:tcW w:w="304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Investments and Cash Equivalents—882.3%</w:t>
            </w:r>
          </w:p>
        </w:tc>
        <w:tc>
          <w:tcPr>
            <w:tcW w:w="900" w:type="dxa"/>
            <w:vAlign w:val="bottom"/>
            <w:tcBorders>
              <w:bottom w:val="single" w:sz="8" w:color="CCECFF"/>
            </w:tcBorders>
          </w:tcPr>
          <w:p>
            <w:pPr>
              <w:spacing w:after="0"/>
              <w:rPr>
                <w:sz w:val="14"/>
                <w:szCs w:val="14"/>
                <w:color w:val="auto"/>
              </w:rPr>
            </w:pPr>
          </w:p>
        </w:tc>
        <w:tc>
          <w:tcPr>
            <w:tcW w:w="250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680" w:type="dxa"/>
            <w:vAlign w:val="bottom"/>
            <w:tcBorders>
              <w:bottom w:val="single" w:sz="8" w:color="CCECFF"/>
            </w:tcBorders>
          </w:tcPr>
          <w:p>
            <w:pPr>
              <w:spacing w:after="0"/>
              <w:rPr>
                <w:sz w:val="14"/>
                <w:szCs w:val="14"/>
                <w:color w:val="auto"/>
              </w:rPr>
            </w:pPr>
          </w:p>
        </w:tc>
        <w:tc>
          <w:tcPr>
            <w:tcW w:w="280" w:type="dxa"/>
            <w:vAlign w:val="bottom"/>
            <w:tcBorders>
              <w:bottom w:val="single" w:sz="8" w:color="CCECFF"/>
            </w:tcBorders>
          </w:tcPr>
          <w:p>
            <w:pPr>
              <w:spacing w:after="0"/>
              <w:rPr>
                <w:sz w:val="14"/>
                <w:szCs w:val="14"/>
                <w:color w:val="auto"/>
              </w:rPr>
            </w:pPr>
          </w:p>
        </w:tc>
        <w:tc>
          <w:tcPr>
            <w:tcW w:w="480" w:type="dxa"/>
            <w:vAlign w:val="bottom"/>
            <w:tcBorders>
              <w:bottom w:val="single" w:sz="8" w:color="CCECFF"/>
            </w:tcBorders>
          </w:tcPr>
          <w:p>
            <w:pPr>
              <w:spacing w:after="0"/>
              <w:rPr>
                <w:sz w:val="14"/>
                <w:szCs w:val="14"/>
                <w:color w:val="auto"/>
              </w:rPr>
            </w:pPr>
          </w:p>
        </w:tc>
        <w:tc>
          <w:tcPr>
            <w:tcW w:w="320" w:type="dxa"/>
            <w:vAlign w:val="bottom"/>
            <w:tcBorders>
              <w:bottom w:val="single" w:sz="8" w:color="CCECFF"/>
            </w:tcBorders>
          </w:tcPr>
          <w:p>
            <w:pPr>
              <w:spacing w:after="0"/>
              <w:rPr>
                <w:sz w:val="14"/>
                <w:szCs w:val="14"/>
                <w:color w:val="auto"/>
              </w:rPr>
            </w:pPr>
          </w:p>
        </w:tc>
        <w:tc>
          <w:tcPr>
            <w:tcW w:w="16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58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509,735,718</w:t>
            </w:r>
          </w:p>
        </w:tc>
        <w:tc>
          <w:tcPr>
            <w:tcW w:w="2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503,844,728</w:t>
            </w:r>
          </w:p>
        </w:tc>
        <w:tc>
          <w:tcPr>
            <w:tcW w:w="120" w:type="dxa"/>
            <w:vAlign w:val="bottom"/>
            <w:tcBorders>
              <w:bottom w:val="single" w:sz="8" w:color="CCECFF"/>
            </w:tcBorders>
          </w:tcPr>
          <w:p>
            <w:pPr>
              <w:spacing w:after="0"/>
              <w:rPr>
                <w:sz w:val="14"/>
                <w:szCs w:val="14"/>
                <w:color w:val="auto"/>
              </w:rPr>
            </w:pPr>
          </w:p>
        </w:tc>
      </w:tr>
      <w:tr>
        <w:trPr>
          <w:trHeight w:val="116"/>
        </w:trPr>
        <w:tc>
          <w:tcPr>
            <w:tcW w:w="3040" w:type="dxa"/>
            <w:vAlign w:val="bottom"/>
            <w:shd w:val="clear" w:color="auto" w:fill="CCECFF"/>
          </w:tcPr>
          <w:p>
            <w:pPr>
              <w:spacing w:after="0" w:line="116" w:lineRule="exact"/>
              <w:rPr>
                <w:sz w:val="20"/>
                <w:szCs w:val="20"/>
                <w:color w:val="auto"/>
              </w:rPr>
            </w:pPr>
            <w:r>
              <w:rPr>
                <w:rFonts w:ascii="Arial" w:cs="Arial" w:eastAsia="Arial" w:hAnsi="Arial"/>
                <w:sz w:val="11"/>
                <w:szCs w:val="11"/>
                <w:b w:val="1"/>
                <w:bCs w:val="1"/>
                <w:color w:val="auto"/>
              </w:rPr>
              <w:t>Liabilities in Excess of Other Assets—(782.3)%</w:t>
            </w:r>
          </w:p>
        </w:tc>
        <w:tc>
          <w:tcPr>
            <w:tcW w:w="900" w:type="dxa"/>
            <w:vAlign w:val="bottom"/>
            <w:shd w:val="clear" w:color="auto" w:fill="CCECFF"/>
          </w:tcPr>
          <w:p>
            <w:pPr>
              <w:spacing w:after="0"/>
              <w:rPr>
                <w:sz w:val="10"/>
                <w:szCs w:val="10"/>
                <w:color w:val="auto"/>
              </w:rPr>
            </w:pPr>
          </w:p>
        </w:tc>
        <w:tc>
          <w:tcPr>
            <w:tcW w:w="25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4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3"/>
              </w:rPr>
              <w:t>(446,736,922)</w:t>
            </w:r>
          </w:p>
        </w:tc>
      </w:tr>
      <w:tr>
        <w:trPr>
          <w:trHeight w:val="128"/>
        </w:trPr>
        <w:tc>
          <w:tcPr>
            <w:tcW w:w="3040" w:type="dxa"/>
            <w:vAlign w:val="bottom"/>
          </w:tcPr>
          <w:p>
            <w:pPr>
              <w:spacing w:after="0"/>
              <w:rPr>
                <w:sz w:val="20"/>
                <w:szCs w:val="20"/>
                <w:color w:val="auto"/>
              </w:rPr>
            </w:pPr>
            <w:r>
              <w:rPr>
                <w:rFonts w:ascii="Arial" w:cs="Arial" w:eastAsia="Arial" w:hAnsi="Arial"/>
                <w:sz w:val="11"/>
                <w:szCs w:val="11"/>
                <w:b w:val="1"/>
                <w:bCs w:val="1"/>
                <w:color w:val="auto"/>
              </w:rPr>
              <w:t>Members' Equity—100.0%</w:t>
            </w:r>
          </w:p>
        </w:tc>
        <w:tc>
          <w:tcPr>
            <w:tcW w:w="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57,107,806</w:t>
            </w:r>
          </w:p>
        </w:tc>
        <w:tc>
          <w:tcPr>
            <w:tcW w:w="120" w:type="dxa"/>
            <w:vAlign w:val="bottom"/>
          </w:tcPr>
          <w:p>
            <w:pPr>
              <w:spacing w:after="0"/>
              <w:rPr>
                <w:sz w:val="11"/>
                <w:szCs w:val="11"/>
                <w:color w:val="auto"/>
              </w:rPr>
            </w:pPr>
          </w:p>
        </w:tc>
      </w:tr>
      <w:tr>
        <w:trPr>
          <w:trHeight w:val="20"/>
        </w:trPr>
        <w:tc>
          <w:tcPr>
            <w:tcW w:w="3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49" w:lineRule="exact"/>
        <w:rPr>
          <w:sz w:val="20"/>
          <w:szCs w:val="20"/>
          <w:color w:val="auto"/>
        </w:rPr>
      </w:pPr>
    </w:p>
    <w:p>
      <w:pPr>
        <w:ind w:left="380" w:right="60" w:hanging="372"/>
        <w:spacing w:after="0" w:line="276" w:lineRule="auto"/>
        <w:tabs>
          <w:tab w:leader="none" w:pos="380" w:val="left"/>
        </w:tabs>
        <w:numPr>
          <w:ilvl w:val="0"/>
          <w:numId w:val="58"/>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177"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2018:</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380"/>
              <w:spacing w:after="0" w:line="126" w:lineRule="exact"/>
              <w:rPr>
                <w:sz w:val="20"/>
                <w:szCs w:val="20"/>
                <w:color w:val="auto"/>
              </w:rPr>
            </w:pPr>
            <w:r>
              <w:rPr>
                <w:rFonts w:ascii="Arial" w:cs="Arial" w:eastAsia="Arial" w:hAnsi="Arial"/>
                <w:sz w:val="12"/>
                <w:szCs w:val="12"/>
                <w:b w:val="1"/>
                <w:bCs w:val="1"/>
                <w:color w:val="auto"/>
              </w:rPr>
              <w:t>Current</w:t>
            </w:r>
          </w:p>
        </w:tc>
        <w:tc>
          <w:tcPr>
            <w:tcW w:w="80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800" w:type="dxa"/>
            <w:vAlign w:val="bottom"/>
            <w:gridSpan w:val="2"/>
          </w:tcPr>
          <w:p>
            <w:pPr>
              <w:jc w:val="center"/>
              <w:spacing w:after="0" w:line="153" w:lineRule="exact"/>
              <w:rPr>
                <w:sz w:val="20"/>
                <w:szCs w:val="20"/>
                <w:color w:val="auto"/>
              </w:rPr>
            </w:pPr>
            <w:r>
              <w:rPr>
                <w:rFonts w:ascii="Arial" w:cs="Arial" w:eastAsia="Arial" w:hAnsi="Arial"/>
                <w:sz w:val="11"/>
                <w:szCs w:val="11"/>
                <w:b w:val="1"/>
                <w:bCs w:val="1"/>
                <w:color w:val="auto"/>
                <w:w w:val="96"/>
              </w:rPr>
              <w:t xml:space="preserve">Index </w:t>
            </w:r>
            <w:r>
              <w:rPr>
                <w:rFonts w:ascii="Arial" w:cs="Arial" w:eastAsia="Arial" w:hAnsi="Arial"/>
                <w:sz w:val="17"/>
                <w:szCs w:val="17"/>
                <w:b w:val="1"/>
                <w:bCs w:val="1"/>
                <w:color w:val="auto"/>
                <w:w w:val="96"/>
                <w:vertAlign w:val="superscript"/>
              </w:rPr>
              <w:t>(1)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line="153" w:lineRule="exact"/>
              <w:rPr>
                <w:sz w:val="20"/>
                <w:szCs w:val="20"/>
                <w:color w:val="auto"/>
              </w:rPr>
            </w:pPr>
            <w:r>
              <w:rPr>
                <w:rFonts w:ascii="Arial" w:cs="Arial" w:eastAsia="Arial" w:hAnsi="Arial"/>
                <w:sz w:val="11"/>
                <w:szCs w:val="11"/>
                <w:b w:val="1"/>
                <w:bCs w:val="1"/>
                <w:color w:val="auto"/>
                <w:w w:val="97"/>
              </w:rPr>
              <w:t xml:space="preserve">Fair Value </w:t>
            </w:r>
            <w:r>
              <w:rPr>
                <w:rFonts w:ascii="Arial" w:cs="Arial" w:eastAsia="Arial" w:hAnsi="Arial"/>
                <w:sz w:val="17"/>
                <w:szCs w:val="17"/>
                <w:b w:val="1"/>
                <w:bCs w:val="1"/>
                <w:color w:val="auto"/>
                <w:w w:val="97"/>
                <w:vertAlign w:val="superscript"/>
              </w:rPr>
              <w:t>(2)</w:t>
            </w:r>
          </w:p>
        </w:tc>
        <w:tc>
          <w:tcPr>
            <w:tcW w:w="0" w:type="dxa"/>
            <w:vAlign w:val="bottom"/>
          </w:tcPr>
          <w:p>
            <w:pPr>
              <w:spacing w:after="0"/>
              <w:rPr>
                <w:sz w:val="1"/>
                <w:szCs w:val="1"/>
                <w:color w:val="auto"/>
              </w:rPr>
            </w:pPr>
          </w:p>
        </w:tc>
      </w:tr>
      <w:tr>
        <w:trPr>
          <w:trHeight w:val="142"/>
        </w:trPr>
        <w:tc>
          <w:tcPr>
            <w:tcW w:w="40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Investments in Non-Controlled, Non-Affiliated Portfolio Companies—830.9%</w:t>
            </w:r>
          </w:p>
        </w:tc>
        <w:tc>
          <w:tcPr>
            <w:tcW w:w="252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460" w:type="dxa"/>
            <w:vAlign w:val="bottom"/>
            <w:tcBorders>
              <w:top w:val="single" w:sz="8" w:color="auto"/>
            </w:tcBorders>
            <w:shd w:val="clear" w:color="auto" w:fill="CCECFF"/>
          </w:tcPr>
          <w:p>
            <w:pPr>
              <w:spacing w:after="0"/>
              <w:rPr>
                <w:sz w:val="12"/>
                <w:szCs w:val="12"/>
                <w:color w:val="auto"/>
              </w:rPr>
            </w:pPr>
          </w:p>
        </w:tc>
        <w:tc>
          <w:tcPr>
            <w:tcW w:w="3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Debt—830.9%</w:t>
            </w:r>
          </w:p>
        </w:tc>
        <w:tc>
          <w:tcPr>
            <w:tcW w:w="1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Alvogen Pharma US, Inc. </w:t>
            </w:r>
            <w:r>
              <w:rPr>
                <w:rFonts w:ascii="Arial" w:cs="Arial" w:eastAsia="Arial" w:hAnsi="Arial"/>
                <w:sz w:val="17"/>
                <w:szCs w:val="17"/>
                <w:color w:val="auto"/>
                <w:vertAlign w:val="superscript"/>
              </w:rPr>
              <w:t>(3)</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04/04/2022</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6.99%</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L+475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5,424,261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5,370,876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5,464,943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11/30/2021</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Transportation: Consumer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7.34%</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L+525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4,949,622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4,910,720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4,875,378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08/01/2024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0"/>
              </w:rPr>
              <w:t>Construction and Building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6.70%</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2M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L+450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5,944,975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5,900,529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5,985,876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04/22/2024</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19,710,688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19,750,500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Beauty Industry Group Opco,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04/06/2023</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7.00%</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L+475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21,259,078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21,057,494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21,152,781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05/16/2022</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9.57%</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L+725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10,761,235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10,538,732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10,761,235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11/14/2023</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8.83%</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L+650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11,854,375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11,745,013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11,875,641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11/29/2023</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7.99%</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L+575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7,424,433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7,381,442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7,424,433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Challenger Performance Optimization,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08/31/2023</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7.85%</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L+575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10,387,126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10,284,272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10,283,255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03/31/2023</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7.39%</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L+500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4,348,465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4,218,011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DBI Holdings,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08/02/2021</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7.51%</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L+525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12,334,446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Deva Holdings,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10/31/2023</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7.74%</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L+550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19,949,749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19,949,749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Digital Room Holdings,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12/29/2023</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0"/>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7.25%</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L+500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9,832,647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9,813,344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03/29/2022</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8.14%</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L+575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12,437,500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12,243,681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12,313,125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09/30/2022</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6.86%</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L+475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4,712,239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ENC Holding Corporation</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05/30/2025</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Transportation: Cargo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L+425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10,345,500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10,320,383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10,319,636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line="149" w:lineRule="exact"/>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17"/>
                <w:szCs w:val="17"/>
                <w:color w:val="auto"/>
                <w:vertAlign w:val="superscript"/>
              </w:rPr>
              <w:t>(3), (4)</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05/31/2024</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Banking, Finance, Insurance and Real Estate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7.23%</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2M</w:t>
            </w:r>
          </w:p>
        </w:tc>
        <w:tc>
          <w:tcPr>
            <w:tcW w:w="560" w:type="dxa"/>
            <w:vAlign w:val="bottom"/>
            <w:gridSpan w:val="3"/>
            <w:shd w:val="clear" w:color="auto" w:fill="CCECFF"/>
          </w:tcPr>
          <w:p>
            <w:pPr>
              <w:ind w:left="20"/>
              <w:spacing w:after="0"/>
              <w:rPr>
                <w:sz w:val="20"/>
                <w:szCs w:val="20"/>
                <w:color w:val="auto"/>
              </w:rPr>
            </w:pPr>
            <w:r>
              <w:rPr>
                <w:rFonts w:ascii="Arial" w:cs="Arial" w:eastAsia="Arial" w:hAnsi="Arial"/>
                <w:sz w:val="12"/>
                <w:szCs w:val="12"/>
                <w:color w:val="auto"/>
              </w:rPr>
              <w:t>L+525 A$</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7,348,975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7,018,455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GCOM Software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11/14/2022</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9.67%</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L+750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14,666,667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14,597,068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14,666,667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Good Source Solutions,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06/29/2023</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8.39%</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L+600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14,871,563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14,724,626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14,670,097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GSM Holdings,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06/03/2024</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6.87%</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L+450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15,461,250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15,313,430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15,383,940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06/27/2023</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8.64%</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L+625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9,975,000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9,860,343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9,925,125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17"/>
                <w:szCs w:val="17"/>
                <w:color w:val="auto"/>
                <w:vertAlign w:val="superscript"/>
              </w:rPr>
              <w:t>(3), (4)</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12/12/2023</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6.64%</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560" w:type="dxa"/>
            <w:vAlign w:val="bottom"/>
            <w:gridSpan w:val="3"/>
          </w:tcPr>
          <w:p>
            <w:pPr>
              <w:ind w:left="20"/>
              <w:spacing w:after="0"/>
              <w:rPr>
                <w:sz w:val="20"/>
                <w:szCs w:val="20"/>
                <w:color w:val="auto"/>
              </w:rPr>
            </w:pPr>
            <w:r>
              <w:rPr>
                <w:rFonts w:ascii="Arial" w:cs="Arial" w:eastAsia="Arial" w:hAnsi="Arial"/>
                <w:sz w:val="12"/>
                <w:szCs w:val="12"/>
                <w:color w:val="auto"/>
              </w:rPr>
              <w:t>L+475 A$</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10,941,545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10,810,400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08/19/2022</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7.12%</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L+500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17,831,930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17,820,000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05/01/2023</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91"/>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8.12%</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7,265,625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7,319,871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7,002,246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12/08/2023</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8.15%</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L+600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6,947,500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6,853,205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6,894,684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17"/>
                <w:szCs w:val="17"/>
                <w:color w:val="auto"/>
                <w:vertAlign w:val="superscript"/>
              </w:rPr>
              <w:t>(4)</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01/27/2021</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Media: Diversified and Production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7.08%</w:t>
            </w:r>
          </w:p>
        </w:tc>
        <w:tc>
          <w:tcPr>
            <w:tcW w:w="460" w:type="dxa"/>
            <w:vAlign w:val="bottom"/>
          </w:tcPr>
          <w:p>
            <w:pPr>
              <w:spacing w:after="0"/>
              <w:rPr>
                <w:sz w:val="12"/>
                <w:szCs w:val="12"/>
                <w:color w:val="auto"/>
              </w:rPr>
            </w:pPr>
          </w:p>
        </w:tc>
        <w:tc>
          <w:tcPr>
            <w:tcW w:w="340" w:type="dxa"/>
            <w:vAlign w:val="bottom"/>
          </w:tcPr>
          <w:p>
            <w:pPr>
              <w:ind w:left="20"/>
              <w:spacing w:after="0"/>
              <w:rPr>
                <w:sz w:val="20"/>
                <w:szCs w:val="20"/>
                <w:color w:val="auto"/>
              </w:rPr>
            </w:pPr>
            <w:r>
              <w:rPr>
                <w:rFonts w:ascii="Arial" w:cs="Arial" w:eastAsia="Arial" w:hAnsi="Arial"/>
                <w:sz w:val="12"/>
                <w:szCs w:val="12"/>
                <w:color w:val="auto"/>
                <w:w w:val="85"/>
              </w:rPr>
              <w:t>P+275</w:t>
            </w:r>
          </w:p>
        </w:tc>
        <w:tc>
          <w:tcPr>
            <w:tcW w:w="220" w:type="dxa"/>
            <w:vAlign w:val="bottom"/>
            <w:gridSpan w:val="2"/>
          </w:tcPr>
          <w:p>
            <w:pPr>
              <w:ind w:left="40"/>
              <w:spacing w:after="0"/>
              <w:rPr>
                <w:sz w:val="20"/>
                <w:szCs w:val="20"/>
                <w:color w:val="auto"/>
              </w:rPr>
            </w:pPr>
            <w:r>
              <w:rPr>
                <w:rFonts w:ascii="Arial" w:cs="Arial" w:eastAsia="Arial" w:hAnsi="Arial"/>
                <w:sz w:val="12"/>
                <w:szCs w:val="12"/>
                <w:color w:val="auto"/>
                <w:w w:val="85"/>
              </w:rPr>
              <w:t>C $</w:t>
            </w:r>
          </w:p>
        </w:tc>
        <w:tc>
          <w:tcPr>
            <w:tcW w:w="580" w:type="dxa"/>
            <w:vAlign w:val="bottom"/>
          </w:tcPr>
          <w:p>
            <w:pPr>
              <w:jc w:val="right"/>
              <w:spacing w:after="0"/>
              <w:rPr>
                <w:sz w:val="20"/>
                <w:szCs w:val="20"/>
                <w:color w:val="auto"/>
              </w:rPr>
            </w:pPr>
            <w:r>
              <w:rPr>
                <w:rFonts w:ascii="Arial" w:cs="Arial" w:eastAsia="Arial" w:hAnsi="Arial"/>
                <w:sz w:val="12"/>
                <w:szCs w:val="12"/>
                <w:color w:val="auto"/>
              </w:rPr>
              <w:t>5,820,254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4,486,587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4,502,752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Maytex Mills,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12/27/2023</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6.71%</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L+450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8,761,452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8,721,691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8,783,355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McAfee,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09/30/2024</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6.74%</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L+450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7,425,000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7,359,161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7,482,024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09/28/2022</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7.20%</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2M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L+500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3,986,058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3,996,350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02/10/2023</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8.40%</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17,355,538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17,229,100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17,268,760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06/06/2024</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6.37%</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L+425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14,856,552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Olde Thompson,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05/14/2024</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6.66%</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L+450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13,965,000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13,825,350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13,965,000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03/27/2024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L+425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7,983,419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8,015,803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8,023,336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07/19/2021</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8.10%</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4,687,495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4,054,683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Sonny's Enterprises,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12/01/2022</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6.49%</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L+425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15,379,790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15,382,892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15,379,790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The Infosoft Group,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12/02/2021</w:t>
            </w:r>
          </w:p>
        </w:tc>
        <w:tc>
          <w:tcPr>
            <w:tcW w:w="266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Media: Broadcasting and Subscription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7.58%</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L+525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10,516,049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10,459,746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10,410,888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UBEO,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04/03/2024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6.60%</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L+450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12,468,750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12,352,721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12,468,750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Urology Management Associates,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08/30/2024</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L+500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8,352,305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8,351,250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07/15/2024</w:t>
            </w:r>
          </w:p>
        </w:tc>
        <w:tc>
          <w:tcPr>
            <w:tcW w:w="266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9.14%</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L+675</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3,921,923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VIP Cinema Holdings,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6"/>
              </w:rPr>
              <w:t>03/01/2023</w:t>
            </w:r>
          </w:p>
        </w:tc>
        <w:tc>
          <w:tcPr>
            <w:tcW w:w="266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8.25%</w:t>
            </w:r>
          </w:p>
        </w:tc>
        <w:tc>
          <w:tcPr>
            <w:tcW w:w="460" w:type="dxa"/>
            <w:vAlign w:val="bottom"/>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tcPr>
          <w:p>
            <w:pPr>
              <w:ind w:left="20"/>
              <w:spacing w:after="0"/>
              <w:rPr>
                <w:sz w:val="20"/>
                <w:szCs w:val="20"/>
                <w:color w:val="auto"/>
              </w:rPr>
            </w:pPr>
            <w:r>
              <w:rPr>
                <w:rFonts w:ascii="Arial" w:cs="Arial" w:eastAsia="Arial" w:hAnsi="Arial"/>
                <w:sz w:val="12"/>
                <w:szCs w:val="12"/>
                <w:color w:val="auto"/>
                <w:w w:val="88"/>
              </w:rPr>
              <w:t>L+600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4,678,730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4,636,563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10/18/2022</w:t>
            </w:r>
          </w:p>
        </w:tc>
        <w:tc>
          <w:tcPr>
            <w:tcW w:w="26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11.25%</w:t>
            </w:r>
          </w:p>
        </w:tc>
        <w:tc>
          <w:tcPr>
            <w:tcW w:w="460" w:type="dxa"/>
            <w:vAlign w:val="bottom"/>
            <w:shd w:val="clear" w:color="auto" w:fill="CCECFF"/>
          </w:tcPr>
          <w:p>
            <w:pPr>
              <w:ind w:left="280"/>
              <w:spacing w:after="0"/>
              <w:rPr>
                <w:sz w:val="20"/>
                <w:szCs w:val="20"/>
                <w:color w:val="auto"/>
              </w:rPr>
            </w:pPr>
            <w:r>
              <w:rPr>
                <w:rFonts w:ascii="Arial" w:cs="Arial" w:eastAsia="Arial" w:hAnsi="Arial"/>
                <w:sz w:val="12"/>
                <w:szCs w:val="12"/>
                <w:color w:val="auto"/>
                <w:w w:val="95"/>
              </w:rPr>
              <w:t>1M</w:t>
            </w:r>
          </w:p>
        </w:tc>
        <w:tc>
          <w:tcPr>
            <w:tcW w:w="340" w:type="dxa"/>
            <w:vAlign w:val="bottom"/>
            <w:shd w:val="clear" w:color="auto" w:fill="CCECFF"/>
          </w:tcPr>
          <w:p>
            <w:pPr>
              <w:ind w:left="20"/>
              <w:spacing w:after="0"/>
              <w:rPr>
                <w:sz w:val="20"/>
                <w:szCs w:val="20"/>
                <w:color w:val="auto"/>
              </w:rPr>
            </w:pPr>
            <w:r>
              <w:rPr>
                <w:rFonts w:ascii="Arial" w:cs="Arial" w:eastAsia="Arial" w:hAnsi="Arial"/>
                <w:sz w:val="12"/>
                <w:szCs w:val="12"/>
                <w:color w:val="auto"/>
                <w:w w:val="88"/>
              </w:rPr>
              <w:t>L+900</w:t>
            </w: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4,866,299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Xebec Global Holdings, LLC</w:t>
            </w:r>
          </w:p>
        </w:tc>
        <w:tc>
          <w:tcPr>
            <w:tcW w:w="118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6"/>
              </w:rPr>
              <w:t>02/12/2024</w:t>
            </w:r>
          </w:p>
        </w:tc>
        <w:tc>
          <w:tcPr>
            <w:tcW w:w="2660" w:type="dxa"/>
            <w:vAlign w:val="bottom"/>
            <w:tcBorders>
              <w:bottom w:val="single" w:sz="8" w:color="CCECFF"/>
            </w:tcBorders>
            <w:gridSpan w:val="2"/>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7.84%</w:t>
            </w:r>
          </w:p>
        </w:tc>
        <w:tc>
          <w:tcPr>
            <w:tcW w:w="460" w:type="dxa"/>
            <w:vAlign w:val="bottom"/>
            <w:tcBorders>
              <w:bottom w:val="single" w:sz="8" w:color="CCECFF"/>
            </w:tcBorders>
          </w:tcPr>
          <w:p>
            <w:pPr>
              <w:ind w:left="280"/>
              <w:spacing w:after="0"/>
              <w:rPr>
                <w:sz w:val="20"/>
                <w:szCs w:val="20"/>
                <w:color w:val="auto"/>
              </w:rPr>
            </w:pPr>
            <w:r>
              <w:rPr>
                <w:rFonts w:ascii="Arial" w:cs="Arial" w:eastAsia="Arial" w:hAnsi="Arial"/>
                <w:sz w:val="12"/>
                <w:szCs w:val="12"/>
                <w:color w:val="auto"/>
                <w:w w:val="95"/>
              </w:rPr>
              <w:t>3M</w:t>
            </w:r>
          </w:p>
        </w:tc>
        <w:tc>
          <w:tcPr>
            <w:tcW w:w="340" w:type="dxa"/>
            <w:vAlign w:val="bottom"/>
            <w:tcBorders>
              <w:bottom w:val="single" w:sz="8" w:color="CCECFF"/>
            </w:tcBorders>
          </w:tcPr>
          <w:p>
            <w:pPr>
              <w:ind w:left="20"/>
              <w:spacing w:after="0"/>
              <w:rPr>
                <w:sz w:val="20"/>
                <w:szCs w:val="20"/>
                <w:color w:val="auto"/>
              </w:rPr>
            </w:pPr>
            <w:r>
              <w:rPr>
                <w:rFonts w:ascii="Arial" w:cs="Arial" w:eastAsia="Arial" w:hAnsi="Arial"/>
                <w:sz w:val="12"/>
                <w:szCs w:val="12"/>
                <w:color w:val="auto"/>
                <w:w w:val="88"/>
              </w:rPr>
              <w:t>L+550</w:t>
            </w:r>
          </w:p>
        </w:tc>
        <w:tc>
          <w:tcPr>
            <w:tcW w:w="1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6,749,730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6,721,428</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6,665,359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425,336,210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425,420,881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7"/>
              </w:rPr>
              <w:t>Total Investments in Non-Controlled, Non-Affiliated Portfolio Companies</w:t>
            </w:r>
          </w:p>
        </w:tc>
        <w:tc>
          <w:tcPr>
            <w:tcW w:w="252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460" w:type="dxa"/>
            <w:vAlign w:val="bottom"/>
            <w:tcBorders>
              <w:bottom w:val="single" w:sz="8" w:color="CCECFF"/>
            </w:tcBorders>
          </w:tcPr>
          <w:p>
            <w:pPr>
              <w:spacing w:after="0"/>
              <w:rPr>
                <w:sz w:val="12"/>
                <w:szCs w:val="12"/>
                <w:color w:val="auto"/>
              </w:rPr>
            </w:pPr>
          </w:p>
        </w:tc>
        <w:tc>
          <w:tcPr>
            <w:tcW w:w="3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425,336,210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425,420,881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Equivalents—26.4%</w:t>
            </w:r>
          </w:p>
        </w:tc>
        <w:tc>
          <w:tcPr>
            <w:tcW w:w="118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12,510,098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12,510,098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18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1,010,029</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1,010,662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tcBorders>
              <w:bottom w:val="single" w:sz="8" w:color="CCECFF"/>
            </w:tcBorders>
          </w:tcPr>
          <w:p>
            <w:pPr>
              <w:spacing w:after="0"/>
              <w:rPr>
                <w:sz w:val="12"/>
                <w:szCs w:val="12"/>
                <w:color w:val="auto"/>
              </w:rPr>
            </w:pPr>
          </w:p>
        </w:tc>
        <w:tc>
          <w:tcPr>
            <w:tcW w:w="252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460" w:type="dxa"/>
            <w:vAlign w:val="bottom"/>
            <w:tcBorders>
              <w:bottom w:val="single" w:sz="8" w:color="CCECFF"/>
            </w:tcBorders>
          </w:tcPr>
          <w:p>
            <w:pPr>
              <w:spacing w:after="0"/>
              <w:rPr>
                <w:sz w:val="12"/>
                <w:szCs w:val="12"/>
                <w:color w:val="auto"/>
              </w:rPr>
            </w:pPr>
          </w:p>
        </w:tc>
        <w:tc>
          <w:tcPr>
            <w:tcW w:w="3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13,520,127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13,520,760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Equivalents—857.3%</w:t>
            </w:r>
          </w:p>
        </w:tc>
        <w:tc>
          <w:tcPr>
            <w:tcW w:w="1180" w:type="dxa"/>
            <w:vAlign w:val="bottom"/>
            <w:tcBorders>
              <w:bottom w:val="single" w:sz="8" w:color="CCECFF"/>
            </w:tcBorders>
            <w:shd w:val="clear" w:color="auto" w:fill="CCECFF"/>
          </w:tcPr>
          <w:p>
            <w:pPr>
              <w:spacing w:after="0"/>
              <w:rPr>
                <w:sz w:val="12"/>
                <w:szCs w:val="12"/>
                <w:color w:val="auto"/>
              </w:rPr>
            </w:pPr>
          </w:p>
        </w:tc>
        <w:tc>
          <w:tcPr>
            <w:tcW w:w="25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46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438,856,337</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438,941,641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Assets—(757.3)%</w:t>
            </w:r>
          </w:p>
        </w:tc>
        <w:tc>
          <w:tcPr>
            <w:tcW w:w="1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(387,744,237)</w:t>
            </w: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180" w:type="dxa"/>
            <w:vAlign w:val="bottom"/>
            <w:tcBorders>
              <w:bottom w:val="single" w:sz="8" w:color="CCECFF"/>
            </w:tcBorders>
            <w:shd w:val="clear" w:color="auto" w:fill="CCECFF"/>
          </w:tcPr>
          <w:p>
            <w:pPr>
              <w:spacing w:after="0"/>
              <w:rPr>
                <w:sz w:val="12"/>
                <w:szCs w:val="12"/>
                <w:color w:val="auto"/>
              </w:rPr>
            </w:pPr>
          </w:p>
        </w:tc>
        <w:tc>
          <w:tcPr>
            <w:tcW w:w="25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46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51,197,404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63" w:lineRule="exact"/>
        <w:rPr>
          <w:sz w:val="20"/>
          <w:szCs w:val="20"/>
          <w:color w:val="auto"/>
        </w:rPr>
      </w:pPr>
    </w:p>
    <w:p>
      <w:pPr>
        <w:ind w:left="380" w:right="160" w:hanging="372"/>
        <w:spacing w:after="0" w:line="252" w:lineRule="auto"/>
        <w:tabs>
          <w:tab w:leader="none" w:pos="3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EURIBOR or “E”.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the financial information for PSSL:</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Statements of Assets and Liabilities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3"/>
              </w:rPr>
              <w:t>September 30, 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2018</w:t>
            </w:r>
          </w:p>
        </w:tc>
        <w:tc>
          <w:tcPr>
            <w:tcW w:w="0" w:type="dxa"/>
            <w:vAlign w:val="bottom"/>
          </w:tcPr>
          <w:p>
            <w:pPr>
              <w:spacing w:after="0"/>
              <w:rPr>
                <w:sz w:val="1"/>
                <w:szCs w:val="1"/>
                <w:color w:val="auto"/>
              </w:rPr>
            </w:pPr>
          </w:p>
        </w:tc>
      </w:tr>
      <w:tr>
        <w:trPr>
          <w:trHeight w:val="155"/>
        </w:trPr>
        <w:tc>
          <w:tcPr>
            <w:tcW w:w="608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CCECFF"/>
            </w:tcBorders>
            <w:shd w:val="clear" w:color="auto" w:fill="CCECFF"/>
          </w:tcPr>
          <w:p>
            <w:pPr>
              <w:spacing w:after="0"/>
              <w:rPr>
                <w:sz w:val="13"/>
                <w:szCs w:val="13"/>
                <w:color w:val="auto"/>
              </w:rPr>
            </w:pPr>
          </w:p>
        </w:tc>
        <w:tc>
          <w:tcPr>
            <w:tcW w:w="1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gridSpan w:val="3"/>
          </w:tcPr>
          <w:p>
            <w:pPr>
              <w:spacing w:after="0"/>
              <w:rPr>
                <w:sz w:val="20"/>
                <w:szCs w:val="20"/>
                <w:color w:val="auto"/>
              </w:rPr>
            </w:pPr>
            <w:r>
              <w:rPr>
                <w:rFonts w:ascii="Arial" w:cs="Arial" w:eastAsia="Arial" w:hAnsi="Arial"/>
                <w:sz w:val="14"/>
                <w:szCs w:val="14"/>
                <w:color w:val="auto"/>
              </w:rPr>
              <w:t>Investments at fair value</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588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w w:val="97"/>
              </w:rPr>
              <w:t>Non-controlled, non-affiliated investments (cost—$494,413,190 and $425,336,210, respectively)</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8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488,549,847</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425,420,881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tcPr>
          <w:p>
            <w:pPr>
              <w:spacing w:after="0"/>
              <w:rPr>
                <w:sz w:val="20"/>
                <w:szCs w:val="20"/>
                <w:color w:val="auto"/>
              </w:rPr>
            </w:pPr>
            <w:r>
              <w:rPr>
                <w:rFonts w:ascii="Arial" w:cs="Arial" w:eastAsia="Arial" w:hAnsi="Arial"/>
                <w:sz w:val="14"/>
                <w:szCs w:val="14"/>
                <w:color w:val="auto"/>
              </w:rPr>
              <w:t>Cash and cash equivalents (cost—$15,322,531 and $13,520,127, respectively)</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15,294,881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13,520,760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1,855,545</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1,670,053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Borders>
              <w:bottom w:val="single" w:sz="8" w:color="CCECFF"/>
            </w:tcBorders>
            <w:gridSpan w:val="3"/>
          </w:tcPr>
          <w:p>
            <w:pPr>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tcBorders>
              <w:bottom w:val="single" w:sz="8" w:color="CCECFF"/>
            </w:tcBorders>
          </w:tcPr>
          <w:p>
            <w:pPr>
              <w:spacing w:after="0"/>
              <w:rPr>
                <w:sz w:val="14"/>
                <w:szCs w:val="14"/>
                <w:color w:val="auto"/>
              </w:rPr>
            </w:pPr>
          </w:p>
        </w:tc>
        <w:tc>
          <w:tcPr>
            <w:tcW w:w="120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4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996,333</w:t>
            </w:r>
          </w:p>
        </w:tc>
        <w:tc>
          <w:tcPr>
            <w:tcW w:w="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2,784,477</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0" w:type="dxa"/>
            <w:vAlign w:val="bottom"/>
            <w:shd w:val="clear" w:color="auto" w:fill="CCECFF"/>
          </w:tcPr>
          <w:p>
            <w:pPr>
              <w:spacing w:after="0"/>
              <w:rPr>
                <w:sz w:val="13"/>
                <w:szCs w:val="13"/>
                <w:color w:val="auto"/>
              </w:rPr>
            </w:pPr>
          </w:p>
        </w:tc>
        <w:tc>
          <w:tcPr>
            <w:tcW w:w="5880" w:type="dxa"/>
            <w:vAlign w:val="bottom"/>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506,696,606</w:t>
            </w:r>
          </w:p>
        </w:tc>
        <w:tc>
          <w:tcPr>
            <w:tcW w:w="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443,396,171</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PSSL Credit Facility payable</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308,724,305</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275,285,900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tcPr>
          <w:p>
            <w:pPr>
              <w:spacing w:after="0"/>
              <w:rPr>
                <w:sz w:val="20"/>
                <w:szCs w:val="20"/>
                <w:color w:val="auto"/>
              </w:rPr>
            </w:pPr>
            <w:r>
              <w:rPr>
                <w:rFonts w:ascii="Arial" w:cs="Arial" w:eastAsia="Arial" w:hAnsi="Arial"/>
                <w:sz w:val="14"/>
                <w:szCs w:val="14"/>
                <w:color w:val="auto"/>
              </w:rPr>
              <w:t>Notes payable to members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139,650,000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115,500,000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Interest payable on PSSL Credit Facility</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1,015,468</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1,065,306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tcPr>
          <w:p>
            <w:pPr>
              <w:spacing w:after="0"/>
              <w:rPr>
                <w:sz w:val="20"/>
                <w:szCs w:val="20"/>
                <w:color w:val="auto"/>
              </w:rPr>
            </w:pPr>
            <w:r>
              <w:rPr>
                <w:rFonts w:ascii="Arial" w:cs="Arial" w:eastAsia="Arial" w:hAnsi="Arial"/>
                <w:sz w:val="14"/>
                <w:szCs w:val="14"/>
                <w:color w:val="auto"/>
              </w:rPr>
              <w:t>Interest payable on notes to members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176,273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99,966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4"/>
                <w:szCs w:val="14"/>
                <w:color w:val="auto"/>
              </w:rPr>
              <w:t>22,754</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247,595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0" w:type="dxa"/>
            <w:vAlign w:val="bottom"/>
            <w:tcBorders>
              <w:bottom w:val="single" w:sz="8" w:color="CCECFF"/>
            </w:tcBorders>
          </w:tcPr>
          <w:p>
            <w:pPr>
              <w:spacing w:after="0"/>
              <w:rPr>
                <w:sz w:val="13"/>
                <w:szCs w:val="13"/>
                <w:color w:val="auto"/>
              </w:rPr>
            </w:pPr>
          </w:p>
        </w:tc>
        <w:tc>
          <w:tcPr>
            <w:tcW w:w="5880" w:type="dxa"/>
            <w:vAlign w:val="bottom"/>
            <w:tcBorders>
              <w:bottom w:val="single" w:sz="8" w:color="CCECFF"/>
            </w:tcBorders>
            <w:gridSpan w:val="2"/>
          </w:tcPr>
          <w:p>
            <w:pPr>
              <w:ind w:left="540"/>
              <w:spacing w:after="0" w:line="155" w:lineRule="exact"/>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CCECFF"/>
            </w:tcBorders>
          </w:tcPr>
          <w:p>
            <w:pPr>
              <w:spacing w:after="0"/>
              <w:rPr>
                <w:sz w:val="13"/>
                <w:szCs w:val="13"/>
                <w:color w:val="auto"/>
              </w:rPr>
            </w:pPr>
          </w:p>
        </w:tc>
        <w:tc>
          <w:tcPr>
            <w:tcW w:w="120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4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449,588,800</w:t>
            </w:r>
          </w:p>
        </w:tc>
        <w:tc>
          <w:tcPr>
            <w:tcW w:w="2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392,198,767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8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1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Borders>
              <w:bottom w:val="single" w:sz="8" w:color="CCECFF"/>
            </w:tcBorders>
          </w:tcPr>
          <w:p>
            <w:pPr>
              <w:spacing w:after="0"/>
              <w:rPr>
                <w:sz w:val="13"/>
                <w:szCs w:val="13"/>
                <w:color w:val="auto"/>
              </w:rPr>
            </w:pPr>
          </w:p>
        </w:tc>
        <w:tc>
          <w:tcPr>
            <w:tcW w:w="5880" w:type="dxa"/>
            <w:vAlign w:val="bottom"/>
            <w:tcBorders>
              <w:bottom w:val="single" w:sz="8" w:color="CCECFF"/>
            </w:tcBorders>
            <w:gridSpan w:val="2"/>
          </w:tcPr>
          <w:p>
            <w:pPr>
              <w:ind w:left="540"/>
              <w:spacing w:after="0" w:line="155" w:lineRule="exact"/>
              <w:rPr>
                <w:sz w:val="20"/>
                <w:szCs w:val="20"/>
                <w:color w:val="auto"/>
              </w:rPr>
            </w:pPr>
            <w:r>
              <w:rPr>
                <w:rFonts w:ascii="Arial" w:cs="Arial" w:eastAsia="Arial" w:hAnsi="Arial"/>
                <w:sz w:val="14"/>
                <w:szCs w:val="14"/>
                <w:b w:val="1"/>
                <w:bCs w:val="1"/>
                <w:color w:val="auto"/>
              </w:rPr>
              <w:t>Members' equity</w:t>
            </w:r>
          </w:p>
        </w:tc>
        <w:tc>
          <w:tcPr>
            <w:tcW w:w="160" w:type="dxa"/>
            <w:vAlign w:val="bottom"/>
            <w:tcBorders>
              <w:bottom w:val="single" w:sz="8" w:color="CCECFF"/>
            </w:tcBorders>
          </w:tcPr>
          <w:p>
            <w:pPr>
              <w:spacing w:after="0"/>
              <w:rPr>
                <w:sz w:val="13"/>
                <w:szCs w:val="13"/>
                <w:color w:val="auto"/>
              </w:rPr>
            </w:pPr>
          </w:p>
        </w:tc>
        <w:tc>
          <w:tcPr>
            <w:tcW w:w="120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4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57,107,806</w:t>
            </w:r>
          </w:p>
        </w:tc>
        <w:tc>
          <w:tcPr>
            <w:tcW w:w="2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51,197,404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Borders>
              <w:bottom w:val="single" w:sz="8" w:color="CCECFF"/>
            </w:tcBorders>
            <w:shd w:val="clear" w:color="auto" w:fill="CCECFF"/>
          </w:tcPr>
          <w:p>
            <w:pPr>
              <w:spacing w:after="0"/>
              <w:rPr>
                <w:sz w:val="13"/>
                <w:szCs w:val="13"/>
                <w:color w:val="auto"/>
              </w:rPr>
            </w:pPr>
          </w:p>
        </w:tc>
        <w:tc>
          <w:tcPr>
            <w:tcW w:w="5880" w:type="dxa"/>
            <w:vAlign w:val="bottom"/>
            <w:tcBorders>
              <w:bottom w:val="single" w:sz="8" w:color="CCECFF"/>
            </w:tcBorders>
            <w:gridSpan w:val="2"/>
            <w:shd w:val="clear" w:color="auto" w:fill="CCECFF"/>
          </w:tcPr>
          <w:p>
            <w:pPr>
              <w:ind w:left="5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160" w:type="dxa"/>
            <w:vAlign w:val="bottom"/>
            <w:tcBorders>
              <w:bottom w:val="single" w:sz="8" w:color="CCECFF"/>
            </w:tcBorders>
            <w:shd w:val="clear" w:color="auto" w:fill="CCECFF"/>
          </w:tcPr>
          <w:p>
            <w:pPr>
              <w:spacing w:after="0"/>
              <w:rPr>
                <w:sz w:val="13"/>
                <w:szCs w:val="13"/>
                <w:color w:val="auto"/>
              </w:rPr>
            </w:pPr>
          </w:p>
        </w:tc>
        <w:tc>
          <w:tcPr>
            <w:tcW w:w="120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4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506,696,606</w:t>
            </w:r>
          </w:p>
        </w:tc>
        <w:tc>
          <w:tcPr>
            <w:tcW w:w="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443,396,171</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3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20"/>
                <w:szCs w:val="20"/>
                <w:color w:val="auto"/>
              </w:rPr>
            </w:pPr>
            <w:r>
              <w:rPr>
                <w:rFonts w:ascii="Arial" w:cs="Arial" w:eastAsia="Arial" w:hAnsi="Arial"/>
                <w:sz w:val="12"/>
                <w:szCs w:val="12"/>
                <w:color w:val="auto"/>
              </w:rPr>
              <w:t>(1)</w:t>
            </w:r>
          </w:p>
        </w:tc>
        <w:tc>
          <w:tcPr>
            <w:tcW w:w="5880" w:type="dxa"/>
            <w:vAlign w:val="bottom"/>
            <w:gridSpan w:val="2"/>
          </w:tcPr>
          <w:p>
            <w:pPr>
              <w:ind w:left="180"/>
              <w:spacing w:after="0"/>
              <w:rPr>
                <w:sz w:val="20"/>
                <w:szCs w:val="20"/>
                <w:color w:val="auto"/>
              </w:rPr>
            </w:pPr>
            <w:r>
              <w:rPr>
                <w:rFonts w:ascii="Arial" w:cs="Arial" w:eastAsia="Arial" w:hAnsi="Arial"/>
                <w:sz w:val="14"/>
                <w:szCs w:val="14"/>
                <w:color w:val="auto"/>
              </w:rPr>
              <w:t>PSSL had no unfunded commitments as of September 30, 2019 and 2018.</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PennantPark Senior Secured Loan Fund I LLC</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6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Statements of Operations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For the period</w:t>
            </w:r>
          </w:p>
        </w:tc>
        <w:tc>
          <w:tcPr>
            <w:tcW w:w="0" w:type="dxa"/>
            <w:vAlign w:val="bottom"/>
          </w:tcPr>
          <w:p>
            <w:pPr>
              <w:spacing w:after="0"/>
              <w:rPr>
                <w:sz w:val="1"/>
                <w:szCs w:val="1"/>
                <w:color w:val="auto"/>
              </w:rPr>
            </w:pPr>
          </w:p>
        </w:tc>
      </w:tr>
      <w:tr>
        <w:trPr>
          <w:trHeight w:val="124"/>
        </w:trPr>
        <w:tc>
          <w:tcPr>
            <w:tcW w:w="2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restart"/>
          </w:tcPr>
          <w:p>
            <w:pPr>
              <w:jc w:val="center"/>
              <w:ind w:right="348"/>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May 4, 2017 (inception)</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4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through September 30,</w:t>
            </w:r>
          </w:p>
        </w:tc>
        <w:tc>
          <w:tcPr>
            <w:tcW w:w="0" w:type="dxa"/>
            <w:vAlign w:val="bottom"/>
          </w:tcPr>
          <w:p>
            <w:pPr>
              <w:spacing w:after="0"/>
              <w:rPr>
                <w:sz w:val="1"/>
                <w:szCs w:val="1"/>
                <w:color w:val="auto"/>
              </w:rPr>
            </w:pPr>
          </w:p>
        </w:tc>
      </w:tr>
      <w:tr>
        <w:trPr>
          <w:trHeight w:val="171"/>
        </w:trPr>
        <w:tc>
          <w:tcPr>
            <w:tcW w:w="200" w:type="dxa"/>
            <w:vAlign w:val="bottom"/>
            <w:tcBorders>
              <w:bottom w:val="single" w:sz="8" w:color="CCECFF"/>
            </w:tcBorders>
          </w:tcPr>
          <w:p>
            <w:pPr>
              <w:spacing w:after="0"/>
              <w:rPr>
                <w:sz w:val="14"/>
                <w:szCs w:val="14"/>
                <w:color w:val="auto"/>
              </w:rPr>
            </w:pPr>
          </w:p>
        </w:tc>
        <w:tc>
          <w:tcPr>
            <w:tcW w:w="1920" w:type="dxa"/>
            <w:vAlign w:val="bottom"/>
            <w:tcBorders>
              <w:bottom w:val="single" w:sz="8" w:color="CCECFF"/>
            </w:tcBorders>
          </w:tcPr>
          <w:p>
            <w:pPr>
              <w:spacing w:after="0"/>
              <w:rPr>
                <w:sz w:val="14"/>
                <w:szCs w:val="14"/>
                <w:color w:val="auto"/>
              </w:rPr>
            </w:pPr>
          </w:p>
        </w:tc>
        <w:tc>
          <w:tcPr>
            <w:tcW w:w="396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8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gridSpan w:val="3"/>
          </w:tcPr>
          <w:p>
            <w:pPr>
              <w:spacing w:after="0"/>
              <w:rPr>
                <w:sz w:val="20"/>
                <w:szCs w:val="20"/>
                <w:color w:val="auto"/>
              </w:rPr>
            </w:pPr>
            <w:r>
              <w:rPr>
                <w:rFonts w:ascii="Arial" w:cs="Arial" w:eastAsia="Arial" w:hAnsi="Arial"/>
                <w:sz w:val="14"/>
                <w:szCs w:val="14"/>
                <w:color w:val="auto"/>
              </w:rPr>
              <w:t>From non-controlled, non-affiliated investments: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588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w:t>
            </w: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39,288,981</w:t>
            </w:r>
          </w:p>
        </w:tc>
        <w:tc>
          <w:tcPr>
            <w:tcW w:w="140" w:type="dxa"/>
            <w:vAlign w:val="bottom"/>
            <w:shd w:val="clear" w:color="auto" w:fill="CCECFF"/>
          </w:tcPr>
          <w:p>
            <w:pPr>
              <w:spacing w:after="0"/>
              <w:rPr>
                <w:sz w:val="14"/>
                <w:szCs w:val="14"/>
                <w:color w:val="auto"/>
              </w:rPr>
            </w:pPr>
          </w:p>
        </w:tc>
        <w:tc>
          <w:tcPr>
            <w:tcW w:w="280" w:type="dxa"/>
            <w:vAlign w:val="bottom"/>
            <w:gridSpan w:val="3"/>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17,744,486</w:t>
            </w:r>
          </w:p>
        </w:tc>
        <w:tc>
          <w:tcPr>
            <w:tcW w:w="220" w:type="dxa"/>
            <w:vAlign w:val="bottom"/>
            <w:shd w:val="clear" w:color="auto" w:fill="CCECFF"/>
          </w:tcPr>
          <w:p>
            <w:pPr>
              <w:spacing w:after="0"/>
              <w:rPr>
                <w:sz w:val="14"/>
                <w:szCs w:val="14"/>
                <w:color w:val="auto"/>
              </w:rPr>
            </w:pPr>
          </w:p>
        </w:tc>
        <w:tc>
          <w:tcPr>
            <w:tcW w:w="1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1,365,433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880" w:type="dxa"/>
            <w:vAlign w:val="bottom"/>
            <w:gridSpan w:val="2"/>
          </w:tcPr>
          <w:p>
            <w:pPr>
              <w:ind w:left="6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785,111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280,080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0" w:type="dxa"/>
            <w:vAlign w:val="bottom"/>
            <w:tcBorders>
              <w:top w:val="single" w:sz="8" w:color="CCECFF"/>
            </w:tcBorders>
            <w:shd w:val="clear" w:color="auto" w:fill="CCECFF"/>
          </w:tcPr>
          <w:p>
            <w:pPr>
              <w:spacing w:after="0"/>
              <w:rPr>
                <w:sz w:val="13"/>
                <w:szCs w:val="13"/>
                <w:color w:val="auto"/>
              </w:rPr>
            </w:pPr>
          </w:p>
        </w:tc>
        <w:tc>
          <w:tcPr>
            <w:tcW w:w="5880" w:type="dxa"/>
            <w:vAlign w:val="bottom"/>
            <w:tcBorders>
              <w:top w:val="single" w:sz="8" w:color="CCECFF"/>
            </w:tcBorders>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40,074,092</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auto"/>
              <w:bottom w:val="single" w:sz="8" w:color="auto"/>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18,024,566</w:t>
            </w:r>
          </w:p>
        </w:tc>
        <w:tc>
          <w:tcPr>
            <w:tcW w:w="22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1,365,433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588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Interest and expenses on PSSL Credit Facility</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16,487,783</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7,654,035</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442,554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880" w:type="dxa"/>
            <w:vAlign w:val="bottom"/>
            <w:gridSpan w:val="2"/>
          </w:tcPr>
          <w:p>
            <w:pPr>
              <w:ind w:left="60"/>
              <w:spacing w:after="0"/>
              <w:rPr>
                <w:sz w:val="20"/>
                <w:szCs w:val="20"/>
                <w:color w:val="auto"/>
              </w:rPr>
            </w:pPr>
            <w:r>
              <w:rPr>
                <w:rFonts w:ascii="Arial" w:cs="Arial" w:eastAsia="Arial" w:hAnsi="Arial"/>
                <w:sz w:val="14"/>
                <w:szCs w:val="14"/>
                <w:color w:val="auto"/>
              </w:rPr>
              <w:t>Interest expense on notes to members</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14,247,817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6,060,468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585,840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588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Administrative services expenses</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1,150,000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650,000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67,528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Borders>
              <w:bottom w:val="single" w:sz="8" w:color="CCECFF"/>
            </w:tcBorders>
          </w:tcPr>
          <w:p>
            <w:pPr>
              <w:spacing w:after="0"/>
              <w:rPr>
                <w:sz w:val="14"/>
                <w:szCs w:val="14"/>
                <w:color w:val="auto"/>
              </w:rPr>
            </w:pPr>
          </w:p>
        </w:tc>
        <w:tc>
          <w:tcPr>
            <w:tcW w:w="5880" w:type="dxa"/>
            <w:vAlign w:val="bottom"/>
            <w:tcBorders>
              <w:bottom w:val="single" w:sz="8" w:color="CCECFF"/>
            </w:tcBorders>
            <w:gridSpan w:val="2"/>
          </w:tcPr>
          <w:p>
            <w:pPr>
              <w:ind w:left="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454,600</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692,736</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148,936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0" w:type="dxa"/>
            <w:vAlign w:val="bottom"/>
            <w:shd w:val="clear" w:color="auto" w:fill="CCECFF"/>
          </w:tcPr>
          <w:p>
            <w:pPr>
              <w:spacing w:after="0"/>
              <w:rPr>
                <w:sz w:val="13"/>
                <w:szCs w:val="13"/>
                <w:color w:val="auto"/>
              </w:rPr>
            </w:pPr>
          </w:p>
        </w:tc>
        <w:tc>
          <w:tcPr>
            <w:tcW w:w="5880" w:type="dxa"/>
            <w:vAlign w:val="bottom"/>
            <w:gridSpan w:val="2"/>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expenses</w:t>
            </w:r>
          </w:p>
        </w:tc>
        <w:tc>
          <w:tcPr>
            <w:tcW w:w="1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32,340,200</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40" w:type="dxa"/>
            <w:vAlign w:val="bottom"/>
            <w:tcBorders>
              <w:bottom w:val="single" w:sz="8" w:color="auto"/>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15,057,239</w:t>
            </w: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1,244,858</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Borders>
              <w:bottom w:val="single" w:sz="8" w:color="CCECFF"/>
            </w:tcBorders>
          </w:tcPr>
          <w:p>
            <w:pPr>
              <w:spacing w:after="0"/>
              <w:rPr>
                <w:sz w:val="13"/>
                <w:szCs w:val="13"/>
                <w:color w:val="auto"/>
              </w:rPr>
            </w:pPr>
          </w:p>
        </w:tc>
        <w:tc>
          <w:tcPr>
            <w:tcW w:w="5880" w:type="dxa"/>
            <w:vAlign w:val="bottom"/>
            <w:tcBorders>
              <w:bottom w:val="single" w:sz="8" w:color="CCECFF"/>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7,733,892</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2,967,327</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120,575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080" w:type="dxa"/>
            <w:vAlign w:val="bottom"/>
            <w:gridSpan w:val="3"/>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Realized and unrealized (loss) gain on investments and credit facility foreign</w:t>
            </w:r>
          </w:p>
        </w:tc>
        <w:tc>
          <w:tcPr>
            <w:tcW w:w="160" w:type="dxa"/>
            <w:vAlign w:val="bottom"/>
            <w:shd w:val="clear" w:color="auto" w:fill="CCECFF"/>
          </w:tcPr>
          <w:p>
            <w:pPr>
              <w:spacing w:after="0"/>
              <w:rPr>
                <w:sz w:val="11"/>
                <w:szCs w:val="11"/>
                <w:color w:val="auto"/>
              </w:rPr>
            </w:pPr>
          </w:p>
        </w:tc>
        <w:tc>
          <w:tcPr>
            <w:tcW w:w="1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080" w:type="dxa"/>
            <w:vAlign w:val="bottom"/>
            <w:gridSpan w:val="3"/>
            <w:shd w:val="clear" w:color="auto" w:fill="CCECFF"/>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tcPr>
          <w:p>
            <w:pPr>
              <w:spacing w:after="0"/>
              <w:rPr>
                <w:sz w:val="20"/>
                <w:szCs w:val="20"/>
                <w:color w:val="auto"/>
              </w:rPr>
            </w:pPr>
            <w:r>
              <w:rPr>
                <w:rFonts w:ascii="Arial" w:cs="Arial" w:eastAsia="Arial" w:hAnsi="Arial"/>
                <w:sz w:val="14"/>
                <w:szCs w:val="14"/>
                <w:color w:val="auto"/>
              </w:rPr>
              <w:t>Net realized (loss) gain on investments</w:t>
            </w: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(885,069)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111,215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100,920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880" w:type="dxa"/>
            <w:vAlign w:val="bottom"/>
            <w:gridSpan w:val="2"/>
          </w:tcPr>
          <w:p>
            <w:pPr>
              <w:ind w:left="60"/>
              <w:spacing w:after="0"/>
              <w:rPr>
                <w:sz w:val="20"/>
                <w:szCs w:val="20"/>
                <w:color w:val="auto"/>
              </w:rPr>
            </w:pPr>
            <w:r>
              <w:rPr>
                <w:rFonts w:ascii="Arial" w:cs="Arial" w:eastAsia="Arial" w:hAnsi="Arial"/>
                <w:sz w:val="14"/>
                <w:szCs w:val="14"/>
                <w:color w:val="auto"/>
              </w:rPr>
              <w:t>Non-controlled, non-affiliated investments</w:t>
            </w: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(5,976,299)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Arial" w:cs="Arial" w:eastAsia="Arial" w:hAnsi="Arial"/>
                <w:sz w:val="14"/>
                <w:szCs w:val="14"/>
                <w:color w:val="auto"/>
              </w:rPr>
              <w:t>(364,201)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449,505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CCECFF"/>
          </w:tcPr>
          <w:p>
            <w:pPr>
              <w:spacing w:after="0"/>
              <w:rPr>
                <w:sz w:val="14"/>
                <w:szCs w:val="14"/>
                <w:color w:val="auto"/>
              </w:rPr>
            </w:pPr>
          </w:p>
        </w:tc>
        <w:tc>
          <w:tcPr>
            <w:tcW w:w="588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Credit facility foreign currency translation</w:t>
            </w:r>
          </w:p>
        </w:tc>
        <w:tc>
          <w:tcPr>
            <w:tcW w:w="1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1,887,878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882,899</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(70,836)</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58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Net change in unrealized (depreciation) appreciation on investments and credit</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58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facility foreign currency translations</w:t>
            </w:r>
          </w:p>
        </w:tc>
        <w:tc>
          <w:tcPr>
            <w:tcW w:w="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(4,088,421)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518,698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378,669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080" w:type="dxa"/>
            <w:vAlign w:val="bottom"/>
            <w:tcBorders>
              <w:top w:val="single" w:sz="8" w:color="CCECFF"/>
            </w:tcBorders>
            <w:gridSpan w:val="3"/>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Net realized and unrealized (loss) gain from investments and credit facility foreign</w:t>
            </w:r>
          </w:p>
        </w:tc>
        <w:tc>
          <w:tcPr>
            <w:tcW w:w="160" w:type="dxa"/>
            <w:vAlign w:val="bottom"/>
            <w:tcBorders>
              <w:top w:val="single" w:sz="8" w:color="auto"/>
            </w:tcBorders>
            <w:shd w:val="clear" w:color="auto" w:fill="CCECFF"/>
          </w:tcPr>
          <w:p>
            <w:pPr>
              <w:spacing w:after="0"/>
              <w:rPr>
                <w:sz w:val="11"/>
                <w:szCs w:val="11"/>
                <w:color w:val="auto"/>
              </w:rPr>
            </w:pPr>
          </w:p>
        </w:tc>
        <w:tc>
          <w:tcPr>
            <w:tcW w:w="120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4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12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4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080" w:type="dxa"/>
            <w:vAlign w:val="bottom"/>
            <w:gridSpan w:val="3"/>
            <w:shd w:val="clear" w:color="auto" w:fill="CCECFF"/>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16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(4,973,490)</w:t>
            </w:r>
          </w:p>
        </w:tc>
        <w:tc>
          <w:tcPr>
            <w:tcW w:w="10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629,913</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479,589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2,760,402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3,597,240</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600,164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455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61"/>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2019</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23"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30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8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03"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no reclassifications during the years ended September 30, 2019 and 2018.</w:t>
      </w:r>
    </w:p>
    <w:p>
      <w:pPr>
        <w:spacing w:after="0" w:line="115" w:lineRule="exact"/>
        <w:rPr>
          <w:sz w:val="20"/>
          <w:szCs w:val="20"/>
          <w:color w:val="auto"/>
        </w:rPr>
      </w:pPr>
    </w:p>
    <w:p>
      <w:pPr>
        <w:jc w:val="both"/>
        <w:ind w:right="28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2023 Notes, our 2031 Asset-Backed Debt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160" w:firstLine="438"/>
        <w:spacing w:after="0" w:line="248"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have adopted FASB Accounting Standards Update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99" w:lineRule="exact"/>
        <w:rPr>
          <w:sz w:val="20"/>
          <w:szCs w:val="20"/>
          <w:color w:val="auto"/>
        </w:rPr>
      </w:pPr>
    </w:p>
    <w:p>
      <w:pPr>
        <w:ind w:right="40" w:firstLine="438"/>
        <w:spacing w:after="0" w:line="244" w:lineRule="auto"/>
        <w:rPr>
          <w:sz w:val="20"/>
          <w:szCs w:val="20"/>
          <w:color w:val="auto"/>
        </w:rPr>
      </w:pPr>
      <w:r>
        <w:rPr>
          <w:rFonts w:ascii="Arial" w:cs="Arial" w:eastAsia="Arial" w:hAnsi="Arial"/>
          <w:sz w:val="13"/>
          <w:szCs w:val="13"/>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1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1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Range of Input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Arial" w:cs="Arial" w:eastAsia="Arial" w:hAnsi="Arial"/>
                <w:sz w:val="14"/>
                <w:szCs w:val="14"/>
                <w:b w:val="1"/>
                <w:bCs w:val="1"/>
                <w:color w:val="auto"/>
                <w:w w:val="96"/>
              </w:rPr>
              <w:t>September 30, 2019</w:t>
            </w:r>
          </w:p>
        </w:tc>
        <w:tc>
          <w:tcPr>
            <w:tcW w:w="26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(Weighted 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274,095,799</w:t>
            </w:r>
          </w:p>
        </w:tc>
        <w:tc>
          <w:tcPr>
            <w:tcW w:w="260" w:type="dxa"/>
            <w:vAlign w:val="bottom"/>
            <w:tcBorders>
              <w:top w:val="single" w:sz="8" w:color="CCECFF"/>
            </w:tcBorders>
            <w:shd w:val="clear" w:color="auto" w:fill="CCECFF"/>
          </w:tcPr>
          <w:p>
            <w:pPr>
              <w:spacing w:after="0"/>
              <w:rPr>
                <w:sz w:val="13"/>
                <w:szCs w:val="13"/>
                <w:color w:val="auto"/>
              </w:rPr>
            </w:pPr>
          </w:p>
        </w:tc>
        <w:tc>
          <w:tcPr>
            <w:tcW w:w="18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80" w:type="dxa"/>
            <w:vAlign w:val="bottom"/>
            <w:tcBorders>
              <w:top w:val="single" w:sz="8" w:color="CCECFF"/>
            </w:tcBorders>
            <w:shd w:val="clear" w:color="auto" w:fill="CCECFF"/>
          </w:tcPr>
          <w:p>
            <w:pPr>
              <w:spacing w:after="0"/>
              <w:rPr>
                <w:sz w:val="13"/>
                <w:szCs w:val="13"/>
                <w:color w:val="auto"/>
              </w:rPr>
            </w:pPr>
          </w:p>
        </w:tc>
        <w:tc>
          <w:tcPr>
            <w:tcW w:w="168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Second lien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2,205,284</w:t>
            </w:r>
          </w:p>
        </w:tc>
        <w:tc>
          <w:tcPr>
            <w:tcW w:w="260" w:type="dxa"/>
            <w:vAlign w:val="bottom"/>
          </w:tcPr>
          <w:p>
            <w:pPr>
              <w:spacing w:after="0"/>
              <w:rPr>
                <w:sz w:val="14"/>
                <w:szCs w:val="14"/>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Broker/Dealer bids or quotes</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661,720,734</w:t>
            </w:r>
          </w:p>
        </w:tc>
        <w:tc>
          <w:tcPr>
            <w:tcW w:w="260" w:type="dxa"/>
            <w:vAlign w:val="bottom"/>
            <w:shd w:val="clear" w:color="auto" w:fill="CCECFF"/>
          </w:tcPr>
          <w:p>
            <w:pPr>
              <w:spacing w:after="0"/>
              <w:rPr>
                <w:sz w:val="14"/>
                <w:szCs w:val="14"/>
                <w:color w:val="auto"/>
              </w:rPr>
            </w:pP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5"/>
              </w:rPr>
              <w:t>3.9% – 29.2% (8.3%)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Second lien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26,851,188</w:t>
            </w:r>
          </w:p>
        </w:tc>
        <w:tc>
          <w:tcPr>
            <w:tcW w:w="260" w:type="dxa"/>
            <w:vAlign w:val="bottom"/>
          </w:tcPr>
          <w:p>
            <w:pPr>
              <w:spacing w:after="0"/>
              <w:rPr>
                <w:sz w:val="14"/>
                <w:szCs w:val="14"/>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3.9% – 14.2% (10.6%)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9,084,267</w:t>
            </w:r>
          </w:p>
        </w:tc>
        <w:tc>
          <w:tcPr>
            <w:tcW w:w="260" w:type="dxa"/>
            <w:vAlign w:val="bottom"/>
            <w:shd w:val="clear" w:color="auto" w:fill="CCECFF"/>
          </w:tcPr>
          <w:p>
            <w:pPr>
              <w:spacing w:after="0"/>
              <w:rPr>
                <w:sz w:val="14"/>
                <w:szCs w:val="14"/>
                <w:color w:val="auto"/>
              </w:rPr>
            </w:pP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3"/>
              </w:rPr>
              <w:t>Enterprise Market Value</w:t>
            </w: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4"/>
              </w:rPr>
              <w:t>5.0x – 10.9x (6.5x)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Second lien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5,314,125</w:t>
            </w:r>
          </w:p>
        </w:tc>
        <w:tc>
          <w:tcPr>
            <w:tcW w:w="260" w:type="dxa"/>
            <w:vAlign w:val="bottom"/>
          </w:tcPr>
          <w:p>
            <w:pPr>
              <w:spacing w:after="0"/>
              <w:rPr>
                <w:sz w:val="14"/>
                <w:szCs w:val="14"/>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Enterprise Market Value</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10.9x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52,466,181</w:t>
            </w:r>
          </w:p>
        </w:tc>
        <w:tc>
          <w:tcPr>
            <w:tcW w:w="260" w:type="dxa"/>
            <w:vAlign w:val="bottom"/>
            <w:shd w:val="clear" w:color="auto" w:fill="CCECFF"/>
          </w:tcPr>
          <w:p>
            <w:pPr>
              <w:spacing w:after="0"/>
              <w:rPr>
                <w:sz w:val="14"/>
                <w:szCs w:val="14"/>
                <w:color w:val="auto"/>
              </w:rPr>
            </w:pP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3"/>
              </w:rPr>
              <w:t>Enterprise Market Value</w:t>
            </w: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5"/>
              </w:rPr>
              <w:t>6.3x – 50.8x (15.4x)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6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8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1,031,737,579</w:t>
            </w:r>
          </w:p>
        </w:tc>
        <w:tc>
          <w:tcPr>
            <w:tcW w:w="260" w:type="dxa"/>
            <w:vAlign w:val="bottom"/>
            <w:tcBorders>
              <w:bottom w:val="single" w:sz="8" w:color="CCECFF"/>
            </w:tcBorders>
          </w:tcPr>
          <w:p>
            <w:pPr>
              <w:spacing w:after="0"/>
              <w:rPr>
                <w:sz w:val="17"/>
                <w:szCs w:val="17"/>
                <w:color w:val="auto"/>
              </w:rPr>
            </w:pPr>
          </w:p>
        </w:tc>
        <w:tc>
          <w:tcPr>
            <w:tcW w:w="182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168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36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263,988,583</w:t>
            </w:r>
          </w:p>
        </w:tc>
        <w:tc>
          <w:tcPr>
            <w:tcW w:w="260" w:type="dxa"/>
            <w:vAlign w:val="bottom"/>
            <w:tcBorders>
              <w:bottom w:val="single" w:sz="8" w:color="CCECFF"/>
            </w:tcBorders>
            <w:shd w:val="clear" w:color="auto" w:fill="CCECFF"/>
          </w:tcPr>
          <w:p>
            <w:pPr>
              <w:spacing w:after="0"/>
              <w:rPr>
                <w:sz w:val="12"/>
                <w:szCs w:val="12"/>
                <w:color w:val="auto"/>
              </w:rPr>
            </w:pPr>
          </w:p>
        </w:tc>
        <w:tc>
          <w:tcPr>
            <w:tcW w:w="198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4"/>
              </w:rPr>
              <w:t>Market Comparable</w:t>
            </w:r>
          </w:p>
        </w:tc>
        <w:tc>
          <w:tcPr>
            <w:tcW w:w="198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7"/>
              </w:rPr>
              <w:t>Market Yield</w:t>
            </w:r>
          </w:p>
        </w:tc>
        <w:tc>
          <w:tcPr>
            <w:tcW w:w="168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4.0%</w:t>
            </w:r>
          </w:p>
        </w:tc>
        <w:tc>
          <w:tcPr>
            <w:tcW w:w="120" w:type="dxa"/>
            <w:vAlign w:val="bottom"/>
            <w:tcBorders>
              <w:bottom w:val="single" w:sz="8" w:color="CCECFF"/>
            </w:tcBorders>
            <w:shd w:val="clear" w:color="auto" w:fill="CC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80" w:type="dxa"/>
            <w:vAlign w:val="bottom"/>
            <w:gridSpan w:val="2"/>
            <w:vMerge w:val="restart"/>
          </w:tcPr>
          <w:p>
            <w:pPr>
              <w:jc w:val="right"/>
              <w:ind w:right="1528"/>
              <w:spacing w:after="0"/>
              <w:rPr>
                <w:sz w:val="20"/>
                <w:szCs w:val="20"/>
                <w:color w:val="auto"/>
              </w:rPr>
            </w:pPr>
            <w:r>
              <w:rPr>
                <w:rFonts w:ascii="Arial" w:cs="Arial" w:eastAsia="Arial" w:hAnsi="Arial"/>
                <w:sz w:val="14"/>
                <w:szCs w:val="14"/>
                <w:color w:val="auto"/>
              </w:rPr>
              <w:t>71</w:t>
            </w: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2019</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520" w:type="dxa"/>
            <w:vAlign w:val="bottom"/>
          </w:tcPr>
          <w:p>
            <w:pPr>
              <w:jc w:val="right"/>
              <w:ind w:right="388"/>
              <w:spacing w:after="0"/>
              <w:rPr>
                <w:sz w:val="20"/>
                <w:szCs w:val="20"/>
                <w:color w:val="auto"/>
              </w:rPr>
            </w:pPr>
            <w:r>
              <w:rPr>
                <w:rFonts w:ascii="Arial" w:cs="Arial" w:eastAsia="Arial" w:hAnsi="Arial"/>
                <w:sz w:val="14"/>
                <w:szCs w:val="14"/>
                <w:b w:val="1"/>
                <w:bCs w:val="1"/>
                <w:color w:val="auto"/>
              </w:rPr>
              <w:t>Fair value at</w:t>
            </w:r>
          </w:p>
        </w:tc>
        <w:tc>
          <w:tcPr>
            <w:tcW w:w="280" w:type="dxa"/>
            <w:vAlign w:val="bottom"/>
          </w:tcPr>
          <w:p>
            <w:pPr>
              <w:spacing w:after="0"/>
              <w:rPr>
                <w:sz w:val="14"/>
                <w:szCs w:val="14"/>
                <w:color w:val="auto"/>
              </w:rPr>
            </w:pPr>
          </w:p>
        </w:tc>
        <w:tc>
          <w:tcPr>
            <w:tcW w:w="1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1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Unobservable Input</w:t>
            </w: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September 30, 2018</w:t>
            </w:r>
          </w:p>
        </w:tc>
        <w:tc>
          <w:tcPr>
            <w:tcW w:w="2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5"/>
        </w:trPr>
        <w:tc>
          <w:tcPr>
            <w:tcW w:w="33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303,786,401</w:t>
            </w:r>
          </w:p>
        </w:tc>
        <w:tc>
          <w:tcPr>
            <w:tcW w:w="28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jc w:val="center"/>
              <w:ind w:right="548"/>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2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2,543,750</w:t>
            </w:r>
          </w:p>
        </w:tc>
        <w:tc>
          <w:tcPr>
            <w:tcW w:w="28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Broker/Dealer bids or quotes</w:t>
            </w:r>
          </w:p>
        </w:tc>
        <w:tc>
          <w:tcPr>
            <w:tcW w:w="600" w:type="dxa"/>
            <w:vAlign w:val="bottom"/>
          </w:tcPr>
          <w:p>
            <w:pPr>
              <w:spacing w:after="0"/>
              <w:rPr>
                <w:sz w:val="14"/>
                <w:szCs w:val="14"/>
                <w:color w:val="auto"/>
              </w:rPr>
            </w:pPr>
          </w:p>
        </w:tc>
        <w:tc>
          <w:tcPr>
            <w:tcW w:w="1220" w:type="dxa"/>
            <w:vAlign w:val="bottom"/>
          </w:tcPr>
          <w:p>
            <w:pPr>
              <w:jc w:val="center"/>
              <w:ind w:right="5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609,511,575</w:t>
            </w:r>
          </w:p>
        </w:tc>
        <w:tc>
          <w:tcPr>
            <w:tcW w:w="28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w:t>
            </w:r>
          </w:p>
        </w:tc>
        <w:tc>
          <w:tcPr>
            <w:tcW w:w="122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17.5% (9.7%)</w:t>
            </w:r>
          </w:p>
        </w:tc>
        <w:tc>
          <w:tcPr>
            <w:tcW w:w="0" w:type="dxa"/>
            <w:vAlign w:val="bottom"/>
          </w:tcPr>
          <w:p>
            <w:pPr>
              <w:spacing w:after="0"/>
              <w:rPr>
                <w:sz w:val="1"/>
                <w:szCs w:val="1"/>
                <w:color w:val="auto"/>
              </w:rPr>
            </w:pPr>
          </w:p>
        </w:tc>
      </w:tr>
      <w:tr>
        <w:trPr>
          <w:trHeight w:val="162"/>
        </w:trPr>
        <w:tc>
          <w:tcPr>
            <w:tcW w:w="352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18,690,963</w:t>
            </w:r>
          </w:p>
        </w:tc>
        <w:tc>
          <w:tcPr>
            <w:tcW w:w="28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Market Yield</w:t>
            </w:r>
          </w:p>
        </w:tc>
        <w:tc>
          <w:tcPr>
            <w:tcW w:w="600" w:type="dxa"/>
            <w:vAlign w:val="bottom"/>
          </w:tcPr>
          <w:p>
            <w:pPr>
              <w:jc w:val="right"/>
              <w:spacing w:after="0"/>
              <w:rPr>
                <w:sz w:val="20"/>
                <w:szCs w:val="20"/>
                <w:color w:val="auto"/>
              </w:rPr>
            </w:pPr>
            <w:r>
              <w:rPr>
                <w:rFonts w:ascii="Arial" w:cs="Arial" w:eastAsia="Arial" w:hAnsi="Arial"/>
                <w:sz w:val="14"/>
                <w:szCs w:val="14"/>
                <w:color w:val="auto"/>
              </w:rPr>
              <w:t>10.7%</w:t>
            </w:r>
          </w:p>
        </w:tc>
        <w:tc>
          <w:tcPr>
            <w:tcW w:w="1220" w:type="dxa"/>
            <w:vAlign w:val="bottom"/>
          </w:tcPr>
          <w:p>
            <w:pPr>
              <w:ind w:left="20"/>
              <w:spacing w:after="0"/>
              <w:rPr>
                <w:sz w:val="20"/>
                <w:szCs w:val="20"/>
                <w:color w:val="auto"/>
              </w:rPr>
            </w:pPr>
            <w:r>
              <w:rPr>
                <w:rFonts w:ascii="Arial" w:cs="Arial" w:eastAsia="Arial" w:hAnsi="Arial"/>
                <w:sz w:val="14"/>
                <w:szCs w:val="14"/>
                <w:color w:val="auto"/>
              </w:rPr>
              <w:t>– 14.1% (11.7%)</w:t>
            </w:r>
          </w:p>
        </w:tc>
        <w:tc>
          <w:tcPr>
            <w:tcW w:w="0" w:type="dxa"/>
            <w:vAlign w:val="bottom"/>
          </w:tcPr>
          <w:p>
            <w:pPr>
              <w:spacing w:after="0"/>
              <w:rPr>
                <w:sz w:val="1"/>
                <w:szCs w:val="1"/>
                <w:color w:val="auto"/>
              </w:rPr>
            </w:pPr>
          </w:p>
        </w:tc>
      </w:tr>
      <w:tr>
        <w:trPr>
          <w:trHeight w:val="162"/>
        </w:trPr>
        <w:tc>
          <w:tcPr>
            <w:tcW w:w="35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auto"/>
            </w:tcBorders>
            <w:shd w:val="clear" w:color="auto" w:fill="CCECFF"/>
          </w:tcPr>
          <w:p>
            <w:pPr>
              <w:spacing w:after="0"/>
              <w:rPr>
                <w:sz w:val="14"/>
                <w:szCs w:val="14"/>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21,282,875</w:t>
            </w:r>
          </w:p>
        </w:tc>
        <w:tc>
          <w:tcPr>
            <w:tcW w:w="28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8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rPr>
              <w:t>EBITDA multiple</w:t>
            </w:r>
          </w:p>
        </w:tc>
        <w:tc>
          <w:tcPr>
            <w:tcW w:w="1820" w:type="dxa"/>
            <w:vAlign w:val="bottom"/>
            <w:gridSpan w:val="2"/>
            <w:shd w:val="clear" w:color="auto" w:fill="CCECFF"/>
          </w:tcPr>
          <w:p>
            <w:pPr>
              <w:jc w:val="center"/>
              <w:spacing w:after="0"/>
              <w:rPr>
                <w:sz w:val="20"/>
                <w:szCs w:val="20"/>
                <w:color w:val="auto"/>
              </w:rPr>
            </w:pPr>
            <w:r>
              <w:rPr>
                <w:rFonts w:ascii="Arial" w:cs="Arial" w:eastAsia="Arial" w:hAnsi="Arial"/>
                <w:sz w:val="14"/>
                <w:szCs w:val="14"/>
                <w:color w:val="auto"/>
                <w:w w:val="94"/>
              </w:rPr>
              <w:t>6.2x – 12.0x (9.2x)</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955,815,564</w:t>
            </w:r>
          </w:p>
        </w:tc>
        <w:tc>
          <w:tcPr>
            <w:tcW w:w="28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2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600" w:type="dxa"/>
            <w:vAlign w:val="bottom"/>
            <w:tcBorders>
              <w:bottom w:val="single" w:sz="8" w:color="CCECFF"/>
            </w:tcBorders>
          </w:tcPr>
          <w:p>
            <w:pPr>
              <w:spacing w:after="0"/>
              <w:rPr>
                <w:sz w:val="17"/>
                <w:szCs w:val="17"/>
                <w:color w:val="auto"/>
              </w:rPr>
            </w:pPr>
          </w:p>
        </w:tc>
        <w:tc>
          <w:tcPr>
            <w:tcW w:w="12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52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332,128,815</w:t>
            </w:r>
          </w:p>
        </w:tc>
        <w:tc>
          <w:tcPr>
            <w:tcW w:w="28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1980" w:type="dxa"/>
            <w:vAlign w:val="bottom"/>
            <w:tcBorders>
              <w:bottom w:val="single" w:sz="8" w:color="CCECFF"/>
            </w:tcBorders>
            <w:gridSpan w:val="2"/>
            <w:shd w:val="clear" w:color="auto" w:fill="CCECFF"/>
          </w:tcPr>
          <w:p>
            <w:pPr>
              <w:jc w:val="center"/>
              <w:ind w:right="180"/>
              <w:spacing w:after="0" w:line="143" w:lineRule="exact"/>
              <w:rPr>
                <w:sz w:val="20"/>
                <w:szCs w:val="20"/>
                <w:color w:val="auto"/>
              </w:rPr>
            </w:pPr>
            <w:r>
              <w:rPr>
                <w:rFonts w:ascii="Arial" w:cs="Arial" w:eastAsia="Arial" w:hAnsi="Arial"/>
                <w:sz w:val="14"/>
                <w:szCs w:val="14"/>
                <w:color w:val="auto"/>
                <w:w w:val="97"/>
              </w:rPr>
              <w:t>Market Yield</w:t>
            </w:r>
          </w:p>
        </w:tc>
        <w:tc>
          <w:tcPr>
            <w:tcW w:w="600" w:type="dxa"/>
            <w:vAlign w:val="bottom"/>
            <w:tcBorders>
              <w:bottom w:val="single" w:sz="8" w:color="CCECFF"/>
            </w:tcBorders>
            <w:shd w:val="clear" w:color="auto" w:fill="CCECFF"/>
          </w:tcPr>
          <w:p>
            <w:pPr>
              <w:spacing w:after="0"/>
              <w:rPr>
                <w:sz w:val="12"/>
                <w:szCs w:val="12"/>
                <w:color w:val="auto"/>
              </w:rPr>
            </w:pPr>
          </w:p>
        </w:tc>
        <w:tc>
          <w:tcPr>
            <w:tcW w:w="1220" w:type="dxa"/>
            <w:vAlign w:val="bottom"/>
            <w:tcBorders>
              <w:bottom w:val="single" w:sz="8" w:color="CCECFF"/>
            </w:tcBorders>
            <w:shd w:val="clear" w:color="auto" w:fill="CCECFF"/>
          </w:tcPr>
          <w:p>
            <w:pPr>
              <w:jc w:val="right"/>
              <w:ind w:right="688"/>
              <w:spacing w:after="0" w:line="143"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Our investments, cash and cash equivalents, Credit Facility, 2023 Notes and the 2031 Asset-Backed Debt were categorized as follows in the fair value hierarchy for ASC 820 purposes: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Fair Value at September 30, 2019</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37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944,900,800</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944,900,800</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34,370,598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34,370,598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102,435,511</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52,466,181</w:t>
            </w:r>
          </w:p>
        </w:tc>
        <w:tc>
          <w:tcPr>
            <w:tcW w:w="24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49,969,330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1,081,706,909</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1,031,737,579</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49,969,330</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63,337,728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63,337,728</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1,145,044,637</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63,337,728</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1,031,737,579</w:t>
            </w:r>
          </w:p>
        </w:tc>
        <w:tc>
          <w:tcPr>
            <w:tcW w:w="24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49,969,330</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78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263,988,583</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40" w:type="dxa"/>
            <w:vAlign w:val="bottom"/>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263,988,583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2023 Notes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135,240,084</w:t>
            </w:r>
          </w:p>
        </w:tc>
        <w:tc>
          <w:tcPr>
            <w:tcW w:w="4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135,240,084</w:t>
            </w: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2031 Asset-Backed Debt</w:t>
            </w:r>
            <w:r>
              <w:rPr>
                <w:rFonts w:ascii="Arial" w:cs="Arial" w:eastAsia="Arial" w:hAnsi="Arial"/>
                <w:sz w:val="12"/>
                <w:szCs w:val="12"/>
                <w:color w:val="auto"/>
              </w:rPr>
              <w:t>(2)</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224,321,845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224,321,845</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8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623,550,512</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135,240,084</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488,310,428</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64" w:lineRule="exact"/>
        <w:rPr>
          <w:sz w:val="20"/>
          <w:szCs w:val="20"/>
          <w:color w:val="auto"/>
        </w:rPr>
      </w:pPr>
    </w:p>
    <w:p>
      <w:pPr>
        <w:ind w:left="380" w:right="120" w:hanging="372"/>
        <w:spacing w:after="0" w:line="230" w:lineRule="auto"/>
        <w:tabs>
          <w:tab w:leader="none" w:pos="380" w:val="left"/>
        </w:tabs>
        <w:numPr>
          <w:ilvl w:val="0"/>
          <w:numId w:val="62"/>
        </w:numPr>
        <w:rPr>
          <w:rFonts w:ascii="Arial" w:cs="Arial" w:eastAsia="Arial" w:hAnsi="Arial"/>
          <w:sz w:val="12"/>
          <w:szCs w:val="12"/>
          <w:color w:val="auto"/>
        </w:rPr>
      </w:pPr>
      <w:r>
        <w:rPr>
          <w:rFonts w:ascii="Arial" w:cs="Arial" w:eastAsia="Arial" w:hAnsi="Arial"/>
          <w:sz w:val="14"/>
          <w:szCs w:val="14"/>
          <w:color w:val="auto"/>
        </w:rPr>
        <w:t>In accordance with ASC Subtopic 820-10, Fair Value Measurements and Disclosures, or ASC 820-10, our equity investment in PSSL is measured using the net asset value per share (or its equivalent) as a practical expedient for fair value, and thus has not been classified in the fair value hierarchy.</w:t>
      </w:r>
    </w:p>
    <w:p>
      <w:pPr>
        <w:ind w:left="380" w:right="300" w:hanging="372"/>
        <w:spacing w:after="0" w:line="237" w:lineRule="auto"/>
        <w:tabs>
          <w:tab w:leader="none" w:pos="380" w:val="left"/>
        </w:tabs>
        <w:numPr>
          <w:ilvl w:val="0"/>
          <w:numId w:val="62"/>
        </w:numPr>
        <w:rPr>
          <w:rFonts w:ascii="Arial" w:cs="Arial" w:eastAsia="Arial" w:hAnsi="Arial"/>
          <w:sz w:val="12"/>
          <w:szCs w:val="12"/>
          <w:color w:val="auto"/>
        </w:rPr>
      </w:pPr>
      <w:r>
        <w:rPr>
          <w:rFonts w:ascii="Arial" w:cs="Arial" w:eastAsia="Arial" w:hAnsi="Arial"/>
          <w:sz w:val="14"/>
          <w:szCs w:val="14"/>
          <w:color w:val="auto"/>
        </w:rPr>
        <w:t>We elected not to apply ASC 825-10 to the 2031 Asset-Backed Debt and thus the balance reported in the Consolidated Statement of Assets and Liabilities represents the carrying value, which approximates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Fair Value at September 30, 2018</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Asset Value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6"/>
        </w:trPr>
        <w:tc>
          <w:tcPr>
            <w:tcW w:w="37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21,234,713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21,234,713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66,080,604</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21,282,875</w:t>
            </w: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44,797,729</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1,000,613,293</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955,815,564</w:t>
            </w:r>
          </w:p>
        </w:tc>
        <w:tc>
          <w:tcPr>
            <w:tcW w:w="24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44,797,729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tcBorders>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1,072,837,476</w:t>
            </w:r>
          </w:p>
        </w:tc>
        <w:tc>
          <w:tcPr>
            <w:tcW w:w="2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72,224,183</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955,815,564</w:t>
            </w:r>
          </w:p>
        </w:tc>
        <w:tc>
          <w:tcPr>
            <w:tcW w:w="2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44,797,729</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332,128,815</w:t>
            </w:r>
          </w:p>
        </w:tc>
        <w:tc>
          <w:tcPr>
            <w:tcW w:w="24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ind w:left="84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280" w:type="dxa"/>
            <w:vAlign w:val="bottom"/>
            <w:tcBorders>
              <w:top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332,128,815</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CFF"/>
          </w:tcPr>
          <w:p>
            <w:pPr>
              <w:spacing w:after="0"/>
              <w:rPr>
                <w:sz w:val="20"/>
                <w:szCs w:val="20"/>
                <w:color w:val="auto"/>
              </w:rPr>
            </w:pPr>
            <w:r>
              <w:rPr>
                <w:rFonts w:ascii="Arial" w:cs="Arial" w:eastAsia="Arial" w:hAnsi="Arial"/>
                <w:sz w:val="14"/>
                <w:szCs w:val="14"/>
                <w:color w:val="auto"/>
              </w:rPr>
              <w:t>2023 Notes</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135,503,385</w:t>
            </w:r>
          </w:p>
        </w:tc>
        <w:tc>
          <w:tcPr>
            <w:tcW w:w="460" w:type="dxa"/>
            <w:vAlign w:val="bottom"/>
            <w:gridSpan w:val="2"/>
            <w:shd w:val="clear" w:color="auto" w:fill="CCECFF"/>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135,503,385</w:t>
            </w:r>
          </w:p>
        </w:tc>
        <w:tc>
          <w:tcPr>
            <w:tcW w:w="480" w:type="dxa"/>
            <w:vAlign w:val="bottom"/>
            <w:gridSpan w:val="2"/>
            <w:shd w:val="clear" w:color="auto" w:fill="CCEC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CFF"/>
          </w:tcPr>
          <w:p>
            <w:pPr>
              <w:ind w:left="840"/>
              <w:spacing w:after="0"/>
              <w:rPr>
                <w:sz w:val="20"/>
                <w:szCs w:val="20"/>
                <w:color w:val="auto"/>
              </w:rPr>
            </w:pPr>
            <w:r>
              <w:rPr>
                <w:rFonts w:ascii="Arial" w:cs="Arial" w:eastAsia="Arial" w:hAnsi="Arial"/>
                <w:sz w:val="14"/>
                <w:szCs w:val="14"/>
                <w:color w:val="auto"/>
                <w:w w:val="99"/>
              </w:rPr>
              <w:t>—</w:t>
            </w:r>
          </w:p>
        </w:tc>
        <w:tc>
          <w:tcPr>
            <w:tcW w:w="5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8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467,632,200</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135,503,385</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4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332,128,815</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3455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64" w:lineRule="exact"/>
        <w:rPr>
          <w:sz w:val="20"/>
          <w:szCs w:val="20"/>
          <w:color w:val="auto"/>
        </w:rPr>
      </w:pPr>
    </w:p>
    <w:p>
      <w:pPr>
        <w:ind w:left="380" w:right="120" w:hanging="372"/>
        <w:spacing w:after="0" w:line="253" w:lineRule="auto"/>
        <w:tabs>
          <w:tab w:leader="none" w:pos="380" w:val="left"/>
        </w:tabs>
        <w:numPr>
          <w:ilvl w:val="0"/>
          <w:numId w:val="63"/>
        </w:numPr>
        <w:rPr>
          <w:rFonts w:ascii="Arial" w:cs="Arial" w:eastAsia="Arial" w:hAnsi="Arial"/>
          <w:sz w:val="12"/>
          <w:szCs w:val="12"/>
          <w:color w:val="auto"/>
        </w:rPr>
      </w:pPr>
      <w:r>
        <w:rPr>
          <w:rFonts w:ascii="Arial" w:cs="Arial" w:eastAsia="Arial" w:hAnsi="Arial"/>
          <w:sz w:val="14"/>
          <w:szCs w:val="14"/>
          <w:color w:val="auto"/>
        </w:rPr>
        <w:t>In accordance with ASC Subtopic 820-10, Fair Value Measurements and Disclosures, or ASC 820-10, our equity investment in PSSL is measured using the net asset value per share (or its equivalent) as a practical expedient for fair value, and thus has not been classified in the fair value hierarchy.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center"/>
              <w:ind w:left="768"/>
              <w:spacing w:after="0"/>
              <w:rPr>
                <w:sz w:val="20"/>
                <w:szCs w:val="20"/>
                <w:color w:val="auto"/>
              </w:rPr>
            </w:pPr>
            <w:r>
              <w:rPr>
                <w:rFonts w:ascii="Arial" w:cs="Arial" w:eastAsia="Arial" w:hAnsi="Arial"/>
                <w:sz w:val="14"/>
                <w:szCs w:val="14"/>
                <w:b w:val="1"/>
                <w:bCs w:val="1"/>
                <w:color w:val="auto"/>
                <w:w w:val="92"/>
              </w:rPr>
              <w:t>Year Ended September 30, 2019</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280" w:type="dxa"/>
            <w:vAlign w:val="bottom"/>
          </w:tcPr>
          <w:p>
            <w:pPr>
              <w:spacing w:after="0"/>
              <w:rPr>
                <w:sz w:val="12"/>
                <w:szCs w:val="12"/>
                <w:color w:val="auto"/>
              </w:rPr>
            </w:pP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investments</w:t>
            </w: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42,517,588</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955,815,564</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(27,622,557)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(4,448,014)</w:t>
            </w:r>
          </w:p>
        </w:tc>
        <w:tc>
          <w:tcPr>
            <w:tcW w:w="2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(32,070,571)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(5,963,719)</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7,037,654</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1,073,935</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605,767,518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28,404,511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634,172,029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(522,089,023)</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(5,164,355)</w:t>
            </w:r>
          </w:p>
        </w:tc>
        <w:tc>
          <w:tcPr>
            <w:tcW w:w="2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(527,253,378)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963,390,195</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68,347,384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1,031,737,579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(depreciation) appreciation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(7,423,502)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4,988,683</w:t>
            </w:r>
          </w:p>
        </w:tc>
        <w:tc>
          <w:tcPr>
            <w:tcW w:w="24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(2,434,819)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5560"/>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5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center"/>
              <w:ind w:left="768"/>
              <w:spacing w:after="0"/>
              <w:rPr>
                <w:sz w:val="20"/>
                <w:szCs w:val="20"/>
                <w:color w:val="auto"/>
              </w:rPr>
            </w:pPr>
            <w:r>
              <w:rPr>
                <w:rFonts w:ascii="Arial" w:cs="Arial" w:eastAsia="Arial" w:hAnsi="Arial"/>
                <w:sz w:val="14"/>
                <w:szCs w:val="14"/>
                <w:b w:val="1"/>
                <w:bCs w:val="1"/>
                <w:color w:val="auto"/>
                <w:w w:val="92"/>
              </w:rPr>
              <w:t>Year Ended September 30, 2018</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280" w:type="dxa"/>
            <w:vAlign w:val="bottom"/>
          </w:tcPr>
          <w:p>
            <w:pPr>
              <w:spacing w:after="0"/>
              <w:rPr>
                <w:sz w:val="12"/>
                <w:szCs w:val="12"/>
                <w:color w:val="auto"/>
              </w:rPr>
            </w:pP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87,389,065</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279,771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(862,383)</w:t>
            </w:r>
          </w:p>
        </w:tc>
        <w:tc>
          <w:tcPr>
            <w:tcW w:w="2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(582,612)</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(7,094,712)</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3,483,965</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(3,610,747)</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670,431,163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37,162,713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707,593,876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(359,986,800)</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(84,655,772)</w:t>
            </w:r>
          </w:p>
        </w:tc>
        <w:tc>
          <w:tcPr>
            <w:tcW w:w="2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(444,642,572)</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42,517,588</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955,815,564</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(depreciation) appreciation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(5,553,426)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2,435,268</w:t>
            </w:r>
          </w:p>
        </w:tc>
        <w:tc>
          <w:tcPr>
            <w:tcW w:w="24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(3,118,158)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table below shows a reconciliation of the beginning and ending balances for liabilities recognized at fair value and measured using significant unobservable inputs (Level 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Pr>
          <w:p>
            <w:pPr>
              <w:spacing w:after="0"/>
              <w:rPr>
                <w:sz w:val="14"/>
                <w:szCs w:val="14"/>
                <w:color w:val="auto"/>
              </w:rPr>
            </w:pPr>
          </w:p>
        </w:tc>
        <w:tc>
          <w:tcPr>
            <w:tcW w:w="31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$333,727,520 and $253,783,301,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332,128,815</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256,858,457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(depreciation) appreciation included in earnings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279,788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(4,673,861)</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370,700,000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246,485,010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Repayments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(439,120,020)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(166,540,791)</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$265,307,500 and $333,727,520,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263,988,583</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332,128,815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As of September 30, 2019, we had outstanding non-U.S. dollar borrowings on our Credit Facility. Net change in fair value from foreign currency translation on outstanding borrowings is listed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Borrowing Cost</w:t>
            </w:r>
          </w:p>
        </w:tc>
        <w:tc>
          <w:tcPr>
            <w:tcW w:w="120" w:type="dxa"/>
            <w:vAlign w:val="bottom"/>
          </w:tcPr>
          <w:p>
            <w:pPr>
              <w:spacing w:after="0"/>
              <w:rPr>
                <w:sz w:val="14"/>
                <w:szCs w:val="14"/>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Current Value</w:t>
            </w:r>
          </w:p>
        </w:tc>
        <w:tc>
          <w:tcPr>
            <w:tcW w:w="260" w:type="dxa"/>
            <w:vAlign w:val="bottom"/>
          </w:tcPr>
          <w:p>
            <w:pPr>
              <w:spacing w:after="0"/>
              <w:rPr>
                <w:sz w:val="14"/>
                <w:szCs w:val="14"/>
                <w:color w:val="auto"/>
              </w:rPr>
            </w:pPr>
          </w:p>
        </w:tc>
        <w:tc>
          <w:tcPr>
            <w:tcW w:w="1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Change in Fair</w:t>
            </w:r>
          </w:p>
        </w:tc>
        <w:tc>
          <w:tcPr>
            <w:tcW w:w="0" w:type="dxa"/>
            <w:vAlign w:val="bottom"/>
          </w:tcPr>
          <w:p>
            <w:pPr>
              <w:spacing w:after="0"/>
              <w:rPr>
                <w:sz w:val="1"/>
                <w:szCs w:val="1"/>
                <w:color w:val="auto"/>
              </w:rPr>
            </w:pPr>
          </w:p>
        </w:tc>
      </w:tr>
      <w:tr>
        <w:trPr>
          <w:trHeight w:val="171"/>
        </w:trPr>
        <w:tc>
          <w:tcPr>
            <w:tcW w:w="3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Borrowed</w:t>
            </w: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37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140" w:type="dxa"/>
            <w:vAlign w:val="bottom"/>
            <w:tcBorders>
              <w:top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color w:val="auto"/>
                <w:w w:val="98"/>
              </w:rPr>
              <w:t>C</w:t>
            </w: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12,407,501</w:t>
            </w:r>
          </w:p>
        </w:tc>
        <w:tc>
          <w:tcPr>
            <w:tcW w:w="24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13,217,523</w:t>
            </w:r>
          </w:p>
        </w:tc>
        <w:tc>
          <w:tcPr>
            <w:tcW w:w="260" w:type="dxa"/>
            <w:vAlign w:val="bottom"/>
            <w:tcBorders>
              <w:top w:val="single" w:sz="8" w:color="CCECFF"/>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1, 2019</w:t>
            </w:r>
          </w:p>
        </w:tc>
        <w:tc>
          <w:tcPr>
            <w:tcW w:w="14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1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810,022</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12,407,501</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13,217,523</w:t>
            </w: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810,022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As of September 30, 2018, we had outstanding non-U.S. dollar borrowings on our Credit Facility. Net change in fair value from foreign currency translation on outstanding borrowings is listed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Borrowing Cost</w:t>
            </w:r>
          </w:p>
        </w:tc>
        <w:tc>
          <w:tcPr>
            <w:tcW w:w="120" w:type="dxa"/>
            <w:vAlign w:val="bottom"/>
          </w:tcPr>
          <w:p>
            <w:pPr>
              <w:spacing w:after="0"/>
              <w:rPr>
                <w:sz w:val="14"/>
                <w:szCs w:val="14"/>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Current Value</w:t>
            </w:r>
          </w:p>
        </w:tc>
        <w:tc>
          <w:tcPr>
            <w:tcW w:w="260" w:type="dxa"/>
            <w:vAlign w:val="bottom"/>
          </w:tcPr>
          <w:p>
            <w:pPr>
              <w:spacing w:after="0"/>
              <w:rPr>
                <w:sz w:val="14"/>
                <w:szCs w:val="14"/>
                <w:color w:val="auto"/>
              </w:rPr>
            </w:pPr>
          </w:p>
        </w:tc>
        <w:tc>
          <w:tcPr>
            <w:tcW w:w="1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Change in Fair</w:t>
            </w:r>
          </w:p>
        </w:tc>
        <w:tc>
          <w:tcPr>
            <w:tcW w:w="0" w:type="dxa"/>
            <w:vAlign w:val="bottom"/>
          </w:tcPr>
          <w:p>
            <w:pPr>
              <w:spacing w:after="0"/>
              <w:rPr>
                <w:sz w:val="1"/>
                <w:szCs w:val="1"/>
                <w:color w:val="auto"/>
              </w:rPr>
            </w:pPr>
          </w:p>
        </w:tc>
      </w:tr>
      <w:tr>
        <w:trPr>
          <w:trHeight w:val="171"/>
        </w:trPr>
        <w:tc>
          <w:tcPr>
            <w:tcW w:w="3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Borrowed</w:t>
            </w: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37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Australian Dollar</w:t>
            </w:r>
          </w:p>
        </w:tc>
        <w:tc>
          <w:tcPr>
            <w:tcW w:w="140" w:type="dxa"/>
            <w:vAlign w:val="bottom"/>
            <w:tcBorders>
              <w:top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color w:val="auto"/>
              </w:rPr>
              <w:t>A</w:t>
            </w: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9,900,000</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7,720,020</w:t>
            </w:r>
          </w:p>
        </w:tc>
        <w:tc>
          <w:tcPr>
            <w:tcW w:w="24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7,163,165</w:t>
            </w:r>
          </w:p>
        </w:tc>
        <w:tc>
          <w:tcPr>
            <w:tcW w:w="260" w:type="dxa"/>
            <w:vAlign w:val="bottom"/>
            <w:tcBorders>
              <w:top w:val="single" w:sz="8" w:color="CCECFF"/>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1, 2018</w:t>
            </w:r>
          </w:p>
        </w:tc>
        <w:tc>
          <w:tcPr>
            <w:tcW w:w="14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(556,855)</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Canadian Dollar</w:t>
            </w:r>
          </w:p>
        </w:tc>
        <w:tc>
          <w:tcPr>
            <w:tcW w:w="320" w:type="dxa"/>
            <w:vAlign w:val="bottom"/>
            <w:tcBorders>
              <w:bottom w:val="single" w:sz="8" w:color="CCECFF"/>
            </w:tcBorders>
            <w:gridSpan w:val="2"/>
          </w:tcPr>
          <w:p>
            <w:pPr>
              <w:jc w:val="right"/>
              <w:ind w:right="69"/>
              <w:spacing w:after="0"/>
              <w:rPr>
                <w:sz w:val="20"/>
                <w:szCs w:val="20"/>
                <w:color w:val="auto"/>
              </w:rPr>
            </w:pPr>
            <w:r>
              <w:rPr>
                <w:rFonts w:ascii="Arial" w:cs="Arial" w:eastAsia="Arial" w:hAnsi="Arial"/>
                <w:sz w:val="14"/>
                <w:szCs w:val="14"/>
                <w:color w:val="auto"/>
              </w:rPr>
              <w:t>C$</w:t>
            </w:r>
          </w:p>
        </w:tc>
        <w:tc>
          <w:tcPr>
            <w:tcW w:w="106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17,500,000</w:t>
            </w:r>
          </w:p>
        </w:tc>
        <w:tc>
          <w:tcPr>
            <w:tcW w:w="2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12,407,500</w:t>
            </w:r>
          </w:p>
        </w:tc>
        <w:tc>
          <w:tcPr>
            <w:tcW w:w="24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13,538,612</w:t>
            </w:r>
          </w:p>
        </w:tc>
        <w:tc>
          <w:tcPr>
            <w:tcW w:w="260" w:type="dxa"/>
            <w:vAlign w:val="bottom"/>
            <w:tcBorders>
              <w:bottom w:val="single" w:sz="8" w:color="CCECFF"/>
            </w:tcBorders>
          </w:tcPr>
          <w:p>
            <w:pPr>
              <w:spacing w:after="0"/>
              <w:rPr>
                <w:sz w:val="14"/>
                <w:szCs w:val="14"/>
                <w:color w:val="auto"/>
              </w:rPr>
            </w:pPr>
          </w:p>
        </w:tc>
        <w:tc>
          <w:tcPr>
            <w:tcW w:w="15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October 1, 2018</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1,131,112</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6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20,127,520</w:t>
            </w:r>
          </w:p>
        </w:tc>
        <w:tc>
          <w:tcPr>
            <w:tcW w:w="2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20,701,777</w:t>
            </w:r>
          </w:p>
        </w:tc>
        <w:tc>
          <w:tcPr>
            <w:tcW w:w="260" w:type="dxa"/>
            <w:vAlign w:val="bottom"/>
            <w:tcBorders>
              <w:bottom w:val="single" w:sz="8" w:color="CCECFF"/>
            </w:tcBorders>
            <w:shd w:val="clear" w:color="auto" w:fill="CCECFF"/>
          </w:tcPr>
          <w:p>
            <w:pPr>
              <w:spacing w:after="0"/>
              <w:rPr>
                <w:sz w:val="13"/>
                <w:szCs w:val="13"/>
                <w:color w:val="auto"/>
              </w:rPr>
            </w:pPr>
          </w:p>
        </w:tc>
        <w:tc>
          <w:tcPr>
            <w:tcW w:w="136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574,257</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40" w:firstLine="438"/>
        <w:spacing w:after="0" w:line="265" w:lineRule="auto"/>
        <w:rPr>
          <w:sz w:val="20"/>
          <w:szCs w:val="20"/>
          <w:color w:val="auto"/>
        </w:rPr>
      </w:pPr>
      <w:r>
        <w:rPr>
          <w:rFonts w:ascii="Arial" w:cs="Arial" w:eastAsia="Arial" w:hAnsi="Arial"/>
          <w:sz w:val="12"/>
          <w:szCs w:val="12"/>
          <w:color w:val="auto"/>
        </w:rPr>
        <w:t>The carrying value of our consolidated financial liabilities approximates fair value. We have adopted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$4.5 million, $10.9 million and $0.1 million relating to amendment costs on the Credit Facility and debt issuance costs on the 2023 Notes during the years ended September 30, 2019, 2018 and 2017,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2031 Asset-Backed Debt. For the years ended September 30, 2019, 2018 and 2017, our Credit Facility and the 2023 Notes had a net change in unrealized depreciation (appreciation) of less than $(0.1) million, $7.8 million and $(3.6) million, respectively. As of September 30, 2019, 2018 and 2017, the net unrealized depreciation (appreciation) on our Credit Facility and the 2023 Notes totaled $4.7 million, $4.7 million and $(3.1)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2019</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27" w:lineRule="exact"/>
        <w:rPr>
          <w:sz w:val="20"/>
          <w:szCs w:val="20"/>
          <w:color w:val="auto"/>
        </w:rPr>
      </w:pPr>
    </w:p>
    <w:p>
      <w:pPr>
        <w:jc w:val="both"/>
        <w:ind w:right="38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generally when we own more than 25% of its voting securities. Transactions related to our funded investments with both controlled and non-controlled affiliates for the year ended September 30, 2019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Net Change in</w:t>
            </w:r>
          </w:p>
        </w:tc>
        <w:tc>
          <w:tcPr>
            <w:tcW w:w="10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Fair Value at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jc w:val="center"/>
              <w:ind w:right="99"/>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900" w:type="dxa"/>
            <w:vAlign w:val="bottom"/>
            <w:gridSpan w:val="2"/>
            <w:vMerge w:val="restart"/>
          </w:tcPr>
          <w:p>
            <w:pPr>
              <w:jc w:val="right"/>
              <w:ind w:right="319"/>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08"/>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Interest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Dividend</w:t>
            </w: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September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1"/>
        </w:trPr>
        <w:tc>
          <w:tcPr>
            <w:tcW w:w="21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30, 2018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Additions</w:t>
            </w:r>
          </w:p>
        </w:tc>
        <w:tc>
          <w:tcPr>
            <w:tcW w:w="80" w:type="dxa"/>
            <w:vAlign w:val="bottom"/>
          </w:tcPr>
          <w:p>
            <w:pPr>
              <w:spacing w:after="0"/>
              <w:rPr>
                <w:sz w:val="14"/>
                <w:szCs w:val="14"/>
                <w:color w:val="auto"/>
              </w:rPr>
            </w:pPr>
          </w:p>
        </w:tc>
        <w:tc>
          <w:tcPr>
            <w:tcW w:w="90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w w:val="89"/>
              </w:rPr>
              <w:t>Reductions</w:t>
            </w:r>
          </w:p>
        </w:tc>
        <w:tc>
          <w:tcPr>
            <w:tcW w:w="6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4"/>
                <w:szCs w:val="14"/>
                <w:color w:val="auto"/>
              </w:rPr>
            </w:pPr>
          </w:p>
        </w:tc>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30, 2019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88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156"/>
        </w:trPr>
        <w:tc>
          <w:tcPr>
            <w:tcW w:w="21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Non-Controlled Affiliates</w:t>
            </w:r>
          </w:p>
        </w:tc>
        <w:tc>
          <w:tcPr>
            <w:tcW w:w="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180" w:type="dxa"/>
            <w:vAlign w:val="bottom"/>
          </w:tcPr>
          <w:p>
            <w:pPr>
              <w:spacing w:after="0" w:line="143" w:lineRule="exact"/>
              <w:rPr>
                <w:sz w:val="20"/>
                <w:szCs w:val="20"/>
                <w:color w:val="auto"/>
              </w:rPr>
            </w:pPr>
            <w:r>
              <w:rPr>
                <w:rFonts w:ascii="Arial" w:cs="Arial" w:eastAsia="Arial" w:hAnsi="Arial"/>
                <w:sz w:val="14"/>
                <w:szCs w:val="14"/>
                <w:color w:val="auto"/>
              </w:rPr>
              <w:t>Country Fresh Holding Company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Arial" w:cs="Arial" w:eastAsia="Arial" w:hAnsi="Arial"/>
                <w:sz w:val="14"/>
                <w:szCs w:val="14"/>
                <w:color w:val="auto"/>
              </w:rPr>
              <w:t>Inc.</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17,195,389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7,528,757</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9"/>
              <w:spacing w:after="0"/>
              <w:rPr>
                <w:sz w:val="20"/>
                <w:szCs w:val="20"/>
                <w:color w:val="auto"/>
              </w:rPr>
            </w:pPr>
            <w:r>
              <w:rPr>
                <w:rFonts w:ascii="Arial" w:cs="Arial" w:eastAsia="Arial" w:hAnsi="Arial"/>
                <w:sz w:val="14"/>
                <w:szCs w:val="14"/>
                <w:color w:val="auto"/>
              </w:rPr>
              <w:t>(7,178,415)</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auto"/>
              </w:rPr>
              <w:t>(3,054,105)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14,491,626</w:t>
            </w:r>
          </w:p>
        </w:tc>
        <w:tc>
          <w:tcPr>
            <w:tcW w:w="18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1,272,869</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127,734</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(7,164,304)</w:t>
            </w:r>
          </w:p>
        </w:tc>
        <w:tc>
          <w:tcPr>
            <w:tcW w:w="0" w:type="dxa"/>
            <w:vAlign w:val="bottom"/>
          </w:tcPr>
          <w:p>
            <w:pPr>
              <w:spacing w:after="0"/>
              <w:rPr>
                <w:sz w:val="1"/>
                <w:szCs w:val="1"/>
                <w:color w:val="auto"/>
              </w:rPr>
            </w:pPr>
          </w:p>
        </w:tc>
      </w:tr>
      <w:tr>
        <w:trPr>
          <w:trHeight w:val="162"/>
        </w:trPr>
        <w:tc>
          <w:tcPr>
            <w:tcW w:w="2180" w:type="dxa"/>
            <w:vAlign w:val="bottom"/>
            <w:shd w:val="clear" w:color="auto" w:fill="CCECFF"/>
          </w:tcPr>
          <w:p>
            <w:pPr>
              <w:spacing w:after="0"/>
              <w:rPr>
                <w:sz w:val="20"/>
                <w:szCs w:val="20"/>
                <w:color w:val="auto"/>
              </w:rPr>
            </w:pPr>
            <w:r>
              <w:rPr>
                <w:rFonts w:ascii="Arial" w:cs="Arial" w:eastAsia="Arial" w:hAnsi="Arial"/>
                <w:sz w:val="14"/>
                <w:szCs w:val="14"/>
                <w:color w:val="auto"/>
              </w:rPr>
              <w:t>Quick Weight Loss Centers, LLC</w:t>
            </w:r>
          </w:p>
        </w:tc>
        <w:tc>
          <w:tcPr>
            <w:tcW w:w="1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7,921,875</w:t>
            </w: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2,016,667</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CFF"/>
          </w:tcPr>
          <w:p>
            <w:pPr>
              <w:jc w:val="right"/>
              <w:ind w:right="19"/>
              <w:spacing w:after="0"/>
              <w:rPr>
                <w:sz w:val="20"/>
                <w:szCs w:val="20"/>
                <w:color w:val="auto"/>
              </w:rPr>
            </w:pPr>
            <w:r>
              <w:rPr>
                <w:rFonts w:ascii="Arial" w:cs="Arial" w:eastAsia="Arial" w:hAnsi="Arial"/>
                <w:sz w:val="14"/>
                <w:szCs w:val="14"/>
                <w:color w:val="auto"/>
              </w:rPr>
              <w:t>(5,692,961)</w:t>
            </w:r>
          </w:p>
        </w:tc>
        <w:tc>
          <w:tcPr>
            <w:tcW w:w="160" w:type="dxa"/>
            <w:vAlign w:val="bottom"/>
            <w:gridSpan w:val="2"/>
            <w:shd w:val="clear" w:color="auto" w:fill="CCECFF"/>
          </w:tcPr>
          <w:p>
            <w:pPr>
              <w:ind w:left="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1,693,358</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5,938,939</w:t>
            </w:r>
          </w:p>
        </w:tc>
        <w:tc>
          <w:tcPr>
            <w:tcW w:w="180" w:type="dxa"/>
            <w:vAlign w:val="bottom"/>
            <w:shd w:val="clear" w:color="auto" w:fill="CCECFF"/>
          </w:tcPr>
          <w:p>
            <w:pPr>
              <w:spacing w:after="0"/>
              <w:rPr>
                <w:sz w:val="14"/>
                <w:szCs w:val="14"/>
                <w:color w:val="auto"/>
              </w:rPr>
            </w:pP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(35,194)</w:t>
            </w:r>
          </w:p>
        </w:tc>
        <w:tc>
          <w:tcPr>
            <w:tcW w:w="1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CFF"/>
          </w:tcPr>
          <w:p>
            <w:pPr>
              <w:jc w:val="right"/>
              <w:ind w:right="39"/>
              <w:spacing w:after="0"/>
              <w:rPr>
                <w:sz w:val="20"/>
                <w:szCs w:val="20"/>
                <w:color w:val="auto"/>
              </w:rPr>
            </w:pPr>
            <w:r>
              <w:rPr>
                <w:rFonts w:ascii="Arial" w:cs="Arial" w:eastAsia="Arial" w:hAnsi="Arial"/>
                <w:sz w:val="14"/>
                <w:szCs w:val="14"/>
                <w:color w:val="auto"/>
              </w:rPr>
              <w:t>(5,457,200)</w:t>
            </w:r>
          </w:p>
        </w:tc>
        <w:tc>
          <w:tcPr>
            <w:tcW w:w="0" w:type="dxa"/>
            <w:vAlign w:val="bottom"/>
          </w:tcPr>
          <w:p>
            <w:pPr>
              <w:spacing w:after="0"/>
              <w:rPr>
                <w:sz w:val="1"/>
                <w:szCs w:val="1"/>
                <w:color w:val="auto"/>
              </w:rPr>
            </w:pPr>
          </w:p>
        </w:tc>
      </w:tr>
      <w:tr>
        <w:trPr>
          <w:trHeight w:val="195"/>
        </w:trPr>
        <w:tc>
          <w:tcPr>
            <w:tcW w:w="21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Total Non-Controlled Affiliates</w:t>
            </w:r>
          </w:p>
        </w:tc>
        <w:tc>
          <w:tcPr>
            <w:tcW w:w="60" w:type="dxa"/>
            <w:vAlign w:val="bottom"/>
            <w:tcBorders>
              <w:bottom w:val="single" w:sz="8" w:color="CCEC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25,117,264</w:t>
            </w:r>
          </w:p>
        </w:tc>
        <w:tc>
          <w:tcPr>
            <w:tcW w:w="160" w:type="dxa"/>
            <w:vAlign w:val="bottom"/>
            <w:tcBorders>
              <w:bottom w:val="single" w:sz="8" w:color="CCEC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9,545,424</w:t>
            </w:r>
          </w:p>
        </w:tc>
        <w:tc>
          <w:tcPr>
            <w:tcW w:w="160" w:type="dxa"/>
            <w:vAlign w:val="bottom"/>
            <w:tcBorders>
              <w:bottom w:val="single" w:sz="8" w:color="CCEC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(12,871,376</w:t>
            </w:r>
          </w:p>
        </w:tc>
        <w:tc>
          <w:tcPr>
            <w:tcW w:w="100" w:type="dxa"/>
            <w:vAlign w:val="bottom"/>
            <w:tcBorders>
              <w:bottom w:val="single" w:sz="8" w:color="CCECFF"/>
            </w:tcBorders>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CEC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(1,360,747</w:t>
            </w:r>
          </w:p>
        </w:tc>
        <w:tc>
          <w:tcPr>
            <w:tcW w:w="160" w:type="dxa"/>
            <w:vAlign w:val="bottom"/>
            <w:tcBorders>
              <w:bottom w:val="single" w:sz="8" w:color="CCECFF"/>
            </w:tcBorders>
          </w:tcPr>
          <w:p>
            <w:pPr>
              <w:jc w:val="right"/>
              <w:ind w:right="2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20,430,565</w:t>
            </w:r>
          </w:p>
        </w:tc>
        <w:tc>
          <w:tcPr>
            <w:tcW w:w="180" w:type="dxa"/>
            <w:vAlign w:val="bottom"/>
            <w:tcBorders>
              <w:bottom w:val="single" w:sz="8" w:color="CCECFF"/>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1,237,675</w:t>
            </w:r>
          </w:p>
        </w:tc>
        <w:tc>
          <w:tcPr>
            <w:tcW w:w="100" w:type="dxa"/>
            <w:vAlign w:val="bottom"/>
            <w:tcBorders>
              <w:bottom w:val="single" w:sz="8" w:color="CCECFF"/>
            </w:tcBorders>
          </w:tcPr>
          <w:p>
            <w:pPr>
              <w:spacing w:after="0"/>
              <w:rPr>
                <w:sz w:val="17"/>
                <w:szCs w:val="17"/>
                <w:color w:val="auto"/>
              </w:rPr>
            </w:pPr>
          </w:p>
        </w:tc>
        <w:tc>
          <w:tcPr>
            <w:tcW w:w="60" w:type="dxa"/>
            <w:vAlign w:val="bottom"/>
            <w:tcBorders>
              <w:bottom w:val="single" w:sz="8" w:color="CCEC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127,734</w:t>
            </w:r>
          </w:p>
        </w:tc>
        <w:tc>
          <w:tcPr>
            <w:tcW w:w="160" w:type="dxa"/>
            <w:vAlign w:val="bottom"/>
            <w:tcBorders>
              <w:bottom w:val="single" w:sz="8" w:color="CCEC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C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(12,621,504</w:t>
            </w:r>
          </w:p>
        </w:tc>
        <w:tc>
          <w:tcPr>
            <w:tcW w:w="120" w:type="dxa"/>
            <w:vAlign w:val="bottom"/>
            <w:tcBorders>
              <w:bottom w:val="single" w:sz="8" w:color="CCECFF"/>
            </w:tcBorders>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3"/>
        </w:trPr>
        <w:tc>
          <w:tcPr>
            <w:tcW w:w="218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Controlled Affiliates</w:t>
            </w:r>
          </w:p>
        </w:tc>
        <w:tc>
          <w:tcPr>
            <w:tcW w:w="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180" w:type="dxa"/>
            <w:vAlign w:val="bottom"/>
          </w:tcPr>
          <w:p>
            <w:pPr>
              <w:spacing w:after="0" w:line="143" w:lineRule="exact"/>
              <w:rPr>
                <w:sz w:val="20"/>
                <w:szCs w:val="20"/>
                <w:color w:val="auto"/>
              </w:rPr>
            </w:pPr>
            <w:r>
              <w:rPr>
                <w:rFonts w:ascii="Arial" w:cs="Arial" w:eastAsia="Arial" w:hAnsi="Arial"/>
                <w:sz w:val="14"/>
                <w:szCs w:val="14"/>
                <w:color w:val="auto"/>
                <w:w w:val="99"/>
              </w:rPr>
              <w:t>PennantPark Senior Secured Loan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80" w:type="dxa"/>
            <w:vAlign w:val="bottom"/>
          </w:tcPr>
          <w:p>
            <w:pPr>
              <w:spacing w:after="0"/>
              <w:rPr>
                <w:sz w:val="20"/>
                <w:szCs w:val="20"/>
                <w:color w:val="auto"/>
              </w:rPr>
            </w:pPr>
            <w:r>
              <w:rPr>
                <w:rFonts w:ascii="Arial" w:cs="Arial" w:eastAsia="Arial" w:hAnsi="Arial"/>
                <w:sz w:val="14"/>
                <w:szCs w:val="14"/>
                <w:color w:val="auto"/>
              </w:rPr>
              <w:t>Fund I LLC *</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5"/>
              </w:rPr>
              <w:t>145,860,229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30,187,500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auto"/>
              </w:rPr>
              <w:t>(3,884,649)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7"/>
              </w:rPr>
              <w:t>172,163,080</w:t>
            </w:r>
          </w:p>
        </w:tc>
        <w:tc>
          <w:tcPr>
            <w:tcW w:w="18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12,464,035</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6,300,000</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18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Total Controlled Affiliates</w:t>
            </w:r>
          </w:p>
        </w:tc>
        <w:tc>
          <w:tcPr>
            <w:tcW w:w="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5"/>
              </w:rPr>
              <w:t>145,860,229</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6"/>
              </w:rPr>
              <w:t>30,187,500</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6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(3,884,649</w:t>
            </w:r>
          </w:p>
        </w:tc>
        <w:tc>
          <w:tcPr>
            <w:tcW w:w="160" w:type="dxa"/>
            <w:vAlign w:val="bottom"/>
            <w:tcBorders>
              <w:top w:val="single" w:sz="8" w:color="CCECFF"/>
              <w:bottom w:val="single" w:sz="8" w:color="CCECFF"/>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7"/>
              </w:rPr>
              <w:t>172,163,080</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6"/>
              </w:rPr>
              <w:t>12,464,035</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6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6,300,000</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50" w:lineRule="exact"/>
        <w:rPr>
          <w:sz w:val="20"/>
          <w:szCs w:val="20"/>
          <w:color w:val="auto"/>
        </w:rPr>
      </w:pPr>
    </w:p>
    <w:p>
      <w:pPr>
        <w:ind w:left="380" w:right="40" w:hanging="372"/>
        <w:spacing w:after="0" w:line="233" w:lineRule="auto"/>
        <w:tabs>
          <w:tab w:leader="none" w:pos="380" w:val="left"/>
        </w:tabs>
        <w:numPr>
          <w:ilvl w:val="0"/>
          <w:numId w:val="64"/>
        </w:numPr>
        <w:rPr>
          <w:rFonts w:ascii="Arial" w:cs="Arial" w:eastAsia="Arial" w:hAnsi="Arial"/>
          <w:sz w:val="12"/>
          <w:szCs w:val="12"/>
          <w:color w:val="auto"/>
        </w:rPr>
      </w:pPr>
      <w:r>
        <w:rPr>
          <w:rFonts w:ascii="Arial" w:cs="Arial" w:eastAsia="Arial" w:hAnsi="Arial"/>
          <w:sz w:val="14"/>
          <w:szCs w:val="14"/>
          <w:color w:val="auto"/>
        </w:rPr>
        <w:t>We and Kemper are the members of PSSL, a joint venture formed as a Delaware limited liability company that is not consolidated by us for financial reporting purposes. The members of PSSL make investments in the PSSL in the form of first lien secured debt and equity interests, and all portfolio and other material decision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Years Ended September 30,</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680" w:type="dxa"/>
            <w:vAlign w:val="bottom"/>
            <w:tcBorders>
              <w:bottom w:val="single" w:sz="8" w:color="CCECFF"/>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0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C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0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r>
      <w:tr>
        <w:trPr>
          <w:trHeight w:val="156"/>
        </w:trPr>
        <w:tc>
          <w:tcPr>
            <w:tcW w:w="5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960" w:type="dxa"/>
            <w:vAlign w:val="bottom"/>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w w:val="88"/>
              </w:rPr>
              <w:t>11,416,106</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33,490,222</w:t>
            </w:r>
          </w:p>
        </w:tc>
        <w:tc>
          <w:tcPr>
            <w:tcW w:w="280" w:type="dxa"/>
            <w:vAlign w:val="bottom"/>
            <w:shd w:val="clear" w:color="auto" w:fill="CCECFF"/>
          </w:tcPr>
          <w:p>
            <w:pPr>
              <w:spacing w:after="0"/>
              <w:rPr>
                <w:sz w:val="13"/>
                <w:szCs w:val="13"/>
                <w:color w:val="auto"/>
              </w:rPr>
            </w:pPr>
          </w:p>
        </w:tc>
        <w:tc>
          <w:tcPr>
            <w:tcW w:w="380" w:type="dxa"/>
            <w:vAlign w:val="bottom"/>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36,325,280</w:t>
            </w:r>
          </w:p>
        </w:tc>
        <w:tc>
          <w:tcPr>
            <w:tcW w:w="120" w:type="dxa"/>
            <w:vAlign w:val="bottom"/>
            <w:shd w:val="clear" w:color="auto" w:fill="CCECFF"/>
          </w:tcPr>
          <w:p>
            <w:pPr>
              <w:spacing w:after="0"/>
              <w:rPr>
                <w:sz w:val="13"/>
                <w:szCs w:val="13"/>
                <w:color w:val="auto"/>
              </w:rPr>
            </w:pPr>
          </w:p>
        </w:tc>
      </w:tr>
      <w:tr>
        <w:trPr>
          <w:trHeight w:val="162"/>
        </w:trPr>
        <w:tc>
          <w:tcPr>
            <w:tcW w:w="568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8"/>
              </w:rPr>
              <w:t>38,772,074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38,299,077</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30,274,595</w:t>
            </w:r>
          </w:p>
        </w:tc>
        <w:tc>
          <w:tcPr>
            <w:tcW w:w="120" w:type="dxa"/>
            <w:vAlign w:val="bottom"/>
          </w:tcPr>
          <w:p>
            <w:pPr>
              <w:spacing w:after="0"/>
              <w:rPr>
                <w:sz w:val="14"/>
                <w:szCs w:val="14"/>
                <w:color w:val="auto"/>
              </w:rPr>
            </w:pPr>
          </w:p>
        </w:tc>
      </w:tr>
      <w:tr>
        <w:trPr>
          <w:trHeight w:val="162"/>
        </w:trPr>
        <w:tc>
          <w:tcPr>
            <w:tcW w:w="568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960" w:type="dxa"/>
            <w:vAlign w:val="bottom"/>
            <w:shd w:val="clear" w:color="auto" w:fill="CCECFF"/>
          </w:tcPr>
          <w:p>
            <w:pPr>
              <w:jc w:val="right"/>
              <w:ind w:right="80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0.29</w:t>
            </w:r>
          </w:p>
        </w:tc>
        <w:tc>
          <w:tcPr>
            <w:tcW w:w="64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0.87</w:t>
            </w:r>
          </w:p>
        </w:tc>
        <w:tc>
          <w:tcPr>
            <w:tcW w:w="280" w:type="dxa"/>
            <w:vAlign w:val="bottom"/>
            <w:shd w:val="clear" w:color="auto" w:fill="CCECFF"/>
          </w:tcPr>
          <w:p>
            <w:pPr>
              <w:spacing w:after="0"/>
              <w:rPr>
                <w:sz w:val="14"/>
                <w:szCs w:val="14"/>
                <w:color w:val="auto"/>
              </w:rPr>
            </w:pPr>
          </w:p>
        </w:tc>
        <w:tc>
          <w:tcPr>
            <w:tcW w:w="380" w:type="dxa"/>
            <w:vAlign w:val="bottom"/>
            <w:shd w:val="clear" w:color="auto" w:fill="CCEC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140"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September 30, 2019 and 2018, the cost of investments for federal income tax purposes approximates amortized cost reported in the Consolidated Schedule of Investments.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amounts were reclassified for tax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r>
      <w:tr>
        <w:trPr>
          <w:trHeight w:val="155"/>
        </w:trPr>
        <w:tc>
          <w:tcPr>
            <w:tcW w:w="66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Decrease in paid-in capital</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(829,509)</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(256,194)</w:t>
            </w:r>
          </w:p>
        </w:tc>
        <w:tc>
          <w:tcPr>
            <w:tcW w:w="100" w:type="dxa"/>
            <w:vAlign w:val="bottom"/>
            <w:shd w:val="clear" w:color="auto" w:fill="CCECFF"/>
          </w:tcPr>
          <w:p>
            <w:pPr>
              <w:spacing w:after="0"/>
              <w:rPr>
                <w:sz w:val="13"/>
                <w:szCs w:val="13"/>
                <w:color w:val="auto"/>
              </w:rPr>
            </w:pP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(Decrease) increase in accumulated net realized loss</w:t>
            </w: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(240,568)</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(106,509)</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255,274</w:t>
            </w:r>
          </w:p>
        </w:tc>
        <w:tc>
          <w:tcPr>
            <w:tcW w:w="100" w:type="dxa"/>
            <w:vAlign w:val="bottom"/>
          </w:tcPr>
          <w:p>
            <w:pPr>
              <w:spacing w:after="0"/>
              <w:rPr>
                <w:sz w:val="14"/>
                <w:szCs w:val="14"/>
                <w:color w:val="auto"/>
              </w:rPr>
            </w:pPr>
          </w:p>
        </w:tc>
      </w:tr>
      <w:tr>
        <w:trPr>
          <w:trHeight w:val="162"/>
        </w:trPr>
        <w:tc>
          <w:tcPr>
            <w:tcW w:w="6660" w:type="dxa"/>
            <w:vAlign w:val="bottom"/>
            <w:shd w:val="clear" w:color="auto" w:fill="CCECFF"/>
          </w:tcPr>
          <w:p>
            <w:pPr>
              <w:spacing w:after="0"/>
              <w:rPr>
                <w:sz w:val="20"/>
                <w:szCs w:val="20"/>
                <w:color w:val="auto"/>
              </w:rPr>
            </w:pPr>
            <w:r>
              <w:rPr>
                <w:rFonts w:ascii="Arial" w:cs="Arial" w:eastAsia="Arial" w:hAnsi="Arial"/>
                <w:sz w:val="14"/>
                <w:szCs w:val="14"/>
                <w:color w:val="auto"/>
              </w:rPr>
              <w:t>Increase in undistributed net investment income</w:t>
            </w: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1,070,077</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106,509</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CFF"/>
          </w:tcPr>
          <w:p>
            <w:pPr>
              <w:spacing w:after="0"/>
              <w:rPr>
                <w:sz w:val="14"/>
                <w:szCs w:val="14"/>
                <w:color w:val="auto"/>
              </w:rPr>
            </w:pPr>
          </w:p>
        </w:tc>
      </w:tr>
      <w:tr>
        <w:trPr>
          <w:trHeight w:val="312"/>
        </w:trPr>
        <w:tc>
          <w:tcPr>
            <w:tcW w:w="6660" w:type="dxa"/>
            <w:vAlign w:val="bottom"/>
          </w:tcPr>
          <w:p>
            <w:pPr>
              <w:ind w:left="440"/>
              <w:spacing w:after="0"/>
              <w:rPr>
                <w:sz w:val="20"/>
                <w:szCs w:val="20"/>
                <w:color w:val="auto"/>
              </w:rPr>
            </w:pPr>
            <w:r>
              <w:rPr>
                <w:rFonts w:ascii="Arial" w:cs="Arial" w:eastAsia="Arial" w:hAnsi="Arial"/>
                <w:sz w:val="14"/>
                <w:szCs w:val="14"/>
                <w:color w:val="auto"/>
              </w:rPr>
              <w:t>The following reconciles net increase in net assets resulting from operations to taxable income: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CECFF"/>
            </w:tcBorders>
          </w:tcPr>
          <w:p>
            <w:pPr>
              <w:spacing w:after="0"/>
              <w:rPr>
                <w:sz w:val="13"/>
                <w:szCs w:val="13"/>
                <w:color w:val="auto"/>
              </w:rPr>
            </w:pPr>
          </w:p>
        </w:tc>
        <w:tc>
          <w:tcPr>
            <w:tcW w:w="16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Net increase in net assets resulting from operations</w:t>
            </w:r>
          </w:p>
        </w:tc>
        <w:tc>
          <w:tcPr>
            <w:tcW w:w="166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11,416,106</w:t>
            </w: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33,490,222</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36,325,280</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Net realized loss (gain) on investments</w:t>
            </w: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31,423,869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2,327,118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(5,410,903)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 investments and debt</w:t>
            </w:r>
          </w:p>
        </w:tc>
        <w:tc>
          <w:tcPr>
            <w:tcW w:w="16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2,621,833</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(4,853,251)</w:t>
            </w: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2,530,986</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Other book-to-tax differences</w:t>
            </w: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(3,080,010)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8,448,942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956,942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CECFF"/>
          </w:tcPr>
          <w:p>
            <w:pPr>
              <w:spacing w:after="0"/>
              <w:rPr>
                <w:sz w:val="20"/>
                <w:szCs w:val="20"/>
                <w:color w:val="auto"/>
              </w:rPr>
            </w:pPr>
            <w:r>
              <w:rPr>
                <w:rFonts w:ascii="Arial" w:cs="Arial" w:eastAsia="Arial" w:hAnsi="Arial"/>
                <w:sz w:val="14"/>
                <w:szCs w:val="14"/>
                <w:color w:val="auto"/>
              </w:rPr>
              <w:t>Other non-deductible expenses</w:t>
            </w:r>
          </w:p>
        </w:tc>
        <w:tc>
          <w:tcPr>
            <w:tcW w:w="16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271,170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804,113</w:t>
            </w:r>
          </w:p>
        </w:tc>
        <w:tc>
          <w:tcPr>
            <w:tcW w:w="24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line="155" w:lineRule="exact"/>
              <w:rPr>
                <w:sz w:val="20"/>
                <w:szCs w:val="20"/>
                <w:color w:val="auto"/>
              </w:rPr>
            </w:pPr>
            <w:r>
              <w:rPr>
                <w:rFonts w:ascii="Arial" w:cs="Arial" w:eastAsia="Arial" w:hAnsi="Arial"/>
                <w:sz w:val="14"/>
                <w:szCs w:val="14"/>
                <w:color w:val="auto"/>
              </w:rPr>
              <w:t>Taxable income before dividends paid deduction</w:t>
            </w:r>
          </w:p>
        </w:tc>
        <w:tc>
          <w:tcPr>
            <w:tcW w:w="16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42,652,968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40,217,144</w:t>
            </w:r>
          </w:p>
        </w:tc>
        <w:tc>
          <w:tcPr>
            <w:tcW w:w="2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34,702,305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60" w:type="dxa"/>
            <w:vAlign w:val="bottom"/>
            <w:vMerge w:val="restart"/>
          </w:tcPr>
          <w:p>
            <w:pPr>
              <w:jc w:val="right"/>
              <w:ind w:right="888"/>
              <w:spacing w:after="0"/>
              <w:rPr>
                <w:sz w:val="20"/>
                <w:szCs w:val="20"/>
                <w:color w:val="auto"/>
              </w:rPr>
            </w:pPr>
            <w:r>
              <w:rPr>
                <w:rFonts w:ascii="Arial" w:cs="Arial" w:eastAsia="Arial" w:hAnsi="Arial"/>
                <w:sz w:val="14"/>
                <w:szCs w:val="14"/>
                <w:color w:val="auto"/>
              </w:rPr>
              <w:t>74</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50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0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6" w:name="page77"/>
    <w:bookmarkEnd w:id="7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20" w:type="dxa"/>
            <w:vAlign w:val="bottom"/>
            <w:gridSpan w:val="7"/>
          </w:tcPr>
          <w:p>
            <w:pPr>
              <w:ind w:left="440"/>
              <w:spacing w:after="0"/>
              <w:rPr>
                <w:sz w:val="20"/>
                <w:szCs w:val="20"/>
                <w:color w:val="auto"/>
              </w:rPr>
            </w:pPr>
            <w:r>
              <w:rPr>
                <w:rFonts w:ascii="Arial" w:cs="Arial" w:eastAsia="Arial" w:hAnsi="Arial"/>
                <w:sz w:val="14"/>
                <w:szCs w:val="14"/>
                <w:color w:val="auto"/>
                <w:w w:val="95"/>
              </w:rPr>
              <w:t>The components of undistributed taxable income on a tax basis and reconciliation to accumulated surplus on a book basis are as follows:</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5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3"/>
              </w:rPr>
              <w:t>As of September 30,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360" w:type="dxa"/>
            <w:vAlign w:val="bottom"/>
            <w:tcBorders>
              <w:bottom w:val="single" w:sz="8" w:color="CCECFF"/>
            </w:tcBorders>
          </w:tcPr>
          <w:p>
            <w:pPr>
              <w:spacing w:after="0"/>
              <w:rPr>
                <w:sz w:val="13"/>
                <w:szCs w:val="13"/>
                <w:color w:val="auto"/>
              </w:rPr>
            </w:pPr>
          </w:p>
        </w:tc>
        <w:tc>
          <w:tcPr>
            <w:tcW w:w="13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Undistributed ordinary income – tax basis</w:t>
            </w:r>
          </w:p>
        </w:tc>
        <w:tc>
          <w:tcPr>
            <w:tcW w:w="13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12,118,162</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12,020,827</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13,882,332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20"/>
                <w:szCs w:val="20"/>
                <w:color w:val="auto"/>
              </w:rPr>
            </w:pPr>
            <w:r>
              <w:rPr>
                <w:rFonts w:ascii="Arial" w:cs="Arial" w:eastAsia="Arial" w:hAnsi="Arial"/>
                <w:sz w:val="14"/>
                <w:szCs w:val="14"/>
                <w:color w:val="auto"/>
              </w:rPr>
              <w:t>(Realized loss carried forward)/Undistributed long-term capital gain</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(34,695,983)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(2,381,225)</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808,615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CECFF"/>
          </w:tcPr>
          <w:p>
            <w:pPr>
              <w:spacing w:after="0"/>
              <w:rPr>
                <w:sz w:val="20"/>
                <w:szCs w:val="20"/>
                <w:color w:val="auto"/>
              </w:rPr>
            </w:pPr>
            <w:r>
              <w:rPr>
                <w:rFonts w:ascii="Arial" w:cs="Arial" w:eastAsia="Arial" w:hAnsi="Arial"/>
                <w:sz w:val="14"/>
                <w:szCs w:val="14"/>
                <w:color w:val="auto"/>
              </w:rPr>
              <w:t>Distributions payable and other book to tax differences</w:t>
            </w:r>
          </w:p>
        </w:tc>
        <w:tc>
          <w:tcPr>
            <w:tcW w:w="13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(14,239,573)</w:t>
            </w:r>
          </w:p>
        </w:tc>
        <w:tc>
          <w:tcPr>
            <w:tcW w:w="1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(17,124,281)</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(7,237,913)</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20"/>
                <w:szCs w:val="20"/>
                <w:color w:val="auto"/>
              </w:rPr>
            </w:pPr>
            <w:r>
              <w:rPr>
                <w:rFonts w:ascii="Arial" w:cs="Arial" w:eastAsia="Arial" w:hAnsi="Arial"/>
                <w:sz w:val="14"/>
                <w:szCs w:val="14"/>
                <w:color w:val="auto"/>
              </w:rPr>
              <w:t>Net unrealized appreciation (depreciation) of investments and debt</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1,203,305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3,825,139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(1,028,112)</w:t>
            </w:r>
          </w:p>
        </w:tc>
        <w:tc>
          <w:tcPr>
            <w:tcW w:w="0" w:type="dxa"/>
            <w:vAlign w:val="bottom"/>
          </w:tcPr>
          <w:p>
            <w:pPr>
              <w:spacing w:after="0"/>
              <w:rPr>
                <w:sz w:val="1"/>
                <w:szCs w:val="1"/>
                <w:color w:val="auto"/>
              </w:rPr>
            </w:pPr>
          </w:p>
        </w:tc>
      </w:tr>
      <w:tr>
        <w:trPr>
          <w:trHeight w:val="156"/>
        </w:trPr>
        <w:tc>
          <w:tcPr>
            <w:tcW w:w="53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accumulated (deficit) surplus – book basis</w:t>
            </w:r>
          </w:p>
        </w:tc>
        <w:tc>
          <w:tcPr>
            <w:tcW w:w="130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(35,614,089)</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(3,659,540)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6,424,922</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440"/>
              <w:spacing w:after="0"/>
              <w:rPr>
                <w:sz w:val="20"/>
                <w:szCs w:val="20"/>
                <w:color w:val="auto"/>
              </w:rPr>
            </w:pPr>
            <w:r>
              <w:rPr>
                <w:rFonts w:ascii="Arial" w:cs="Arial" w:eastAsia="Arial" w:hAnsi="Arial"/>
                <w:sz w:val="14"/>
                <w:szCs w:val="14"/>
                <w:color w:val="auto"/>
              </w:rPr>
              <w:t>The tax characteristics of distributions declared are as follows:</w:t>
            </w: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53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Years Ended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Borders>
              <w:bottom w:val="single" w:sz="8" w:color="CCECFF"/>
            </w:tcBorders>
          </w:tcPr>
          <w:p>
            <w:pPr>
              <w:spacing w:after="0"/>
              <w:rPr>
                <w:sz w:val="13"/>
                <w:szCs w:val="13"/>
                <w:color w:val="auto"/>
              </w:rPr>
            </w:pPr>
          </w:p>
        </w:tc>
        <w:tc>
          <w:tcPr>
            <w:tcW w:w="152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Ordinary income (including short-term gains, if any)</w:t>
            </w:r>
          </w:p>
        </w:tc>
        <w:tc>
          <w:tcPr>
            <w:tcW w:w="152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44,200,163</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42,766,069</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34,842,284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20"/>
                <w:szCs w:val="20"/>
                <w:color w:val="auto"/>
              </w:rPr>
            </w:pPr>
            <w:r>
              <w:rPr>
                <w:rFonts w:ascii="Arial" w:cs="Arial" w:eastAsia="Arial" w:hAnsi="Arial"/>
                <w:sz w:val="14"/>
                <w:szCs w:val="14"/>
                <w:color w:val="auto"/>
              </w:rPr>
              <w:t>Long-term capital gain</w:t>
            </w: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808,615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1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w:t>
            </w:r>
          </w:p>
        </w:tc>
        <w:tc>
          <w:tcPr>
            <w:tcW w:w="152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44,200,163</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43,574,684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34,842,284</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4"/>
                <w:szCs w:val="14"/>
                <w:color w:val="auto"/>
              </w:rPr>
              <w:t>Total distributions per share based on weighted average shares</w:t>
            </w:r>
          </w:p>
        </w:tc>
        <w:tc>
          <w:tcPr>
            <w:tcW w:w="18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4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1.14</w:t>
            </w:r>
          </w:p>
        </w:tc>
        <w:tc>
          <w:tcPr>
            <w:tcW w:w="2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1.14</w:t>
            </w:r>
          </w:p>
        </w:tc>
        <w:tc>
          <w:tcPr>
            <w:tcW w:w="2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AND CASH EQUIVALENTS</w:t>
      </w:r>
    </w:p>
    <w:p>
      <w:pPr>
        <w:spacing w:after="0" w:line="140"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2019 and 2018, cash and cash equivalents consisted of money market funds in the amounts of $63.3 million and $72.2 million at fair value,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FINANCIAL HIGHLIGHTS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are the financial highlights for the years ended September 30: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20"/>
                <w:szCs w:val="20"/>
                <w:color w:val="auto"/>
              </w:rPr>
            </w:pPr>
            <w:r>
              <w:rPr>
                <w:rFonts w:ascii="Arial" w:cs="Arial" w:eastAsia="Arial" w:hAnsi="Arial"/>
                <w:sz w:val="14"/>
                <w:szCs w:val="14"/>
                <w:color w:val="auto"/>
              </w:rPr>
              <w:t>Net asset value, beginning of year</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13.82</w:t>
            </w:r>
          </w:p>
        </w:tc>
        <w:tc>
          <w:tcPr>
            <w:tcW w:w="32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14.10</w:t>
            </w:r>
          </w:p>
        </w:tc>
        <w:tc>
          <w:tcPr>
            <w:tcW w:w="32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14.06</w:t>
            </w:r>
          </w:p>
        </w:tc>
        <w:tc>
          <w:tcPr>
            <w:tcW w:w="28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13.95</w:t>
            </w:r>
          </w:p>
        </w:tc>
        <w:tc>
          <w:tcPr>
            <w:tcW w:w="26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14.40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1.17</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0.81</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(loss) gain </w:t>
            </w:r>
            <w:r>
              <w:rPr>
                <w:rFonts w:ascii="Arial" w:cs="Arial" w:eastAsia="Arial" w:hAnsi="Arial"/>
                <w:sz w:val="12"/>
                <w:szCs w:val="12"/>
                <w:color w:val="auto"/>
              </w:rPr>
              <w:t>(1)</w:t>
            </w:r>
          </w:p>
        </w:tc>
        <w:tc>
          <w:tcPr>
            <w:tcW w:w="24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(0.88)</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0.06</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55"/>
        </w:trPr>
        <w:tc>
          <w:tcPr>
            <w:tcW w:w="40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0.29</w:t>
            </w:r>
          </w:p>
        </w:tc>
        <w:tc>
          <w:tcPr>
            <w:tcW w:w="3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0.87</w:t>
            </w:r>
          </w:p>
        </w:tc>
        <w:tc>
          <w:tcPr>
            <w:tcW w:w="3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0.77</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shd w:val="clear" w:color="auto" w:fill="CCECFF"/>
          </w:tcPr>
          <w:p>
            <w:pPr>
              <w:ind w:left="80"/>
              <w:spacing w:after="0"/>
              <w:rPr>
                <w:sz w:val="20"/>
                <w:szCs w:val="20"/>
                <w:color w:val="auto"/>
              </w:rPr>
            </w:pPr>
            <w:r>
              <w:rPr>
                <w:rFonts w:ascii="Arial" w:cs="Arial" w:eastAsia="Arial" w:hAnsi="Arial"/>
                <w:sz w:val="14"/>
                <w:szCs w:val="14"/>
                <w:color w:val="auto"/>
              </w:rPr>
              <w:t>Distribution of net investment income</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(1.14)</w:t>
            </w:r>
          </w:p>
        </w:tc>
        <w:tc>
          <w:tcPr>
            <w:tcW w:w="2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(1.03)</w:t>
            </w:r>
          </w:p>
        </w:tc>
        <w:tc>
          <w:tcPr>
            <w:tcW w:w="26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(1.15)</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(1.13)</w:t>
            </w:r>
          </w:p>
        </w:tc>
        <w:tc>
          <w:tcPr>
            <w:tcW w:w="26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162"/>
        </w:trPr>
        <w:tc>
          <w:tcPr>
            <w:tcW w:w="4060" w:type="dxa"/>
            <w:vAlign w:val="bottom"/>
          </w:tcPr>
          <w:p>
            <w:pPr>
              <w:ind w:left="80"/>
              <w:spacing w:after="0"/>
              <w:rPr>
                <w:sz w:val="20"/>
                <w:szCs w:val="20"/>
                <w:color w:val="auto"/>
              </w:rPr>
            </w:pPr>
            <w:r>
              <w:rPr>
                <w:rFonts w:ascii="Arial" w:cs="Arial" w:eastAsia="Arial" w:hAnsi="Arial"/>
                <w:sz w:val="14"/>
                <w:szCs w:val="14"/>
                <w:color w:val="auto"/>
              </w:rPr>
              <w:t>Distribution of realized gains</w:t>
            </w:r>
          </w:p>
        </w:tc>
        <w:tc>
          <w:tcPr>
            <w:tcW w:w="2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(0.11)</w:t>
            </w:r>
          </w:p>
        </w:tc>
        <w:tc>
          <w:tcPr>
            <w:tcW w:w="26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(0.01)</w:t>
            </w:r>
          </w:p>
        </w:tc>
        <w:tc>
          <w:tcPr>
            <w:tcW w:w="2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55"/>
        </w:trPr>
        <w:tc>
          <w:tcPr>
            <w:tcW w:w="40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 to stockholders</w:t>
            </w: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w:t>
            </w:r>
          </w:p>
        </w:tc>
        <w:tc>
          <w:tcPr>
            <w:tcW w:w="3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w:t>
            </w:r>
          </w:p>
        </w:tc>
        <w:tc>
          <w:tcPr>
            <w:tcW w:w="3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w:t>
            </w:r>
          </w:p>
        </w:tc>
        <w:tc>
          <w:tcPr>
            <w:tcW w:w="28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60" w:type="dxa"/>
            <w:vAlign w:val="bottom"/>
          </w:tcPr>
          <w:p>
            <w:pPr>
              <w:spacing w:after="0" w:line="157" w:lineRule="exact"/>
              <w:rPr>
                <w:sz w:val="20"/>
                <w:szCs w:val="20"/>
                <w:color w:val="auto"/>
              </w:rPr>
            </w:pPr>
            <w:r>
              <w:rPr>
                <w:rFonts w:ascii="Arial" w:cs="Arial" w:eastAsia="Arial" w:hAnsi="Arial"/>
                <w:sz w:val="14"/>
                <w:szCs w:val="14"/>
                <w:color w:val="auto"/>
              </w:rPr>
              <w:t>(Dilutive) effect of common stock issuance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60" w:type="dxa"/>
            <w:vAlign w:val="bottom"/>
          </w:tcPr>
          <w:p>
            <w:pPr>
              <w:ind w:left="140"/>
              <w:spacing w:after="0"/>
              <w:rPr>
                <w:sz w:val="20"/>
                <w:szCs w:val="20"/>
                <w:color w:val="auto"/>
              </w:rPr>
            </w:pPr>
            <w:r>
              <w:rPr>
                <w:rFonts w:ascii="Arial" w:cs="Arial" w:eastAsia="Arial" w:hAnsi="Arial"/>
                <w:sz w:val="14"/>
                <w:szCs w:val="14"/>
                <w:color w:val="auto"/>
              </w:rPr>
              <w:t xml:space="preserve">and acquisition of MCG </w:t>
            </w:r>
            <w:r>
              <w:rPr>
                <w:rFonts w:ascii="Arial" w:cs="Arial" w:eastAsia="Arial" w:hAnsi="Arial"/>
                <w:sz w:val="12"/>
                <w:szCs w:val="12"/>
                <w:color w:val="auto"/>
              </w:rPr>
              <w:t>(1)</w:t>
            </w:r>
          </w:p>
        </w:tc>
        <w:tc>
          <w:tcPr>
            <w:tcW w:w="2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(0.01)</w:t>
            </w:r>
          </w:p>
        </w:tc>
        <w:tc>
          <w:tcPr>
            <w:tcW w:w="2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(0.01)</w:t>
            </w:r>
          </w:p>
        </w:tc>
        <w:tc>
          <w:tcPr>
            <w:tcW w:w="2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56"/>
        </w:trPr>
        <w:tc>
          <w:tcPr>
            <w:tcW w:w="40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year</w:t>
            </w: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12.97</w:t>
            </w:r>
          </w:p>
        </w:tc>
        <w:tc>
          <w:tcPr>
            <w:tcW w:w="32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13.82</w:t>
            </w:r>
          </w:p>
        </w:tc>
        <w:tc>
          <w:tcPr>
            <w:tcW w:w="32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14.10</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14.06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13.95</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4"/>
                <w:szCs w:val="14"/>
                <w:color w:val="auto"/>
              </w:rPr>
              <w:t>Per share market value, end of year</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tcBorders>
              <w:bottom w:val="single" w:sz="8" w:color="CCECFF"/>
            </w:tcBorders>
            <w:vMerge w:val="continue"/>
          </w:tcPr>
          <w:p>
            <w:pPr>
              <w:spacing w:after="0"/>
              <w:rPr>
                <w:sz w:val="15"/>
                <w:szCs w:val="15"/>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11.60</w:t>
            </w:r>
          </w:p>
        </w:tc>
        <w:tc>
          <w:tcPr>
            <w:tcW w:w="320" w:type="dxa"/>
            <w:vAlign w:val="bottom"/>
            <w:tcBorders>
              <w:bottom w:val="single" w:sz="8" w:color="CCEC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13.15</w:t>
            </w:r>
          </w:p>
        </w:tc>
        <w:tc>
          <w:tcPr>
            <w:tcW w:w="320" w:type="dxa"/>
            <w:vAlign w:val="bottom"/>
            <w:tcBorders>
              <w:bottom w:val="single" w:sz="8" w:color="CCEC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14.48</w:t>
            </w:r>
          </w:p>
        </w:tc>
        <w:tc>
          <w:tcPr>
            <w:tcW w:w="28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13.23</w:t>
            </w:r>
          </w:p>
        </w:tc>
        <w:tc>
          <w:tcPr>
            <w:tcW w:w="260" w:type="dxa"/>
            <w:vAlign w:val="bottom"/>
            <w:tcBorders>
              <w:bottom w:val="single" w:sz="8" w:color="CCEC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11.94</w:t>
            </w:r>
          </w:p>
        </w:tc>
        <w:tc>
          <w:tcPr>
            <w:tcW w:w="18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06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240" w:type="dxa"/>
            <w:vAlign w:val="bottom"/>
            <w:shd w:val="clear" w:color="auto" w:fill="CCECFF"/>
          </w:tcPr>
          <w:p>
            <w:pPr>
              <w:spacing w:after="0"/>
              <w:rPr>
                <w:sz w:val="12"/>
                <w:szCs w:val="12"/>
                <w:color w:val="auto"/>
              </w:rPr>
            </w:pPr>
          </w:p>
        </w:tc>
        <w:tc>
          <w:tcPr>
            <w:tcW w:w="1240" w:type="dxa"/>
            <w:vAlign w:val="bottom"/>
            <w:gridSpan w:val="2"/>
            <w:shd w:val="clear" w:color="auto" w:fill="CCECFF"/>
          </w:tcPr>
          <w:p>
            <w:pPr>
              <w:jc w:val="right"/>
              <w:ind w:right="160"/>
              <w:spacing w:after="0" w:line="143" w:lineRule="exact"/>
              <w:rPr>
                <w:sz w:val="20"/>
                <w:szCs w:val="20"/>
                <w:color w:val="auto"/>
              </w:rPr>
            </w:pPr>
            <w:r>
              <w:rPr>
                <w:rFonts w:ascii="Arial" w:cs="Arial" w:eastAsia="Arial" w:hAnsi="Arial"/>
                <w:sz w:val="14"/>
                <w:szCs w:val="14"/>
                <w:color w:val="auto"/>
              </w:rPr>
              <w:t>(3.20)%</w:t>
            </w:r>
          </w:p>
        </w:tc>
        <w:tc>
          <w:tcPr>
            <w:tcW w:w="260" w:type="dxa"/>
            <w:vAlign w:val="bottom"/>
            <w:shd w:val="clear" w:color="auto" w:fill="CCECFF"/>
          </w:tcPr>
          <w:p>
            <w:pPr>
              <w:spacing w:after="0"/>
              <w:rPr>
                <w:sz w:val="12"/>
                <w:szCs w:val="12"/>
                <w:color w:val="auto"/>
              </w:rPr>
            </w:pPr>
          </w:p>
        </w:tc>
        <w:tc>
          <w:tcPr>
            <w:tcW w:w="1220" w:type="dxa"/>
            <w:vAlign w:val="bottom"/>
            <w:gridSpan w:val="2"/>
            <w:shd w:val="clear" w:color="auto" w:fill="CCECFF"/>
          </w:tcPr>
          <w:p>
            <w:pPr>
              <w:jc w:val="right"/>
              <w:ind w:right="140"/>
              <w:spacing w:after="0" w:line="143" w:lineRule="exact"/>
              <w:rPr>
                <w:sz w:val="20"/>
                <w:szCs w:val="20"/>
                <w:color w:val="auto"/>
              </w:rPr>
            </w:pPr>
            <w:r>
              <w:rPr>
                <w:rFonts w:ascii="Arial" w:cs="Arial" w:eastAsia="Arial" w:hAnsi="Arial"/>
                <w:sz w:val="14"/>
                <w:szCs w:val="14"/>
                <w:color w:val="auto"/>
              </w:rPr>
              <w:t>(1.29)%</w:t>
            </w:r>
          </w:p>
        </w:tc>
        <w:tc>
          <w:tcPr>
            <w:tcW w:w="260" w:type="dxa"/>
            <w:vAlign w:val="bottom"/>
            <w:shd w:val="clear" w:color="auto" w:fill="CCECFF"/>
          </w:tcPr>
          <w:p>
            <w:pPr>
              <w:spacing w:after="0"/>
              <w:rPr>
                <w:sz w:val="12"/>
                <w:szCs w:val="12"/>
                <w:color w:val="auto"/>
              </w:rPr>
            </w:pPr>
          </w:p>
        </w:tc>
        <w:tc>
          <w:tcPr>
            <w:tcW w:w="1180" w:type="dxa"/>
            <w:vAlign w:val="bottom"/>
            <w:gridSpan w:val="2"/>
            <w:shd w:val="clear" w:color="auto" w:fill="CCECFF"/>
          </w:tcPr>
          <w:p>
            <w:pPr>
              <w:jc w:val="right"/>
              <w:ind w:right="160"/>
              <w:spacing w:after="0" w:line="143" w:lineRule="exact"/>
              <w:rPr>
                <w:sz w:val="20"/>
                <w:szCs w:val="20"/>
                <w:color w:val="auto"/>
              </w:rPr>
            </w:pPr>
            <w:r>
              <w:rPr>
                <w:rFonts w:ascii="Arial" w:cs="Arial" w:eastAsia="Arial" w:hAnsi="Arial"/>
                <w:sz w:val="14"/>
                <w:szCs w:val="14"/>
                <w:color w:val="auto"/>
              </w:rPr>
              <w:t>18.71%</w:t>
            </w:r>
          </w:p>
        </w:tc>
        <w:tc>
          <w:tcPr>
            <w:tcW w:w="240" w:type="dxa"/>
            <w:vAlign w:val="bottom"/>
            <w:shd w:val="clear" w:color="auto" w:fill="CCECFF"/>
          </w:tcPr>
          <w:p>
            <w:pPr>
              <w:spacing w:after="0"/>
              <w:rPr>
                <w:sz w:val="12"/>
                <w:szCs w:val="12"/>
                <w:color w:val="auto"/>
              </w:rPr>
            </w:pPr>
          </w:p>
        </w:tc>
        <w:tc>
          <w:tcPr>
            <w:tcW w:w="1180" w:type="dxa"/>
            <w:vAlign w:val="bottom"/>
            <w:gridSpan w:val="2"/>
            <w:shd w:val="clear" w:color="auto" w:fill="CCECFF"/>
          </w:tcPr>
          <w:p>
            <w:pPr>
              <w:jc w:val="right"/>
              <w:ind w:right="140"/>
              <w:spacing w:after="0" w:line="143" w:lineRule="exact"/>
              <w:rPr>
                <w:sz w:val="20"/>
                <w:szCs w:val="20"/>
                <w:color w:val="auto"/>
              </w:rPr>
            </w:pPr>
            <w:r>
              <w:rPr>
                <w:rFonts w:ascii="Arial" w:cs="Arial" w:eastAsia="Arial" w:hAnsi="Arial"/>
                <w:sz w:val="14"/>
                <w:szCs w:val="14"/>
                <w:color w:val="auto"/>
              </w:rPr>
              <w:t>21.77%</w:t>
            </w:r>
          </w:p>
        </w:tc>
        <w:tc>
          <w:tcPr>
            <w:tcW w:w="260" w:type="dxa"/>
            <w:vAlign w:val="bottom"/>
            <w:shd w:val="clear" w:color="auto" w:fill="CCECFF"/>
          </w:tcPr>
          <w:p>
            <w:pPr>
              <w:spacing w:after="0"/>
              <w:rPr>
                <w:sz w:val="12"/>
                <w:szCs w:val="12"/>
                <w:color w:val="auto"/>
              </w:rPr>
            </w:pPr>
          </w:p>
        </w:tc>
        <w:tc>
          <w:tcPr>
            <w:tcW w:w="110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62"/>
        </w:trPr>
        <w:tc>
          <w:tcPr>
            <w:tcW w:w="40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year</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3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3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32,480,074</w:t>
            </w:r>
          </w:p>
        </w:tc>
        <w:tc>
          <w:tcPr>
            <w:tcW w:w="28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26,730,074</w:t>
            </w:r>
          </w:p>
        </w:tc>
        <w:tc>
          <w:tcPr>
            <w:tcW w:w="2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26,730,074</w:t>
            </w:r>
          </w:p>
        </w:tc>
        <w:tc>
          <w:tcPr>
            <w:tcW w:w="18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Ratios / Supplemental Data:</w:t>
            </w: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24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8.28%</w:t>
            </w:r>
          </w:p>
        </w:tc>
        <w:tc>
          <w:tcPr>
            <w:tcW w:w="2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3.01%</w:t>
            </w:r>
          </w:p>
        </w:tc>
        <w:tc>
          <w:tcPr>
            <w:tcW w:w="26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4.13%</w:t>
            </w:r>
          </w:p>
        </w:tc>
        <w:tc>
          <w:tcPr>
            <w:tcW w:w="24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3.56%</w:t>
            </w:r>
          </w:p>
        </w:tc>
        <w:tc>
          <w:tcPr>
            <w:tcW w:w="2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62"/>
        </w:trPr>
        <w:tc>
          <w:tcPr>
            <w:tcW w:w="4060" w:type="dxa"/>
            <w:vAlign w:val="bottom"/>
            <w:shd w:val="clear" w:color="auto" w:fill="CCECFF"/>
          </w:tcPr>
          <w:p>
            <w:pPr>
              <w:spacing w:after="0"/>
              <w:rPr>
                <w:sz w:val="20"/>
                <w:szCs w:val="20"/>
                <w:color w:val="auto"/>
              </w:rPr>
            </w:pPr>
            <w:r>
              <w:rPr>
                <w:rFonts w:ascii="Arial" w:cs="Arial" w:eastAsia="Arial" w:hAnsi="Arial"/>
                <w:sz w:val="14"/>
                <w:szCs w:val="14"/>
                <w:color w:val="auto"/>
              </w:rPr>
              <w:t>Ratio of debt related expenses to average net assets</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0.87%</w:t>
            </w:r>
          </w:p>
        </w:tc>
        <w:tc>
          <w:tcPr>
            <w:tcW w:w="2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4.73%</w:t>
            </w:r>
          </w:p>
        </w:tc>
        <w:tc>
          <w:tcPr>
            <w:tcW w:w="26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1.98%</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1.58%</w:t>
            </w:r>
          </w:p>
        </w:tc>
        <w:tc>
          <w:tcPr>
            <w:tcW w:w="26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4"/>
                <w:szCs w:val="14"/>
                <w:color w:val="auto"/>
              </w:rPr>
              <w:t>Ratio of total expenses to average net assets</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9.15%</w:t>
            </w:r>
          </w:p>
        </w:tc>
        <w:tc>
          <w:tcPr>
            <w:tcW w:w="260" w:type="dxa"/>
            <w:vAlign w:val="bottom"/>
          </w:tcPr>
          <w:p>
            <w:pPr>
              <w:spacing w:after="0"/>
              <w:rPr>
                <w:sz w:val="13"/>
                <w:szCs w:val="13"/>
                <w:color w:val="auto"/>
              </w:rPr>
            </w:pPr>
          </w:p>
        </w:tc>
        <w:tc>
          <w:tcPr>
            <w:tcW w:w="12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7.74%</w:t>
            </w:r>
          </w:p>
        </w:tc>
        <w:tc>
          <w:tcPr>
            <w:tcW w:w="260" w:type="dxa"/>
            <w:vAlign w:val="bottom"/>
          </w:tcPr>
          <w:p>
            <w:pPr>
              <w:spacing w:after="0"/>
              <w:rPr>
                <w:sz w:val="13"/>
                <w:szCs w:val="13"/>
                <w:color w:val="auto"/>
              </w:rPr>
            </w:pPr>
          </w:p>
        </w:tc>
        <w:tc>
          <w:tcPr>
            <w:tcW w:w="11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6.11%</w:t>
            </w:r>
          </w:p>
        </w:tc>
        <w:tc>
          <w:tcPr>
            <w:tcW w:w="240" w:type="dxa"/>
            <w:vAlign w:val="bottom"/>
          </w:tcPr>
          <w:p>
            <w:pPr>
              <w:spacing w:after="0"/>
              <w:rPr>
                <w:sz w:val="13"/>
                <w:szCs w:val="13"/>
                <w:color w:val="auto"/>
              </w:rPr>
            </w:pPr>
          </w:p>
        </w:tc>
        <w:tc>
          <w:tcPr>
            <w:tcW w:w="11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5.14%</w:t>
            </w:r>
          </w:p>
        </w:tc>
        <w:tc>
          <w:tcPr>
            <w:tcW w:w="260" w:type="dxa"/>
            <w:vAlign w:val="bottom"/>
          </w:tcPr>
          <w:p>
            <w:pPr>
              <w:spacing w:after="0"/>
              <w:rPr>
                <w:sz w:val="13"/>
                <w:szCs w:val="13"/>
                <w:color w:val="auto"/>
              </w:rPr>
            </w:pPr>
          </w:p>
        </w:tc>
        <w:tc>
          <w:tcPr>
            <w:tcW w:w="11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62"/>
        </w:trPr>
        <w:tc>
          <w:tcPr>
            <w:tcW w:w="4060" w:type="dxa"/>
            <w:vAlign w:val="bottom"/>
            <w:shd w:val="clear" w:color="auto" w:fill="CCECFF"/>
          </w:tcPr>
          <w:p>
            <w:pPr>
              <w:spacing w:after="0"/>
              <w:rPr>
                <w:sz w:val="20"/>
                <w:szCs w:val="20"/>
                <w:color w:val="auto"/>
              </w:rPr>
            </w:pPr>
            <w:r>
              <w:rPr>
                <w:rFonts w:ascii="Arial" w:cs="Arial" w:eastAsia="Arial" w:hAnsi="Arial"/>
                <w:sz w:val="14"/>
                <w:szCs w:val="14"/>
                <w:color w:val="auto"/>
              </w:rPr>
              <w:t>Ratio of net investment income to average net assets</w:t>
            </w:r>
          </w:p>
        </w:tc>
        <w:tc>
          <w:tcPr>
            <w:tcW w:w="24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8.76%</w:t>
            </w:r>
          </w:p>
        </w:tc>
        <w:tc>
          <w:tcPr>
            <w:tcW w:w="2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5.81%</w:t>
            </w:r>
          </w:p>
        </w:tc>
        <w:tc>
          <w:tcPr>
            <w:tcW w:w="26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7.85%</w:t>
            </w:r>
          </w:p>
        </w:tc>
        <w:tc>
          <w:tcPr>
            <w:tcW w:w="2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7.42%</w:t>
            </w:r>
          </w:p>
        </w:tc>
        <w:tc>
          <w:tcPr>
            <w:tcW w:w="26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62"/>
        </w:trPr>
        <w:tc>
          <w:tcPr>
            <w:tcW w:w="40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Net assets at end of year</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503,057,511</w:t>
            </w:r>
          </w:p>
        </w:tc>
        <w:tc>
          <w:tcPr>
            <w:tcW w:w="3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535,841,568</w:t>
            </w:r>
          </w:p>
        </w:tc>
        <w:tc>
          <w:tcPr>
            <w:tcW w:w="3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457,906,274</w:t>
            </w:r>
          </w:p>
        </w:tc>
        <w:tc>
          <w:tcPr>
            <w:tcW w:w="28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375,906,828</w:t>
            </w:r>
          </w:p>
        </w:tc>
        <w:tc>
          <w:tcPr>
            <w:tcW w:w="2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372,890,449</w:t>
            </w:r>
          </w:p>
        </w:tc>
        <w:tc>
          <w:tcPr>
            <w:tcW w:w="18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512,134,647</w:t>
            </w:r>
          </w:p>
        </w:tc>
        <w:tc>
          <w:tcPr>
            <w:tcW w:w="32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354,321,752</w:t>
            </w:r>
          </w:p>
        </w:tc>
        <w:tc>
          <w:tcPr>
            <w:tcW w:w="32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269,319,832</w:t>
            </w:r>
          </w:p>
        </w:tc>
        <w:tc>
          <w:tcPr>
            <w:tcW w:w="28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140,218,095</w:t>
            </w:r>
          </w:p>
        </w:tc>
        <w:tc>
          <w:tcPr>
            <w:tcW w:w="26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123,924,384</w:t>
            </w: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13.21</w:t>
            </w:r>
          </w:p>
        </w:tc>
        <w:tc>
          <w:tcPr>
            <w:tcW w:w="32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9.25</w:t>
            </w:r>
          </w:p>
        </w:tc>
        <w:tc>
          <w:tcPr>
            <w:tcW w:w="32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8.90</w:t>
            </w:r>
          </w:p>
        </w:tc>
        <w:tc>
          <w:tcPr>
            <w:tcW w:w="280" w:type="dxa"/>
            <w:vAlign w:val="bottom"/>
          </w:tcPr>
          <w:p>
            <w:pPr>
              <w:spacing w:after="0"/>
              <w:rPr>
                <w:sz w:val="13"/>
                <w:szCs w:val="13"/>
                <w:color w:val="auto"/>
              </w:rPr>
            </w:pP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5.25</w:t>
            </w:r>
          </w:p>
        </w:tc>
        <w:tc>
          <w:tcPr>
            <w:tcW w:w="26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7.61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(5)</w:t>
            </w: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1,786</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2,122</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2,780</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2,601</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13,598</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24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52.64%</w:t>
            </w:r>
          </w:p>
        </w:tc>
        <w:tc>
          <w:tcPr>
            <w:tcW w:w="2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47.15%</w:t>
            </w:r>
          </w:p>
        </w:tc>
        <w:tc>
          <w:tcPr>
            <w:tcW w:w="2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59.70%</w:t>
            </w:r>
          </w:p>
        </w:tc>
        <w:tc>
          <w:tcPr>
            <w:tcW w:w="2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32.16%</w:t>
            </w:r>
          </w:p>
        </w:tc>
        <w:tc>
          <w:tcPr>
            <w:tcW w:w="26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51.02%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13455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44" w:lineRule="exact"/>
        <w:rPr>
          <w:sz w:val="20"/>
          <w:szCs w:val="20"/>
          <w:color w:val="auto"/>
        </w:rPr>
      </w:pPr>
    </w:p>
    <w:p>
      <w:pPr>
        <w:ind w:left="380" w:hanging="372"/>
        <w:spacing w:after="0"/>
        <w:tabs>
          <w:tab w:leader="none" w:pos="380" w:val="left"/>
        </w:tabs>
        <w:numPr>
          <w:ilvl w:val="0"/>
          <w:numId w:val="65"/>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13" w:lineRule="exact"/>
        <w:rPr>
          <w:rFonts w:ascii="Arial" w:cs="Arial" w:eastAsia="Arial" w:hAnsi="Arial"/>
          <w:sz w:val="12"/>
          <w:szCs w:val="12"/>
          <w:color w:val="auto"/>
        </w:rPr>
      </w:pPr>
    </w:p>
    <w:p>
      <w:pPr>
        <w:ind w:left="380" w:right="340" w:hanging="372"/>
        <w:spacing w:after="0" w:line="237" w:lineRule="auto"/>
        <w:tabs>
          <w:tab w:leader="none" w:pos="380" w:val="left"/>
        </w:tabs>
        <w:numPr>
          <w:ilvl w:val="0"/>
          <w:numId w:val="65"/>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2019</w:t>
      </w:r>
    </w:p>
    <w:p>
      <w:pPr>
        <w:spacing w:after="0" w:line="124" w:lineRule="exact"/>
        <w:rPr>
          <w:sz w:val="20"/>
          <w:szCs w:val="20"/>
          <w:color w:val="auto"/>
        </w:rPr>
      </w:pPr>
    </w:p>
    <w:p>
      <w:pPr>
        <w:ind w:left="380" w:right="420" w:hanging="372"/>
        <w:spacing w:after="0" w:line="230" w:lineRule="auto"/>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 which was terminated on November 22, 2017.</w:t>
      </w:r>
    </w:p>
    <w:p>
      <w:pPr>
        <w:ind w:left="380" w:hanging="372"/>
        <w:spacing w:after="0" w:line="221" w:lineRule="auto"/>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80" w:right="80" w:hanging="372"/>
        <w:spacing w:after="0" w:line="232" w:lineRule="auto"/>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140"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The annualized weighted average cost of debt for the years ended September 30, 2019, 2018 and 2017, inclusive of the fee on the undrawn commitment on the Credit Facility, amendment costs and debt issuance costs, was 5.3%, 7.1% and 3.1%, respectively. As of September 30, 2019, in accordance with the 1940 Act, with certain limited exceptions, we are only allowed to borrow amounts such that we are in compliance with a 150% asset coverage ratio requirement after such borrowing.</w:t>
      </w:r>
    </w:p>
    <w:p>
      <w:pPr>
        <w:spacing w:after="0" w:line="115"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September 30, 2019 and 2018, our asset coverage ratio, as computed in accordance with the 1940 Act, was 179% and 212%,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Funding I’s multi-currency Credit Facility with the Lenders was $520 million as of September 30, 2019, subject to satisfaction of certain conditions and the regulatory restrictions that the 1940 Act imposes on us as a BDC, has an interest rate spread above LIBOR of 200 basis points, a maturity date of October 2023 and a revolving period that ends in October 2021. As of September 30, 2019 and 2018, Funding I had $265.3 million and $333.7 million of outstanding borrowings under the Credit Facility, respectively. The Credit Facility had a weighted average interest rate of 4.1% and 4.3%, exclusive of the fee on undrawn commitments as of September 30, 2019 and 2018, respectively.</w:t>
      </w:r>
    </w:p>
    <w:p>
      <w:pPr>
        <w:spacing w:after="0" w:line="117"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87"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September 30, 2019, we were in compliance with the covenants relating to our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November 2017, we issued $138.6 million of our 2023 Notes. The 2023 Notes were issued pursuant to a deed of trust between the Company and Mishmeret Trust Company, Ltd.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trustee.</w:t>
      </w:r>
    </w:p>
    <w:p>
      <w:pPr>
        <w:spacing w:after="0" w:line="124" w:lineRule="exact"/>
        <w:rPr>
          <w:sz w:val="20"/>
          <w:szCs w:val="20"/>
          <w:color w:val="auto"/>
        </w:rPr>
      </w:pPr>
    </w:p>
    <w:p>
      <w:pPr>
        <w:jc w:val="both"/>
        <w:ind w:right="140" w:firstLine="438"/>
        <w:spacing w:after="0" w:line="264" w:lineRule="auto"/>
        <w:rPr>
          <w:sz w:val="20"/>
          <w:szCs w:val="20"/>
          <w:color w:val="auto"/>
        </w:rPr>
      </w:pPr>
      <w:r>
        <w:rPr>
          <w:rFonts w:ascii="Arial" w:cs="Arial" w:eastAsia="Arial" w:hAnsi="Arial"/>
          <w:sz w:val="13"/>
          <w:szCs w:val="13"/>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2019</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2031 Asset-Backed Debt</w:t>
      </w:r>
    </w:p>
    <w:p>
      <w:pPr>
        <w:spacing w:after="0" w:line="136" w:lineRule="exact"/>
        <w:rPr>
          <w:sz w:val="20"/>
          <w:szCs w:val="20"/>
          <w:color w:val="auto"/>
        </w:rPr>
      </w:pPr>
    </w:p>
    <w:p>
      <w:pPr>
        <w:ind w:right="100" w:firstLine="438"/>
        <w:spacing w:after="0" w:line="152" w:lineRule="exact"/>
        <w:rPr>
          <w:sz w:val="20"/>
          <w:szCs w:val="20"/>
          <w:color w:val="auto"/>
        </w:rPr>
      </w:pPr>
      <w:r>
        <w:rPr>
          <w:rFonts w:ascii="Arial" w:cs="Arial" w:eastAsia="Arial" w:hAnsi="Arial"/>
          <w:sz w:val="13"/>
          <w:szCs w:val="13"/>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Loans maturing 2031, which bear interest at the three-month LIBOR plus 1.80%, (ii) $15.0 million Class A-2 Senior Secured Fixed Rate Notes due 2031, which bear interest at 3.66%, (iii) $14.0 million Class B-1 Senior Secured Floating Rate Notes due 2031, which bear interest at the three-month LIBOR plus 2.90%, (iv) $16.0 million Class B-2 Senior Secured Fixed Rate Notes due 2031, which bear interest at 4.266%,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4.00%, (vi) $8.0 million Class C-2 Secured Deferrable Fixed Rate Notes due 2031, which bear interest at 5.379%, and (vii) $18.0 million Class D Secured Deferrable Floating Rate Notes due 2031, which bear interest at the three-month LIBOR plus 4.75%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Notes due 2031, which bear interest at the three-month LIBOR plus 1.80%,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1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September 30, 2019 and 2018, the Company had $228.0 million and zero of 2031 Asset-Backed Debt outstanding, respectively, with a weighted average interest rate of 4.2%. As of September 30, 2019 and 2018, the unamortized fees on the 2031 Asset-Backed Debt were $3.7 million and zero, respectively.</w:t>
      </w:r>
    </w:p>
    <w:p>
      <w:pPr>
        <w:spacing w:after="0" w:line="117"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40"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September 30, 2019 and 2018, we had $101.1 million and $79.4 million, respectively, in commitments to fund investments. Additionally, as described in Note 4, the Company had unfunded commitments of up to $9.2 million and $39.4 million to PSSL as of September 30, 2019 and 2018, respectively, that may be contributed primarily for the purpose of funding new investments approved by the PSSL board of directors or investment committee.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SUBSEQUENT EVENTS</w:t>
      </w:r>
    </w:p>
    <w:p>
      <w:pPr>
        <w:spacing w:after="0" w:line="127"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The Company has evaluated subsequent events through the date of issuance of this report and has determined that there are no material events other than those noted above that require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4"/>
          <w:szCs w:val="14"/>
          <w:b w:val="1"/>
          <w:bCs w:val="1"/>
          <w:color w:val="auto"/>
        </w:rPr>
        <w:t>Supplementary Data</w:t>
      </w:r>
    </w:p>
    <w:p>
      <w:pPr>
        <w:jc w:val="center"/>
        <w:spacing w:after="0" w:line="225" w:lineRule="auto"/>
        <w:rPr>
          <w:sz w:val="20"/>
          <w:szCs w:val="20"/>
          <w:color w:val="auto"/>
        </w:rPr>
      </w:pPr>
      <w:r>
        <w:rPr>
          <w:rFonts w:ascii="Arial" w:cs="Arial" w:eastAsia="Arial" w:hAnsi="Arial"/>
          <w:sz w:val="14"/>
          <w:szCs w:val="14"/>
          <w:b w:val="1"/>
          <w:bCs w:val="1"/>
          <w:color w:val="auto"/>
        </w:rPr>
        <w:t>Selected Quarterly Data (Unaudited)</w:t>
      </w:r>
    </w:p>
    <w:p>
      <w:pPr>
        <w:jc w:val="cente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jc w:val="right"/>
              <w:ind w:right="74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23,882</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22,876</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23,005</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23,184</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 (loss)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11,401</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11,332</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11,785</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10,944</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(loss) gain</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(4,026)</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(6,814)</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(17,257)</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(5,949)</w:t>
            </w: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7,374</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4,519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(5,472)</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4,995</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 per common share</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(0.14)</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12.97</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13.07</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13.24</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13.66</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11.60</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11.56</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12.81</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CCECFF"/>
          </w:tcPr>
          <w:p>
            <w:pPr>
              <w:spacing w:after="0"/>
              <w:rPr>
                <w:sz w:val="14"/>
                <w:szCs w:val="1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jc w:val="right"/>
              <w:ind w:right="74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880" w:type="dxa"/>
            <w:vAlign w:val="bottom"/>
          </w:tcPr>
          <w:p>
            <w:pPr>
              <w:jc w:val="right"/>
              <w:ind w:right="408"/>
              <w:spacing w:after="0" w:line="155"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21,339</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19,529</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16,501</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14,836</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 (loss)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11,669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11,835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9,400</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(1,940)</w:t>
            </w: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(loss) gain</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(656)</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(6,867)</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6,190</w:t>
            </w:r>
          </w:p>
        </w:tc>
        <w:tc>
          <w:tcPr>
            <w:tcW w:w="5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3,859</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11,013</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4,968</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15,590</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1,919</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0.28</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0.13</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0.40</w:t>
            </w:r>
          </w:p>
        </w:tc>
        <w:tc>
          <w:tcPr>
            <w:tcW w:w="5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13.82</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13.82</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13.98</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13.86</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13.15</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13.66</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13.09</w:t>
            </w:r>
          </w:p>
        </w:tc>
        <w:tc>
          <w:tcPr>
            <w:tcW w:w="5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13.72</w:t>
            </w:r>
          </w:p>
        </w:tc>
        <w:tc>
          <w:tcPr>
            <w:tcW w:w="100" w:type="dxa"/>
            <w:vAlign w:val="bottom"/>
            <w:shd w:val="clear" w:color="auto" w:fill="CCECFF"/>
          </w:tcPr>
          <w:p>
            <w:pPr>
              <w:spacing w:after="0"/>
              <w:rPr>
                <w:sz w:val="14"/>
                <w:szCs w:val="1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18,454</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15,191</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13,221</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12,631</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10,409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8,185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8,029</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6,822</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gain (loss)</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1,157</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(746)</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2,027</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10,851</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9,342</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7,283</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8,849</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0.33</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0.25</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0.33</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14.10</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14.05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14.05</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14.48</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14.11</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13.94</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14.11</w:t>
            </w:r>
          </w:p>
        </w:tc>
        <w:tc>
          <w:tcPr>
            <w:tcW w:w="100" w:type="dxa"/>
            <w:vAlign w:val="bottom"/>
            <w:shd w:val="clear" w:color="auto" w:fill="CCEC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tabs>
          <w:tab w:leader="none" w:pos="9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As of September 30, 2019,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Management’s Report on Internal Control Over Financial Reporting</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Management’s Report on Internal Control Over Financial Reporting, which appears on page 49 of this Report, is incorporated by reference herein.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81" w:name="page82"/>
    <w:bookmarkEnd w:id="81"/>
    <w:p>
      <w:pPr>
        <w:jc w:val="center"/>
        <w:ind w:right="-119"/>
        <w:spacing w:after="0"/>
        <w:rPr>
          <w:sz w:val="20"/>
          <w:szCs w:val="20"/>
          <w:color w:val="auto"/>
        </w:rPr>
      </w:pPr>
      <w:r>
        <w:rPr>
          <w:rFonts w:ascii="Arial" w:cs="Arial" w:eastAsia="Arial" w:hAnsi="Arial"/>
          <w:sz w:val="14"/>
          <w:szCs w:val="14"/>
          <w:b w:val="1"/>
          <w:bCs w:val="1"/>
          <w:color w:val="auto"/>
        </w:rPr>
        <w:t>PART III</w:t>
      </w:r>
    </w:p>
    <w:p>
      <w:pPr>
        <w:spacing w:after="0" w:line="275"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will file a definitive Proxy Statement for our 2020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11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2020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2020 Annual Meeting of Stockholders, to be filed with the SEC within 120 days following the end of our fiscal year.</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2020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2020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2020 Annual Meeting of Stockholders, to be filed with the SEC within 120 days following the end of our fiscal year.</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14"/>
          <w:szCs w:val="14"/>
          <w:b w:val="1"/>
          <w:bCs w:val="1"/>
          <w:color w:val="auto"/>
        </w:rPr>
        <w:t>PART IV</w:t>
      </w:r>
    </w:p>
    <w:p>
      <w:pPr>
        <w:spacing w:after="0" w:line="2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123" w:lineRule="exact"/>
        <w:rPr>
          <w:sz w:val="20"/>
          <w:szCs w:val="20"/>
          <w:color w:val="auto"/>
        </w:rPr>
      </w:pPr>
    </w:p>
    <w:p>
      <w:pPr>
        <w:ind w:left="920" w:hanging="359"/>
        <w:spacing w:after="0"/>
        <w:tabs>
          <w:tab w:leader="none" w:pos="9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Index to Financial Statements — Refer to Item 8 starting on page 48.</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Financial Statement Schedules — None.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708"/>
              <w:spacing w:after="0"/>
              <w:rPr>
                <w:sz w:val="20"/>
                <w:szCs w:val="20"/>
                <w:color w:val="auto"/>
              </w:rPr>
            </w:pPr>
            <w:r>
              <w:rPr>
                <w:rFonts w:ascii="Arial" w:cs="Arial" w:eastAsia="Arial" w:hAnsi="Arial"/>
                <w:sz w:val="14"/>
                <w:szCs w:val="14"/>
                <w:color w:val="auto"/>
              </w:rPr>
              <w:t>3.1</w:t>
            </w:r>
          </w:p>
        </w:tc>
        <w:tc>
          <w:tcPr>
            <w:tcW w:w="10220" w:type="dxa"/>
            <w:vAlign w:val="bottom"/>
            <w:gridSpan w:val="33"/>
          </w:tcPr>
          <w:p>
            <w:pPr>
              <w:spacing w:after="0"/>
              <w:rPr>
                <w:rFonts w:ascii="Arial" w:cs="Arial" w:eastAsia="Arial" w:hAnsi="Arial"/>
                <w:sz w:val="14"/>
                <w:szCs w:val="14"/>
                <w:color w:val="0000EE"/>
                <w:w w:val="93"/>
              </w:rPr>
            </w:pPr>
            <w:hyperlink r:id="rId129">
              <w:r>
                <w:rPr>
                  <w:rFonts w:ascii="Arial" w:cs="Arial" w:eastAsia="Arial" w:hAnsi="Arial"/>
                  <w:sz w:val="14"/>
                  <w:szCs w:val="14"/>
                  <w:color w:val="0000EE"/>
                  <w:w w:val="93"/>
                </w:rPr>
                <w:t>Articles of Amendment and Restatement of the Registrant (Incorporated by reference to the Registrant’s Pre-Effective Amendment No. 3 to the Registration Statement on Form</w:t>
              </w:r>
            </w:hyperlink>
          </w:p>
        </w:tc>
      </w:tr>
      <w:tr>
        <w:trPr>
          <w:trHeight w:val="129"/>
        </w:trPr>
        <w:tc>
          <w:tcPr>
            <w:tcW w:w="1040" w:type="dxa"/>
            <w:vAlign w:val="bottom"/>
          </w:tcPr>
          <w:p>
            <w:pPr>
              <w:spacing w:after="0"/>
              <w:rPr>
                <w:sz w:val="11"/>
                <w:szCs w:val="11"/>
                <w:color w:val="auto"/>
              </w:rPr>
            </w:pPr>
          </w:p>
        </w:tc>
        <w:tc>
          <w:tcPr>
            <w:tcW w:w="312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95"/>
              </w:rPr>
            </w:pPr>
            <w:hyperlink r:id="rId129">
              <w:r>
                <w:rPr>
                  <w:rFonts w:ascii="Arial" w:cs="Arial" w:eastAsia="Arial" w:hAnsi="Arial"/>
                  <w:sz w:val="14"/>
                  <w:szCs w:val="14"/>
                  <w:color w:val="0000EE"/>
                  <w:w w:val="95"/>
                </w:rPr>
                <w:t>N-2 (File No. 333-170243), filed on March 29, 2011).</w:t>
              </w:r>
            </w:hyperlink>
          </w:p>
        </w:tc>
        <w:tc>
          <w:tcPr>
            <w:tcW w:w="7040" w:type="dxa"/>
            <w:vAlign w:val="bottom"/>
            <w:tcBorders>
              <w:top w:val="single" w:sz="8" w:color="0000EE"/>
            </w:tcBorders>
            <w:gridSpan w:val="24"/>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rPr>
              <w:t>3.2</w:t>
            </w:r>
          </w:p>
        </w:tc>
        <w:tc>
          <w:tcPr>
            <w:tcW w:w="10220" w:type="dxa"/>
            <w:vAlign w:val="bottom"/>
            <w:gridSpan w:val="33"/>
          </w:tcPr>
          <w:p>
            <w:pPr>
              <w:spacing w:after="0"/>
              <w:rPr>
                <w:rFonts w:ascii="Arial" w:cs="Arial" w:eastAsia="Arial" w:hAnsi="Arial"/>
                <w:sz w:val="14"/>
                <w:szCs w:val="14"/>
                <w:color w:val="0000EE"/>
                <w:w w:val="98"/>
              </w:rPr>
            </w:pPr>
            <w:hyperlink r:id="rId130">
              <w:r>
                <w:rPr>
                  <w:rFonts w:ascii="Arial" w:cs="Arial" w:eastAsia="Arial" w:hAnsi="Arial"/>
                  <w:sz w:val="14"/>
                  <w:szCs w:val="14"/>
                  <w:color w:val="0000EE"/>
                  <w:w w:val="98"/>
                </w:rPr>
                <w:t>Amended and Restated Bylaws of the Registrant (Incorporated by reference to Exhibit 3.1 to the Registrant’s Current Report on Form 8-K (File No. 814-00891), filed on</w:t>
              </w:r>
            </w:hyperlink>
          </w:p>
        </w:tc>
      </w:tr>
      <w:tr>
        <w:trPr>
          <w:trHeight w:val="128"/>
        </w:trPr>
        <w:tc>
          <w:tcPr>
            <w:tcW w:w="1040" w:type="dxa"/>
            <w:vAlign w:val="bottom"/>
          </w:tcPr>
          <w:p>
            <w:pPr>
              <w:spacing w:after="0"/>
              <w:rPr>
                <w:sz w:val="11"/>
                <w:szCs w:val="11"/>
                <w:color w:val="auto"/>
              </w:rPr>
            </w:pPr>
          </w:p>
        </w:tc>
        <w:tc>
          <w:tcPr>
            <w:tcW w:w="1160" w:type="dxa"/>
            <w:vAlign w:val="bottom"/>
            <w:tcBorders>
              <w:top w:val="single" w:sz="8" w:color="0000EE"/>
              <w:bottom w:val="single" w:sz="8" w:color="0000EE"/>
            </w:tcBorders>
            <w:gridSpan w:val="4"/>
          </w:tcPr>
          <w:p>
            <w:pPr>
              <w:spacing w:after="0" w:line="129" w:lineRule="exact"/>
              <w:rPr>
                <w:rFonts w:ascii="Arial" w:cs="Arial" w:eastAsia="Arial" w:hAnsi="Arial"/>
                <w:sz w:val="14"/>
                <w:szCs w:val="14"/>
                <w:color w:val="0000EE"/>
                <w:w w:val="92"/>
              </w:rPr>
            </w:pPr>
            <w:hyperlink r:id="rId130">
              <w:r>
                <w:rPr>
                  <w:rFonts w:ascii="Arial" w:cs="Arial" w:eastAsia="Arial" w:hAnsi="Arial"/>
                  <w:sz w:val="14"/>
                  <w:szCs w:val="14"/>
                  <w:color w:val="0000EE"/>
                  <w:w w:val="92"/>
                </w:rPr>
                <w:t>December 2, 2015).</w:t>
              </w:r>
            </w:hyperlink>
          </w:p>
        </w:tc>
        <w:tc>
          <w:tcPr>
            <w:tcW w:w="8620" w:type="dxa"/>
            <w:vAlign w:val="bottom"/>
            <w:tcBorders>
              <w:top w:val="single" w:sz="8" w:color="0000EE"/>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rPr>
              <w:t>4.1</w:t>
            </w:r>
          </w:p>
        </w:tc>
        <w:tc>
          <w:tcPr>
            <w:tcW w:w="10220" w:type="dxa"/>
            <w:vAlign w:val="bottom"/>
            <w:gridSpan w:val="33"/>
          </w:tcPr>
          <w:p>
            <w:pPr>
              <w:spacing w:after="0"/>
              <w:rPr>
                <w:rFonts w:ascii="Arial" w:cs="Arial" w:eastAsia="Arial" w:hAnsi="Arial"/>
                <w:sz w:val="14"/>
                <w:szCs w:val="14"/>
                <w:color w:val="0000EE"/>
                <w:w w:val="94"/>
              </w:rPr>
            </w:pPr>
            <w:hyperlink r:id="rId131">
              <w:r>
                <w:rPr>
                  <w:rFonts w:ascii="Arial" w:cs="Arial" w:eastAsia="Arial" w:hAnsi="Arial"/>
                  <w:sz w:val="14"/>
                  <w:szCs w:val="14"/>
                  <w:color w:val="0000EE"/>
                  <w:w w:val="94"/>
                </w:rPr>
                <w:t>Form of Share Certificate (Incorporated by reference to the Registrant’s Pre-Effective Amendment No. 5 to the Registration Statement on Form N-2 (File No. 333-170243), filed</w:t>
              </w:r>
            </w:hyperlink>
          </w:p>
        </w:tc>
      </w:tr>
      <w:tr>
        <w:trPr>
          <w:trHeight w:val="128"/>
        </w:trPr>
        <w:tc>
          <w:tcPr>
            <w:tcW w:w="1040" w:type="dxa"/>
            <w:vAlign w:val="bottom"/>
          </w:tcPr>
          <w:p>
            <w:pPr>
              <w:spacing w:after="0"/>
              <w:rPr>
                <w:sz w:val="11"/>
                <w:szCs w:val="11"/>
                <w:color w:val="auto"/>
              </w:rPr>
            </w:pPr>
          </w:p>
        </w:tc>
        <w:tc>
          <w:tcPr>
            <w:tcW w:w="104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5"/>
              </w:rPr>
            </w:pPr>
            <w:hyperlink r:id="rId131">
              <w:r>
                <w:rPr>
                  <w:rFonts w:ascii="Arial" w:cs="Arial" w:eastAsia="Arial" w:hAnsi="Arial"/>
                  <w:sz w:val="14"/>
                  <w:szCs w:val="14"/>
                  <w:color w:val="0000EE"/>
                  <w:w w:val="95"/>
                </w:rPr>
                <w:t>on April 5, 2011).</w:t>
              </w:r>
            </w:hyperlink>
          </w:p>
        </w:tc>
        <w:tc>
          <w:tcPr>
            <w:tcW w:w="9160" w:type="dxa"/>
            <w:vAlign w:val="bottom"/>
            <w:tcBorders>
              <w:top w:val="single" w:sz="8" w:color="0000EE"/>
            </w:tcBorders>
            <w:gridSpan w:val="30"/>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rPr>
              <w:t>4.2</w:t>
            </w:r>
          </w:p>
        </w:tc>
        <w:tc>
          <w:tcPr>
            <w:tcW w:w="10220" w:type="dxa"/>
            <w:vAlign w:val="bottom"/>
            <w:gridSpan w:val="33"/>
          </w:tcPr>
          <w:p>
            <w:pPr>
              <w:spacing w:after="0"/>
              <w:rPr>
                <w:rFonts w:ascii="Arial" w:cs="Arial" w:eastAsia="Arial" w:hAnsi="Arial"/>
                <w:sz w:val="14"/>
                <w:szCs w:val="14"/>
                <w:color w:val="0000EE"/>
                <w:w w:val="95"/>
              </w:rPr>
            </w:pPr>
            <w:hyperlink r:id="rId132">
              <w:r>
                <w:rPr>
                  <w:rFonts w:ascii="Arial" w:cs="Arial" w:eastAsia="Arial" w:hAnsi="Arial"/>
                  <w:sz w:val="14"/>
                  <w:szCs w:val="14"/>
                  <w:color w:val="0000EE"/>
                  <w:w w:val="95"/>
                </w:rPr>
                <w:t>Deed of Trust dated November 23, 2017, between PennantPark Floating Rate Capital Ltd. and Mishmeret Trust Company, Ltd. (Incorporated by reference to Exhibit (d)(8) to</w:t>
              </w:r>
            </w:hyperlink>
          </w:p>
        </w:tc>
      </w:tr>
      <w:tr>
        <w:trPr>
          <w:trHeight w:val="176"/>
        </w:trPr>
        <w:tc>
          <w:tcPr>
            <w:tcW w:w="1040" w:type="dxa"/>
            <w:vAlign w:val="bottom"/>
          </w:tcPr>
          <w:p>
            <w:pPr>
              <w:spacing w:after="0"/>
              <w:rPr>
                <w:sz w:val="15"/>
                <w:szCs w:val="15"/>
                <w:color w:val="auto"/>
              </w:rPr>
            </w:pPr>
          </w:p>
        </w:tc>
        <w:tc>
          <w:tcPr>
            <w:tcW w:w="10040" w:type="dxa"/>
            <w:vAlign w:val="bottom"/>
            <w:tcBorders>
              <w:top w:val="single" w:sz="8" w:color="0000EE"/>
            </w:tcBorders>
            <w:gridSpan w:val="26"/>
          </w:tcPr>
          <w:p>
            <w:pPr>
              <w:spacing w:after="0"/>
              <w:rPr>
                <w:rFonts w:ascii="Arial" w:cs="Arial" w:eastAsia="Arial" w:hAnsi="Arial"/>
                <w:sz w:val="14"/>
                <w:szCs w:val="14"/>
                <w:u w:val="single" w:color="auto"/>
                <w:color w:val="0000EE"/>
              </w:rPr>
            </w:pPr>
            <w:hyperlink r:id="rId132">
              <w:r>
                <w:rPr>
                  <w:rFonts w:ascii="Arial" w:cs="Arial" w:eastAsia="Arial" w:hAnsi="Arial"/>
                  <w:sz w:val="14"/>
                  <w:szCs w:val="14"/>
                  <w:u w:val="single" w:color="auto"/>
                  <w:color w:val="0000EE"/>
                </w:rPr>
                <w:t>the Registrant’s Post-Effective Amendment No. 3 to the Registration Statement on Form N-2 (File No. 333- 215111), filed on December 13, 2017).</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r>
      <w:tr>
        <w:trPr>
          <w:trHeight w:val="223"/>
        </w:trPr>
        <w:tc>
          <w:tcPr>
            <w:tcW w:w="1040" w:type="dxa"/>
            <w:vAlign w:val="bottom"/>
          </w:tcPr>
          <w:p>
            <w:pPr>
              <w:jc w:val="right"/>
              <w:ind w:right="708"/>
              <w:spacing w:after="0"/>
              <w:rPr>
                <w:sz w:val="20"/>
                <w:szCs w:val="20"/>
                <w:color w:val="auto"/>
              </w:rPr>
            </w:pPr>
            <w:r>
              <w:rPr>
                <w:rFonts w:ascii="Arial" w:cs="Arial" w:eastAsia="Arial" w:hAnsi="Arial"/>
                <w:sz w:val="14"/>
                <w:szCs w:val="14"/>
                <w:color w:val="auto"/>
              </w:rPr>
              <w:t>4.3</w:t>
            </w:r>
          </w:p>
        </w:tc>
        <w:tc>
          <w:tcPr>
            <w:tcW w:w="10220" w:type="dxa"/>
            <w:vAlign w:val="bottom"/>
            <w:gridSpan w:val="33"/>
          </w:tcPr>
          <w:p>
            <w:pPr>
              <w:spacing w:after="0"/>
              <w:rPr>
                <w:rFonts w:ascii="Arial" w:cs="Arial" w:eastAsia="Arial" w:hAnsi="Arial"/>
                <w:sz w:val="14"/>
                <w:szCs w:val="14"/>
                <w:color w:val="0000EE"/>
                <w:w w:val="94"/>
              </w:rPr>
            </w:pPr>
            <w:hyperlink r:id="rId133">
              <w:r>
                <w:rPr>
                  <w:rFonts w:ascii="Arial" w:cs="Arial" w:eastAsia="Arial" w:hAnsi="Arial"/>
                  <w:sz w:val="14"/>
                  <w:szCs w:val="14"/>
                  <w:color w:val="0000EE"/>
                  <w:w w:val="94"/>
                </w:rPr>
                <w:t>Indenture, dated as of September 19, 2019, by and among PennantPark CLO I, Ltd., as issuer, PennantPark CLO I, LLC, as co-issuer, and U.S. Bank National Association, as</w:t>
              </w:r>
            </w:hyperlink>
          </w:p>
        </w:tc>
      </w:tr>
      <w:tr>
        <w:trPr>
          <w:trHeight w:val="176"/>
        </w:trPr>
        <w:tc>
          <w:tcPr>
            <w:tcW w:w="1040" w:type="dxa"/>
            <w:vAlign w:val="bottom"/>
          </w:tcPr>
          <w:p>
            <w:pPr>
              <w:spacing w:after="0"/>
              <w:rPr>
                <w:sz w:val="15"/>
                <w:szCs w:val="15"/>
                <w:color w:val="auto"/>
              </w:rPr>
            </w:pPr>
          </w:p>
        </w:tc>
        <w:tc>
          <w:tcPr>
            <w:tcW w:w="10020" w:type="dxa"/>
            <w:vAlign w:val="bottom"/>
            <w:tcBorders>
              <w:top w:val="single" w:sz="8" w:color="0000EE"/>
            </w:tcBorders>
            <w:gridSpan w:val="25"/>
          </w:tcPr>
          <w:p>
            <w:pPr>
              <w:spacing w:after="0"/>
              <w:rPr>
                <w:rFonts w:ascii="Arial" w:cs="Arial" w:eastAsia="Arial" w:hAnsi="Arial"/>
                <w:sz w:val="14"/>
                <w:szCs w:val="14"/>
                <w:u w:val="single" w:color="auto"/>
                <w:color w:val="0000EE"/>
                <w:w w:val="93"/>
              </w:rPr>
            </w:pPr>
            <w:hyperlink r:id="rId133">
              <w:r>
                <w:rPr>
                  <w:rFonts w:ascii="Arial" w:cs="Arial" w:eastAsia="Arial" w:hAnsi="Arial"/>
                  <w:sz w:val="14"/>
                  <w:szCs w:val="14"/>
                  <w:u w:val="single" w:color="auto"/>
                  <w:color w:val="0000EE"/>
                  <w:w w:val="93"/>
                </w:rPr>
                <w:t>trustee and as collateral agent (Incorporated by reference to Exhibit 99.2 to the Registrant’s Current Report on Form 8-K (File No. 814-00891), filed on September 20, 2019).</w:t>
              </w:r>
            </w:hyperlink>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r>
      <w:tr>
        <w:trPr>
          <w:trHeight w:val="251"/>
        </w:trPr>
        <w:tc>
          <w:tcPr>
            <w:tcW w:w="1040" w:type="dxa"/>
            <w:vAlign w:val="bottom"/>
          </w:tcPr>
          <w:p>
            <w:pPr>
              <w:jc w:val="right"/>
              <w:ind w:right="628"/>
              <w:spacing w:after="0"/>
              <w:rPr>
                <w:sz w:val="20"/>
                <w:szCs w:val="20"/>
                <w:color w:val="auto"/>
              </w:rPr>
            </w:pPr>
            <w:r>
              <w:rPr>
                <w:rFonts w:ascii="Arial" w:cs="Arial" w:eastAsia="Arial" w:hAnsi="Arial"/>
                <w:sz w:val="14"/>
                <w:szCs w:val="14"/>
                <w:color w:val="auto"/>
              </w:rPr>
              <w:t>4.4*</w:t>
            </w:r>
          </w:p>
        </w:tc>
        <w:tc>
          <w:tcPr>
            <w:tcW w:w="10220" w:type="dxa"/>
            <w:vAlign w:val="bottom"/>
            <w:gridSpan w:val="33"/>
          </w:tcPr>
          <w:p>
            <w:pPr>
              <w:spacing w:after="0"/>
              <w:rPr>
                <w:rFonts w:ascii="Arial" w:cs="Arial" w:eastAsia="Arial" w:hAnsi="Arial"/>
                <w:sz w:val="14"/>
                <w:szCs w:val="14"/>
                <w:u w:val="single" w:color="auto"/>
                <w:color w:val="0000EE"/>
              </w:rPr>
            </w:pPr>
            <w:hyperlink w:anchor="page97">
              <w:r>
                <w:rPr>
                  <w:rFonts w:ascii="Arial" w:cs="Arial" w:eastAsia="Arial" w:hAnsi="Arial"/>
                  <w:sz w:val="14"/>
                  <w:szCs w:val="14"/>
                  <w:u w:val="single" w:color="auto"/>
                  <w:color w:val="0000EE"/>
                </w:rPr>
                <w:t>Description of Securities</w:t>
              </w:r>
            </w:hyperlink>
          </w:p>
        </w:tc>
      </w:tr>
      <w:tr>
        <w:trPr>
          <w:trHeight w:val="241"/>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10.1</w:t>
            </w:r>
          </w:p>
        </w:tc>
        <w:tc>
          <w:tcPr>
            <w:tcW w:w="10220" w:type="dxa"/>
            <w:vAlign w:val="bottom"/>
            <w:gridSpan w:val="33"/>
          </w:tcPr>
          <w:p>
            <w:pPr>
              <w:spacing w:after="0"/>
              <w:rPr>
                <w:rFonts w:ascii="Arial" w:cs="Arial" w:eastAsia="Arial" w:hAnsi="Arial"/>
                <w:sz w:val="14"/>
                <w:szCs w:val="14"/>
                <w:color w:val="0000EE"/>
                <w:w w:val="93"/>
              </w:rPr>
            </w:pPr>
            <w:hyperlink r:id="rId134">
              <w:r>
                <w:rPr>
                  <w:rFonts w:ascii="Arial" w:cs="Arial" w:eastAsia="Arial" w:hAnsi="Arial"/>
                  <w:sz w:val="14"/>
                  <w:szCs w:val="14"/>
                  <w:color w:val="0000EE"/>
                  <w:w w:val="93"/>
                </w:rPr>
                <w:t>Purchase and Contribution Agreement, dated as of June 23, 2011, among PennantPark Floating Rate Capital Ltd., as the seller, and PennantPark Floating Rate Funding I, LLC,</w:t>
              </w:r>
            </w:hyperlink>
          </w:p>
        </w:tc>
      </w:tr>
      <w:tr>
        <w:trPr>
          <w:trHeight w:val="129"/>
        </w:trPr>
        <w:tc>
          <w:tcPr>
            <w:tcW w:w="1040" w:type="dxa"/>
            <w:vAlign w:val="bottom"/>
          </w:tcPr>
          <w:p>
            <w:pPr>
              <w:spacing w:after="0"/>
              <w:rPr>
                <w:sz w:val="11"/>
                <w:szCs w:val="11"/>
                <w:color w:val="auto"/>
              </w:rPr>
            </w:pPr>
          </w:p>
        </w:tc>
        <w:tc>
          <w:tcPr>
            <w:tcW w:w="7380" w:type="dxa"/>
            <w:vAlign w:val="bottom"/>
            <w:tcBorders>
              <w:top w:val="single" w:sz="8" w:color="0000EE"/>
              <w:bottom w:val="single" w:sz="8" w:color="0000EE"/>
            </w:tcBorders>
            <w:gridSpan w:val="10"/>
          </w:tcPr>
          <w:p>
            <w:pPr>
              <w:spacing w:after="0" w:line="129" w:lineRule="exact"/>
              <w:rPr>
                <w:rFonts w:ascii="Arial" w:cs="Arial" w:eastAsia="Arial" w:hAnsi="Arial"/>
                <w:sz w:val="14"/>
                <w:szCs w:val="14"/>
                <w:color w:val="0000EE"/>
                <w:w w:val="93"/>
              </w:rPr>
            </w:pPr>
            <w:hyperlink r:id="rId134">
              <w:r>
                <w:rPr>
                  <w:rFonts w:ascii="Arial" w:cs="Arial" w:eastAsia="Arial" w:hAnsi="Arial"/>
                  <w:sz w:val="14"/>
                  <w:szCs w:val="14"/>
                  <w:color w:val="0000EE"/>
                  <w:w w:val="93"/>
                </w:rPr>
                <w:t>as the buyer (Incorporated by reference to Exhibit 10.2 to the Registrant’s Current Report on Form 8-K, filed on June 29, 2011).</w:t>
              </w:r>
            </w:hyperlink>
          </w:p>
        </w:tc>
        <w:tc>
          <w:tcPr>
            <w:tcW w:w="2720" w:type="dxa"/>
            <w:vAlign w:val="bottom"/>
            <w:tcBorders>
              <w:top w:val="single" w:sz="8" w:color="0000EE"/>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10.2</w:t>
            </w:r>
          </w:p>
        </w:tc>
        <w:tc>
          <w:tcPr>
            <w:tcW w:w="10220" w:type="dxa"/>
            <w:vAlign w:val="bottom"/>
            <w:gridSpan w:val="33"/>
          </w:tcPr>
          <w:p>
            <w:pPr>
              <w:spacing w:after="0"/>
              <w:rPr>
                <w:rFonts w:ascii="Arial" w:cs="Arial" w:eastAsia="Arial" w:hAnsi="Arial"/>
                <w:sz w:val="14"/>
                <w:szCs w:val="14"/>
                <w:color w:val="0000EE"/>
                <w:w w:val="96"/>
              </w:rPr>
            </w:pPr>
            <w:hyperlink r:id="rId135">
              <w:r>
                <w:rPr>
                  <w:rFonts w:ascii="Arial" w:cs="Arial" w:eastAsia="Arial" w:hAnsi="Arial"/>
                  <w:sz w:val="14"/>
                  <w:szCs w:val="14"/>
                  <w:color w:val="0000EE"/>
                  <w:w w:val="96"/>
                </w:rPr>
                <w:t>First Amendment to Purchase and Contribution Agreement, dated as of January 16, 2018, between PennantPark Floating Rate Capital Ltd., as the seller, and PennantPark</w:t>
              </w:r>
            </w:hyperlink>
          </w:p>
        </w:tc>
      </w:tr>
      <w:tr>
        <w:trPr>
          <w:trHeight w:val="128"/>
        </w:trPr>
        <w:tc>
          <w:tcPr>
            <w:tcW w:w="1040" w:type="dxa"/>
            <w:vAlign w:val="bottom"/>
          </w:tcPr>
          <w:p>
            <w:pPr>
              <w:spacing w:after="0"/>
              <w:rPr>
                <w:sz w:val="11"/>
                <w:szCs w:val="11"/>
                <w:color w:val="auto"/>
              </w:rPr>
            </w:pPr>
          </w:p>
        </w:tc>
        <w:tc>
          <w:tcPr>
            <w:tcW w:w="9800" w:type="dxa"/>
            <w:vAlign w:val="bottom"/>
            <w:tcBorders>
              <w:top w:val="single" w:sz="8" w:color="0000EE"/>
            </w:tcBorders>
            <w:gridSpan w:val="19"/>
          </w:tcPr>
          <w:p>
            <w:pPr>
              <w:spacing w:after="0" w:line="129" w:lineRule="exact"/>
              <w:rPr>
                <w:rFonts w:ascii="Arial" w:cs="Arial" w:eastAsia="Arial" w:hAnsi="Arial"/>
                <w:sz w:val="14"/>
                <w:szCs w:val="14"/>
                <w:color w:val="0000EE"/>
                <w:w w:val="95"/>
              </w:rPr>
            </w:pPr>
            <w:hyperlink r:id="rId135">
              <w:r>
                <w:rPr>
                  <w:rFonts w:ascii="Arial" w:cs="Arial" w:eastAsia="Arial" w:hAnsi="Arial"/>
                  <w:sz w:val="14"/>
                  <w:szCs w:val="14"/>
                  <w:color w:val="0000EE"/>
                  <w:w w:val="95"/>
                </w:rPr>
                <w:t>Floating Rate Funding I, LLC, as the buyer (Incorporated by reference to Exhibit 10.4 to the Registrant’s Quarterly Report on Form 10-Q (File No. 814-00891), filed on</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r>
      <w:tr>
        <w:trPr>
          <w:trHeight w:val="129"/>
        </w:trPr>
        <w:tc>
          <w:tcPr>
            <w:tcW w:w="1040" w:type="dxa"/>
            <w:vAlign w:val="bottom"/>
          </w:tcPr>
          <w:p>
            <w:pPr>
              <w:spacing w:after="0"/>
              <w:rPr>
                <w:sz w:val="11"/>
                <w:szCs w:val="11"/>
                <w:color w:val="auto"/>
              </w:rPr>
            </w:pPr>
          </w:p>
        </w:tc>
        <w:tc>
          <w:tcPr>
            <w:tcW w:w="108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92"/>
              </w:rPr>
            </w:pPr>
            <w:hyperlink r:id="rId135">
              <w:r>
                <w:rPr>
                  <w:rFonts w:ascii="Arial" w:cs="Arial" w:eastAsia="Arial" w:hAnsi="Arial"/>
                  <w:sz w:val="14"/>
                  <w:szCs w:val="14"/>
                  <w:color w:val="0000EE"/>
                  <w:w w:val="92"/>
                </w:rPr>
                <w:t>February 8, 2018).</w:t>
              </w:r>
            </w:hyperlink>
          </w:p>
        </w:tc>
        <w:tc>
          <w:tcPr>
            <w:tcW w:w="8620" w:type="dxa"/>
            <w:vAlign w:val="bottom"/>
            <w:tcBorders>
              <w:top w:val="single" w:sz="8" w:color="0000EE"/>
            </w:tcBorders>
            <w:gridSpan w:val="1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10.3</w:t>
            </w:r>
          </w:p>
        </w:tc>
        <w:tc>
          <w:tcPr>
            <w:tcW w:w="10220" w:type="dxa"/>
            <w:vAlign w:val="bottom"/>
            <w:gridSpan w:val="33"/>
          </w:tcPr>
          <w:p>
            <w:pPr>
              <w:spacing w:after="0"/>
              <w:rPr>
                <w:rFonts w:ascii="Arial" w:cs="Arial" w:eastAsia="Arial" w:hAnsi="Arial"/>
                <w:sz w:val="14"/>
                <w:szCs w:val="14"/>
                <w:color w:val="0000EE"/>
                <w:w w:val="95"/>
              </w:rPr>
            </w:pPr>
            <w:hyperlink r:id="rId136">
              <w:r>
                <w:rPr>
                  <w:rFonts w:ascii="Arial" w:cs="Arial" w:eastAsia="Arial" w:hAnsi="Arial"/>
                  <w:sz w:val="14"/>
                  <w:szCs w:val="14"/>
                  <w:color w:val="0000EE"/>
                  <w:w w:val="95"/>
                </w:rPr>
                <w:t>Form of Administration Agreement between the Registrant and PennantPark Investment Administration, LLC (Incorporated by reference to Exhibit 99(k)(2) to the Registrant’s</w:t>
              </w:r>
            </w:hyperlink>
          </w:p>
        </w:tc>
      </w:tr>
      <w:tr>
        <w:trPr>
          <w:trHeight w:val="128"/>
        </w:trPr>
        <w:tc>
          <w:tcPr>
            <w:tcW w:w="1040" w:type="dxa"/>
            <w:vAlign w:val="bottom"/>
          </w:tcPr>
          <w:p>
            <w:pPr>
              <w:spacing w:after="0"/>
              <w:rPr>
                <w:sz w:val="11"/>
                <w:szCs w:val="11"/>
                <w:color w:val="auto"/>
              </w:rPr>
            </w:pPr>
          </w:p>
        </w:tc>
        <w:tc>
          <w:tcPr>
            <w:tcW w:w="7260" w:type="dxa"/>
            <w:vAlign w:val="bottom"/>
            <w:tcBorders>
              <w:top w:val="single" w:sz="8" w:color="0000EE"/>
              <w:bottom w:val="single" w:sz="8" w:color="0000EE"/>
            </w:tcBorders>
            <w:gridSpan w:val="9"/>
          </w:tcPr>
          <w:p>
            <w:pPr>
              <w:spacing w:after="0" w:line="129" w:lineRule="exact"/>
              <w:rPr>
                <w:rFonts w:ascii="Arial" w:cs="Arial" w:eastAsia="Arial" w:hAnsi="Arial"/>
                <w:sz w:val="14"/>
                <w:szCs w:val="14"/>
                <w:color w:val="0000EE"/>
                <w:w w:val="94"/>
              </w:rPr>
            </w:pPr>
            <w:hyperlink r:id="rId136">
              <w:r>
                <w:rPr>
                  <w:rFonts w:ascii="Arial" w:cs="Arial" w:eastAsia="Arial" w:hAnsi="Arial"/>
                  <w:sz w:val="14"/>
                  <w:szCs w:val="14"/>
                  <w:color w:val="0000EE"/>
                  <w:w w:val="94"/>
                </w:rPr>
                <w:t>Pre-Effective Amendment No. 3 to the Registration Statement on Form N-2 (File No. 333-170243), filed on March 29, 2011).</w:t>
              </w:r>
            </w:hyperlink>
          </w:p>
        </w:tc>
        <w:tc>
          <w:tcPr>
            <w:tcW w:w="2860" w:type="dxa"/>
            <w:vAlign w:val="bottom"/>
            <w:tcBorders>
              <w:top w:val="single" w:sz="8" w:color="0000EE"/>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10.4</w:t>
            </w:r>
          </w:p>
        </w:tc>
        <w:tc>
          <w:tcPr>
            <w:tcW w:w="10220" w:type="dxa"/>
            <w:vAlign w:val="bottom"/>
            <w:gridSpan w:val="33"/>
          </w:tcPr>
          <w:p>
            <w:pPr>
              <w:spacing w:after="0"/>
              <w:rPr>
                <w:rFonts w:ascii="Arial" w:cs="Arial" w:eastAsia="Arial" w:hAnsi="Arial"/>
                <w:sz w:val="14"/>
                <w:szCs w:val="14"/>
                <w:color w:val="0000EE"/>
                <w:w w:val="96"/>
              </w:rPr>
            </w:pPr>
            <w:hyperlink r:id="rId137">
              <w:r>
                <w:rPr>
                  <w:rFonts w:ascii="Arial" w:cs="Arial" w:eastAsia="Arial" w:hAnsi="Arial"/>
                  <w:sz w:val="14"/>
                  <w:szCs w:val="14"/>
                  <w:color w:val="0000EE"/>
                  <w:w w:val="96"/>
                </w:rPr>
                <w:t>Dividend Reinvestment Plan (Incorporated by reference to Exhibit 99(e) to the Registrant’s Pre-Effective Amendment No. 3 to the Registration Statement on Form N-2 (File</w:t>
              </w:r>
            </w:hyperlink>
          </w:p>
        </w:tc>
      </w:tr>
      <w:tr>
        <w:trPr>
          <w:trHeight w:val="128"/>
        </w:trPr>
        <w:tc>
          <w:tcPr>
            <w:tcW w:w="1040" w:type="dxa"/>
            <w:vAlign w:val="bottom"/>
          </w:tcPr>
          <w:p>
            <w:pPr>
              <w:spacing w:after="0"/>
              <w:rPr>
                <w:sz w:val="11"/>
                <w:szCs w:val="11"/>
                <w:color w:val="auto"/>
              </w:rPr>
            </w:pPr>
          </w:p>
        </w:tc>
        <w:tc>
          <w:tcPr>
            <w:tcW w:w="9960" w:type="dxa"/>
            <w:vAlign w:val="bottom"/>
            <w:tcBorders>
              <w:top w:val="single" w:sz="8" w:color="0000EE"/>
            </w:tcBorders>
            <w:gridSpan w:val="22"/>
          </w:tcPr>
          <w:p>
            <w:pPr>
              <w:spacing w:after="0" w:line="129" w:lineRule="exact"/>
              <w:rPr>
                <w:rFonts w:ascii="Arial" w:cs="Arial" w:eastAsia="Arial" w:hAnsi="Arial"/>
                <w:sz w:val="14"/>
                <w:szCs w:val="14"/>
                <w:color w:val="0000EE"/>
              </w:rPr>
            </w:pPr>
            <w:hyperlink r:id="rId137">
              <w:r>
                <w:rPr>
                  <w:rFonts w:ascii="Arial" w:cs="Arial" w:eastAsia="Arial" w:hAnsi="Arial"/>
                  <w:sz w:val="14"/>
                  <w:szCs w:val="14"/>
                  <w:color w:val="0000EE"/>
                </w:rPr>
                <w:t>No. 333-170243), filed on March 29, 2011).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3"/>
          </w:tcPr>
          <w:p>
            <w:pPr>
              <w:spacing w:after="0"/>
              <w:rPr>
                <w:sz w:val="11"/>
                <w:szCs w:val="11"/>
                <w:color w:val="auto"/>
              </w:rPr>
            </w:pPr>
          </w:p>
        </w:tc>
        <w:tc>
          <w:tcPr>
            <w:tcW w:w="80" w:type="dxa"/>
            <w:vAlign w:val="bottom"/>
            <w:gridSpan w:val="3"/>
          </w:tcPr>
          <w:p>
            <w:pPr>
              <w:spacing w:after="0"/>
              <w:rPr>
                <w:sz w:val="11"/>
                <w:szCs w:val="11"/>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10.5</w:t>
            </w:r>
          </w:p>
        </w:tc>
        <w:tc>
          <w:tcPr>
            <w:tcW w:w="10220" w:type="dxa"/>
            <w:vAlign w:val="bottom"/>
            <w:gridSpan w:val="33"/>
          </w:tcPr>
          <w:p>
            <w:pPr>
              <w:spacing w:after="0"/>
              <w:rPr>
                <w:rFonts w:ascii="Arial" w:cs="Arial" w:eastAsia="Arial" w:hAnsi="Arial"/>
                <w:sz w:val="14"/>
                <w:szCs w:val="14"/>
                <w:color w:val="0000EE"/>
                <w:w w:val="94"/>
              </w:rPr>
            </w:pPr>
            <w:hyperlink r:id="rId138">
              <w:r>
                <w:rPr>
                  <w:rFonts w:ascii="Arial" w:cs="Arial" w:eastAsia="Arial" w:hAnsi="Arial"/>
                  <w:sz w:val="14"/>
                  <w:szCs w:val="14"/>
                  <w:color w:val="0000EE"/>
                  <w:w w:val="94"/>
                </w:rPr>
                <w:t>Second Amended and Restated Investment Advisory Agreement, dated as of February 2, 2016, between PennantPark Floating Rate Capital Ltd. and PennantPark Investment</w:t>
              </w:r>
            </w:hyperlink>
          </w:p>
        </w:tc>
      </w:tr>
      <w:tr>
        <w:trPr>
          <w:trHeight w:val="176"/>
        </w:trPr>
        <w:tc>
          <w:tcPr>
            <w:tcW w:w="1040" w:type="dxa"/>
            <w:vAlign w:val="bottom"/>
          </w:tcPr>
          <w:p>
            <w:pPr>
              <w:spacing w:after="0"/>
              <w:rPr>
                <w:sz w:val="15"/>
                <w:szCs w:val="15"/>
                <w:color w:val="auto"/>
              </w:rPr>
            </w:pPr>
          </w:p>
        </w:tc>
        <w:tc>
          <w:tcPr>
            <w:tcW w:w="9980" w:type="dxa"/>
            <w:vAlign w:val="bottom"/>
            <w:tcBorders>
              <w:top w:val="single" w:sz="8" w:color="0000EE"/>
            </w:tcBorders>
            <w:gridSpan w:val="23"/>
          </w:tcPr>
          <w:p>
            <w:pPr>
              <w:spacing w:after="0"/>
              <w:rPr>
                <w:rFonts w:ascii="Arial" w:cs="Arial" w:eastAsia="Arial" w:hAnsi="Arial"/>
                <w:sz w:val="14"/>
                <w:szCs w:val="14"/>
                <w:u w:val="single" w:color="auto"/>
                <w:color w:val="0000EE"/>
              </w:rPr>
            </w:pPr>
            <w:hyperlink r:id="rId138">
              <w:r>
                <w:rPr>
                  <w:rFonts w:ascii="Arial" w:cs="Arial" w:eastAsia="Arial" w:hAnsi="Arial"/>
                  <w:sz w:val="14"/>
                  <w:szCs w:val="14"/>
                  <w:u w:val="single" w:color="auto"/>
                  <w:color w:val="0000EE"/>
                </w:rPr>
                <w:t>Advisers, LLC (Incorporated by reference to the Registrant’s Quarterly Report on Form 10-Q (File No. 814-00891), filed on February 4, 2016).</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r>
      <w:tr>
        <w:trPr>
          <w:trHeight w:val="223"/>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10.6</w:t>
            </w:r>
          </w:p>
        </w:tc>
        <w:tc>
          <w:tcPr>
            <w:tcW w:w="10220" w:type="dxa"/>
            <w:vAlign w:val="bottom"/>
            <w:gridSpan w:val="33"/>
          </w:tcPr>
          <w:p>
            <w:pPr>
              <w:spacing w:after="0"/>
              <w:rPr>
                <w:rFonts w:ascii="Arial" w:cs="Arial" w:eastAsia="Arial" w:hAnsi="Arial"/>
                <w:sz w:val="14"/>
                <w:szCs w:val="14"/>
                <w:color w:val="0000EE"/>
                <w:w w:val="94"/>
              </w:rPr>
            </w:pPr>
            <w:hyperlink r:id="rId139">
              <w:r>
                <w:rPr>
                  <w:rFonts w:ascii="Arial" w:cs="Arial" w:eastAsia="Arial" w:hAnsi="Arial"/>
                  <w:sz w:val="14"/>
                  <w:szCs w:val="14"/>
                  <w:color w:val="0000EE"/>
                  <w:w w:val="94"/>
                </w:rPr>
                <w:t>Limited Liability Company Agreement of PennantPark Senior Secured Loan Fund I LLC, dated as of May 4, 2017, by and between PennantPark Floating Rate Capital Ltd. and</w:t>
              </w:r>
            </w:hyperlink>
          </w:p>
        </w:tc>
      </w:tr>
      <w:tr>
        <w:trPr>
          <w:trHeight w:val="128"/>
        </w:trPr>
        <w:tc>
          <w:tcPr>
            <w:tcW w:w="1040" w:type="dxa"/>
            <w:vAlign w:val="bottom"/>
          </w:tcPr>
          <w:p>
            <w:pPr>
              <w:spacing w:after="0"/>
              <w:rPr>
                <w:sz w:val="11"/>
                <w:szCs w:val="11"/>
                <w:color w:val="auto"/>
              </w:rPr>
            </w:pPr>
          </w:p>
        </w:tc>
        <w:tc>
          <w:tcPr>
            <w:tcW w:w="10140" w:type="dxa"/>
            <w:vAlign w:val="bottom"/>
            <w:tcBorders>
              <w:top w:val="single" w:sz="8" w:color="0000EE"/>
            </w:tcBorders>
            <w:gridSpan w:val="30"/>
          </w:tcPr>
          <w:p>
            <w:pPr>
              <w:spacing w:after="0" w:line="129" w:lineRule="exact"/>
              <w:rPr>
                <w:rFonts w:ascii="Arial" w:cs="Arial" w:eastAsia="Arial" w:hAnsi="Arial"/>
                <w:sz w:val="14"/>
                <w:szCs w:val="14"/>
                <w:color w:val="0000EE"/>
                <w:w w:val="95"/>
              </w:rPr>
            </w:pPr>
            <w:hyperlink r:id="rId139">
              <w:r>
                <w:rPr>
                  <w:rFonts w:ascii="Arial" w:cs="Arial" w:eastAsia="Arial" w:hAnsi="Arial"/>
                  <w:sz w:val="14"/>
                  <w:szCs w:val="14"/>
                  <w:color w:val="0000EE"/>
                  <w:w w:val="95"/>
                </w:rPr>
                <w:t>Trinity Universal Insurance Company (Incorporated by reference to Exhibit 10.1 to the Registrant’s Quarterly Report on Form 10-Q (File No. 814-00891), filed on August 8,</w:t>
              </w:r>
            </w:hyperlink>
          </w:p>
        </w:tc>
        <w:tc>
          <w:tcPr>
            <w:tcW w:w="80" w:type="dxa"/>
            <w:vAlign w:val="bottom"/>
            <w:gridSpan w:val="3"/>
          </w:tcPr>
          <w:p>
            <w:pPr>
              <w:spacing w:after="0"/>
              <w:rPr>
                <w:sz w:val="11"/>
                <w:szCs w:val="11"/>
                <w:color w:val="auto"/>
              </w:rPr>
            </w:pPr>
          </w:p>
        </w:tc>
      </w:tr>
      <w:tr>
        <w:trPr>
          <w:trHeight w:val="128"/>
        </w:trPr>
        <w:tc>
          <w:tcPr>
            <w:tcW w:w="1040" w:type="dxa"/>
            <w:vAlign w:val="bottom"/>
          </w:tcPr>
          <w:p>
            <w:pPr>
              <w:spacing w:after="0"/>
              <w:rPr>
                <w:sz w:val="11"/>
                <w:szCs w:val="11"/>
                <w:color w:val="auto"/>
              </w:rPr>
            </w:pPr>
          </w:p>
        </w:tc>
        <w:tc>
          <w:tcPr>
            <w:tcW w:w="38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90"/>
              </w:rPr>
            </w:pPr>
            <w:hyperlink r:id="rId139">
              <w:r>
                <w:rPr>
                  <w:rFonts w:ascii="Arial" w:cs="Arial" w:eastAsia="Arial" w:hAnsi="Arial"/>
                  <w:sz w:val="14"/>
                  <w:szCs w:val="14"/>
                  <w:color w:val="0000EE"/>
                  <w:w w:val="90"/>
                </w:rPr>
                <w:t>2017).</w:t>
              </w:r>
            </w:hyperlink>
          </w:p>
        </w:tc>
        <w:tc>
          <w:tcPr>
            <w:tcW w:w="6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30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2520" w:type="dxa"/>
            <w:vAlign w:val="bottom"/>
            <w:tcBorders>
              <w:top w:val="single" w:sz="8" w:color="0000EE"/>
            </w:tcBorders>
          </w:tcPr>
          <w:p>
            <w:pPr>
              <w:spacing w:after="0"/>
              <w:rPr>
                <w:sz w:val="11"/>
                <w:szCs w:val="11"/>
                <w:color w:val="auto"/>
              </w:rPr>
            </w:pPr>
          </w:p>
        </w:tc>
        <w:tc>
          <w:tcPr>
            <w:tcW w:w="16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1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10.7</w:t>
            </w:r>
          </w:p>
        </w:tc>
        <w:tc>
          <w:tcPr>
            <w:tcW w:w="10220" w:type="dxa"/>
            <w:vAlign w:val="bottom"/>
            <w:gridSpan w:val="33"/>
          </w:tcPr>
          <w:p>
            <w:pPr>
              <w:spacing w:after="0"/>
              <w:rPr>
                <w:rFonts w:ascii="Arial" w:cs="Arial" w:eastAsia="Arial" w:hAnsi="Arial"/>
                <w:sz w:val="14"/>
                <w:szCs w:val="14"/>
                <w:color w:val="0000EE"/>
                <w:w w:val="97"/>
              </w:rPr>
            </w:pPr>
            <w:hyperlink r:id="rId140">
              <w:r>
                <w:rPr>
                  <w:rFonts w:ascii="Arial" w:cs="Arial" w:eastAsia="Arial" w:hAnsi="Arial"/>
                  <w:sz w:val="14"/>
                  <w:szCs w:val="14"/>
                  <w:color w:val="0000EE"/>
                  <w:w w:val="97"/>
                </w:rPr>
                <w:t>Indemnification Agreement, dated as of November 15, 2016, between PennantPark Floating Rate Capital Ltd. and each of the directors and officers listed on Schedule A</w:t>
              </w:r>
            </w:hyperlink>
          </w:p>
        </w:tc>
      </w:tr>
      <w:tr>
        <w:trPr>
          <w:trHeight w:val="176"/>
        </w:trPr>
        <w:tc>
          <w:tcPr>
            <w:tcW w:w="1040" w:type="dxa"/>
            <w:vAlign w:val="bottom"/>
          </w:tcPr>
          <w:p>
            <w:pPr>
              <w:spacing w:after="0"/>
              <w:rPr>
                <w:sz w:val="15"/>
                <w:szCs w:val="15"/>
                <w:color w:val="auto"/>
              </w:rPr>
            </w:pPr>
          </w:p>
        </w:tc>
        <w:tc>
          <w:tcPr>
            <w:tcW w:w="9740" w:type="dxa"/>
            <w:vAlign w:val="bottom"/>
            <w:tcBorders>
              <w:top w:val="single" w:sz="8" w:color="0000EE"/>
            </w:tcBorders>
            <w:gridSpan w:val="16"/>
          </w:tcPr>
          <w:p>
            <w:pPr>
              <w:spacing w:after="0"/>
              <w:rPr>
                <w:rFonts w:ascii="Arial" w:cs="Arial" w:eastAsia="Arial" w:hAnsi="Arial"/>
                <w:sz w:val="14"/>
                <w:szCs w:val="14"/>
                <w:u w:val="single" w:color="auto"/>
                <w:color w:val="0000EE"/>
                <w:w w:val="99"/>
              </w:rPr>
            </w:pPr>
            <w:hyperlink r:id="rId140">
              <w:r>
                <w:rPr>
                  <w:rFonts w:ascii="Arial" w:cs="Arial" w:eastAsia="Arial" w:hAnsi="Arial"/>
                  <w:sz w:val="14"/>
                  <w:szCs w:val="14"/>
                  <w:u w:val="single" w:color="auto"/>
                  <w:color w:val="0000EE"/>
                  <w:w w:val="99"/>
                </w:rPr>
                <w:t>attached thereto (Incorporated by reference to Exhibit 10.6 to the Registrant’s Annual Report on Form 10-K (File No. 814-00891) filed on November 22, 2016).</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223"/>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10.8</w:t>
            </w:r>
          </w:p>
        </w:tc>
        <w:tc>
          <w:tcPr>
            <w:tcW w:w="9820" w:type="dxa"/>
            <w:vAlign w:val="bottom"/>
            <w:tcBorders>
              <w:bottom w:val="single" w:sz="8" w:color="0000EE"/>
            </w:tcBorders>
            <w:gridSpan w:val="20"/>
          </w:tcPr>
          <w:p>
            <w:pPr>
              <w:spacing w:after="0"/>
              <w:rPr>
                <w:rFonts w:ascii="Arial" w:cs="Arial" w:eastAsia="Arial" w:hAnsi="Arial"/>
                <w:sz w:val="14"/>
                <w:szCs w:val="14"/>
                <w:color w:val="0000EE"/>
                <w:w w:val="93"/>
              </w:rPr>
            </w:pPr>
            <w:hyperlink r:id="rId141">
              <w:r>
                <w:rPr>
                  <w:rFonts w:ascii="Arial" w:cs="Arial" w:eastAsia="Arial" w:hAnsi="Arial"/>
                  <w:sz w:val="14"/>
                  <w:szCs w:val="14"/>
                  <w:color w:val="0000EE"/>
                  <w:w w:val="93"/>
                </w:rPr>
                <w:t>Credit Agreement, dated as of September 19, 2019, by and among PennantPark CLO I, Ltd., as borrower, PennantPark CLO I, LLC, as co-borrower, the various financial</w:t>
              </w:r>
            </w:hyperlink>
          </w:p>
        </w:tc>
        <w:tc>
          <w:tcPr>
            <w:tcW w:w="400" w:type="dxa"/>
            <w:vAlign w:val="bottom"/>
            <w:gridSpan w:val="13"/>
          </w:tcPr>
          <w:p>
            <w:pPr>
              <w:spacing w:after="0"/>
              <w:rPr>
                <w:sz w:val="19"/>
                <w:szCs w:val="19"/>
                <w:color w:val="auto"/>
              </w:rPr>
            </w:pPr>
          </w:p>
        </w:tc>
      </w:tr>
      <w:tr>
        <w:trPr>
          <w:trHeight w:val="128"/>
        </w:trPr>
        <w:tc>
          <w:tcPr>
            <w:tcW w:w="1040" w:type="dxa"/>
            <w:vAlign w:val="bottom"/>
          </w:tcPr>
          <w:p>
            <w:pPr>
              <w:spacing w:after="0"/>
              <w:rPr>
                <w:sz w:val="11"/>
                <w:szCs w:val="11"/>
                <w:color w:val="auto"/>
              </w:rPr>
            </w:pPr>
          </w:p>
        </w:tc>
        <w:tc>
          <w:tcPr>
            <w:tcW w:w="10220" w:type="dxa"/>
            <w:vAlign w:val="bottom"/>
            <w:gridSpan w:val="33"/>
          </w:tcPr>
          <w:p>
            <w:pPr>
              <w:spacing w:after="0" w:line="129" w:lineRule="exact"/>
              <w:rPr>
                <w:rFonts w:ascii="Arial" w:cs="Arial" w:eastAsia="Arial" w:hAnsi="Arial"/>
                <w:sz w:val="14"/>
                <w:szCs w:val="14"/>
                <w:color w:val="0000EE"/>
                <w:w w:val="95"/>
              </w:rPr>
            </w:pPr>
            <w:hyperlink r:id="rId141">
              <w:r>
                <w:rPr>
                  <w:rFonts w:ascii="Arial" w:cs="Arial" w:eastAsia="Arial" w:hAnsi="Arial"/>
                  <w:sz w:val="14"/>
                  <w:szCs w:val="14"/>
                  <w:color w:val="0000EE"/>
                  <w:w w:val="95"/>
                </w:rPr>
                <w:t>institutions party thereto from time to time, as lenders, and U.S. Bank National Association, as collateral agent and as loan agent (Incorporated by reference to Exhibit 99.3 to</w:t>
              </w:r>
            </w:hyperlink>
          </w:p>
        </w:tc>
      </w:tr>
      <w:tr>
        <w:trPr>
          <w:trHeight w:val="128"/>
        </w:trPr>
        <w:tc>
          <w:tcPr>
            <w:tcW w:w="1040" w:type="dxa"/>
            <w:vAlign w:val="bottom"/>
          </w:tcPr>
          <w:p>
            <w:pPr>
              <w:spacing w:after="0"/>
              <w:rPr>
                <w:sz w:val="11"/>
                <w:szCs w:val="11"/>
                <w:color w:val="auto"/>
              </w:rPr>
            </w:pPr>
          </w:p>
        </w:tc>
        <w:tc>
          <w:tcPr>
            <w:tcW w:w="10060" w:type="dxa"/>
            <w:vAlign w:val="bottom"/>
            <w:tcBorders>
              <w:top w:val="single" w:sz="8" w:color="0000EE"/>
            </w:tcBorders>
            <w:gridSpan w:val="27"/>
          </w:tcPr>
          <w:p>
            <w:pPr>
              <w:spacing w:after="0" w:line="129" w:lineRule="exact"/>
              <w:rPr>
                <w:rFonts w:ascii="Arial" w:cs="Arial" w:eastAsia="Arial" w:hAnsi="Arial"/>
                <w:sz w:val="14"/>
                <w:szCs w:val="14"/>
                <w:color w:val="0000EE"/>
              </w:rPr>
            </w:pPr>
            <w:hyperlink r:id="rId141">
              <w:r>
                <w:rPr>
                  <w:rFonts w:ascii="Arial" w:cs="Arial" w:eastAsia="Arial" w:hAnsi="Arial"/>
                  <w:sz w:val="14"/>
                  <w:szCs w:val="14"/>
                  <w:color w:val="0000EE"/>
                </w:rPr>
                <w:t>the Registrant’s Current Report on Form 8-K (File No. 814-00891), filed on September 20, 2019).</w:t>
              </w:r>
            </w:hyperlink>
          </w:p>
        </w:tc>
        <w:tc>
          <w:tcPr>
            <w:tcW w:w="160" w:type="dxa"/>
            <w:vAlign w:val="bottom"/>
            <w:gridSpan w:val="6"/>
          </w:tcPr>
          <w:p>
            <w:pPr>
              <w:spacing w:after="0"/>
              <w:rPr>
                <w:sz w:val="11"/>
                <w:szCs w:val="11"/>
                <w:color w:val="auto"/>
              </w:rPr>
            </w:pPr>
          </w:p>
        </w:tc>
      </w:tr>
      <w:tr>
        <w:trPr>
          <w:trHeight w:val="20"/>
        </w:trPr>
        <w:tc>
          <w:tcPr>
            <w:tcW w:w="10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250"/>
        </w:trPr>
        <w:tc>
          <w:tcPr>
            <w:tcW w:w="1040" w:type="dxa"/>
            <w:vAlign w:val="bottom"/>
          </w:tcPr>
          <w:p>
            <w:pPr>
              <w:jc w:val="right"/>
              <w:ind w:right="708"/>
              <w:spacing w:after="0"/>
              <w:rPr>
                <w:sz w:val="20"/>
                <w:szCs w:val="20"/>
                <w:color w:val="auto"/>
              </w:rPr>
            </w:pPr>
            <w:r>
              <w:rPr>
                <w:rFonts w:ascii="Arial" w:cs="Arial" w:eastAsia="Arial" w:hAnsi="Arial"/>
                <w:sz w:val="14"/>
                <w:szCs w:val="14"/>
                <w:color w:val="auto"/>
                <w:w w:val="87"/>
              </w:rPr>
              <w:t>10.9</w:t>
            </w:r>
          </w:p>
        </w:tc>
        <w:tc>
          <w:tcPr>
            <w:tcW w:w="10220" w:type="dxa"/>
            <w:vAlign w:val="bottom"/>
            <w:gridSpan w:val="33"/>
          </w:tcPr>
          <w:p>
            <w:pPr>
              <w:spacing w:after="0"/>
              <w:rPr>
                <w:rFonts w:ascii="Arial" w:cs="Arial" w:eastAsia="Arial" w:hAnsi="Arial"/>
                <w:sz w:val="14"/>
                <w:szCs w:val="14"/>
                <w:color w:val="0000EE"/>
                <w:w w:val="95"/>
              </w:rPr>
            </w:pPr>
            <w:hyperlink r:id="rId142">
              <w:r>
                <w:rPr>
                  <w:rFonts w:ascii="Arial" w:cs="Arial" w:eastAsia="Arial" w:hAnsi="Arial"/>
                  <w:sz w:val="14"/>
                  <w:szCs w:val="14"/>
                  <w:color w:val="0000EE"/>
                  <w:w w:val="95"/>
                </w:rPr>
                <w:t>Collateral Management Agreement, dated as of September 19, 2019, between PennantPark CLO I, Ltd., as issuer, and PennantPark Investment Advisers, LLC, as collateral</w:t>
              </w:r>
            </w:hyperlink>
          </w:p>
        </w:tc>
      </w:tr>
      <w:tr>
        <w:trPr>
          <w:trHeight w:val="176"/>
        </w:trPr>
        <w:tc>
          <w:tcPr>
            <w:tcW w:w="1040" w:type="dxa"/>
            <w:vAlign w:val="bottom"/>
          </w:tcPr>
          <w:p>
            <w:pPr>
              <w:spacing w:after="0"/>
              <w:rPr>
                <w:sz w:val="15"/>
                <w:szCs w:val="15"/>
                <w:color w:val="auto"/>
              </w:rPr>
            </w:pPr>
          </w:p>
        </w:tc>
        <w:tc>
          <w:tcPr>
            <w:tcW w:w="9880" w:type="dxa"/>
            <w:vAlign w:val="bottom"/>
            <w:tcBorders>
              <w:top w:val="single" w:sz="8" w:color="0000EE"/>
            </w:tcBorders>
            <w:gridSpan w:val="21"/>
          </w:tcPr>
          <w:p>
            <w:pPr>
              <w:spacing w:after="0"/>
              <w:rPr>
                <w:rFonts w:ascii="Arial" w:cs="Arial" w:eastAsia="Arial" w:hAnsi="Arial"/>
                <w:sz w:val="14"/>
                <w:szCs w:val="14"/>
                <w:u w:val="single" w:color="auto"/>
                <w:color w:val="0000EE"/>
              </w:rPr>
            </w:pPr>
            <w:hyperlink r:id="rId142">
              <w:r>
                <w:rPr>
                  <w:rFonts w:ascii="Arial" w:cs="Arial" w:eastAsia="Arial" w:hAnsi="Arial"/>
                  <w:sz w:val="14"/>
                  <w:szCs w:val="14"/>
                  <w:u w:val="single" w:color="auto"/>
                  <w:color w:val="0000EE"/>
                </w:rPr>
                <w:t>manager (Incorporated by reference to Exhibit 99.4 to the Registrant’s Current Report on Form 8-K (File No. 814-00891), filed on September 20, 2019).</w:t>
              </w:r>
            </w:hyperlink>
          </w:p>
        </w:tc>
        <w:tc>
          <w:tcPr>
            <w:tcW w:w="120" w:type="dxa"/>
            <w:vAlign w:val="bottom"/>
            <w:gridSpan w:val="3"/>
          </w:tcPr>
          <w:p>
            <w:pPr>
              <w:spacing w:after="0"/>
              <w:rPr>
                <w:sz w:val="15"/>
                <w:szCs w:val="15"/>
                <w:color w:val="auto"/>
              </w:rPr>
            </w:pPr>
          </w:p>
        </w:tc>
        <w:tc>
          <w:tcPr>
            <w:tcW w:w="220" w:type="dxa"/>
            <w:vAlign w:val="bottom"/>
            <w:gridSpan w:val="9"/>
          </w:tcPr>
          <w:p>
            <w:pPr>
              <w:spacing w:after="0"/>
              <w:rPr>
                <w:sz w:val="15"/>
                <w:szCs w:val="15"/>
                <w:color w:val="auto"/>
              </w:rPr>
            </w:pPr>
          </w:p>
        </w:tc>
      </w:tr>
      <w:tr>
        <w:trPr>
          <w:trHeight w:val="223"/>
        </w:trPr>
        <w:tc>
          <w:tcPr>
            <w:tcW w:w="1040" w:type="dxa"/>
            <w:vAlign w:val="bottom"/>
          </w:tcPr>
          <w:p>
            <w:pPr>
              <w:jc w:val="right"/>
              <w:ind w:right="628"/>
              <w:spacing w:after="0"/>
              <w:rPr>
                <w:sz w:val="20"/>
                <w:szCs w:val="20"/>
                <w:color w:val="auto"/>
              </w:rPr>
            </w:pPr>
            <w:r>
              <w:rPr>
                <w:rFonts w:ascii="Arial" w:cs="Arial" w:eastAsia="Arial" w:hAnsi="Arial"/>
                <w:sz w:val="14"/>
                <w:szCs w:val="14"/>
                <w:color w:val="auto"/>
                <w:w w:val="91"/>
              </w:rPr>
              <w:t>10.10</w:t>
            </w:r>
          </w:p>
        </w:tc>
        <w:tc>
          <w:tcPr>
            <w:tcW w:w="10220" w:type="dxa"/>
            <w:vAlign w:val="bottom"/>
            <w:gridSpan w:val="33"/>
          </w:tcPr>
          <w:p>
            <w:pPr>
              <w:spacing w:after="0"/>
              <w:rPr>
                <w:rFonts w:ascii="Arial" w:cs="Arial" w:eastAsia="Arial" w:hAnsi="Arial"/>
                <w:sz w:val="14"/>
                <w:szCs w:val="14"/>
                <w:color w:val="0000EE"/>
                <w:w w:val="94"/>
              </w:rPr>
            </w:pPr>
            <w:hyperlink r:id="rId143">
              <w:r>
                <w:rPr>
                  <w:rFonts w:ascii="Arial" w:cs="Arial" w:eastAsia="Arial" w:hAnsi="Arial"/>
                  <w:sz w:val="14"/>
                  <w:szCs w:val="14"/>
                  <w:color w:val="0000EE"/>
                  <w:w w:val="94"/>
                </w:rPr>
                <w:t>Master Loan Sale Agreement, dated as of September 19, 2019, among PennantPark Floating Rate Capital Ltd., as seller, PennantPark CLO I Depositor, LLC, as intermediate</w:t>
              </w:r>
            </w:hyperlink>
          </w:p>
        </w:tc>
      </w:tr>
      <w:tr>
        <w:trPr>
          <w:trHeight w:val="128"/>
        </w:trPr>
        <w:tc>
          <w:tcPr>
            <w:tcW w:w="1040" w:type="dxa"/>
            <w:vAlign w:val="bottom"/>
          </w:tcPr>
          <w:p>
            <w:pPr>
              <w:spacing w:after="0"/>
              <w:rPr>
                <w:sz w:val="11"/>
                <w:szCs w:val="11"/>
                <w:color w:val="auto"/>
              </w:rPr>
            </w:pPr>
          </w:p>
        </w:tc>
        <w:tc>
          <w:tcPr>
            <w:tcW w:w="10000" w:type="dxa"/>
            <w:vAlign w:val="bottom"/>
            <w:tcBorders>
              <w:top w:val="single" w:sz="8" w:color="0000EE"/>
            </w:tcBorders>
            <w:gridSpan w:val="24"/>
          </w:tcPr>
          <w:p>
            <w:pPr>
              <w:spacing w:after="0" w:line="129" w:lineRule="exact"/>
              <w:rPr>
                <w:rFonts w:ascii="Arial" w:cs="Arial" w:eastAsia="Arial" w:hAnsi="Arial"/>
                <w:sz w:val="14"/>
                <w:szCs w:val="14"/>
                <w:color w:val="0000EE"/>
                <w:w w:val="97"/>
              </w:rPr>
            </w:pPr>
            <w:hyperlink r:id="rId143">
              <w:r>
                <w:rPr>
                  <w:rFonts w:ascii="Arial" w:cs="Arial" w:eastAsia="Arial" w:hAnsi="Arial"/>
                  <w:sz w:val="14"/>
                  <w:szCs w:val="14"/>
                  <w:color w:val="0000EE"/>
                  <w:w w:val="97"/>
                </w:rPr>
                <w:t>seller, and PennantPark CLO I, Ltd., as buyer (Incorporated by reference to Exhibit 99.5 to the Registrant’s Current Report on Form 8-K (File No. 814-00891), filed on</w:t>
              </w:r>
            </w:hyperlink>
          </w:p>
        </w:tc>
        <w:tc>
          <w:tcPr>
            <w:tcW w:w="220" w:type="dxa"/>
            <w:vAlign w:val="bottom"/>
            <w:gridSpan w:val="9"/>
          </w:tcPr>
          <w:p>
            <w:pPr>
              <w:spacing w:after="0"/>
              <w:rPr>
                <w:sz w:val="11"/>
                <w:szCs w:val="11"/>
                <w:color w:val="auto"/>
              </w:rPr>
            </w:pPr>
          </w:p>
        </w:tc>
      </w:tr>
      <w:tr>
        <w:trPr>
          <w:trHeight w:val="128"/>
        </w:trPr>
        <w:tc>
          <w:tcPr>
            <w:tcW w:w="1040" w:type="dxa"/>
            <w:vAlign w:val="bottom"/>
          </w:tcPr>
          <w:p>
            <w:pPr>
              <w:spacing w:after="0"/>
              <w:rPr>
                <w:sz w:val="11"/>
                <w:szCs w:val="11"/>
                <w:color w:val="auto"/>
              </w:rPr>
            </w:pPr>
          </w:p>
        </w:tc>
        <w:tc>
          <w:tcPr>
            <w:tcW w:w="964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r:id="rId143">
              <w:r>
                <w:rPr>
                  <w:rFonts w:ascii="Arial" w:cs="Arial" w:eastAsia="Arial" w:hAnsi="Arial"/>
                  <w:sz w:val="14"/>
                  <w:szCs w:val="14"/>
                  <w:color w:val="0000EE"/>
                </w:rPr>
                <w:t>September 20, 2019).</w:t>
              </w:r>
            </w:hyperlink>
          </w:p>
        </w:tc>
        <w:tc>
          <w:tcPr>
            <w:tcW w:w="8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60" w:type="dxa"/>
            <w:vAlign w:val="bottom"/>
            <w:gridSpan w:val="16"/>
          </w:tcPr>
          <w:p>
            <w:pPr>
              <w:spacing w:after="0"/>
              <w:rPr>
                <w:sz w:val="11"/>
                <w:szCs w:val="11"/>
                <w:color w:val="auto"/>
              </w:rPr>
            </w:pPr>
          </w:p>
        </w:tc>
      </w:tr>
      <w:tr>
        <w:trPr>
          <w:trHeight w:val="20"/>
        </w:trPr>
        <w:tc>
          <w:tcPr>
            <w:tcW w:w="10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82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16"/>
          </w:tcPr>
          <w:p>
            <w:pPr>
              <w:spacing w:after="0" w:line="20" w:lineRule="exact"/>
              <w:rPr>
                <w:sz w:val="1"/>
                <w:szCs w:val="1"/>
                <w:color w:val="auto"/>
              </w:rPr>
            </w:pPr>
          </w:p>
        </w:tc>
      </w:tr>
      <w:tr>
        <w:trPr>
          <w:trHeight w:val="250"/>
        </w:trPr>
        <w:tc>
          <w:tcPr>
            <w:tcW w:w="1040" w:type="dxa"/>
            <w:vAlign w:val="bottom"/>
          </w:tcPr>
          <w:p>
            <w:pPr>
              <w:jc w:val="right"/>
              <w:ind w:right="648"/>
              <w:spacing w:after="0"/>
              <w:rPr>
                <w:sz w:val="20"/>
                <w:szCs w:val="20"/>
                <w:color w:val="auto"/>
              </w:rPr>
            </w:pPr>
            <w:r>
              <w:rPr>
                <w:rFonts w:ascii="Arial" w:cs="Arial" w:eastAsia="Arial" w:hAnsi="Arial"/>
                <w:sz w:val="14"/>
                <w:szCs w:val="14"/>
                <w:color w:val="auto"/>
                <w:w w:val="85"/>
              </w:rPr>
              <w:t>10.11</w:t>
            </w:r>
          </w:p>
        </w:tc>
        <w:tc>
          <w:tcPr>
            <w:tcW w:w="10220" w:type="dxa"/>
            <w:vAlign w:val="bottom"/>
            <w:gridSpan w:val="33"/>
          </w:tcPr>
          <w:p>
            <w:pPr>
              <w:spacing w:after="0"/>
              <w:rPr>
                <w:rFonts w:ascii="Arial" w:cs="Arial" w:eastAsia="Arial" w:hAnsi="Arial"/>
                <w:sz w:val="14"/>
                <w:szCs w:val="14"/>
                <w:color w:val="0000EE"/>
                <w:w w:val="98"/>
              </w:rPr>
            </w:pPr>
            <w:hyperlink r:id="rId144">
              <w:r>
                <w:rPr>
                  <w:rFonts w:ascii="Arial" w:cs="Arial" w:eastAsia="Arial" w:hAnsi="Arial"/>
                  <w:sz w:val="14"/>
                  <w:szCs w:val="14"/>
                  <w:color w:val="0000EE"/>
                  <w:w w:val="98"/>
                </w:rPr>
                <w:t>Master Participation Agreement, dated as of September 19, 2019, between PennantPark Floating Rate Funding I, LLC, as seller and PennantPark CLO I, Ltd., as buyer</w:t>
              </w:r>
            </w:hyperlink>
          </w:p>
        </w:tc>
      </w:tr>
      <w:tr>
        <w:trPr>
          <w:trHeight w:val="176"/>
        </w:trPr>
        <w:tc>
          <w:tcPr>
            <w:tcW w:w="1040" w:type="dxa"/>
            <w:vAlign w:val="bottom"/>
          </w:tcPr>
          <w:p>
            <w:pPr>
              <w:spacing w:after="0"/>
              <w:rPr>
                <w:sz w:val="15"/>
                <w:szCs w:val="15"/>
                <w:color w:val="auto"/>
              </w:rPr>
            </w:pPr>
          </w:p>
        </w:tc>
        <w:tc>
          <w:tcPr>
            <w:tcW w:w="9620" w:type="dxa"/>
            <w:vAlign w:val="bottom"/>
            <w:tcBorders>
              <w:top w:val="single" w:sz="8" w:color="0000EE"/>
            </w:tcBorders>
            <w:gridSpan w:val="12"/>
          </w:tcPr>
          <w:p>
            <w:pPr>
              <w:spacing w:after="0"/>
              <w:rPr>
                <w:rFonts w:ascii="Arial" w:cs="Arial" w:eastAsia="Arial" w:hAnsi="Arial"/>
                <w:sz w:val="14"/>
                <w:szCs w:val="14"/>
                <w:u w:val="single" w:color="auto"/>
                <w:color w:val="0000EE"/>
              </w:rPr>
            </w:pPr>
            <w:hyperlink r:id="rId144">
              <w:r>
                <w:rPr>
                  <w:rFonts w:ascii="Arial" w:cs="Arial" w:eastAsia="Arial" w:hAnsi="Arial"/>
                  <w:sz w:val="14"/>
                  <w:szCs w:val="14"/>
                  <w:u w:val="single" w:color="auto"/>
                  <w:color w:val="0000EE"/>
                </w:rPr>
                <w:t>(Incorporated by reference to Exhibit 99.6 to the Registrant’s Current Report on Form 8-K (File No. 814-00891), filed on September 20, 2019).</w:t>
              </w:r>
            </w:hyperlink>
          </w:p>
        </w:tc>
        <w:tc>
          <w:tcPr>
            <w:tcW w:w="10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60" w:type="dxa"/>
            <w:vAlign w:val="bottom"/>
            <w:gridSpan w:val="16"/>
          </w:tcPr>
          <w:p>
            <w:pPr>
              <w:spacing w:after="0"/>
              <w:rPr>
                <w:sz w:val="15"/>
                <w:szCs w:val="15"/>
                <w:color w:val="auto"/>
              </w:rPr>
            </w:pPr>
          </w:p>
        </w:tc>
      </w:tr>
      <w:tr>
        <w:trPr>
          <w:trHeight w:val="223"/>
        </w:trPr>
        <w:tc>
          <w:tcPr>
            <w:tcW w:w="1040" w:type="dxa"/>
            <w:vAlign w:val="bottom"/>
          </w:tcPr>
          <w:p>
            <w:pPr>
              <w:jc w:val="right"/>
              <w:ind w:right="628"/>
              <w:spacing w:after="0"/>
              <w:rPr>
                <w:sz w:val="20"/>
                <w:szCs w:val="20"/>
                <w:color w:val="auto"/>
              </w:rPr>
            </w:pPr>
            <w:r>
              <w:rPr>
                <w:rFonts w:ascii="Arial" w:cs="Arial" w:eastAsia="Arial" w:hAnsi="Arial"/>
                <w:sz w:val="14"/>
                <w:szCs w:val="14"/>
                <w:color w:val="auto"/>
                <w:w w:val="91"/>
              </w:rPr>
              <w:t>10.12</w:t>
            </w:r>
          </w:p>
        </w:tc>
        <w:tc>
          <w:tcPr>
            <w:tcW w:w="10220" w:type="dxa"/>
            <w:vAlign w:val="bottom"/>
            <w:gridSpan w:val="33"/>
          </w:tcPr>
          <w:p>
            <w:pPr>
              <w:spacing w:after="0"/>
              <w:rPr>
                <w:rFonts w:ascii="Arial" w:cs="Arial" w:eastAsia="Arial" w:hAnsi="Arial"/>
                <w:sz w:val="14"/>
                <w:szCs w:val="14"/>
                <w:color w:val="0000EE"/>
                <w:w w:val="97"/>
              </w:rPr>
            </w:pPr>
            <w:hyperlink r:id="rId145">
              <w:r>
                <w:rPr>
                  <w:rFonts w:ascii="Arial" w:cs="Arial" w:eastAsia="Arial" w:hAnsi="Arial"/>
                  <w:sz w:val="14"/>
                  <w:szCs w:val="14"/>
                  <w:color w:val="0000EE"/>
                  <w:w w:val="97"/>
                </w:rPr>
                <w:t>Fourth Amended and Restated Revolving Credit and Security Agreement, dated as of October 30, 2018, among PennantPark Floating Rate Funding I, LLC, as borrower,</w:t>
              </w:r>
            </w:hyperlink>
          </w:p>
        </w:tc>
      </w:tr>
      <w:tr>
        <w:trPr>
          <w:trHeight w:val="128"/>
        </w:trPr>
        <w:tc>
          <w:tcPr>
            <w:tcW w:w="1040" w:type="dxa"/>
            <w:vAlign w:val="bottom"/>
          </w:tcPr>
          <w:p>
            <w:pPr>
              <w:spacing w:after="0"/>
              <w:rPr>
                <w:sz w:val="11"/>
                <w:szCs w:val="11"/>
                <w:color w:val="auto"/>
              </w:rPr>
            </w:pPr>
          </w:p>
        </w:tc>
        <w:tc>
          <w:tcPr>
            <w:tcW w:w="9760" w:type="dxa"/>
            <w:vAlign w:val="bottom"/>
            <w:tcBorders>
              <w:top w:val="single" w:sz="8" w:color="0000EE"/>
            </w:tcBorders>
            <w:gridSpan w:val="17"/>
          </w:tcPr>
          <w:p>
            <w:pPr>
              <w:spacing w:after="0" w:line="129" w:lineRule="exact"/>
              <w:rPr>
                <w:rFonts w:ascii="Arial" w:cs="Arial" w:eastAsia="Arial" w:hAnsi="Arial"/>
                <w:sz w:val="14"/>
                <w:szCs w:val="14"/>
                <w:color w:val="0000EE"/>
                <w:w w:val="93"/>
              </w:rPr>
            </w:pPr>
            <w:hyperlink r:id="rId145">
              <w:r>
                <w:rPr>
                  <w:rFonts w:ascii="Arial" w:cs="Arial" w:eastAsia="Arial" w:hAnsi="Arial"/>
                  <w:sz w:val="14"/>
                  <w:szCs w:val="14"/>
                  <w:color w:val="0000EE"/>
                  <w:w w:val="93"/>
                </w:rPr>
                <w:t>PennantPark Investment Advisers, LLC, as collateral manager, the lenders from time to time parties thereto, SunTrust Bank, as administrative agent, SunTrust Robinson</w:t>
              </w:r>
            </w:hyperlink>
          </w:p>
        </w:tc>
        <w:tc>
          <w:tcPr>
            <w:tcW w:w="460" w:type="dxa"/>
            <w:vAlign w:val="bottom"/>
            <w:gridSpan w:val="16"/>
          </w:tcPr>
          <w:p>
            <w:pPr>
              <w:spacing w:after="0"/>
              <w:rPr>
                <w:sz w:val="11"/>
                <w:szCs w:val="11"/>
                <w:color w:val="auto"/>
              </w:rPr>
            </w:pPr>
          </w:p>
        </w:tc>
      </w:tr>
      <w:tr>
        <w:trPr>
          <w:trHeight w:val="128"/>
        </w:trPr>
        <w:tc>
          <w:tcPr>
            <w:tcW w:w="1040" w:type="dxa"/>
            <w:vAlign w:val="bottom"/>
          </w:tcPr>
          <w:p>
            <w:pPr>
              <w:spacing w:after="0"/>
              <w:rPr>
                <w:sz w:val="11"/>
                <w:szCs w:val="11"/>
                <w:color w:val="auto"/>
              </w:rPr>
            </w:pPr>
          </w:p>
        </w:tc>
        <w:tc>
          <w:tcPr>
            <w:tcW w:w="9720" w:type="dxa"/>
            <w:vAlign w:val="bottom"/>
            <w:tcBorders>
              <w:top w:val="single" w:sz="8" w:color="0000EE"/>
            </w:tcBorders>
            <w:gridSpan w:val="15"/>
          </w:tcPr>
          <w:p>
            <w:pPr>
              <w:spacing w:after="0" w:line="129" w:lineRule="exact"/>
              <w:rPr>
                <w:rFonts w:ascii="Arial" w:cs="Arial" w:eastAsia="Arial" w:hAnsi="Arial"/>
                <w:sz w:val="14"/>
                <w:szCs w:val="14"/>
                <w:color w:val="0000EE"/>
                <w:w w:val="94"/>
              </w:rPr>
            </w:pPr>
            <w:hyperlink r:id="rId145">
              <w:r>
                <w:rPr>
                  <w:rFonts w:ascii="Arial" w:cs="Arial" w:eastAsia="Arial" w:hAnsi="Arial"/>
                  <w:sz w:val="14"/>
                  <w:szCs w:val="14"/>
                  <w:color w:val="0000EE"/>
                  <w:w w:val="94"/>
                </w:rPr>
                <w:t>Humphrey, Inc., as lead arranger, and U.S. Bank National Association, as collateral agent, as collateral administrator, as backup collateral manager, and as custodian</w:t>
              </w:r>
            </w:hyperlink>
          </w:p>
        </w:tc>
        <w:tc>
          <w:tcPr>
            <w:tcW w:w="500" w:type="dxa"/>
            <w:vAlign w:val="bottom"/>
            <w:gridSpan w:val="18"/>
          </w:tcPr>
          <w:p>
            <w:pPr>
              <w:spacing w:after="0"/>
              <w:rPr>
                <w:sz w:val="11"/>
                <w:szCs w:val="11"/>
                <w:color w:val="auto"/>
              </w:rPr>
            </w:pPr>
          </w:p>
        </w:tc>
      </w:tr>
      <w:tr>
        <w:trPr>
          <w:trHeight w:val="176"/>
        </w:trPr>
        <w:tc>
          <w:tcPr>
            <w:tcW w:w="1040" w:type="dxa"/>
            <w:vAlign w:val="bottom"/>
          </w:tcPr>
          <w:p>
            <w:pPr>
              <w:spacing w:after="0"/>
              <w:rPr>
                <w:sz w:val="15"/>
                <w:szCs w:val="15"/>
                <w:color w:val="auto"/>
              </w:rPr>
            </w:pPr>
          </w:p>
        </w:tc>
        <w:tc>
          <w:tcPr>
            <w:tcW w:w="9480" w:type="dxa"/>
            <w:vAlign w:val="bottom"/>
            <w:tcBorders>
              <w:top w:val="single" w:sz="8" w:color="0000EE"/>
            </w:tcBorders>
            <w:gridSpan w:val="11"/>
          </w:tcPr>
          <w:p>
            <w:pPr>
              <w:spacing w:after="0"/>
              <w:rPr>
                <w:rFonts w:ascii="Arial" w:cs="Arial" w:eastAsia="Arial" w:hAnsi="Arial"/>
                <w:sz w:val="14"/>
                <w:szCs w:val="14"/>
                <w:u w:val="single" w:color="auto"/>
                <w:color w:val="0000EE"/>
              </w:rPr>
            </w:pPr>
            <w:hyperlink r:id="rId145">
              <w:r>
                <w:rPr>
                  <w:rFonts w:ascii="Arial" w:cs="Arial" w:eastAsia="Arial" w:hAnsi="Arial"/>
                  <w:sz w:val="14"/>
                  <w:szCs w:val="14"/>
                  <w:u w:val="single" w:color="auto"/>
                  <w:color w:val="0000EE"/>
                </w:rPr>
                <w:t>(Incorporated by reference to Exhibit 10.1 to the Registrant’s Current Report on Form 8-K (File No. 814-00891), filed on November 8, 2018).</w:t>
              </w:r>
            </w:hyperlink>
          </w:p>
        </w:tc>
        <w:tc>
          <w:tcPr>
            <w:tcW w:w="740" w:type="dxa"/>
            <w:vAlign w:val="bottom"/>
            <w:gridSpan w:val="22"/>
          </w:tcPr>
          <w:p>
            <w:pPr>
              <w:spacing w:after="0"/>
              <w:rPr>
                <w:sz w:val="15"/>
                <w:szCs w:val="15"/>
                <w:color w:val="auto"/>
              </w:rPr>
            </w:pPr>
          </w:p>
        </w:tc>
      </w:tr>
      <w:tr>
        <w:trPr>
          <w:trHeight w:val="251"/>
        </w:trPr>
        <w:tc>
          <w:tcPr>
            <w:tcW w:w="1040" w:type="dxa"/>
            <w:vAlign w:val="bottom"/>
          </w:tcPr>
          <w:p>
            <w:pPr>
              <w:jc w:val="right"/>
              <w:ind w:right="628"/>
              <w:spacing w:after="0"/>
              <w:rPr>
                <w:sz w:val="20"/>
                <w:szCs w:val="20"/>
                <w:color w:val="auto"/>
              </w:rPr>
            </w:pPr>
            <w:r>
              <w:rPr>
                <w:rFonts w:ascii="Arial" w:cs="Arial" w:eastAsia="Arial" w:hAnsi="Arial"/>
                <w:sz w:val="14"/>
                <w:szCs w:val="14"/>
                <w:color w:val="auto"/>
                <w:w w:val="97"/>
              </w:rPr>
              <w:t>14.1*</w:t>
            </w:r>
          </w:p>
        </w:tc>
        <w:tc>
          <w:tcPr>
            <w:tcW w:w="10220" w:type="dxa"/>
            <w:vAlign w:val="bottom"/>
            <w:gridSpan w:val="33"/>
          </w:tcPr>
          <w:p>
            <w:pPr>
              <w:spacing w:after="0"/>
              <w:rPr>
                <w:rFonts w:ascii="Arial" w:cs="Arial" w:eastAsia="Arial" w:hAnsi="Arial"/>
                <w:sz w:val="14"/>
                <w:szCs w:val="14"/>
                <w:u w:val="single" w:color="auto"/>
                <w:color w:val="0000EE"/>
              </w:rPr>
            </w:pPr>
            <w:hyperlink w:anchor="page86">
              <w:r>
                <w:rPr>
                  <w:rFonts w:ascii="Arial" w:cs="Arial" w:eastAsia="Arial" w:hAnsi="Arial"/>
                  <w:sz w:val="14"/>
                  <w:szCs w:val="14"/>
                  <w:u w:val="single" w:color="auto"/>
                  <w:color w:val="0000EE"/>
                </w:rPr>
                <w:t>Joint Code of Ethics of the Registrant.</w:t>
              </w:r>
            </w:hyperlink>
          </w:p>
        </w:tc>
      </w:tr>
      <w:tr>
        <w:trPr>
          <w:trHeight w:val="270"/>
        </w:trPr>
        <w:tc>
          <w:tcPr>
            <w:tcW w:w="1040" w:type="dxa"/>
            <w:vAlign w:val="bottom"/>
          </w:tcPr>
          <w:p>
            <w:pPr>
              <w:jc w:val="right"/>
              <w:ind w:right="628"/>
              <w:spacing w:after="0"/>
              <w:rPr>
                <w:sz w:val="20"/>
                <w:szCs w:val="20"/>
                <w:color w:val="auto"/>
              </w:rPr>
            </w:pPr>
            <w:r>
              <w:rPr>
                <w:rFonts w:ascii="Arial" w:cs="Arial" w:eastAsia="Arial" w:hAnsi="Arial"/>
                <w:sz w:val="14"/>
                <w:szCs w:val="14"/>
                <w:color w:val="auto"/>
                <w:w w:val="97"/>
              </w:rPr>
              <w:t>21.1*</w:t>
            </w:r>
          </w:p>
        </w:tc>
        <w:tc>
          <w:tcPr>
            <w:tcW w:w="10220" w:type="dxa"/>
            <w:vAlign w:val="bottom"/>
            <w:gridSpan w:val="33"/>
          </w:tcPr>
          <w:p>
            <w:pPr>
              <w:spacing w:after="0"/>
              <w:rPr>
                <w:rFonts w:ascii="Arial" w:cs="Arial" w:eastAsia="Arial" w:hAnsi="Arial"/>
                <w:sz w:val="14"/>
                <w:szCs w:val="14"/>
                <w:color w:val="0000EE"/>
              </w:rPr>
            </w:pPr>
            <w:hyperlink w:anchor="page92">
              <w:r>
                <w:rPr>
                  <w:rFonts w:ascii="Arial" w:cs="Arial" w:eastAsia="Arial" w:hAnsi="Arial"/>
                  <w:sz w:val="14"/>
                  <w:szCs w:val="14"/>
                  <w:u w:val="single" w:color="auto"/>
                  <w:color w:val="0000EE"/>
                </w:rPr>
                <w:t>Subsidiaries of the Registrant</w:t>
              </w:r>
              <w:r>
                <w:rPr>
                  <w:rFonts w:ascii="Arial" w:cs="Arial" w:eastAsia="Arial" w:hAnsi="Arial"/>
                  <w:sz w:val="14"/>
                  <w:szCs w:val="14"/>
                  <w:color w:val="0000EE"/>
                </w:rPr>
                <w:t>.</w:t>
              </w:r>
            </w:hyperlink>
          </w:p>
        </w:tc>
      </w:tr>
      <w:tr>
        <w:trPr>
          <w:trHeight w:val="270"/>
        </w:trPr>
        <w:tc>
          <w:tcPr>
            <w:tcW w:w="1040" w:type="dxa"/>
            <w:vAlign w:val="bottom"/>
          </w:tcPr>
          <w:p>
            <w:pPr>
              <w:jc w:val="right"/>
              <w:ind w:right="628"/>
              <w:spacing w:after="0"/>
              <w:rPr>
                <w:sz w:val="20"/>
                <w:szCs w:val="20"/>
                <w:color w:val="auto"/>
              </w:rPr>
            </w:pPr>
            <w:r>
              <w:rPr>
                <w:rFonts w:ascii="Arial" w:cs="Arial" w:eastAsia="Arial" w:hAnsi="Arial"/>
                <w:sz w:val="14"/>
                <w:szCs w:val="14"/>
                <w:color w:val="auto"/>
                <w:w w:val="97"/>
              </w:rPr>
              <w:t>31.1*</w:t>
            </w:r>
          </w:p>
        </w:tc>
        <w:tc>
          <w:tcPr>
            <w:tcW w:w="10220" w:type="dxa"/>
            <w:vAlign w:val="bottom"/>
            <w:gridSpan w:val="33"/>
          </w:tcPr>
          <w:p>
            <w:pPr>
              <w:spacing w:after="0"/>
              <w:rPr>
                <w:rFonts w:ascii="Arial" w:cs="Arial" w:eastAsia="Arial" w:hAnsi="Arial"/>
                <w:sz w:val="14"/>
                <w:szCs w:val="14"/>
                <w:u w:val="single" w:color="auto"/>
                <w:color w:val="0000EE"/>
              </w:rPr>
            </w:pPr>
            <w:hyperlink w:anchor="page93">
              <w:r>
                <w:rPr>
                  <w:rFonts w:ascii="Arial" w:cs="Arial" w:eastAsia="Arial" w:hAnsi="Arial"/>
                  <w:sz w:val="14"/>
                  <w:szCs w:val="14"/>
                  <w:u w:val="single" w:color="auto"/>
                  <w:color w:val="0000EE"/>
                </w:rPr>
                <w:t>Certification of Chief Executive Officer pursuant to Rule 13a-14 of the Securities Exchange Act of 1934, as amended.</w:t>
              </w:r>
            </w:hyperlink>
          </w:p>
        </w:tc>
      </w:tr>
      <w:tr>
        <w:trPr>
          <w:trHeight w:val="635"/>
        </w:trPr>
        <w:tc>
          <w:tcPr>
            <w:tcW w:w="1040" w:type="dxa"/>
            <w:vAlign w:val="bottom"/>
          </w:tcPr>
          <w:p>
            <w:pPr>
              <w:spacing w:after="0"/>
              <w:rPr>
                <w:sz w:val="24"/>
                <w:szCs w:val="24"/>
                <w:color w:val="auto"/>
              </w:rPr>
            </w:pPr>
          </w:p>
        </w:tc>
        <w:tc>
          <w:tcPr>
            <w:tcW w:w="5640" w:type="dxa"/>
            <w:vAlign w:val="bottom"/>
            <w:gridSpan w:val="8"/>
          </w:tcPr>
          <w:p>
            <w:pPr>
              <w:ind w:left="4520"/>
              <w:spacing w:after="0"/>
              <w:rPr>
                <w:sz w:val="20"/>
                <w:szCs w:val="20"/>
                <w:color w:val="auto"/>
              </w:rPr>
            </w:pPr>
            <w:r>
              <w:rPr>
                <w:rFonts w:ascii="Arial" w:cs="Arial" w:eastAsia="Arial" w:hAnsi="Arial"/>
                <w:sz w:val="14"/>
                <w:szCs w:val="14"/>
                <w:color w:val="auto"/>
              </w:rPr>
              <w:t>81</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10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2"/>
        </w:trPr>
        <w:tc>
          <w:tcPr>
            <w:tcW w:w="680" w:type="dxa"/>
            <w:vAlign w:val="bottom"/>
          </w:tcPr>
          <w:p>
            <w:pPr>
              <w:spacing w:after="0"/>
              <w:rPr>
                <w:sz w:val="20"/>
                <w:szCs w:val="20"/>
                <w:color w:val="auto"/>
              </w:rPr>
            </w:pPr>
            <w:r>
              <w:rPr>
                <w:rFonts w:ascii="Arial" w:cs="Arial" w:eastAsia="Arial" w:hAnsi="Arial"/>
                <w:sz w:val="14"/>
                <w:szCs w:val="14"/>
                <w:color w:val="auto"/>
              </w:rPr>
              <w:t>31.2*</w:t>
            </w:r>
          </w:p>
        </w:tc>
        <w:tc>
          <w:tcPr>
            <w:tcW w:w="9500" w:type="dxa"/>
            <w:vAlign w:val="bottom"/>
          </w:tcPr>
          <w:p>
            <w:pPr>
              <w:ind w:left="360"/>
              <w:spacing w:after="0"/>
              <w:rPr>
                <w:rFonts w:ascii="Arial" w:cs="Arial" w:eastAsia="Arial" w:hAnsi="Arial"/>
                <w:sz w:val="14"/>
                <w:szCs w:val="14"/>
                <w:u w:val="single" w:color="auto"/>
                <w:color w:val="0000EE"/>
              </w:rPr>
            </w:pPr>
            <w:hyperlink w:anchor="page94">
              <w:r>
                <w:rPr>
                  <w:rFonts w:ascii="Arial" w:cs="Arial" w:eastAsia="Arial" w:hAnsi="Arial"/>
                  <w:sz w:val="14"/>
                  <w:szCs w:val="14"/>
                  <w:u w:val="single" w:color="auto"/>
                  <w:color w:val="0000EE"/>
                </w:rPr>
                <w:t>Certification of Chief Financial Officer pursuant to Rule 13a-14 of the Securities Exchange Act of 1934, as amended.</w:t>
              </w:r>
            </w:hyperlink>
          </w:p>
        </w:tc>
      </w:tr>
      <w:tr>
        <w:trPr>
          <w:trHeight w:val="270"/>
        </w:trPr>
        <w:tc>
          <w:tcPr>
            <w:tcW w:w="680" w:type="dxa"/>
            <w:vAlign w:val="bottom"/>
          </w:tcPr>
          <w:p>
            <w:pPr>
              <w:spacing w:after="0"/>
              <w:rPr>
                <w:sz w:val="20"/>
                <w:szCs w:val="20"/>
                <w:color w:val="auto"/>
              </w:rPr>
            </w:pPr>
            <w:r>
              <w:rPr>
                <w:rFonts w:ascii="Arial" w:cs="Arial" w:eastAsia="Arial" w:hAnsi="Arial"/>
                <w:sz w:val="14"/>
                <w:szCs w:val="14"/>
                <w:color w:val="auto"/>
              </w:rPr>
              <w:t>32.1*</w:t>
            </w:r>
          </w:p>
        </w:tc>
        <w:tc>
          <w:tcPr>
            <w:tcW w:w="9500" w:type="dxa"/>
            <w:vAlign w:val="bottom"/>
          </w:tcPr>
          <w:p>
            <w:pPr>
              <w:ind w:left="360"/>
              <w:spacing w:after="0"/>
              <w:rPr>
                <w:rFonts w:ascii="Arial" w:cs="Arial" w:eastAsia="Arial" w:hAnsi="Arial"/>
                <w:sz w:val="14"/>
                <w:szCs w:val="14"/>
                <w:u w:val="single" w:color="auto"/>
                <w:color w:val="0000EE"/>
              </w:rPr>
            </w:pPr>
            <w:hyperlink w:anchor="page95">
              <w:r>
                <w:rPr>
                  <w:rFonts w:ascii="Arial" w:cs="Arial" w:eastAsia="Arial" w:hAnsi="Arial"/>
                  <w:sz w:val="14"/>
                  <w:szCs w:val="14"/>
                  <w:u w:val="single" w:color="auto"/>
                  <w:color w:val="0000EE"/>
                </w:rPr>
                <w:t>Certification of Chief Executive Officer pursuant to section 906 of the Sarbanes-Oxley Act of 2002.</w:t>
              </w:r>
            </w:hyperlink>
          </w:p>
        </w:tc>
      </w:tr>
      <w:tr>
        <w:trPr>
          <w:trHeight w:val="270"/>
        </w:trPr>
        <w:tc>
          <w:tcPr>
            <w:tcW w:w="680" w:type="dxa"/>
            <w:vAlign w:val="bottom"/>
          </w:tcPr>
          <w:p>
            <w:pPr>
              <w:spacing w:after="0"/>
              <w:rPr>
                <w:sz w:val="20"/>
                <w:szCs w:val="20"/>
                <w:color w:val="auto"/>
              </w:rPr>
            </w:pPr>
            <w:r>
              <w:rPr>
                <w:rFonts w:ascii="Arial" w:cs="Arial" w:eastAsia="Arial" w:hAnsi="Arial"/>
                <w:sz w:val="14"/>
                <w:szCs w:val="14"/>
                <w:color w:val="auto"/>
              </w:rPr>
              <w:t>32.2*</w:t>
            </w:r>
          </w:p>
        </w:tc>
        <w:tc>
          <w:tcPr>
            <w:tcW w:w="9500" w:type="dxa"/>
            <w:vAlign w:val="bottom"/>
          </w:tcPr>
          <w:p>
            <w:pPr>
              <w:ind w:left="360"/>
              <w:spacing w:after="0"/>
              <w:rPr>
                <w:rFonts w:ascii="Arial" w:cs="Arial" w:eastAsia="Arial" w:hAnsi="Arial"/>
                <w:sz w:val="14"/>
                <w:szCs w:val="14"/>
                <w:color w:val="0000EE"/>
              </w:rPr>
            </w:pPr>
            <w:hyperlink w:anchor="page96">
              <w:r>
                <w:rPr>
                  <w:rFonts w:ascii="Arial" w:cs="Arial" w:eastAsia="Arial" w:hAnsi="Arial"/>
                  <w:sz w:val="14"/>
                  <w:szCs w:val="14"/>
                  <w:u w:val="single" w:color="auto"/>
                  <w:color w:val="0000EE"/>
                </w:rPr>
                <w:t>Certification of Chief Financial Officer pursuant to section 906 of the Sarbanes-Oxley Act of 2002</w:t>
              </w:r>
              <w:r>
                <w:rPr>
                  <w:rFonts w:ascii="Arial" w:cs="Arial" w:eastAsia="Arial" w:hAnsi="Arial"/>
                  <w:sz w:val="14"/>
                  <w:szCs w:val="14"/>
                  <w:color w:val="0000EE"/>
                </w:rPr>
                <w:t>.</w:t>
              </w:r>
            </w:hyperlink>
          </w:p>
        </w:tc>
      </w:tr>
      <w:tr>
        <w:trPr>
          <w:trHeight w:val="270"/>
        </w:trPr>
        <w:tc>
          <w:tcPr>
            <w:tcW w:w="680" w:type="dxa"/>
            <w:vAlign w:val="bottom"/>
          </w:tcPr>
          <w:p>
            <w:pPr>
              <w:spacing w:after="0"/>
              <w:rPr>
                <w:sz w:val="20"/>
                <w:szCs w:val="20"/>
                <w:color w:val="auto"/>
              </w:rPr>
            </w:pPr>
            <w:r>
              <w:rPr>
                <w:rFonts w:ascii="Arial" w:cs="Arial" w:eastAsia="Arial" w:hAnsi="Arial"/>
                <w:sz w:val="14"/>
                <w:szCs w:val="14"/>
                <w:color w:val="auto"/>
              </w:rPr>
              <w:t>99.1</w:t>
            </w:r>
          </w:p>
        </w:tc>
        <w:tc>
          <w:tcPr>
            <w:tcW w:w="9500" w:type="dxa"/>
            <w:vAlign w:val="bottom"/>
          </w:tcPr>
          <w:p>
            <w:pPr>
              <w:ind w:left="360"/>
              <w:spacing w:after="0"/>
              <w:rPr>
                <w:rFonts w:ascii="Arial" w:cs="Arial" w:eastAsia="Arial" w:hAnsi="Arial"/>
                <w:sz w:val="14"/>
                <w:szCs w:val="14"/>
                <w:color w:val="0000EE"/>
                <w:w w:val="94"/>
              </w:rPr>
            </w:pPr>
            <w:hyperlink r:id="rId148">
              <w:r>
                <w:rPr>
                  <w:rFonts w:ascii="Arial" w:cs="Arial" w:eastAsia="Arial" w:hAnsi="Arial"/>
                  <w:sz w:val="14"/>
                  <w:szCs w:val="14"/>
                  <w:u w:val="single" w:color="auto"/>
                  <w:color w:val="0000EE"/>
                  <w:w w:val="94"/>
                </w:rPr>
                <w:t>Privacy Policy of the Registrant. (Incorporated by reference to the Registrant’s Annual Report on Form 10-K (File No. 814-00891), filed November 17, 2011)</w:t>
              </w:r>
              <w:r>
                <w:rPr>
                  <w:rFonts w:ascii="Arial" w:cs="Arial" w:eastAsia="Arial" w:hAnsi="Arial"/>
                  <w:sz w:val="14"/>
                  <w:szCs w:val="14"/>
                  <w:color w:val="0000EE"/>
                  <w:w w:val="94"/>
                </w:rPr>
                <w:t>.</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13455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49" w:lineRule="exact"/>
        <w:rPr>
          <w:sz w:val="20"/>
          <w:szCs w:val="20"/>
          <w:color w:val="auto"/>
        </w:rPr>
      </w:pPr>
    </w:p>
    <w:p>
      <w:pPr>
        <w:ind w:left="380" w:hanging="372"/>
        <w:spacing w:after="0"/>
        <w:tabs>
          <w:tab w:leader="none" w:pos="3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35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80"/>
          </w:cols>
          <w:pgMar w:left="320" w:top="269" w:right="139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auto"/>
        </w:rPr>
        <w:t>SIGNATURES</w:t>
      </w:r>
    </w:p>
    <w:p>
      <w:pPr>
        <w:spacing w:after="0" w:line="275"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November 20, 2019.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Pr>
          <w:p>
            <w:pPr>
              <w:spacing w:after="0"/>
              <w:rPr>
                <w:sz w:val="20"/>
                <w:szCs w:val="20"/>
                <w:color w:val="auto"/>
              </w:rPr>
            </w:pPr>
            <w:r>
              <w:rPr>
                <w:rFonts w:ascii="Arial" w:cs="Arial" w:eastAsia="Arial" w:hAnsi="Arial"/>
                <w:sz w:val="14"/>
                <w:szCs w:val="14"/>
                <w:color w:val="auto"/>
              </w:rPr>
              <w:t>By:</w:t>
            </w: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ARTHUR H. PENN</w:t>
            </w:r>
          </w:p>
        </w:tc>
      </w:tr>
      <w:tr>
        <w:trPr>
          <w:trHeight w:val="119"/>
        </w:trPr>
        <w:tc>
          <w:tcPr>
            <w:tcW w:w="680" w:type="dxa"/>
            <w:vAlign w:val="bottom"/>
          </w:tcPr>
          <w:p>
            <w:pPr>
              <w:spacing w:after="0" w:line="119" w:lineRule="exact"/>
              <w:rPr>
                <w:sz w:val="20"/>
                <w:szCs w:val="20"/>
                <w:color w:val="auto"/>
              </w:rPr>
            </w:pPr>
            <w:r>
              <w:rPr>
                <w:rFonts w:ascii="Arial" w:cs="Arial" w:eastAsia="Arial" w:hAnsi="Arial"/>
                <w:sz w:val="13"/>
                <w:szCs w:val="13"/>
                <w:color w:val="auto"/>
              </w:rPr>
              <w:t>Name:</w:t>
            </w:r>
          </w:p>
        </w:tc>
        <w:tc>
          <w:tcPr>
            <w:tcW w:w="3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Arthur H. Penn</w:t>
            </w:r>
          </w:p>
        </w:tc>
      </w:tr>
      <w:tr>
        <w:trPr>
          <w:trHeight w:val="149"/>
        </w:trPr>
        <w:tc>
          <w:tcPr>
            <w:tcW w:w="68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w:t>
            </w:r>
          </w:p>
        </w:tc>
      </w:tr>
      <w:tr>
        <w:trPr>
          <w:trHeight w:val="186"/>
        </w:trPr>
        <w:tc>
          <w:tcPr>
            <w:tcW w:w="680" w:type="dxa"/>
            <w:vAlign w:val="bottom"/>
          </w:tcPr>
          <w:p>
            <w:pPr>
              <w:spacing w:after="0"/>
              <w:rPr>
                <w:sz w:val="16"/>
                <w:szCs w:val="16"/>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4"/>
              </w:rPr>
              <w:t>Directors</w:t>
            </w:r>
          </w:p>
        </w:tc>
      </w:tr>
    </w:tbl>
    <w:p>
      <w:pPr>
        <w:spacing w:after="0" w:line="115"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4"/>
                <w:szCs w:val="1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57"/>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ARTHUR H. PENN</w:t>
            </w:r>
          </w:p>
        </w:tc>
        <w:tc>
          <w:tcPr>
            <w:tcW w:w="120" w:type="dxa"/>
            <w:vAlign w:val="bottom"/>
          </w:tcPr>
          <w:p>
            <w:pPr>
              <w:spacing w:after="0"/>
              <w:rPr>
                <w:sz w:val="22"/>
                <w:szCs w:val="22"/>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Chief Executive Officer and Chairman of the Board of Directors</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20, 2019</w:t>
            </w:r>
          </w:p>
        </w:tc>
      </w:tr>
      <w:tr>
        <w:trPr>
          <w:trHeight w:val="186"/>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Arthur H. Penn</w:t>
            </w:r>
          </w:p>
        </w:tc>
        <w:tc>
          <w:tcPr>
            <w:tcW w:w="120" w:type="dxa"/>
            <w:vAlign w:val="bottom"/>
          </w:tcPr>
          <w:p>
            <w:pPr>
              <w:spacing w:after="0"/>
              <w:rPr>
                <w:sz w:val="16"/>
                <w:szCs w:val="16"/>
                <w:color w:val="auto"/>
              </w:rPr>
            </w:pPr>
          </w:p>
        </w:tc>
        <w:tc>
          <w:tcPr>
            <w:tcW w:w="4040" w:type="dxa"/>
            <w:vAlign w:val="bottom"/>
            <w:gridSpan w:val="2"/>
          </w:tcPr>
          <w:p>
            <w:pPr>
              <w:jc w:val="center"/>
              <w:ind w:right="120"/>
              <w:spacing w:after="0" w:line="150" w:lineRule="exact"/>
              <w:rPr>
                <w:sz w:val="20"/>
                <w:szCs w:val="20"/>
                <w:color w:val="auto"/>
              </w:rPr>
            </w:pPr>
            <w:r>
              <w:rPr>
                <w:rFonts w:ascii="Arial" w:cs="Arial" w:eastAsia="Arial" w:hAnsi="Arial"/>
                <w:sz w:val="14"/>
                <w:szCs w:val="14"/>
                <w:color w:val="auto"/>
                <w:w w:val="97"/>
              </w:rPr>
              <w:t>(Principal Executive Officer)</w:t>
            </w:r>
          </w:p>
        </w:tc>
        <w:tc>
          <w:tcPr>
            <w:tcW w:w="2800" w:type="dxa"/>
            <w:vAlign w:val="bottom"/>
          </w:tcPr>
          <w:p>
            <w:pPr>
              <w:spacing w:after="0"/>
              <w:rPr>
                <w:sz w:val="16"/>
                <w:szCs w:val="16"/>
                <w:color w:val="auto"/>
              </w:rPr>
            </w:pPr>
          </w:p>
        </w:tc>
      </w:tr>
      <w:tr>
        <w:trPr>
          <w:trHeight w:val="22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AVIV EFRAT</w:t>
            </w:r>
          </w:p>
        </w:tc>
        <w:tc>
          <w:tcPr>
            <w:tcW w:w="120" w:type="dxa"/>
            <w:vAlign w:val="bottom"/>
          </w:tcPr>
          <w:p>
            <w:pPr>
              <w:spacing w:after="0"/>
              <w:rPr>
                <w:sz w:val="19"/>
                <w:szCs w:val="19"/>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Chief Financial Officer and Treasurer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20, 2019</w:t>
            </w:r>
          </w:p>
        </w:tc>
      </w:tr>
      <w:tr>
        <w:trPr>
          <w:trHeight w:val="186"/>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Aviv Efrat</w:t>
            </w:r>
          </w:p>
        </w:tc>
        <w:tc>
          <w:tcPr>
            <w:tcW w:w="120" w:type="dxa"/>
            <w:vAlign w:val="bottom"/>
          </w:tcPr>
          <w:p>
            <w:pPr>
              <w:spacing w:after="0"/>
              <w:rPr>
                <w:sz w:val="16"/>
                <w:szCs w:val="16"/>
                <w:color w:val="auto"/>
              </w:rPr>
            </w:pPr>
          </w:p>
        </w:tc>
        <w:tc>
          <w:tcPr>
            <w:tcW w:w="4040" w:type="dxa"/>
            <w:vAlign w:val="bottom"/>
            <w:gridSpan w:val="2"/>
          </w:tcPr>
          <w:p>
            <w:pPr>
              <w:jc w:val="center"/>
              <w:ind w:right="120"/>
              <w:spacing w:after="0" w:line="150" w:lineRule="exact"/>
              <w:rPr>
                <w:sz w:val="20"/>
                <w:szCs w:val="20"/>
                <w:color w:val="auto"/>
              </w:rPr>
            </w:pPr>
            <w:r>
              <w:rPr>
                <w:rFonts w:ascii="Arial" w:cs="Arial" w:eastAsia="Arial" w:hAnsi="Arial"/>
                <w:sz w:val="14"/>
                <w:szCs w:val="14"/>
                <w:color w:val="auto"/>
                <w:w w:val="96"/>
              </w:rPr>
              <w:t>(Principal Financial and Accounting Officer)</w:t>
            </w:r>
          </w:p>
        </w:tc>
        <w:tc>
          <w:tcPr>
            <w:tcW w:w="2800" w:type="dxa"/>
            <w:vAlign w:val="bottom"/>
          </w:tcPr>
          <w:p>
            <w:pPr>
              <w:spacing w:after="0"/>
              <w:rPr>
                <w:sz w:val="16"/>
                <w:szCs w:val="16"/>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ADAM K. BERNSTEIN</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20, 2019</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Adam K. Bernstein</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JEFFREY FLUG</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20, 2019</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Jeffrey Flug</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MARSHALL BROZOST</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20, 2019</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Marshall Brozost</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32"/>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40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SAMUEL L. KATZ</w:t>
            </w: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20, 2019</w:t>
            </w:r>
          </w:p>
        </w:tc>
      </w:tr>
      <w:tr>
        <w:trPr>
          <w:trHeight w:val="180"/>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Samuel L. Katz</w:t>
            </w: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639"/>
        </w:trPr>
        <w:tc>
          <w:tcPr>
            <w:tcW w:w="2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40" w:type="dxa"/>
            <w:vAlign w:val="bottom"/>
            <w:gridSpan w:val="2"/>
          </w:tcPr>
          <w:p>
            <w:pPr>
              <w:jc w:val="right"/>
              <w:ind w:right="25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ectPr>
          <w:pgSz w:w="11900" w:h="16838" w:orient="portrait"/>
          <w:cols w:equalWidth="0" w:num="1">
            <w:col w:w="11240"/>
          </w:cols>
          <w:pgMar w:left="320" w:top="41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b w:val="1"/>
          <w:bCs w:val="1"/>
          <w:color w:val="auto"/>
        </w:rPr>
        <w:t>EXHIBIT 14.1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JOINT CODE OF ETHICS</w:t>
      </w:r>
    </w:p>
    <w:p>
      <w:pPr>
        <w:jc w:val="center"/>
        <w:spacing w:after="0" w:line="226" w:lineRule="auto"/>
        <w:rPr>
          <w:sz w:val="20"/>
          <w:szCs w:val="20"/>
          <w:color w:val="auto"/>
        </w:rPr>
      </w:pPr>
      <w:r>
        <w:rPr>
          <w:rFonts w:ascii="Arial" w:cs="Arial" w:eastAsia="Arial" w:hAnsi="Arial"/>
          <w:sz w:val="14"/>
          <w:szCs w:val="14"/>
          <w:b w:val="1"/>
          <w:bCs w:val="1"/>
          <w:color w:val="auto"/>
        </w:rPr>
        <w:t>FOR</w:t>
      </w:r>
    </w:p>
    <w:p>
      <w:pPr>
        <w:jc w:val="center"/>
        <w:spacing w:after="0" w:line="221" w:lineRule="auto"/>
        <w:rPr>
          <w:sz w:val="20"/>
          <w:szCs w:val="20"/>
          <w:color w:val="auto"/>
        </w:rPr>
      </w:pPr>
      <w:r>
        <w:rPr>
          <w:rFonts w:ascii="Arial" w:cs="Arial" w:eastAsia="Arial" w:hAnsi="Arial"/>
          <w:sz w:val="14"/>
          <w:szCs w:val="14"/>
          <w:b w:val="1"/>
          <w:bCs w:val="1"/>
          <w:color w:val="auto"/>
        </w:rPr>
        <w:t>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PENNANTPARK FLOATING RATE CAPITAL LTD.</w:t>
      </w:r>
    </w:p>
    <w:p>
      <w:pPr>
        <w:jc w:val="center"/>
        <w:spacing w:after="0"/>
        <w:rPr>
          <w:sz w:val="20"/>
          <w:szCs w:val="20"/>
          <w:color w:val="auto"/>
        </w:rPr>
      </w:pPr>
      <w:r>
        <w:rPr>
          <w:rFonts w:ascii="Arial" w:cs="Arial" w:eastAsia="Arial" w:hAnsi="Arial"/>
          <w:sz w:val="14"/>
          <w:szCs w:val="14"/>
          <w:b w:val="1"/>
          <w:bCs w:val="1"/>
          <w:color w:val="auto"/>
        </w:rPr>
        <w:t>PENNANTPARK INVESTMENT ADVISERS, LLC</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 Statement of General Fiduciary Principles</w:t>
      </w:r>
    </w:p>
    <w:p>
      <w:pPr>
        <w:spacing w:after="0" w:line="140" w:lineRule="exact"/>
        <w:rPr>
          <w:sz w:val="20"/>
          <w:szCs w:val="20"/>
          <w:color w:val="auto"/>
        </w:rPr>
      </w:pPr>
    </w:p>
    <w:p>
      <w:pPr>
        <w:ind w:right="20" w:firstLine="496"/>
        <w:spacing w:after="0" w:line="248" w:lineRule="auto"/>
        <w:rPr>
          <w:sz w:val="20"/>
          <w:szCs w:val="20"/>
          <w:color w:val="auto"/>
        </w:rPr>
      </w:pPr>
      <w:r>
        <w:rPr>
          <w:rFonts w:ascii="Arial" w:cs="Arial" w:eastAsia="Arial" w:hAnsi="Arial"/>
          <w:sz w:val="13"/>
          <w:szCs w:val="13"/>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13" w:lineRule="exact"/>
        <w:rPr>
          <w:sz w:val="20"/>
          <w:szCs w:val="20"/>
          <w:color w:val="auto"/>
        </w:rPr>
      </w:pPr>
    </w:p>
    <w:p>
      <w:pPr>
        <w:ind w:right="200" w:firstLine="496"/>
        <w:spacing w:after="0" w:line="251" w:lineRule="auto"/>
        <w:rPr>
          <w:sz w:val="20"/>
          <w:szCs w:val="20"/>
          <w:color w:val="auto"/>
        </w:rPr>
      </w:pPr>
      <w:r>
        <w:rPr>
          <w:rFonts w:ascii="Arial" w:cs="Arial" w:eastAsia="Arial" w:hAnsi="Arial"/>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96" w:lineRule="exact"/>
        <w:rPr>
          <w:sz w:val="20"/>
          <w:szCs w:val="20"/>
          <w:color w:val="auto"/>
        </w:rPr>
      </w:pPr>
    </w:p>
    <w:p>
      <w:pPr>
        <w:ind w:right="260" w:firstLine="496"/>
        <w:spacing w:after="0" w:line="238" w:lineRule="auto"/>
        <w:rPr>
          <w:sz w:val="20"/>
          <w:szCs w:val="20"/>
          <w:color w:val="auto"/>
        </w:rPr>
      </w:pPr>
      <w:r>
        <w:rPr>
          <w:rFonts w:ascii="Arial" w:cs="Arial" w:eastAsia="Arial" w:hAnsi="Arial"/>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Covered Personnel must read and retain this Code.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 Definitions</w:t>
      </w:r>
    </w:p>
    <w:p>
      <w:pPr>
        <w:spacing w:after="0" w:line="127" w:lineRule="exact"/>
        <w:rPr>
          <w:sz w:val="20"/>
          <w:szCs w:val="20"/>
          <w:color w:val="auto"/>
        </w:rPr>
      </w:pPr>
    </w:p>
    <w:p>
      <w:pPr>
        <w:ind w:left="980" w:hanging="486"/>
        <w:spacing w:after="0"/>
        <w:tabs>
          <w:tab w:leader="none" w:pos="9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“Access Person” means any director, officer, general partner or Advisory Person (as defined below) of the Corporations or the Adviser.</w:t>
      </w:r>
    </w:p>
    <w:p>
      <w:pPr>
        <w:spacing w:after="0" w:line="136" w:lineRule="exact"/>
        <w:rPr>
          <w:rFonts w:ascii="Arial" w:cs="Arial" w:eastAsia="Arial" w:hAnsi="Arial"/>
          <w:sz w:val="14"/>
          <w:szCs w:val="14"/>
          <w:color w:val="auto"/>
        </w:rPr>
      </w:pPr>
    </w:p>
    <w:p>
      <w:pPr>
        <w:ind w:left="980" w:right="40" w:hanging="486"/>
        <w:spacing w:after="0" w:line="231" w:lineRule="auto"/>
        <w:tabs>
          <w:tab w:leader="none" w:pos="9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116" w:lineRule="exact"/>
        <w:rPr>
          <w:rFonts w:ascii="Arial" w:cs="Arial" w:eastAsia="Arial" w:hAnsi="Arial"/>
          <w:sz w:val="14"/>
          <w:szCs w:val="14"/>
          <w:color w:val="auto"/>
        </w:rPr>
      </w:pPr>
    </w:p>
    <w:p>
      <w:pPr>
        <w:ind w:left="980" w:right="340" w:hanging="486"/>
        <w:spacing w:after="0" w:line="253" w:lineRule="auto"/>
        <w:tabs>
          <w:tab w:leader="none" w:pos="9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106" w:lineRule="exact"/>
        <w:rPr>
          <w:rFonts w:ascii="Arial" w:cs="Arial" w:eastAsia="Arial" w:hAnsi="Arial"/>
          <w:sz w:val="14"/>
          <w:szCs w:val="14"/>
          <w:color w:val="auto"/>
        </w:rPr>
      </w:pPr>
    </w:p>
    <w:p>
      <w:pPr>
        <w:ind w:left="980" w:right="140" w:hanging="486"/>
        <w:spacing w:after="0" w:line="253" w:lineRule="auto"/>
        <w:tabs>
          <w:tab w:leader="none" w:pos="9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“Chief Compliance Officer” means the Chief Compliance Officer of the Corporation (who also may serve as the compliance officer of the Adviser and/or one or more affiliates of the Adviser).</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“Control” shall have the same meaning as that set forth in Section 2(a)(9) of the Act.</w:t>
      </w:r>
    </w:p>
    <w:p>
      <w:pPr>
        <w:spacing w:after="0" w:line="136" w:lineRule="exact"/>
        <w:rPr>
          <w:rFonts w:ascii="Arial" w:cs="Arial" w:eastAsia="Arial" w:hAnsi="Arial"/>
          <w:sz w:val="14"/>
          <w:szCs w:val="14"/>
          <w:color w:val="auto"/>
        </w:rPr>
      </w:pPr>
    </w:p>
    <w:p>
      <w:pPr>
        <w:ind w:left="980" w:hanging="486"/>
        <w:spacing w:after="0" w:line="248" w:lineRule="auto"/>
        <w:tabs>
          <w:tab w:leader="none" w:pos="9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12" w:lineRule="exact"/>
        <w:rPr>
          <w:rFonts w:ascii="Arial" w:cs="Arial" w:eastAsia="Arial" w:hAnsi="Arial"/>
          <w:sz w:val="13"/>
          <w:szCs w:val="13"/>
          <w:color w:val="auto"/>
        </w:rPr>
      </w:pPr>
    </w:p>
    <w:p>
      <w:pPr>
        <w:ind w:left="1000" w:right="20"/>
        <w:spacing w:after="0" w:line="227" w:lineRule="auto"/>
        <w:rPr>
          <w:rFonts w:ascii="Arial" w:cs="Arial" w:eastAsia="Arial" w:hAnsi="Arial"/>
          <w:sz w:val="13"/>
          <w:szCs w:val="13"/>
          <w:color w:val="auto"/>
        </w:rPr>
      </w:pPr>
      <w:r>
        <w:rPr>
          <w:rFonts w:ascii="Arial" w:cs="Arial" w:eastAsia="Arial" w:hAnsi="Arial"/>
          <w:sz w:val="14"/>
          <w:szCs w:val="14"/>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18" w:lineRule="exact"/>
        <w:rPr>
          <w:rFonts w:ascii="Arial" w:cs="Arial" w:eastAsia="Arial" w:hAnsi="Arial"/>
          <w:sz w:val="13"/>
          <w:szCs w:val="13"/>
          <w:color w:val="auto"/>
        </w:rPr>
      </w:pPr>
    </w:p>
    <w:p>
      <w:pPr>
        <w:ind w:left="980" w:hanging="486"/>
        <w:spacing w:after="0"/>
        <w:tabs>
          <w:tab w:leader="none" w:pos="9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“Independent Director” means a director of the Corporation who is not an “interested person” of the Corporation within the meaning of Section 2(a)(19) of the Act.</w:t>
      </w:r>
    </w:p>
    <w:p>
      <w:pPr>
        <w:spacing w:after="0" w:line="136" w:lineRule="exact"/>
        <w:rPr>
          <w:rFonts w:ascii="Arial" w:cs="Arial" w:eastAsia="Arial" w:hAnsi="Arial"/>
          <w:sz w:val="14"/>
          <w:szCs w:val="14"/>
          <w:color w:val="auto"/>
        </w:rPr>
      </w:pPr>
    </w:p>
    <w:p>
      <w:pPr>
        <w:ind w:left="980" w:right="240" w:hanging="486"/>
        <w:spacing w:after="0" w:line="253" w:lineRule="auto"/>
        <w:tabs>
          <w:tab w:leader="none" w:pos="9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106" w:lineRule="exact"/>
        <w:rPr>
          <w:rFonts w:ascii="Arial" w:cs="Arial" w:eastAsia="Arial" w:hAnsi="Arial"/>
          <w:sz w:val="14"/>
          <w:szCs w:val="14"/>
          <w:color w:val="auto"/>
        </w:rPr>
      </w:pPr>
    </w:p>
    <w:p>
      <w:pPr>
        <w:ind w:left="980" w:right="140" w:hanging="486"/>
        <w:spacing w:after="0" w:line="253" w:lineRule="auto"/>
        <w:tabs>
          <w:tab w:leader="none" w:pos="9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“Limited Offering” means an offering that is exempt from registration under the 1933 Act pursuant to Section 4(2) or Section 4(6) thereof or pursuant to Rule 504, Rule 505, or Rule 506 thereunder.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6" w:name="page87"/>
    <w:bookmarkEnd w:id="86"/>
    <w:p>
      <w:pPr>
        <w:ind w:left="980" w:right="100" w:hanging="486"/>
        <w:spacing w:after="0" w:line="253" w:lineRule="auto"/>
        <w:tabs>
          <w:tab w:leader="none" w:pos="9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“Restricted List” means the “Pipeline” report of potential investments combined with the current holdings of the clients. PennantPark Access Persons are restricted from trading any security on the Restricted List.</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1"/>
        </w:numPr>
        <w:rPr>
          <w:rFonts w:ascii="Arial" w:cs="Arial" w:eastAsia="Arial" w:hAnsi="Arial"/>
          <w:sz w:val="13"/>
          <w:szCs w:val="13"/>
          <w:color w:val="auto"/>
        </w:rPr>
      </w:pPr>
      <w:r>
        <w:rPr>
          <w:rFonts w:ascii="Arial" w:cs="Arial" w:eastAsia="Arial" w:hAnsi="Arial"/>
          <w:sz w:val="13"/>
          <w:szCs w:val="13"/>
          <w:color w:val="auto"/>
        </w:rPr>
        <w:t>“Security Held or to be Acquired” by the Corporation means: (i) any Covered Security which, within the most recent 15 days: (A) is or has been held by the Corporation; or</w:t>
      </w:r>
    </w:p>
    <w:p>
      <w:pPr>
        <w:spacing w:after="0" w:line="11" w:lineRule="exact"/>
        <w:rPr>
          <w:rFonts w:ascii="Arial" w:cs="Arial" w:eastAsia="Arial" w:hAnsi="Arial"/>
          <w:sz w:val="13"/>
          <w:szCs w:val="13"/>
          <w:color w:val="auto"/>
        </w:rPr>
      </w:pPr>
    </w:p>
    <w:p>
      <w:pPr>
        <w:ind w:left="980" w:right="20"/>
        <w:spacing w:after="0" w:line="237" w:lineRule="auto"/>
        <w:tabs>
          <w:tab w:leader="none" w:pos="1208" w:val="left"/>
        </w:tabs>
        <w:numPr>
          <w:ilvl w:val="1"/>
          <w:numId w:val="71"/>
        </w:numPr>
        <w:rPr>
          <w:rFonts w:ascii="Arial" w:cs="Arial" w:eastAsia="Arial" w:hAnsi="Arial"/>
          <w:sz w:val="14"/>
          <w:szCs w:val="14"/>
          <w:color w:val="auto"/>
        </w:rPr>
      </w:pPr>
      <w:r>
        <w:rPr>
          <w:rFonts w:ascii="Arial" w:cs="Arial" w:eastAsia="Arial" w:hAnsi="Arial"/>
          <w:sz w:val="14"/>
          <w:szCs w:val="14"/>
          <w:color w:val="auto"/>
        </w:rPr>
        <w:t>is being or has been considered by the Corporation or the Adviser for purchase by the Corporation; and (ii) any option to purchase or sell, and any security convertible into or exchangeable for, a Covered Security described in Section II (K)(i).</w:t>
      </w:r>
    </w:p>
    <w:p>
      <w:pPr>
        <w:spacing w:after="0" w:line="115" w:lineRule="exact"/>
        <w:rPr>
          <w:rFonts w:ascii="Arial" w:cs="Arial" w:eastAsia="Arial" w:hAnsi="Arial"/>
          <w:sz w:val="14"/>
          <w:szCs w:val="14"/>
          <w:color w:val="auto"/>
        </w:rPr>
      </w:pPr>
    </w:p>
    <w:p>
      <w:pPr>
        <w:ind w:left="980" w:hanging="486"/>
        <w:spacing w:after="0"/>
        <w:tabs>
          <w:tab w:leader="none" w:pos="9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“17j-1 Organization” means the Corporation or the Adviser, as the context requires.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III Objective and General Prohibitions</w:t>
      </w:r>
    </w:p>
    <w:p>
      <w:pPr>
        <w:spacing w:after="0" w:line="127" w:lineRule="exact"/>
        <w:rPr>
          <w:sz w:val="20"/>
          <w:szCs w:val="20"/>
          <w:color w:val="auto"/>
        </w:rPr>
      </w:pPr>
    </w:p>
    <w:p>
      <w:pPr>
        <w:ind w:firstLine="496"/>
        <w:spacing w:after="0" w:line="238" w:lineRule="auto"/>
        <w:rPr>
          <w:sz w:val="20"/>
          <w:szCs w:val="20"/>
          <w:color w:val="auto"/>
        </w:rPr>
      </w:pPr>
      <w:r>
        <w:rPr>
          <w:rFonts w:ascii="Arial" w:cs="Arial" w:eastAsia="Arial" w:hAnsi="Arial"/>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15" w:lineRule="exact"/>
        <w:rPr>
          <w:sz w:val="20"/>
          <w:szCs w:val="20"/>
          <w:color w:val="auto"/>
        </w:rPr>
      </w:pPr>
    </w:p>
    <w:p>
      <w:pPr>
        <w:ind w:right="520" w:firstLine="496"/>
        <w:spacing w:after="0" w:line="296" w:lineRule="auto"/>
        <w:rPr>
          <w:sz w:val="20"/>
          <w:szCs w:val="20"/>
          <w:color w:val="auto"/>
        </w:rPr>
      </w:pPr>
      <w:r>
        <w:rPr>
          <w:rFonts w:ascii="Arial" w:cs="Arial" w:eastAsia="Arial" w:hAnsi="Arial"/>
          <w:sz w:val="12"/>
          <w:szCs w:val="12"/>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83" w:lineRule="exact"/>
        <w:rPr>
          <w:sz w:val="20"/>
          <w:szCs w:val="20"/>
          <w:color w:val="auto"/>
        </w:rPr>
      </w:pPr>
    </w:p>
    <w:p>
      <w:pPr>
        <w:ind w:left="980" w:hanging="486"/>
        <w:spacing w:after="0"/>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employ any device, scheme or artifice to defraud the Corporation;</w:t>
      </w:r>
    </w:p>
    <w:p>
      <w:pPr>
        <w:spacing w:after="0" w:line="136" w:lineRule="exact"/>
        <w:rPr>
          <w:rFonts w:ascii="Arial" w:cs="Arial" w:eastAsia="Arial" w:hAnsi="Arial"/>
          <w:sz w:val="14"/>
          <w:szCs w:val="14"/>
          <w:color w:val="auto"/>
        </w:rPr>
      </w:pPr>
    </w:p>
    <w:p>
      <w:pPr>
        <w:ind w:left="980" w:right="100" w:hanging="486"/>
        <w:spacing w:after="0" w:line="253" w:lineRule="auto"/>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engage in any act, practice or course of business that operates or would operate as a fraud or deceit upon the Corporation; or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engage in any manipulative practice with respect to the Corporation.</w:t>
      </w:r>
    </w:p>
    <w:p>
      <w:pPr>
        <w:spacing w:after="0" w:line="136" w:lineRule="exact"/>
        <w:rPr>
          <w:sz w:val="20"/>
          <w:szCs w:val="20"/>
          <w:color w:val="auto"/>
        </w:rPr>
      </w:pPr>
    </w:p>
    <w:p>
      <w:pPr>
        <w:ind w:right="160" w:firstLine="496"/>
        <w:spacing w:after="0" w:line="253" w:lineRule="auto"/>
        <w:rPr>
          <w:sz w:val="20"/>
          <w:szCs w:val="20"/>
          <w:color w:val="auto"/>
        </w:rPr>
      </w:pPr>
      <w:r>
        <w:rPr>
          <w:rFonts w:ascii="Arial" w:cs="Arial" w:eastAsia="Arial" w:hAnsi="Arial"/>
          <w:sz w:val="14"/>
          <w:szCs w:val="14"/>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IV Pre-Clearance of Personal Account Transactions; Window Period to Trade PennantPark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-1270</wp:posOffset>
            </wp:positionV>
            <wp:extent cx="22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spacing w:after="0" w:line="120" w:lineRule="exact"/>
        <w:rPr>
          <w:sz w:val="20"/>
          <w:szCs w:val="20"/>
          <w:color w:val="auto"/>
        </w:rPr>
      </w:pPr>
    </w:p>
    <w:p>
      <w:pPr>
        <w:ind w:right="200" w:firstLine="496"/>
        <w:spacing w:after="0" w:line="255" w:lineRule="auto"/>
        <w:rPr>
          <w:sz w:val="20"/>
          <w:szCs w:val="20"/>
          <w:color w:val="auto"/>
        </w:rPr>
      </w:pPr>
      <w:r>
        <w:rPr>
          <w:rFonts w:ascii="Arial" w:cs="Arial" w:eastAsia="Arial" w:hAnsi="Arial"/>
          <w:sz w:val="13"/>
          <w:szCs w:val="13"/>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approval given under this paragraph will be provided by email and will remain in effect for 72 hours.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Exceptions to the Pre-Clearance Requirement Policy</w:t>
      </w:r>
      <w:r>
        <w:rPr>
          <w:rFonts w:ascii="Arial" w:cs="Arial" w:eastAsia="Arial" w:hAnsi="Arial"/>
          <w:sz w:val="14"/>
          <w:szCs w:val="14"/>
          <w:color w:val="auto"/>
        </w:rPr>
        <w:t>,</w:t>
      </w:r>
    </w:p>
    <w:p>
      <w:pPr>
        <w:spacing w:after="0" w:line="136" w:lineRule="exact"/>
        <w:rPr>
          <w:sz w:val="20"/>
          <w:szCs w:val="20"/>
          <w:color w:val="auto"/>
        </w:rPr>
      </w:pPr>
    </w:p>
    <w:p>
      <w:pPr>
        <w:ind w:right="20" w:firstLine="496"/>
        <w:spacing w:after="0" w:line="251" w:lineRule="auto"/>
        <w:rPr>
          <w:sz w:val="20"/>
          <w:szCs w:val="20"/>
          <w:color w:val="auto"/>
        </w:rPr>
      </w:pPr>
      <w:r>
        <w:rPr>
          <w:rFonts w:ascii="Arial" w:cs="Arial" w:eastAsia="Arial" w:hAnsi="Arial"/>
          <w:sz w:val="13"/>
          <w:szCs w:val="13"/>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30 calendar days after the release of results (29 calendar days in all).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the expiration of 30 days, as events require.</w:t>
      </w:r>
    </w:p>
    <w:p>
      <w:pPr>
        <w:spacing w:after="0" w:line="109" w:lineRule="exact"/>
        <w:rPr>
          <w:sz w:val="20"/>
          <w:szCs w:val="20"/>
          <w:color w:val="auto"/>
        </w:rPr>
      </w:pPr>
    </w:p>
    <w:p>
      <w:pPr>
        <w:ind w:right="100" w:firstLine="496"/>
        <w:spacing w:after="0" w:line="253" w:lineRule="auto"/>
        <w:rPr>
          <w:sz w:val="20"/>
          <w:szCs w:val="20"/>
          <w:color w:val="auto"/>
        </w:rPr>
      </w:pPr>
      <w:r>
        <w:rPr>
          <w:rFonts w:ascii="Arial" w:cs="Arial" w:eastAsia="Arial" w:hAnsi="Arial"/>
          <w:sz w:val="14"/>
          <w:szCs w:val="14"/>
          <w:color w:val="auto"/>
        </w:rPr>
        <w:t>Additionally, Independent Directors are not required to seek preapproval for any transactions other than those which would trigger reporting requirements as set forth in Section VI (C) of this Code below.</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 Prohibited Transactions</w:t>
      </w:r>
    </w:p>
    <w:p>
      <w:pPr>
        <w:spacing w:after="0" w:line="140" w:lineRule="exact"/>
        <w:rPr>
          <w:sz w:val="20"/>
          <w:szCs w:val="20"/>
          <w:color w:val="auto"/>
        </w:rPr>
      </w:pPr>
    </w:p>
    <w:p>
      <w:pPr>
        <w:ind w:left="980" w:right="60" w:hanging="486"/>
        <w:spacing w:after="0" w:line="251" w:lineRule="auto"/>
        <w:tabs>
          <w:tab w:leader="none" w:pos="9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109" w:lineRule="exact"/>
        <w:rPr>
          <w:rFonts w:ascii="Arial" w:cs="Arial" w:eastAsia="Arial" w:hAnsi="Arial"/>
          <w:sz w:val="13"/>
          <w:szCs w:val="13"/>
          <w:color w:val="auto"/>
        </w:rPr>
      </w:pPr>
    </w:p>
    <w:p>
      <w:pPr>
        <w:ind w:left="980" w:right="40" w:hanging="486"/>
        <w:spacing w:after="0" w:line="238"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115" w:lineRule="exact"/>
        <w:rPr>
          <w:rFonts w:ascii="Arial" w:cs="Arial" w:eastAsia="Arial" w:hAnsi="Arial"/>
          <w:sz w:val="14"/>
          <w:szCs w:val="14"/>
          <w:color w:val="auto"/>
        </w:rPr>
      </w:pPr>
    </w:p>
    <w:p>
      <w:pPr>
        <w:jc w:val="both"/>
        <w:ind w:left="980" w:hanging="486"/>
        <w:spacing w:after="0" w:line="233"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color w:val="auto"/>
        </w:rPr>
        <w:t>Section VI Reports by Access Persons</w:t>
      </w:r>
    </w:p>
    <w:p>
      <w:pPr>
        <w:spacing w:after="0" w:line="127" w:lineRule="exact"/>
        <w:rPr>
          <w:sz w:val="20"/>
          <w:szCs w:val="20"/>
          <w:color w:val="auto"/>
        </w:rPr>
      </w:pPr>
    </w:p>
    <w:p>
      <w:pPr>
        <w:ind w:left="980" w:hanging="486"/>
        <w:spacing w:after="0"/>
        <w:tabs>
          <w:tab w:leader="none" w:pos="9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Personal Securities Holdings Reports.</w:t>
      </w:r>
    </w:p>
    <w:p>
      <w:pPr>
        <w:spacing w:after="0" w:line="136" w:lineRule="exact"/>
        <w:rPr>
          <w:sz w:val="20"/>
          <w:szCs w:val="20"/>
          <w:color w:val="auto"/>
        </w:rPr>
      </w:pPr>
    </w:p>
    <w:p>
      <w:pPr>
        <w:ind w:firstLine="496"/>
        <w:spacing w:after="0" w:line="277" w:lineRule="auto"/>
        <w:rPr>
          <w:sz w:val="20"/>
          <w:szCs w:val="20"/>
          <w:color w:val="auto"/>
        </w:rPr>
      </w:pPr>
      <w:r>
        <w:rPr>
          <w:rFonts w:ascii="Arial" w:cs="Arial" w:eastAsia="Arial" w:hAnsi="Arial"/>
          <w:sz w:val="12"/>
          <w:szCs w:val="12"/>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95" w:lineRule="exact"/>
        <w:rPr>
          <w:sz w:val="20"/>
          <w:szCs w:val="20"/>
          <w:color w:val="auto"/>
        </w:rPr>
      </w:pPr>
    </w:p>
    <w:p>
      <w:pPr>
        <w:ind w:left="980" w:hanging="486"/>
        <w:spacing w:after="0"/>
        <w:tabs>
          <w:tab w:leader="none" w:pos="9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Quarterly Transaction Reports.</w:t>
      </w:r>
    </w:p>
    <w:p>
      <w:pPr>
        <w:spacing w:after="0" w:line="136" w:lineRule="exact"/>
        <w:rPr>
          <w:sz w:val="20"/>
          <w:szCs w:val="20"/>
          <w:color w:val="auto"/>
        </w:rPr>
      </w:pPr>
    </w:p>
    <w:p>
      <w:pPr>
        <w:ind w:right="140" w:firstLine="496"/>
        <w:spacing w:after="0" w:line="290" w:lineRule="auto"/>
        <w:rPr>
          <w:sz w:val="20"/>
          <w:szCs w:val="20"/>
          <w:color w:val="auto"/>
        </w:rPr>
      </w:pPr>
      <w:r>
        <w:rPr>
          <w:rFonts w:ascii="Arial" w:cs="Arial" w:eastAsia="Arial" w:hAnsi="Arial"/>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84" w:lineRule="exact"/>
        <w:rPr>
          <w:sz w:val="20"/>
          <w:szCs w:val="20"/>
          <w:color w:val="auto"/>
        </w:rPr>
      </w:pPr>
    </w:p>
    <w:p>
      <w:pPr>
        <w:ind w:right="200" w:firstLine="496"/>
        <w:spacing w:after="0" w:line="253" w:lineRule="auto"/>
        <w:rPr>
          <w:sz w:val="20"/>
          <w:szCs w:val="20"/>
          <w:color w:val="auto"/>
        </w:rPr>
      </w:pPr>
      <w:r>
        <w:rPr>
          <w:rFonts w:ascii="Arial" w:cs="Arial" w:eastAsia="Arial" w:hAnsi="Arial"/>
          <w:sz w:val="14"/>
          <w:szCs w:val="14"/>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93" w:lineRule="exact"/>
        <w:rPr>
          <w:sz w:val="20"/>
          <w:szCs w:val="20"/>
          <w:color w:val="auto"/>
        </w:rPr>
      </w:pPr>
    </w:p>
    <w:p>
      <w:pPr>
        <w:ind w:left="980" w:hanging="486"/>
        <w:spacing w:after="0"/>
        <w:tabs>
          <w:tab w:leader="none" w:pos="9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Date and nature of the transaction (purchase, sale or any other type of acquisition or disposition);</w:t>
      </w:r>
    </w:p>
    <w:p>
      <w:pPr>
        <w:spacing w:after="0" w:line="136" w:lineRule="exact"/>
        <w:rPr>
          <w:rFonts w:ascii="Arial" w:cs="Arial" w:eastAsia="Arial" w:hAnsi="Arial"/>
          <w:sz w:val="14"/>
          <w:szCs w:val="14"/>
          <w:color w:val="auto"/>
        </w:rPr>
      </w:pPr>
    </w:p>
    <w:p>
      <w:pPr>
        <w:ind w:left="980" w:right="400" w:hanging="486"/>
        <w:spacing w:after="0" w:line="253" w:lineRule="auto"/>
        <w:tabs>
          <w:tab w:leader="none" w:pos="9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Name of the broker, dealer or bank with or through whom the transaction was effected; and</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date the report is submitted by the Access Person.</w:t>
      </w:r>
    </w:p>
    <w:p>
      <w:pPr>
        <w:spacing w:after="0" w:line="136" w:lineRule="exact"/>
        <w:rPr>
          <w:sz w:val="20"/>
          <w:szCs w:val="20"/>
          <w:color w:val="auto"/>
        </w:rPr>
      </w:pPr>
    </w:p>
    <w:p>
      <w:pPr>
        <w:ind w:left="980" w:hanging="486"/>
        <w:spacing w:after="0"/>
        <w:tabs>
          <w:tab w:leader="none" w:pos="9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Independent Directors.</w:t>
      </w:r>
    </w:p>
    <w:p>
      <w:pPr>
        <w:spacing w:after="0" w:line="136" w:lineRule="exact"/>
        <w:rPr>
          <w:sz w:val="20"/>
          <w:szCs w:val="20"/>
          <w:color w:val="auto"/>
        </w:rPr>
      </w:pPr>
    </w:p>
    <w:p>
      <w:pPr>
        <w:ind w:right="440" w:firstLine="496"/>
        <w:spacing w:after="0" w:line="251" w:lineRule="auto"/>
        <w:rPr>
          <w:sz w:val="20"/>
          <w:szCs w:val="20"/>
          <w:color w:val="auto"/>
        </w:rPr>
      </w:pPr>
      <w:r>
        <w:rPr>
          <w:rFonts w:ascii="Arial" w:cs="Arial" w:eastAsia="Arial" w:hAnsi="Arial"/>
          <w:sz w:val="13"/>
          <w:szCs w:val="13"/>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109" w:lineRule="exact"/>
        <w:rPr>
          <w:sz w:val="20"/>
          <w:szCs w:val="20"/>
          <w:color w:val="auto"/>
        </w:rPr>
      </w:pPr>
    </w:p>
    <w:p>
      <w:pPr>
        <w:ind w:left="980" w:hanging="486"/>
        <w:spacing w:after="0"/>
        <w:tabs>
          <w:tab w:leader="none" w:pos="9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Access Persons of the Adviser.</w:t>
      </w:r>
    </w:p>
    <w:p>
      <w:pPr>
        <w:spacing w:after="0" w:line="136" w:lineRule="exact"/>
        <w:rPr>
          <w:sz w:val="20"/>
          <w:szCs w:val="20"/>
          <w:color w:val="auto"/>
        </w:rPr>
      </w:pPr>
    </w:p>
    <w:p>
      <w:pPr>
        <w:ind w:right="240" w:firstLine="496"/>
        <w:spacing w:after="0" w:line="253" w:lineRule="auto"/>
        <w:rPr>
          <w:sz w:val="20"/>
          <w:szCs w:val="20"/>
          <w:color w:val="auto"/>
        </w:rPr>
      </w:pPr>
      <w:r>
        <w:rPr>
          <w:rFonts w:ascii="Arial" w:cs="Arial" w:eastAsia="Arial" w:hAnsi="Arial"/>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06" w:lineRule="exact"/>
        <w:rPr>
          <w:sz w:val="20"/>
          <w:szCs w:val="20"/>
          <w:color w:val="auto"/>
        </w:rPr>
      </w:pPr>
    </w:p>
    <w:p>
      <w:pPr>
        <w:ind w:left="500" w:right="7780" w:hanging="6"/>
        <w:spacing w:after="0" w:line="504" w:lineRule="auto"/>
        <w:tabs>
          <w:tab w:leader="none" w:pos="976" w:val="left"/>
        </w:tabs>
        <w:numPr>
          <w:ilvl w:val="0"/>
          <w:numId w:val="79"/>
        </w:numPr>
        <w:rPr>
          <w:rFonts w:ascii="Arial" w:cs="Arial" w:eastAsia="Arial" w:hAnsi="Arial"/>
          <w:sz w:val="12"/>
          <w:szCs w:val="12"/>
          <w:color w:val="auto"/>
        </w:rPr>
      </w:pPr>
      <w:r>
        <w:rPr>
          <w:rFonts w:ascii="Arial" w:cs="Arial" w:eastAsia="Arial" w:hAnsi="Arial"/>
          <w:sz w:val="12"/>
          <w:szCs w:val="12"/>
          <w:color w:val="auto"/>
        </w:rPr>
        <w:t>Brokerage Accounts and Statements. Access Persons, except Independent Directors, shall:</w:t>
      </w:r>
    </w:p>
    <w:p>
      <w:pPr>
        <w:spacing w:after="0" w:line="1" w:lineRule="exact"/>
        <w:rPr>
          <w:sz w:val="20"/>
          <w:szCs w:val="20"/>
          <w:color w:val="auto"/>
        </w:rPr>
      </w:pPr>
    </w:p>
    <w:p>
      <w:pPr>
        <w:ind w:left="980" w:right="40" w:hanging="486"/>
        <w:spacing w:after="0" w:line="238" w:lineRule="auto"/>
        <w:tabs>
          <w:tab w:leader="none" w:pos="9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15" w:lineRule="exact"/>
        <w:rPr>
          <w:rFonts w:ascii="Arial" w:cs="Arial" w:eastAsia="Arial" w:hAnsi="Arial"/>
          <w:sz w:val="14"/>
          <w:szCs w:val="14"/>
          <w:color w:val="auto"/>
        </w:rPr>
      </w:pPr>
    </w:p>
    <w:p>
      <w:pPr>
        <w:ind w:left="980" w:hanging="486"/>
        <w:spacing w:after="0"/>
        <w:tabs>
          <w:tab w:leader="none" w:pos="9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instruct the brokers, dealers or banks with whom they maintain such an account to provide duplicate account statements to the Chief Compliance Officer.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on an annual basis, certify that they have complied with the requirements of (1) and (2) above.</w:t>
      </w:r>
    </w:p>
    <w:p>
      <w:pPr>
        <w:spacing w:after="0" w:line="136" w:lineRule="exact"/>
        <w:rPr>
          <w:sz w:val="20"/>
          <w:szCs w:val="20"/>
          <w:color w:val="auto"/>
        </w:rPr>
      </w:pPr>
    </w:p>
    <w:p>
      <w:pPr>
        <w:ind w:left="980" w:hanging="486"/>
        <w:spacing w:after="0"/>
        <w:tabs>
          <w:tab w:leader="none" w:pos="9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Form of Reports.</w:t>
      </w:r>
    </w:p>
    <w:p>
      <w:pPr>
        <w:spacing w:after="0" w:line="136" w:lineRule="exact"/>
        <w:rPr>
          <w:sz w:val="20"/>
          <w:szCs w:val="20"/>
          <w:color w:val="auto"/>
        </w:rPr>
      </w:pPr>
    </w:p>
    <w:p>
      <w:pPr>
        <w:ind w:right="20" w:firstLine="496"/>
        <w:spacing w:after="0" w:line="253" w:lineRule="auto"/>
        <w:rPr>
          <w:sz w:val="20"/>
          <w:szCs w:val="20"/>
          <w:color w:val="auto"/>
        </w:rPr>
      </w:pPr>
      <w:r>
        <w:rPr>
          <w:rFonts w:ascii="Arial" w:cs="Arial" w:eastAsia="Arial" w:hAnsi="Arial"/>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106" w:lineRule="exact"/>
        <w:rPr>
          <w:sz w:val="20"/>
          <w:szCs w:val="20"/>
          <w:color w:val="auto"/>
        </w:rPr>
      </w:pPr>
    </w:p>
    <w:p>
      <w:pPr>
        <w:ind w:left="980" w:hanging="486"/>
        <w:spacing w:after="0"/>
        <w:tabs>
          <w:tab w:leader="none" w:pos="9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Responsibility to Report.</w:t>
      </w:r>
    </w:p>
    <w:p>
      <w:pPr>
        <w:spacing w:after="0" w:line="136" w:lineRule="exact"/>
        <w:rPr>
          <w:sz w:val="20"/>
          <w:szCs w:val="20"/>
          <w:color w:val="auto"/>
        </w:rPr>
      </w:pPr>
    </w:p>
    <w:p>
      <w:pPr>
        <w:jc w:val="both"/>
        <w:ind w:right="400" w:firstLine="496"/>
        <w:spacing w:after="0" w:line="238" w:lineRule="auto"/>
        <w:rPr>
          <w:sz w:val="20"/>
          <w:szCs w:val="20"/>
          <w:color w:val="auto"/>
        </w:rPr>
      </w:pPr>
      <w:r>
        <w:rPr>
          <w:rFonts w:ascii="Arial" w:cs="Arial" w:eastAsia="Arial" w:hAnsi="Arial"/>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15" w:lineRule="exact"/>
        <w:rPr>
          <w:sz w:val="20"/>
          <w:szCs w:val="20"/>
          <w:color w:val="auto"/>
        </w:rPr>
      </w:pPr>
    </w:p>
    <w:p>
      <w:pPr>
        <w:ind w:left="980" w:hanging="486"/>
        <w:spacing w:after="0"/>
        <w:tabs>
          <w:tab w:leader="none" w:pos="9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Where to File Reports.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Quarterly Securities Transaction Reports and Personal Securities Holdings Reports must be filed with the Chief Compliance Officer.</w:t>
      </w:r>
    </w:p>
    <w:p>
      <w:pPr>
        <w:spacing w:after="0" w:line="123" w:lineRule="exact"/>
        <w:rPr>
          <w:sz w:val="20"/>
          <w:szCs w:val="20"/>
          <w:color w:val="auto"/>
        </w:rPr>
      </w:pPr>
    </w:p>
    <w:p>
      <w:pPr>
        <w:ind w:left="980" w:hanging="486"/>
        <w:spacing w:after="0"/>
        <w:tabs>
          <w:tab w:leader="none" w:pos="9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Disclaimers.</w:t>
      </w:r>
    </w:p>
    <w:p>
      <w:pPr>
        <w:spacing w:after="0" w:line="136" w:lineRule="exact"/>
        <w:rPr>
          <w:sz w:val="20"/>
          <w:szCs w:val="20"/>
          <w:color w:val="auto"/>
        </w:rPr>
      </w:pPr>
    </w:p>
    <w:p>
      <w:pPr>
        <w:ind w:right="400" w:firstLine="496"/>
        <w:spacing w:after="0" w:line="253" w:lineRule="auto"/>
        <w:rPr>
          <w:sz w:val="20"/>
          <w:szCs w:val="20"/>
          <w:color w:val="auto"/>
        </w:rPr>
      </w:pPr>
      <w:r>
        <w:rPr>
          <w:rFonts w:ascii="Arial" w:cs="Arial" w:eastAsia="Arial" w:hAnsi="Arial"/>
          <w:sz w:val="14"/>
          <w:szCs w:val="14"/>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8" w:name="page89"/>
    <w:bookmarkEnd w:id="88"/>
    <w:p>
      <w:pPr>
        <w:ind w:left="980" w:hanging="486"/>
        <w:spacing w:after="0"/>
        <w:tabs>
          <w:tab w:leader="none" w:pos="9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Exceptions from Reporting Requirements.</w:t>
      </w:r>
    </w:p>
    <w:p>
      <w:pPr>
        <w:spacing w:after="0" w:line="136" w:lineRule="exact"/>
        <w:rPr>
          <w:sz w:val="20"/>
          <w:szCs w:val="20"/>
          <w:color w:val="auto"/>
        </w:rPr>
      </w:pPr>
    </w:p>
    <w:p>
      <w:pPr>
        <w:jc w:val="both"/>
        <w:ind w:right="20" w:firstLine="496"/>
        <w:spacing w:after="0" w:line="283" w:lineRule="auto"/>
        <w:rPr>
          <w:sz w:val="20"/>
          <w:szCs w:val="20"/>
          <w:color w:val="auto"/>
        </w:rPr>
      </w:pPr>
      <w:r>
        <w:rPr>
          <w:rFonts w:ascii="Arial" w:cs="Arial" w:eastAsia="Arial" w:hAnsi="Arial"/>
          <w:sz w:val="12"/>
          <w:szCs w:val="12"/>
          <w:color w:val="auto"/>
        </w:rPr>
        <w:t>Reports are not required: (1) with respect to securities held in accounts over which the access person has no direct or indirect influence or control as determined by the CCO in accordance with applicable guidance, a “Third Party Managed Account”; (2) with respect to transactions effected pursuant to an automatic investment plan; or (3) which would duplicate information contained in broker trade confirmations or account statements provided the adviser receives such confirmations or statements within 30 days after the end of the applicable calendar quarter and holds them in its books and records. PennantPark allows, but does not require, Access Persons to direct their brokers to provide duplicate statements and confirmations for this purpose.</w:t>
      </w:r>
    </w:p>
    <w:p>
      <w:pPr>
        <w:spacing w:after="0" w:line="78" w:lineRule="exact"/>
        <w:rPr>
          <w:sz w:val="20"/>
          <w:szCs w:val="20"/>
          <w:color w:val="auto"/>
        </w:rPr>
      </w:pPr>
    </w:p>
    <w:p>
      <w:pPr>
        <w:ind w:left="980" w:hanging="486"/>
        <w:spacing w:after="0"/>
        <w:tabs>
          <w:tab w:leader="none" w:pos="9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Blind Trusts and other Third Party Managed Accounts.</w:t>
      </w:r>
    </w:p>
    <w:p>
      <w:pPr>
        <w:spacing w:after="0" w:line="136" w:lineRule="exact"/>
        <w:rPr>
          <w:sz w:val="20"/>
          <w:szCs w:val="20"/>
          <w:color w:val="auto"/>
        </w:rPr>
      </w:pPr>
    </w:p>
    <w:p>
      <w:pPr>
        <w:ind w:right="80" w:firstLine="496"/>
        <w:spacing w:after="0" w:line="247" w:lineRule="auto"/>
        <w:rPr>
          <w:sz w:val="20"/>
          <w:szCs w:val="20"/>
          <w:color w:val="auto"/>
        </w:rPr>
      </w:pPr>
      <w:r>
        <w:rPr>
          <w:rFonts w:ascii="Arial" w:cs="Arial" w:eastAsia="Arial" w:hAnsi="Arial"/>
          <w:sz w:val="13"/>
          <w:szCs w:val="13"/>
          <w:color w:val="auto"/>
        </w:rPr>
        <w:t>Rule 204A-1(b)(3)(i) provides that an access person is not required “to submit . . . any report [(i.e., initial and annual holdings reports and quarterly transaction reports)] with respect to securities held in accounts over which the access person has no direct or indirect influence or control.” Examples of such accounts include “Blind Trusts” where the access person has no knowledge of specific actions taken by the Trustee with respect to Trust investments and no right to intervene in the trustee’s management. Additionally, accounts with similar features that limit the access person’s involvement, including other types of trusts and accounts managed by an unaffiliated manager with discretionary authority. However, the mere retention of a trustee or manager to advise an access person’s account on a discretionary basis is not, by itself, sufficient to allow for a conclusion that the access person has no direct or indirect influence or control. Rather, under the Guidance, the adviser must make a reasonable determination, based on reasonably designed policies and procedures, whether “the access person actually had direct or indirect influence or control over the trust or account, rather than whether the third-party manager had discretionary or non-discretionary investment authority.”</w:t>
      </w:r>
    </w:p>
    <w:p>
      <w:pPr>
        <w:spacing w:after="0" w:line="111" w:lineRule="exact"/>
        <w:rPr>
          <w:sz w:val="20"/>
          <w:szCs w:val="20"/>
          <w:color w:val="auto"/>
        </w:rPr>
      </w:pPr>
    </w:p>
    <w:p>
      <w:pPr>
        <w:ind w:right="40" w:firstLine="496"/>
        <w:spacing w:after="0" w:line="245" w:lineRule="auto"/>
        <w:rPr>
          <w:sz w:val="20"/>
          <w:szCs w:val="20"/>
          <w:color w:val="auto"/>
        </w:rPr>
      </w:pPr>
      <w:r>
        <w:rPr>
          <w:rFonts w:ascii="Arial" w:cs="Arial" w:eastAsia="Arial" w:hAnsi="Arial"/>
          <w:sz w:val="13"/>
          <w:szCs w:val="13"/>
          <w:color w:val="auto"/>
        </w:rPr>
        <w:t>Access persons who wish to rely on this exception with respect to any account which otherwise would be reportable must register the account with the CCO who will determine, based on relevant facts and circumstances (including the terms of the account), whether the access person has direct or indirect influence or control over the account. An access person would have direct or indirect influence or control over an account where the access person (i) has the ability to suggest or direct purchases or sales; (ii) consults with the trustee or manager as to the particular allocation of investments to be made in the account; or (iii) engages in regular and substantive discussions with the trustee or manager with respect to account holdings. However, the following activities would not preclude the CCO from determining that an account is a Third Party Managed Account: (i) the access person provides information about his or her investment objectives and reasonable restrictions; (ii) the trustee or manager provides summary descriptions or explanations (whether written or oral) regarding account activity to the access person, provided that the access person does not provide suggestions or directions to the trustee or manager; and (iii) the access person is able to make contributions to and withdrawals from the account, provided that the access person may not instruct the trustee or manager as to specific securities or types of securities which should be purchased or liquidated in connection with the contribution or withdrawal.</w:t>
      </w:r>
    </w:p>
    <w:p>
      <w:pPr>
        <w:spacing w:after="0" w:line="116" w:lineRule="exact"/>
        <w:rPr>
          <w:sz w:val="20"/>
          <w:szCs w:val="20"/>
          <w:color w:val="auto"/>
        </w:rPr>
      </w:pPr>
    </w:p>
    <w:p>
      <w:pPr>
        <w:ind w:right="560" w:firstLine="496"/>
        <w:spacing w:after="0" w:line="335" w:lineRule="auto"/>
        <w:rPr>
          <w:sz w:val="20"/>
          <w:szCs w:val="20"/>
          <w:color w:val="auto"/>
        </w:rPr>
      </w:pPr>
      <w:r>
        <w:rPr>
          <w:rFonts w:ascii="Arial" w:cs="Arial" w:eastAsia="Arial" w:hAnsi="Arial"/>
          <w:sz w:val="12"/>
          <w:szCs w:val="12"/>
          <w:color w:val="auto"/>
        </w:rPr>
        <w:t>No account shall be treated as a Third Party Managed Account until the CCO determines and informs the access person that the account meets the relevant requirements. In making a determination that an account meets the requirements to be treated as a Third Party Managed Account, the CCO may consider, as he or she determines relevant under the circumstances:</w:t>
      </w:r>
    </w:p>
    <w:p>
      <w:pPr>
        <w:spacing w:after="0" w:line="47" w:lineRule="exact"/>
        <w:rPr>
          <w:sz w:val="20"/>
          <w:szCs w:val="20"/>
          <w:color w:val="auto"/>
        </w:rPr>
      </w:pPr>
    </w:p>
    <w:p>
      <w:pPr>
        <w:ind w:left="980" w:hanging="486"/>
        <w:spacing w:after="0"/>
        <w:tabs>
          <w:tab w:leader="none" w:pos="9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terms of the account or trust documentation, including the advisory agreement;</w:t>
      </w:r>
    </w:p>
    <w:p>
      <w:pPr>
        <w:spacing w:after="0" w:line="136" w:lineRule="exact"/>
        <w:rPr>
          <w:rFonts w:ascii="Arial" w:cs="Arial" w:eastAsia="Arial" w:hAnsi="Arial"/>
          <w:sz w:val="14"/>
          <w:szCs w:val="14"/>
          <w:color w:val="auto"/>
        </w:rPr>
      </w:pPr>
    </w:p>
    <w:p>
      <w:pPr>
        <w:ind w:left="980" w:right="120" w:hanging="486"/>
        <w:spacing w:after="0" w:line="253" w:lineRule="auto"/>
        <w:tabs>
          <w:tab w:leader="none" w:pos="9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Information obtained from the access person as to the nature of the access person’s relationship with the trustee or manager (e.g., whether the trustee or manager is a friend or relative of the access person; whether the advisory firm is affiliated with PennantPark);</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Specific periodic certifications from the access person, trustee and/or manager, as to the nature of the account and whether the access person has sought to exercise influence or control over the trustee or manager;</w:t>
      </w:r>
    </w:p>
    <w:p>
      <w:pPr>
        <w:spacing w:after="0" w:line="106" w:lineRule="exact"/>
        <w:rPr>
          <w:rFonts w:ascii="Arial" w:cs="Arial" w:eastAsia="Arial" w:hAnsi="Arial"/>
          <w:sz w:val="14"/>
          <w:szCs w:val="14"/>
          <w:color w:val="auto"/>
        </w:rPr>
      </w:pPr>
    </w:p>
    <w:p>
      <w:pPr>
        <w:ind w:left="980" w:right="300" w:hanging="486"/>
        <w:spacing w:after="0" w:line="253" w:lineRule="auto"/>
        <w:tabs>
          <w:tab w:leader="none" w:pos="9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Certification or representation from the access person that he or she has reviewed the Code, including this section defining the exception and describing the relevant determinative factors as to concluding that the access person does not exercise direct or indirect influence or control; and</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Any other information that the CCO believes necessary or appropriate to determine whether the account meets the standards set forth herein.</w:t>
      </w:r>
    </w:p>
    <w:p>
      <w:pPr>
        <w:spacing w:after="0" w:line="136" w:lineRule="exact"/>
        <w:rPr>
          <w:sz w:val="20"/>
          <w:szCs w:val="20"/>
          <w:color w:val="auto"/>
        </w:rPr>
      </w:pPr>
    </w:p>
    <w:p>
      <w:pPr>
        <w:ind w:right="40" w:firstLine="496"/>
        <w:spacing w:after="0" w:line="251" w:lineRule="auto"/>
        <w:rPr>
          <w:sz w:val="20"/>
          <w:szCs w:val="20"/>
          <w:color w:val="auto"/>
        </w:rPr>
      </w:pPr>
      <w:r>
        <w:rPr>
          <w:rFonts w:ascii="Arial" w:cs="Arial" w:eastAsia="Arial" w:hAnsi="Arial"/>
          <w:sz w:val="13"/>
          <w:szCs w:val="13"/>
          <w:color w:val="auto"/>
        </w:rPr>
        <w:t>The CCO will document, in writing, his or her conclusion as to whether the account meets the requirements to be treated as a Third Party Managed Account to rely on the reporting exception and will periodically review such determination with the access person. The CCO may require that the access person (and, where appropriate, the manager/trustee) provide additional or renewed certifications or information about the account. Additionally, the CCO may require that the access person provide reports on a sample basis as to account holdings and/or transactions. The CCO will review any such reports to determine whether transactions in the account would have been inconsistent with this Code absent reliance on the reporting exception. The CCO will keep relevant records to document these reviews and support his or her conclusions as to the status of the relevant account(s).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 Additional Prohibitions</w:t>
      </w:r>
    </w:p>
    <w:p>
      <w:pPr>
        <w:spacing w:after="0" w:line="140" w:lineRule="exact"/>
        <w:rPr>
          <w:sz w:val="20"/>
          <w:szCs w:val="20"/>
          <w:color w:val="auto"/>
        </w:rPr>
      </w:pPr>
    </w:p>
    <w:p>
      <w:pPr>
        <w:ind w:left="980" w:hanging="486"/>
        <w:spacing w:after="0"/>
        <w:tabs>
          <w:tab w:leader="none" w:pos="9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Confidentiality of the Corporation’s Transactions.</w:t>
      </w:r>
    </w:p>
    <w:p>
      <w:pPr>
        <w:spacing w:after="0" w:line="136" w:lineRule="exact"/>
        <w:rPr>
          <w:sz w:val="20"/>
          <w:szCs w:val="20"/>
          <w:color w:val="auto"/>
        </w:rPr>
      </w:pPr>
    </w:p>
    <w:p>
      <w:pPr>
        <w:jc w:val="both"/>
        <w:ind w:right="100" w:firstLine="496"/>
        <w:spacing w:after="0" w:line="238" w:lineRule="auto"/>
        <w:rPr>
          <w:sz w:val="20"/>
          <w:szCs w:val="20"/>
          <w:color w:val="auto"/>
        </w:rPr>
      </w:pPr>
      <w:r>
        <w:rPr>
          <w:rFonts w:ascii="Arial" w:cs="Arial" w:eastAsia="Arial" w:hAnsi="Arial"/>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02" w:lineRule="exact"/>
        <w:rPr>
          <w:sz w:val="20"/>
          <w:szCs w:val="20"/>
          <w:color w:val="auto"/>
        </w:rPr>
      </w:pPr>
    </w:p>
    <w:p>
      <w:pPr>
        <w:ind w:left="980" w:hanging="486"/>
        <w:spacing w:after="0"/>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Outside Business Activities and Directorships.</w:t>
      </w:r>
    </w:p>
    <w:p>
      <w:pPr>
        <w:spacing w:after="0" w:line="136" w:lineRule="exact"/>
        <w:rPr>
          <w:sz w:val="20"/>
          <w:szCs w:val="20"/>
          <w:color w:val="auto"/>
        </w:rPr>
      </w:pPr>
    </w:p>
    <w:p>
      <w:pPr>
        <w:ind w:firstLine="496"/>
        <w:spacing w:after="0" w:line="335" w:lineRule="auto"/>
        <w:rPr>
          <w:sz w:val="20"/>
          <w:szCs w:val="20"/>
          <w:color w:val="auto"/>
        </w:rPr>
      </w:pPr>
      <w:r>
        <w:rPr>
          <w:rFonts w:ascii="Arial" w:cs="Arial" w:eastAsia="Arial" w:hAnsi="Arial"/>
          <w:sz w:val="12"/>
          <w:szCs w:val="12"/>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60" w:lineRule="exact"/>
        <w:rPr>
          <w:sz w:val="20"/>
          <w:szCs w:val="20"/>
          <w:color w:val="auto"/>
        </w:rPr>
      </w:pPr>
    </w:p>
    <w:p>
      <w:pPr>
        <w:ind w:left="980" w:hanging="486"/>
        <w:spacing w:after="0"/>
        <w:tabs>
          <w:tab w:leader="none" w:pos="9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Gratuities.</w:t>
      </w:r>
    </w:p>
    <w:p>
      <w:pPr>
        <w:spacing w:after="0" w:line="136" w:lineRule="exact"/>
        <w:rPr>
          <w:sz w:val="20"/>
          <w:szCs w:val="20"/>
          <w:color w:val="auto"/>
        </w:rPr>
      </w:pPr>
    </w:p>
    <w:p>
      <w:pPr>
        <w:ind w:right="120" w:firstLine="496"/>
        <w:spacing w:after="0" w:line="253" w:lineRule="auto"/>
        <w:rPr>
          <w:sz w:val="20"/>
          <w:szCs w:val="20"/>
          <w:color w:val="auto"/>
        </w:rPr>
      </w:pPr>
      <w:r>
        <w:rPr>
          <w:rFonts w:ascii="Arial" w:cs="Arial" w:eastAsia="Arial" w:hAnsi="Arial"/>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color w:val="auto"/>
        </w:rPr>
        <w:t>Section VIII Prohibition Against Insider Trading</w:t>
      </w:r>
    </w:p>
    <w:p>
      <w:pPr>
        <w:spacing w:after="0" w:line="127" w:lineRule="exact"/>
        <w:rPr>
          <w:sz w:val="20"/>
          <w:szCs w:val="20"/>
          <w:color w:val="auto"/>
        </w:rPr>
      </w:pPr>
    </w:p>
    <w:p>
      <w:pPr>
        <w:ind w:right="160" w:firstLine="496"/>
        <w:spacing w:after="0" w:line="251" w:lineRule="auto"/>
        <w:rPr>
          <w:sz w:val="20"/>
          <w:szCs w:val="20"/>
          <w:color w:val="auto"/>
        </w:rPr>
      </w:pPr>
      <w:r>
        <w:rPr>
          <w:rFonts w:ascii="Arial" w:cs="Arial" w:eastAsia="Arial" w:hAnsi="Arial"/>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109" w:lineRule="exact"/>
        <w:rPr>
          <w:sz w:val="20"/>
          <w:szCs w:val="20"/>
          <w:color w:val="auto"/>
        </w:rPr>
      </w:pPr>
    </w:p>
    <w:p>
      <w:pPr>
        <w:jc w:val="both"/>
        <w:ind w:left="980" w:right="560" w:hanging="486"/>
        <w:spacing w:after="0" w:line="290" w:lineRule="auto"/>
        <w:tabs>
          <w:tab w:leader="none" w:pos="9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84" w:lineRule="exact"/>
        <w:rPr>
          <w:rFonts w:ascii="Arial" w:cs="Arial" w:eastAsia="Arial" w:hAnsi="Arial"/>
          <w:sz w:val="13"/>
          <w:szCs w:val="13"/>
          <w:color w:val="auto"/>
        </w:rPr>
      </w:pPr>
    </w:p>
    <w:p>
      <w:pPr>
        <w:ind w:left="980" w:right="100" w:hanging="486"/>
        <w:spacing w:after="0" w:line="247" w:lineRule="auto"/>
        <w:tabs>
          <w:tab w:leader="none" w:pos="9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111" w:lineRule="exact"/>
        <w:rPr>
          <w:rFonts w:ascii="Arial" w:cs="Arial" w:eastAsia="Arial" w:hAnsi="Arial"/>
          <w:sz w:val="13"/>
          <w:szCs w:val="13"/>
          <w:color w:val="auto"/>
        </w:rPr>
      </w:pPr>
    </w:p>
    <w:p>
      <w:pPr>
        <w:ind w:left="980" w:right="80" w:hanging="486"/>
        <w:spacing w:after="0" w:line="238" w:lineRule="auto"/>
        <w:tabs>
          <w:tab w:leader="none" w:pos="9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some other publication of general circulation, and after sufficient time has passed so that the information has been disseminated widely.</w:t>
      </w:r>
    </w:p>
    <w:p>
      <w:pPr>
        <w:spacing w:after="0" w:line="115" w:lineRule="exact"/>
        <w:rPr>
          <w:rFonts w:ascii="Arial" w:cs="Arial" w:eastAsia="Arial" w:hAnsi="Arial"/>
          <w:sz w:val="14"/>
          <w:szCs w:val="14"/>
          <w:color w:val="auto"/>
        </w:rPr>
      </w:pPr>
    </w:p>
    <w:p>
      <w:pPr>
        <w:ind w:left="980" w:hanging="486"/>
        <w:spacing w:after="0" w:line="238" w:lineRule="auto"/>
        <w:tabs>
          <w:tab w:leader="none" w:pos="9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115" w:lineRule="exact"/>
        <w:rPr>
          <w:sz w:val="20"/>
          <w:szCs w:val="20"/>
          <w:color w:val="auto"/>
        </w:rPr>
      </w:pPr>
    </w:p>
    <w:p>
      <w:pPr>
        <w:ind w:left="980" w:hanging="486"/>
        <w:spacing w:after="0"/>
        <w:tabs>
          <w:tab w:leader="none" w:pos="9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Report the information and proposed trade immediately to the Chief Compliance Officer.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Do not purchase or sell the securities on behalf of anyone, including Client Accounts.</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Do not communicate the information to any person, other than to the Chief Compliance Officer.</w:t>
      </w:r>
    </w:p>
    <w:p>
      <w:pPr>
        <w:spacing w:after="0" w:line="136" w:lineRule="exact"/>
        <w:rPr>
          <w:sz w:val="20"/>
          <w:szCs w:val="20"/>
          <w:color w:val="auto"/>
        </w:rPr>
      </w:pPr>
    </w:p>
    <w:p>
      <w:pPr>
        <w:ind w:right="260" w:firstLine="496"/>
        <w:spacing w:after="0" w:line="238" w:lineRule="auto"/>
        <w:rPr>
          <w:sz w:val="20"/>
          <w:szCs w:val="20"/>
          <w:color w:val="auto"/>
        </w:rPr>
      </w:pPr>
      <w:r>
        <w:rPr>
          <w:rFonts w:ascii="Arial" w:cs="Arial" w:eastAsia="Arial" w:hAnsi="Arial"/>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115" w:lineRule="exact"/>
        <w:rPr>
          <w:sz w:val="20"/>
          <w:szCs w:val="20"/>
          <w:color w:val="auto"/>
        </w:rPr>
      </w:pPr>
    </w:p>
    <w:p>
      <w:pPr>
        <w:jc w:val="both"/>
        <w:ind w:left="980" w:right="40" w:hanging="486"/>
        <w:spacing w:after="0" w:line="244" w:lineRule="auto"/>
        <w:tabs>
          <w:tab w:leader="none" w:pos="9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w:t>
      </w:r>
    </w:p>
    <w:p>
      <w:pPr>
        <w:spacing w:after="0" w:line="1" w:lineRule="exact"/>
        <w:rPr>
          <w:rFonts w:ascii="Arial" w:cs="Arial" w:eastAsia="Arial" w:hAnsi="Arial"/>
          <w:sz w:val="13"/>
          <w:szCs w:val="13"/>
          <w:color w:val="auto"/>
        </w:rPr>
      </w:pPr>
    </w:p>
    <w:p>
      <w:pPr>
        <w:ind w:left="980"/>
        <w:spacing w:after="0" w:line="229" w:lineRule="auto"/>
        <w:rPr>
          <w:rFonts w:ascii="Arial" w:cs="Arial" w:eastAsia="Arial" w:hAnsi="Arial"/>
          <w:sz w:val="13"/>
          <w:szCs w:val="13"/>
          <w:color w:val="auto"/>
        </w:rPr>
      </w:pPr>
      <w:r>
        <w:rPr>
          <w:rFonts w:ascii="Arial" w:cs="Arial" w:eastAsia="Arial" w:hAnsi="Arial"/>
          <w:sz w:val="14"/>
          <w:szCs w:val="14"/>
          <w:color w:val="auto"/>
        </w:rPr>
        <w:t>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116" w:lineRule="exact"/>
        <w:rPr>
          <w:rFonts w:ascii="Arial" w:cs="Arial" w:eastAsia="Arial" w:hAnsi="Arial"/>
          <w:sz w:val="13"/>
          <w:szCs w:val="13"/>
          <w:color w:val="auto"/>
        </w:rPr>
      </w:pPr>
    </w:p>
    <w:p>
      <w:pPr>
        <w:ind w:left="980" w:hanging="486"/>
        <w:spacing w:after="0" w:line="229" w:lineRule="auto"/>
        <w:tabs>
          <w:tab w:leader="none" w:pos="9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IX Annual Certification</w:t>
      </w:r>
    </w:p>
    <w:p>
      <w:pPr>
        <w:spacing w:after="0" w:line="127" w:lineRule="exact"/>
        <w:rPr>
          <w:sz w:val="20"/>
          <w:szCs w:val="20"/>
          <w:color w:val="auto"/>
        </w:rPr>
      </w:pPr>
    </w:p>
    <w:p>
      <w:pPr>
        <w:ind w:left="980" w:hanging="486"/>
        <w:spacing w:after="0"/>
        <w:tabs>
          <w:tab w:leader="none" w:pos="9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Access Persons.</w:t>
      </w:r>
    </w:p>
    <w:p>
      <w:pPr>
        <w:spacing w:after="0" w:line="136" w:lineRule="exact"/>
        <w:rPr>
          <w:sz w:val="20"/>
          <w:szCs w:val="20"/>
          <w:color w:val="auto"/>
        </w:rPr>
      </w:pPr>
    </w:p>
    <w:p>
      <w:pPr>
        <w:ind w:firstLine="496"/>
        <w:spacing w:after="0" w:line="290" w:lineRule="auto"/>
        <w:rPr>
          <w:sz w:val="20"/>
          <w:szCs w:val="20"/>
          <w:color w:val="auto"/>
        </w:rPr>
      </w:pPr>
      <w:r>
        <w:rPr>
          <w:rFonts w:ascii="Arial" w:cs="Arial" w:eastAsia="Arial" w:hAnsi="Arial"/>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84" w:lineRule="exact"/>
        <w:rPr>
          <w:sz w:val="20"/>
          <w:szCs w:val="20"/>
          <w:color w:val="auto"/>
        </w:rPr>
      </w:pPr>
    </w:p>
    <w:p>
      <w:pPr>
        <w:ind w:left="980" w:hanging="486"/>
        <w:spacing w:after="0"/>
        <w:tabs>
          <w:tab w:leader="none" w:pos="9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Board Review.</w:t>
      </w:r>
    </w:p>
    <w:p>
      <w:pPr>
        <w:spacing w:after="0" w:line="136" w:lineRule="exact"/>
        <w:rPr>
          <w:sz w:val="20"/>
          <w:szCs w:val="20"/>
          <w:color w:val="auto"/>
        </w:rPr>
      </w:pPr>
    </w:p>
    <w:p>
      <w:pPr>
        <w:jc w:val="both"/>
        <w:ind w:right="240" w:firstLine="496"/>
        <w:spacing w:after="0" w:line="296" w:lineRule="auto"/>
        <w:rPr>
          <w:sz w:val="20"/>
          <w:szCs w:val="20"/>
          <w:color w:val="auto"/>
        </w:rPr>
      </w:pPr>
      <w:r>
        <w:rPr>
          <w:rFonts w:ascii="Arial" w:cs="Arial" w:eastAsia="Arial" w:hAnsi="Arial"/>
          <w:sz w:val="12"/>
          <w:szCs w:val="12"/>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color w:val="auto"/>
        </w:rPr>
        <w:t>Section X Sanctions</w:t>
      </w:r>
    </w:p>
    <w:p>
      <w:pPr>
        <w:spacing w:after="0" w:line="127" w:lineRule="exact"/>
        <w:rPr>
          <w:sz w:val="20"/>
          <w:szCs w:val="20"/>
          <w:color w:val="auto"/>
        </w:rPr>
      </w:pPr>
    </w:p>
    <w:p>
      <w:pPr>
        <w:ind w:firstLine="496"/>
        <w:spacing w:after="0" w:line="251" w:lineRule="auto"/>
        <w:rPr>
          <w:sz w:val="20"/>
          <w:szCs w:val="20"/>
          <w:color w:val="auto"/>
        </w:rPr>
      </w:pPr>
      <w:r>
        <w:rPr>
          <w:rFonts w:ascii="Arial" w:cs="Arial" w:eastAsia="Arial" w:hAnsi="Arial"/>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XI Administration and Construction</w:t>
      </w:r>
    </w:p>
    <w:p>
      <w:pPr>
        <w:spacing w:after="0" w:line="140" w:lineRule="exact"/>
        <w:rPr>
          <w:sz w:val="20"/>
          <w:szCs w:val="20"/>
          <w:color w:val="auto"/>
        </w:rPr>
      </w:pPr>
    </w:p>
    <w:p>
      <w:pPr>
        <w:ind w:left="980" w:hanging="486"/>
        <w:spacing w:after="0"/>
        <w:tabs>
          <w:tab w:leader="none" w:pos="9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administration of this Code shall be the responsibility of the Chief Compliance Officer.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duties of the Chief Compliance Officer are as follows:</w:t>
      </w:r>
    </w:p>
    <w:p>
      <w:pPr>
        <w:spacing w:after="0" w:line="136" w:lineRule="exact"/>
        <w:rPr>
          <w:sz w:val="20"/>
          <w:szCs w:val="20"/>
          <w:color w:val="auto"/>
        </w:rPr>
      </w:pPr>
    </w:p>
    <w:p>
      <w:pPr>
        <w:ind w:left="980" w:right="80" w:hanging="486"/>
        <w:spacing w:after="0" w:line="238" w:lineRule="auto"/>
        <w:tabs>
          <w:tab w:leader="none" w:pos="9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15"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Maintaining or supervising the maintenance of all records and reports required by this Code;</w:t>
      </w:r>
    </w:p>
    <w:p>
      <w:pPr>
        <w:spacing w:after="0" w:line="136" w:lineRule="exact"/>
        <w:rPr>
          <w:rFonts w:ascii="Arial" w:cs="Arial" w:eastAsia="Arial" w:hAnsi="Arial"/>
          <w:sz w:val="14"/>
          <w:szCs w:val="14"/>
          <w:color w:val="auto"/>
        </w:rPr>
      </w:pPr>
    </w:p>
    <w:p>
      <w:pPr>
        <w:ind w:left="980" w:right="240" w:hanging="486"/>
        <w:spacing w:after="0" w:line="253" w:lineRule="auto"/>
        <w:tabs>
          <w:tab w:leader="none" w:pos="9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06" w:lineRule="exact"/>
        <w:rPr>
          <w:rFonts w:ascii="Arial" w:cs="Arial" w:eastAsia="Arial" w:hAnsi="Arial"/>
          <w:sz w:val="14"/>
          <w:szCs w:val="14"/>
          <w:color w:val="auto"/>
        </w:rPr>
      </w:pPr>
    </w:p>
    <w:p>
      <w:pPr>
        <w:ind w:left="980" w:right="160" w:hanging="486"/>
        <w:spacing w:after="0" w:line="253" w:lineRule="auto"/>
        <w:tabs>
          <w:tab w:leader="none" w:pos="9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Issuance either personally or with the assistance of counsel as may be appropriate, of any interpretation of this Code that may appear consistent with the objectives of Rule 17j-1 and this Code;</w:t>
      </w:r>
    </w:p>
    <w:p>
      <w:pPr>
        <w:spacing w:after="0" w:line="106" w:lineRule="exact"/>
        <w:rPr>
          <w:rFonts w:ascii="Arial" w:cs="Arial" w:eastAsia="Arial" w:hAnsi="Arial"/>
          <w:sz w:val="14"/>
          <w:szCs w:val="14"/>
          <w:color w:val="auto"/>
        </w:rPr>
      </w:pPr>
    </w:p>
    <w:p>
      <w:pPr>
        <w:ind w:left="980" w:right="60" w:hanging="486"/>
        <w:spacing w:after="0" w:line="253" w:lineRule="auto"/>
        <w:tabs>
          <w:tab w:leader="none" w:pos="9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Conduct such inspections or investigations as shall reasonably be required to detect and report, with recommendations, any apparent violations of this Code to the board of directors of the Corporation;</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06" w:lineRule="exact"/>
        <w:rPr>
          <w:sz w:val="20"/>
          <w:szCs w:val="20"/>
          <w:color w:val="auto"/>
        </w:rPr>
      </w:pPr>
    </w:p>
    <w:p>
      <w:pPr>
        <w:ind w:left="980" w:right="320" w:hanging="486"/>
        <w:spacing w:after="0" w:line="253" w:lineRule="auto"/>
        <w:tabs>
          <w:tab w:leader="none" w:pos="9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Chief Financial Officer shall maintain and cause to be maintained in an easily accessible place at the principal place of business of the 17j-1 Organization, the following records:</w:t>
      </w:r>
    </w:p>
    <w:p>
      <w:pPr>
        <w:spacing w:after="0" w:line="106" w:lineRule="exact"/>
        <w:rPr>
          <w:sz w:val="20"/>
          <w:szCs w:val="20"/>
          <w:color w:val="auto"/>
        </w:rPr>
      </w:pPr>
    </w:p>
    <w:p>
      <w:pPr>
        <w:ind w:left="980" w:right="8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106" w:lineRule="exact"/>
        <w:rPr>
          <w:rFonts w:ascii="Arial" w:cs="Arial" w:eastAsia="Arial" w:hAnsi="Arial"/>
          <w:sz w:val="14"/>
          <w:szCs w:val="14"/>
          <w:color w:val="auto"/>
        </w:rPr>
      </w:pPr>
    </w:p>
    <w:p>
      <w:pPr>
        <w:ind w:left="980" w:right="26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 record of each violation of such codes of ethics and of any action taken as a result of such violation for at least five (5) years after the end of the fiscal year in which the violation occurs;</w:t>
      </w:r>
    </w:p>
    <w:p>
      <w:pPr>
        <w:spacing w:after="0" w:line="106" w:lineRule="exact"/>
        <w:rPr>
          <w:rFonts w:ascii="Arial" w:cs="Arial" w:eastAsia="Arial" w:hAnsi="Arial"/>
          <w:sz w:val="14"/>
          <w:szCs w:val="14"/>
          <w:color w:val="auto"/>
        </w:rPr>
      </w:pPr>
    </w:p>
    <w:p>
      <w:pPr>
        <w:ind w:left="98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106" w:lineRule="exact"/>
        <w:rPr>
          <w:rFonts w:ascii="Arial" w:cs="Arial" w:eastAsia="Arial" w:hAnsi="Arial"/>
          <w:sz w:val="14"/>
          <w:szCs w:val="14"/>
          <w:color w:val="auto"/>
        </w:rPr>
      </w:pPr>
    </w:p>
    <w:p>
      <w:pPr>
        <w:ind w:left="980" w:right="8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106" w:lineRule="exact"/>
        <w:rPr>
          <w:rFonts w:ascii="Arial" w:cs="Arial" w:eastAsia="Arial" w:hAnsi="Arial"/>
          <w:sz w:val="14"/>
          <w:szCs w:val="14"/>
          <w:color w:val="auto"/>
        </w:rPr>
      </w:pPr>
    </w:p>
    <w:p>
      <w:pPr>
        <w:ind w:left="980" w:right="36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106" w:lineRule="exact"/>
        <w:rPr>
          <w:rFonts w:ascii="Arial" w:cs="Arial" w:eastAsia="Arial" w:hAnsi="Arial"/>
          <w:sz w:val="14"/>
          <w:szCs w:val="14"/>
          <w:color w:val="auto"/>
        </w:rPr>
      </w:pPr>
    </w:p>
    <w:p>
      <w:pPr>
        <w:ind w:left="980" w:right="12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06" w:lineRule="exact"/>
        <w:rPr>
          <w:sz w:val="20"/>
          <w:szCs w:val="20"/>
          <w:color w:val="auto"/>
        </w:rPr>
      </w:pPr>
    </w:p>
    <w:p>
      <w:pPr>
        <w:ind w:left="980" w:hanging="486"/>
        <w:spacing w:after="0"/>
        <w:tabs>
          <w:tab w:leader="none" w:pos="9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This Code may not be amended or modified except in a written form that is specifically approved by majority vote of the Independent Directors.</w:t>
      </w:r>
    </w:p>
    <w:p>
      <w:pPr>
        <w:spacing w:after="0" w:line="136" w:lineRule="exact"/>
        <w:rPr>
          <w:sz w:val="20"/>
          <w:szCs w:val="20"/>
          <w:color w:val="auto"/>
        </w:rPr>
      </w:pPr>
    </w:p>
    <w:p>
      <w:pPr>
        <w:ind w:right="700" w:firstLine="496"/>
        <w:spacing w:after="0" w:line="253" w:lineRule="auto"/>
        <w:rPr>
          <w:sz w:val="20"/>
          <w:szCs w:val="20"/>
          <w:color w:val="auto"/>
        </w:rPr>
      </w:pPr>
      <w:r>
        <w:rPr>
          <w:rFonts w:ascii="Arial" w:cs="Arial" w:eastAsia="Arial" w:hAnsi="Arial"/>
          <w:sz w:val="14"/>
          <w:szCs w:val="14"/>
          <w:color w:val="auto"/>
        </w:rPr>
        <w:t>This Joint Code of Ethics, originally adopted December 12, 2007, is annually reviewed and approved by the Board of Directors of the Corporation, including a majority of the Independent Directors.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95" w:right="339" w:bottom="1440" w:gutter="0" w:footer="0" w:header="0"/>
        </w:sectPr>
      </w:pPr>
    </w:p>
    <w:bookmarkStart w:id="91" w:name="page92"/>
    <w:bookmarkEnd w:id="91"/>
    <w:tbl>
      <w:tblPr>
        <w:tblLayout w:type="fixed"/>
        <w:tblInd w:w="52"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ind w:left="1160"/>
              <w:spacing w:after="0"/>
              <w:rPr>
                <w:sz w:val="20"/>
                <w:szCs w:val="20"/>
                <w:color w:val="auto"/>
              </w:rPr>
            </w:pPr>
            <w:r>
              <w:rPr>
                <w:rFonts w:ascii="Arial" w:cs="Arial" w:eastAsia="Arial" w:hAnsi="Arial"/>
                <w:sz w:val="14"/>
                <w:szCs w:val="14"/>
                <w:b w:val="1"/>
                <w:bCs w:val="1"/>
                <w:color w:val="auto"/>
              </w:rPr>
              <w:t>EXHIBIT 21.1</w:t>
            </w:r>
          </w:p>
        </w:tc>
        <w:tc>
          <w:tcPr>
            <w:tcW w:w="0" w:type="dxa"/>
            <w:vAlign w:val="bottom"/>
          </w:tcPr>
          <w:p>
            <w:pPr>
              <w:spacing w:after="0"/>
              <w:rPr>
                <w:sz w:val="1"/>
                <w:szCs w:val="1"/>
                <w:color w:val="auto"/>
              </w:rPr>
            </w:pPr>
          </w:p>
        </w:tc>
      </w:tr>
      <w:tr>
        <w:trPr>
          <w:trHeight w:val="297"/>
        </w:trPr>
        <w:tc>
          <w:tcPr>
            <w:tcW w:w="3980" w:type="dxa"/>
            <w:vAlign w:val="bottom"/>
          </w:tcPr>
          <w:p>
            <w:pPr>
              <w:spacing w:after="0"/>
              <w:rPr>
                <w:sz w:val="24"/>
                <w:szCs w:val="24"/>
                <w:color w:val="auto"/>
              </w:rPr>
            </w:pPr>
          </w:p>
        </w:tc>
        <w:tc>
          <w:tcPr>
            <w:tcW w:w="7200" w:type="dxa"/>
            <w:vAlign w:val="bottom"/>
            <w:gridSpan w:val="5"/>
          </w:tcPr>
          <w:p>
            <w:pPr>
              <w:ind w:left="680"/>
              <w:spacing w:after="0"/>
              <w:rPr>
                <w:sz w:val="20"/>
                <w:szCs w:val="20"/>
                <w:color w:val="auto"/>
              </w:rPr>
            </w:pPr>
            <w:r>
              <w:rPr>
                <w:rFonts w:ascii="Arial" w:cs="Arial" w:eastAsia="Arial" w:hAnsi="Arial"/>
                <w:sz w:val="14"/>
                <w:szCs w:val="14"/>
                <w:b w:val="1"/>
                <w:bCs w:val="1"/>
                <w:color w:val="auto"/>
              </w:rPr>
              <w:t>Subsidiaries of the Registrant</w:t>
            </w:r>
          </w:p>
        </w:tc>
        <w:tc>
          <w:tcPr>
            <w:tcW w:w="0" w:type="dxa"/>
            <w:vAlign w:val="bottom"/>
          </w:tcPr>
          <w:p>
            <w:pPr>
              <w:spacing w:after="0"/>
              <w:rPr>
                <w:sz w:val="1"/>
                <w:szCs w:val="1"/>
                <w:color w:val="auto"/>
              </w:rPr>
            </w:pPr>
          </w:p>
        </w:tc>
      </w:tr>
      <w:tr>
        <w:trPr>
          <w:trHeight w:val="259"/>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5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Voting Securities</w:t>
            </w:r>
          </w:p>
        </w:tc>
        <w:tc>
          <w:tcPr>
            <w:tcW w:w="0" w:type="dxa"/>
            <w:vAlign w:val="bottom"/>
          </w:tcPr>
          <w:p>
            <w:pPr>
              <w:spacing w:after="0"/>
              <w:rPr>
                <w:sz w:val="1"/>
                <w:szCs w:val="1"/>
                <w:color w:val="auto"/>
              </w:rPr>
            </w:pPr>
          </w:p>
        </w:tc>
      </w:tr>
      <w:tr>
        <w:trPr>
          <w:trHeight w:val="171"/>
        </w:trPr>
        <w:tc>
          <w:tcPr>
            <w:tcW w:w="3980" w:type="dxa"/>
            <w:vAlign w:val="bottom"/>
            <w:tcBorders>
              <w:bottom w:val="single" w:sz="8" w:color="auto"/>
            </w:tcBorders>
            <w:vMerge w:val="continue"/>
          </w:tcPr>
          <w:p>
            <w:pPr>
              <w:spacing w:after="0"/>
              <w:rPr>
                <w:sz w:val="14"/>
                <w:szCs w:val="14"/>
                <w:color w:val="auto"/>
              </w:rPr>
            </w:pPr>
          </w:p>
        </w:tc>
        <w:tc>
          <w:tcPr>
            <w:tcW w:w="5040" w:type="dxa"/>
            <w:vAlign w:val="bottom"/>
            <w:tcBorders>
              <w:bottom w:val="single" w:sz="8" w:color="auto"/>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Owned Percentage</w:t>
            </w:r>
          </w:p>
        </w:tc>
        <w:tc>
          <w:tcPr>
            <w:tcW w:w="340" w:type="dxa"/>
            <w:vAlign w:val="bottom"/>
            <w:tcBorders>
              <w:bottom w:val="single" w:sz="8" w:color="CCEC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CFF"/>
          </w:tcPr>
          <w:p>
            <w:pPr>
              <w:spacing w:after="0" w:line="142" w:lineRule="exact"/>
              <w:rPr>
                <w:sz w:val="20"/>
                <w:szCs w:val="20"/>
                <w:color w:val="auto"/>
              </w:rPr>
            </w:pPr>
            <w:r>
              <w:rPr>
                <w:rFonts w:ascii="Arial" w:cs="Arial" w:eastAsia="Arial" w:hAnsi="Arial"/>
                <w:sz w:val="14"/>
                <w:szCs w:val="14"/>
                <w:color w:val="auto"/>
              </w:rPr>
              <w:t>PennantPark Floating Rate Funding I, LLC (Delaware)</w:t>
            </w:r>
          </w:p>
        </w:tc>
        <w:tc>
          <w:tcPr>
            <w:tcW w:w="50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020" w:type="dxa"/>
            <w:vAlign w:val="bottom"/>
            <w:gridSpan w:val="2"/>
            <w:shd w:val="clear" w:color="auto" w:fill="CCECFF"/>
          </w:tcPr>
          <w:p>
            <w:pPr>
              <w:ind w:left="1460"/>
              <w:spacing w:after="0" w:line="142"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line="149" w:lineRule="exact"/>
              <w:rPr>
                <w:sz w:val="20"/>
                <w:szCs w:val="20"/>
                <w:color w:val="auto"/>
              </w:rPr>
            </w:pPr>
            <w:r>
              <w:rPr>
                <w:rFonts w:ascii="Arial" w:cs="Arial" w:eastAsia="Arial" w:hAnsi="Arial"/>
                <w:sz w:val="14"/>
                <w:szCs w:val="14"/>
                <w:color w:val="auto"/>
              </w:rPr>
              <w:t>PennantPark CLO I, LLC (Delaware)</w:t>
            </w:r>
          </w:p>
        </w:tc>
        <w:tc>
          <w:tcPr>
            <w:tcW w:w="7160" w:type="dxa"/>
            <w:vAlign w:val="bottom"/>
            <w:gridSpan w:val="4"/>
          </w:tcPr>
          <w:p>
            <w:pPr>
              <w:ind w:left="6600"/>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AECFF"/>
          </w:tcPr>
          <w:p>
            <w:pPr>
              <w:spacing w:after="0" w:line="149" w:lineRule="exact"/>
              <w:rPr>
                <w:sz w:val="20"/>
                <w:szCs w:val="20"/>
                <w:color w:val="auto"/>
              </w:rPr>
            </w:pPr>
            <w:r>
              <w:rPr>
                <w:rFonts w:ascii="Arial" w:cs="Arial" w:eastAsia="Arial" w:hAnsi="Arial"/>
                <w:sz w:val="14"/>
                <w:szCs w:val="14"/>
                <w:color w:val="auto"/>
              </w:rPr>
              <w:t>PennantPark CLO I, Ltd. (Cayman Islands)</w:t>
            </w:r>
          </w:p>
        </w:tc>
        <w:tc>
          <w:tcPr>
            <w:tcW w:w="7160" w:type="dxa"/>
            <w:vAlign w:val="bottom"/>
            <w:gridSpan w:val="4"/>
            <w:shd w:val="clear" w:color="auto" w:fill="CAECFF"/>
          </w:tcPr>
          <w:p>
            <w:pPr>
              <w:ind w:left="6600"/>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PennantPark CLO I Depositor, LLC (Delaware)</w:t>
            </w:r>
          </w:p>
        </w:tc>
        <w:tc>
          <w:tcPr>
            <w:tcW w:w="7160" w:type="dxa"/>
            <w:vAlign w:val="bottom"/>
            <w:gridSpan w:val="4"/>
          </w:tcPr>
          <w:p>
            <w:pPr>
              <w:ind w:left="6600"/>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AECFF"/>
          </w:tcPr>
          <w:p>
            <w:pPr>
              <w:spacing w:after="0" w:line="149" w:lineRule="exact"/>
              <w:rPr>
                <w:sz w:val="20"/>
                <w:szCs w:val="20"/>
                <w:color w:val="auto"/>
              </w:rPr>
            </w:pPr>
            <w:r>
              <w:rPr>
                <w:rFonts w:ascii="Arial" w:cs="Arial" w:eastAsia="Arial" w:hAnsi="Arial"/>
                <w:sz w:val="14"/>
                <w:szCs w:val="14"/>
                <w:color w:val="auto"/>
              </w:rPr>
              <w:t>PFLT Funding II, LLC (Delaware)</w:t>
            </w:r>
          </w:p>
        </w:tc>
        <w:tc>
          <w:tcPr>
            <w:tcW w:w="7160" w:type="dxa"/>
            <w:vAlign w:val="bottom"/>
            <w:gridSpan w:val="4"/>
            <w:shd w:val="clear" w:color="auto" w:fill="CAECFF"/>
          </w:tcPr>
          <w:p>
            <w:pPr>
              <w:ind w:left="6600"/>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PFLT Investment Holdings, LLC (Delaware)</w:t>
            </w:r>
          </w:p>
        </w:tc>
        <w:tc>
          <w:tcPr>
            <w:tcW w:w="7160" w:type="dxa"/>
            <w:vAlign w:val="bottom"/>
            <w:gridSpan w:val="4"/>
          </w:tcPr>
          <w:p>
            <w:pPr>
              <w:ind w:left="6600"/>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AECFF"/>
          </w:tcPr>
          <w:p>
            <w:pPr>
              <w:spacing w:after="0" w:line="149" w:lineRule="exact"/>
              <w:rPr>
                <w:sz w:val="20"/>
                <w:szCs w:val="20"/>
                <w:color w:val="auto"/>
              </w:rPr>
            </w:pPr>
            <w:r>
              <w:rPr>
                <w:rFonts w:ascii="Arial" w:cs="Arial" w:eastAsia="Arial" w:hAnsi="Arial"/>
                <w:sz w:val="14"/>
                <w:szCs w:val="14"/>
                <w:color w:val="auto"/>
              </w:rPr>
              <w:t>GMC Television Broadcasting Holdings, Inc. (Delaware)</w:t>
            </w:r>
          </w:p>
        </w:tc>
        <w:tc>
          <w:tcPr>
            <w:tcW w:w="7160" w:type="dxa"/>
            <w:vAlign w:val="bottom"/>
            <w:gridSpan w:val="4"/>
            <w:shd w:val="clear" w:color="auto" w:fill="CAECFF"/>
          </w:tcPr>
          <w:p>
            <w:pPr>
              <w:ind w:left="6600"/>
              <w:spacing w:after="0" w:line="149" w:lineRule="exact"/>
              <w:rPr>
                <w:sz w:val="20"/>
                <w:szCs w:val="20"/>
                <w:color w:val="auto"/>
              </w:rPr>
            </w:pPr>
            <w:r>
              <w:rPr>
                <w:rFonts w:ascii="Arial" w:cs="Arial" w:eastAsia="Arial" w:hAnsi="Arial"/>
                <w:sz w:val="14"/>
                <w:szCs w:val="14"/>
                <w:color w:val="auto"/>
                <w:w w:val="99"/>
              </w:rPr>
              <w:t xml:space="preserve">100% </w:t>
            </w:r>
            <w:r>
              <w:rPr>
                <w:rFonts w:ascii="Arial" w:cs="Arial" w:eastAsia="Arial" w:hAnsi="Arial"/>
                <w:sz w:val="12"/>
                <w:szCs w:val="12"/>
                <w:color w:val="auto"/>
                <w:w w:val="99"/>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GMC Television Broadcasting, LLC (Delaware)</w:t>
            </w:r>
          </w:p>
        </w:tc>
        <w:tc>
          <w:tcPr>
            <w:tcW w:w="7160" w:type="dxa"/>
            <w:vAlign w:val="bottom"/>
            <w:gridSpan w:val="4"/>
          </w:tcPr>
          <w:p>
            <w:pPr>
              <w:ind w:left="6600"/>
              <w:spacing w:after="0" w:line="149" w:lineRule="exact"/>
              <w:rPr>
                <w:sz w:val="20"/>
                <w:szCs w:val="20"/>
                <w:color w:val="auto"/>
              </w:rPr>
            </w:pPr>
            <w:r>
              <w:rPr>
                <w:rFonts w:ascii="Arial" w:cs="Arial" w:eastAsia="Arial" w:hAnsi="Arial"/>
                <w:sz w:val="14"/>
                <w:szCs w:val="14"/>
                <w:color w:val="auto"/>
                <w:w w:val="99"/>
              </w:rPr>
              <w:t xml:space="preserve">100% </w:t>
            </w:r>
            <w:r>
              <w:rPr>
                <w:rFonts w:ascii="Arial" w:cs="Arial" w:eastAsia="Arial" w:hAnsi="Arial"/>
                <w:sz w:val="12"/>
                <w:szCs w:val="12"/>
                <w:color w:val="auto"/>
                <w:w w:val="99"/>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AECFF"/>
          </w:tcPr>
          <w:p>
            <w:pPr>
              <w:spacing w:after="0" w:line="149" w:lineRule="exact"/>
              <w:rPr>
                <w:sz w:val="20"/>
                <w:szCs w:val="20"/>
                <w:color w:val="auto"/>
              </w:rPr>
            </w:pPr>
            <w:r>
              <w:rPr>
                <w:rFonts w:ascii="Arial" w:cs="Arial" w:eastAsia="Arial" w:hAnsi="Arial"/>
                <w:sz w:val="14"/>
                <w:szCs w:val="14"/>
                <w:color w:val="auto"/>
              </w:rPr>
              <w:t>Solutions Capital G.P., LLC (Delaware)</w:t>
            </w:r>
          </w:p>
        </w:tc>
        <w:tc>
          <w:tcPr>
            <w:tcW w:w="7160" w:type="dxa"/>
            <w:vAlign w:val="bottom"/>
            <w:gridSpan w:val="4"/>
            <w:shd w:val="clear" w:color="auto" w:fill="CAECFF"/>
          </w:tcPr>
          <w:p>
            <w:pPr>
              <w:ind w:left="6600"/>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80" w:type="dxa"/>
            <w:vAlign w:val="bottom"/>
          </w:tcPr>
          <w:p>
            <w:pPr>
              <w:spacing w:after="0"/>
              <w:rPr>
                <w:sz w:val="20"/>
                <w:szCs w:val="20"/>
                <w:color w:val="auto"/>
              </w:rPr>
            </w:pPr>
            <w:r>
              <w:rPr>
                <w:rFonts w:ascii="Arial" w:cs="Arial" w:eastAsia="Arial" w:hAnsi="Arial"/>
                <w:sz w:val="14"/>
                <w:szCs w:val="14"/>
                <w:color w:val="auto"/>
              </w:rPr>
              <w:t>Solutions Capital I, L.P. (Delaware)</w:t>
            </w:r>
          </w:p>
        </w:tc>
        <w:tc>
          <w:tcPr>
            <w:tcW w:w="7160" w:type="dxa"/>
            <w:vAlign w:val="bottom"/>
            <w:gridSpan w:val="4"/>
          </w:tcPr>
          <w:p>
            <w:pPr>
              <w:ind w:left="6600"/>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11144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76" w:lineRule="exact"/>
        <w:rPr>
          <w:sz w:val="20"/>
          <w:szCs w:val="20"/>
          <w:color w:val="auto"/>
        </w:rPr>
      </w:pPr>
    </w:p>
    <w:p>
      <w:pPr>
        <w:ind w:left="492" w:hanging="492"/>
        <w:spacing w:after="0"/>
        <w:tabs>
          <w:tab w:leader="none" w:pos="492" w:val="left"/>
        </w:tabs>
        <w:numPr>
          <w:ilvl w:val="0"/>
          <w:numId w:val="101"/>
        </w:numPr>
        <w:rPr>
          <w:rFonts w:ascii="Arial" w:cs="Arial" w:eastAsia="Arial" w:hAnsi="Arial"/>
          <w:sz w:val="12"/>
          <w:szCs w:val="12"/>
          <w:color w:val="auto"/>
        </w:rPr>
      </w:pPr>
      <w:r>
        <w:rPr>
          <w:rFonts w:ascii="Arial" w:cs="Arial" w:eastAsia="Arial" w:hAnsi="Arial"/>
          <w:sz w:val="14"/>
          <w:szCs w:val="14"/>
          <w:color w:val="auto"/>
        </w:rPr>
        <w:t>The entity is directly owned by PFLT Funding II, LLC, which is wholly-owned by us.</w:t>
      </w:r>
    </w:p>
    <w:p>
      <w:pPr>
        <w:sectPr>
          <w:pgSz w:w="11900" w:h="16838" w:orient="portrait"/>
          <w:cols w:equalWidth="0" w:num="1">
            <w:col w:w="11232"/>
          </w:cols>
          <w:pgMar w:left="328" w:top="118"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36" w:lineRule="exact"/>
        <w:rPr>
          <w:sz w:val="20"/>
          <w:szCs w:val="20"/>
          <w:color w:val="auto"/>
        </w:rPr>
      </w:pPr>
    </w:p>
    <w:p>
      <w:pPr>
        <w:ind w:left="400" w:hanging="144"/>
        <w:spacing w:after="0"/>
        <w:tabs>
          <w:tab w:leader="none" w:pos="4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Floating Rate Capital Ltd.;</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10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10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10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10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10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10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20, 2019</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36" w:lineRule="exact"/>
        <w:rPr>
          <w:sz w:val="20"/>
          <w:szCs w:val="20"/>
          <w:color w:val="auto"/>
        </w:rPr>
      </w:pPr>
    </w:p>
    <w:p>
      <w:pPr>
        <w:ind w:left="400" w:hanging="144"/>
        <w:spacing w:after="0"/>
        <w:tabs>
          <w:tab w:leader="none" w:pos="40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Floating Rate Capital Ltd.;</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10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10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10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10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10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10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10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20, 2019</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Aviv Efrat</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connection with the Annual Report on Form 10-K of PennantPark Floating Rate Capital Ltd. (the “Company”) for the annual period ended September 30, 2019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 on the date hereof (the “Report”), I, Arthur H. Penn, as Chief Executive Officer of the Registrant hereby certify, to the best of my knowledge that:</w:t>
      </w:r>
    </w:p>
    <w:p>
      <w:pPr>
        <w:spacing w:after="0" w:line="136" w:lineRule="exact"/>
        <w:rPr>
          <w:sz w:val="20"/>
          <w:szCs w:val="20"/>
          <w:color w:val="auto"/>
        </w:rPr>
      </w:pPr>
    </w:p>
    <w:p>
      <w:pPr>
        <w:ind w:left="460" w:hanging="204"/>
        <w:spacing w:after="0"/>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Arthur H. Penn</w:t>
            </w:r>
          </w:p>
        </w:tc>
      </w:tr>
      <w:tr>
        <w:trPr>
          <w:trHeight w:val="148"/>
        </w:trPr>
        <w:tc>
          <w:tcPr>
            <w:tcW w:w="56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line="149" w:lineRule="exact"/>
              <w:rPr>
                <w:sz w:val="20"/>
                <w:szCs w:val="20"/>
                <w:color w:val="auto"/>
              </w:rPr>
            </w:pPr>
            <w:r>
              <w:rPr>
                <w:rFonts w:ascii="Arial" w:cs="Arial" w:eastAsia="Arial" w:hAnsi="Arial"/>
                <w:sz w:val="14"/>
                <w:szCs w:val="14"/>
                <w:color w:val="auto"/>
              </w:rPr>
              <w:t>Chief Executive Officer</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Date:</w:t>
            </w:r>
          </w:p>
        </w:tc>
        <w:tc>
          <w:tcPr>
            <w:tcW w:w="3920" w:type="dxa"/>
            <w:vAlign w:val="bottom"/>
          </w:tcPr>
          <w:p>
            <w:pPr>
              <w:ind w:left="180"/>
              <w:spacing w:after="0"/>
              <w:rPr>
                <w:sz w:val="20"/>
                <w:szCs w:val="20"/>
                <w:color w:val="auto"/>
              </w:rPr>
            </w:pPr>
            <w:r>
              <w:rPr>
                <w:rFonts w:ascii="Arial" w:cs="Arial" w:eastAsia="Arial" w:hAnsi="Arial"/>
                <w:sz w:val="14"/>
                <w:szCs w:val="14"/>
                <w:color w:val="auto"/>
              </w:rPr>
              <w:t>November 20, 2019</w:t>
            </w:r>
          </w:p>
        </w:tc>
      </w:tr>
    </w:tbl>
    <w:p>
      <w:pPr>
        <w:sectPr>
          <w:pgSz w:w="11900" w:h="16838" w:orient="portrait"/>
          <w:cols w:equalWidth="0" w:num="1">
            <w:col w:w="11240"/>
          </w:cols>
          <w:pgMar w:left="320" w:top="11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connection with the Annual Report on Form 10-K of PennantPark Floating Rate Capital Ltd. (the “Company”) for the annual period ended September 30, 2019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(the “Report”), I, Aviv Efrat, as Chief Financial Officer of the Registrant hereby certify, to the best of my knowledge that:</w:t>
      </w:r>
    </w:p>
    <w:p>
      <w:pPr>
        <w:spacing w:after="0" w:line="124" w:lineRule="exact"/>
        <w:rPr>
          <w:sz w:val="20"/>
          <w:szCs w:val="20"/>
          <w:color w:val="auto"/>
        </w:rPr>
      </w:pPr>
    </w:p>
    <w:p>
      <w:pPr>
        <w:ind w:left="460" w:hanging="204"/>
        <w:spacing w:after="0"/>
        <w:tabs>
          <w:tab w:leader="none" w:pos="4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Aviv Efrat</w:t>
            </w:r>
          </w:p>
        </w:tc>
      </w:tr>
      <w:tr>
        <w:trPr>
          <w:trHeight w:val="148"/>
        </w:trPr>
        <w:tc>
          <w:tcPr>
            <w:tcW w:w="56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line="149" w:lineRule="exact"/>
              <w:rPr>
                <w:sz w:val="20"/>
                <w:szCs w:val="20"/>
                <w:color w:val="auto"/>
              </w:rPr>
            </w:pPr>
            <w:r>
              <w:rPr>
                <w:rFonts w:ascii="Arial" w:cs="Arial" w:eastAsia="Arial" w:hAnsi="Arial"/>
                <w:sz w:val="14"/>
                <w:szCs w:val="14"/>
                <w:color w:val="auto"/>
              </w:rPr>
              <w:t>Chief Financial Officer</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Date:</w:t>
            </w:r>
          </w:p>
        </w:tc>
        <w:tc>
          <w:tcPr>
            <w:tcW w:w="3920" w:type="dxa"/>
            <w:vAlign w:val="bottom"/>
          </w:tcPr>
          <w:p>
            <w:pPr>
              <w:ind w:left="180"/>
              <w:spacing w:after="0"/>
              <w:rPr>
                <w:sz w:val="20"/>
                <w:szCs w:val="20"/>
                <w:color w:val="auto"/>
              </w:rPr>
            </w:pPr>
            <w:r>
              <w:rPr>
                <w:rFonts w:ascii="Arial" w:cs="Arial" w:eastAsia="Arial" w:hAnsi="Arial"/>
                <w:sz w:val="14"/>
                <w:szCs w:val="14"/>
                <w:color w:val="auto"/>
              </w:rPr>
              <w:t>November 20, 2019</w:t>
            </w:r>
          </w:p>
        </w:tc>
      </w:tr>
    </w:tbl>
    <w:p>
      <w:pPr>
        <w:sectPr>
          <w:pgSz w:w="11900" w:h="16838" w:orient="portrait"/>
          <w:cols w:equalWidth="0" w:num="1">
            <w:col w:w="11240"/>
          </w:cols>
          <w:pgMar w:left="320" w:top="118"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b w:val="1"/>
          <w:bCs w:val="1"/>
          <w:color w:val="auto"/>
        </w:rPr>
        <w:t>Exhibit 4.4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$0.001 par value per share</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of September 30, 2019, the authorized capital stock of PennantPark Floating Rate Capital Ltd. (the “Company,” “we,” “our” or “us”) consisted of 100,000,000 shares of stock, par value $0.001 per share, all of which is classified as common stock. Our common stock is quoted on The Nasdaq Global Select Market and the Tel Aviv Stock Exchange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the Company and its consolidated subsidiaries,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Provisions of the Maryland General Corporation Law and our Charter and Bylaws</w:t>
      </w:r>
    </w:p>
    <w:p>
      <w:pPr>
        <w:spacing w:after="0" w:line="22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492760</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7" w:name="page98"/>
    <w:bookmarkEnd w:id="97"/>
    <w:p>
      <w:pPr>
        <w:spacing w:after="0"/>
        <w:rPr>
          <w:sz w:val="20"/>
          <w:szCs w:val="20"/>
          <w:color w:val="auto"/>
        </w:rPr>
      </w:pPr>
      <w:r>
        <w:rPr>
          <w:rFonts w:ascii="Arial" w:cs="Arial" w:eastAsia="Arial" w:hAnsi="Arial"/>
          <w:sz w:val="22"/>
          <w:szCs w:val="22"/>
          <w:b w:val="1"/>
          <w:bCs w:val="1"/>
          <w:i w:val="1"/>
          <w:iCs w:val="1"/>
          <w:color w:val="auto"/>
        </w:rPr>
        <w:t>Classified board of directors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board of directors is divided into three classes of directors serving staggered three-year terms. The terms of the first, second and third classes will expire at the annual meeting of stockholders held in 2021, 2022 and 2020,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Election of directors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Number of directors; vacancies; removal</w:t>
      </w:r>
    </w:p>
    <w:p>
      <w:pPr>
        <w:spacing w:after="0" w:line="22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Investment Company Act of 1940, as amended (the “1940 Act”).</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Action by stockholders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8" w:name="page99"/>
    <w:bookmarkEnd w:id="98"/>
    <w:p>
      <w:pPr>
        <w:spacing w:after="0"/>
        <w:rPr>
          <w:sz w:val="20"/>
          <w:szCs w:val="20"/>
          <w:color w:val="auto"/>
        </w:rPr>
      </w:pPr>
      <w:r>
        <w:rPr>
          <w:rFonts w:ascii="Arial" w:cs="Arial" w:eastAsia="Arial" w:hAnsi="Arial"/>
          <w:sz w:val="22"/>
          <w:szCs w:val="22"/>
          <w:b w:val="1"/>
          <w:bCs w:val="1"/>
          <w:i w:val="1"/>
          <w:iCs w:val="1"/>
          <w:color w:val="auto"/>
        </w:rPr>
        <w:t>Advance notice provisions for stockholder nominations and stockholder proposals</w:t>
      </w:r>
    </w:p>
    <w:p>
      <w:pPr>
        <w:spacing w:after="0" w:line="22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Calling of special meetings of stockholders</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Approval of extraordinary corporate action; amendment of charter and bylaws</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9" w:name="page100"/>
    <w:bookmarkEnd w:id="99"/>
    <w:p>
      <w:pPr>
        <w:jc w:val="both"/>
        <w:spacing w:after="0" w:line="244" w:lineRule="auto"/>
        <w:rPr>
          <w:sz w:val="20"/>
          <w:szCs w:val="20"/>
          <w:color w:val="auto"/>
        </w:rPr>
      </w:pPr>
      <w:r>
        <w:rPr>
          <w:rFonts w:ascii="Arial" w:cs="Arial" w:eastAsia="Arial" w:hAnsi="Arial"/>
          <w:sz w:val="21"/>
          <w:szCs w:val="21"/>
          <w:color w:val="auto"/>
        </w:rPr>
        <w:t>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charter and bylaws provide that the board of directors will have the exclusive power to adopt, alter or repeal any provision of our bylaws and to make new bylaws.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 appraisal rights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22"/>
          <w:szCs w:val="22"/>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Control share acquisitions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211" w:lineRule="exact"/>
        <w:rPr>
          <w:sz w:val="20"/>
          <w:szCs w:val="20"/>
          <w:color w:val="auto"/>
        </w:rPr>
      </w:pPr>
    </w:p>
    <w:p>
      <w:pPr>
        <w:ind w:left="880" w:hanging="319"/>
        <w:spacing w:after="0"/>
        <w:tabs>
          <w:tab w:leader="none" w:pos="8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one-tenth or more but less than one-third;</w:t>
      </w:r>
    </w:p>
    <w:p>
      <w:pPr>
        <w:spacing w:after="0" w:line="233" w:lineRule="exact"/>
        <w:rPr>
          <w:rFonts w:ascii="Arial" w:cs="Arial" w:eastAsia="Arial" w:hAnsi="Arial"/>
          <w:sz w:val="22"/>
          <w:szCs w:val="22"/>
          <w:color w:val="auto"/>
        </w:rPr>
      </w:pPr>
    </w:p>
    <w:p>
      <w:pPr>
        <w:ind w:left="880" w:hanging="319"/>
        <w:spacing w:after="0"/>
        <w:tabs>
          <w:tab w:leader="none" w:pos="8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one-third or more but less than a majority; or</w:t>
      </w:r>
    </w:p>
    <w:p>
      <w:pPr>
        <w:spacing w:after="0" w:line="233" w:lineRule="exact"/>
        <w:rPr>
          <w:rFonts w:ascii="Arial" w:cs="Arial" w:eastAsia="Arial" w:hAnsi="Arial"/>
          <w:sz w:val="22"/>
          <w:szCs w:val="22"/>
          <w:color w:val="auto"/>
        </w:rPr>
      </w:pPr>
    </w:p>
    <w:p>
      <w:pPr>
        <w:ind w:left="880" w:hanging="319"/>
        <w:spacing w:after="0"/>
        <w:tabs>
          <w:tab w:leader="none" w:pos="8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 majority or more of all voting power.</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490855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0" w:name="page101"/>
    <w:bookmarkEnd w:id="100"/>
    <w:p>
      <w:pPr>
        <w:jc w:val="both"/>
        <w:spacing w:after="0" w:line="236" w:lineRule="auto"/>
        <w:rPr>
          <w:sz w:val="20"/>
          <w:szCs w:val="20"/>
          <w:color w:val="auto"/>
        </w:rPr>
      </w:pPr>
      <w:r>
        <w:rPr>
          <w:rFonts w:ascii="Arial" w:cs="Arial" w:eastAsia="Arial" w:hAnsi="Arial"/>
          <w:sz w:val="22"/>
          <w:szCs w:val="22"/>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00"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combinations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214" w:lineRule="exact"/>
        <w:rPr>
          <w:sz w:val="20"/>
          <w:szCs w:val="20"/>
          <w:color w:val="auto"/>
        </w:rPr>
      </w:pPr>
    </w:p>
    <w:p>
      <w:pPr>
        <w:ind w:left="880" w:right="20" w:hanging="319"/>
        <w:spacing w:after="0" w:line="250" w:lineRule="auto"/>
        <w:tabs>
          <w:tab w:leader="none" w:pos="8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person who beneficially owns, directly or indirectly, 10% or more of the voting power of the corporation’s shares; or</w:t>
      </w:r>
    </w:p>
    <w:p>
      <w:pPr>
        <w:spacing w:after="0" w:line="201" w:lineRule="exact"/>
        <w:rPr>
          <w:rFonts w:ascii="Arial" w:cs="Arial" w:eastAsia="Arial" w:hAnsi="Arial"/>
          <w:sz w:val="22"/>
          <w:szCs w:val="22"/>
          <w:color w:val="auto"/>
        </w:rPr>
      </w:pPr>
    </w:p>
    <w:p>
      <w:pPr>
        <w:jc w:val="both"/>
        <w:ind w:left="880" w:hanging="319"/>
        <w:spacing w:after="0"/>
        <w:tabs>
          <w:tab w:leader="none" w:pos="8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1" w:name="page102"/>
    <w:bookmarkEnd w:id="101"/>
    <w:p>
      <w:pPr>
        <w:jc w:val="both"/>
        <w:spacing w:after="0" w:line="238" w:lineRule="auto"/>
        <w:rPr>
          <w:sz w:val="20"/>
          <w:szCs w:val="20"/>
          <w:color w:val="auto"/>
        </w:rPr>
      </w:pPr>
      <w:r>
        <w:rPr>
          <w:rFonts w:ascii="Arial" w:cs="Arial" w:eastAsia="Arial" w:hAnsi="Arial"/>
          <w:sz w:val="22"/>
          <w:szCs w:val="22"/>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9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132" w:lineRule="exact"/>
        <w:rPr>
          <w:sz w:val="20"/>
          <w:szCs w:val="20"/>
          <w:color w:val="auto"/>
        </w:rPr>
      </w:pPr>
    </w:p>
    <w:p>
      <w:pPr>
        <w:ind w:left="880" w:hanging="319"/>
        <w:spacing w:after="0"/>
        <w:tabs>
          <w:tab w:leader="none" w:pos="88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80% of the votes entitled to be cast by holders of outstanding shares of voting stock of the corporation; and</w:t>
      </w:r>
    </w:p>
    <w:p>
      <w:pPr>
        <w:spacing w:after="0" w:line="244" w:lineRule="exact"/>
        <w:rPr>
          <w:rFonts w:ascii="Arial" w:cs="Arial" w:eastAsia="Arial" w:hAnsi="Arial"/>
          <w:sz w:val="21"/>
          <w:szCs w:val="21"/>
          <w:color w:val="auto"/>
        </w:rPr>
      </w:pPr>
    </w:p>
    <w:p>
      <w:pPr>
        <w:jc w:val="both"/>
        <w:ind w:left="880" w:hanging="319"/>
        <w:spacing w:after="0"/>
        <w:tabs>
          <w:tab w:leader="none" w:pos="8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Conflict with 1940 Act</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If and to the extent that any provision of the Maryland General Corporation Law, including the Maryland Control Share Acquisition Act (if we amend our bylaws to be subject to such Act) and the Business Combination Act, or any provision of our charter or bylaws conflicts with any provision of the 1940 Act, the applicable provision of the 1940 Act will control.</w:t>
      </w:r>
    </w:p>
    <w:sectPr>
      <w:pgSz w:w="11900" w:h="16838" w:orient="portrait"/>
      <w:cols w:equalWidth="0" w:num="1">
        <w:col w:w="11240"/>
      </w:cols>
      <w:pgMar w:left="320" w:top="3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1)"/>
      <w:numFmt w:val="lowerLetter"/>
      <w:start w:val="1"/>
    </w:lvl>
  </w:abstractNum>
  <w:abstractNum w:abstractNumId="4">
    <w:nsid w:val="39386575"/>
    <w:multiLevelType w:val="hybridMultilevel"/>
    <w:lvl w:ilvl="0">
      <w:lvlJc w:val="left"/>
      <w:lvlText w:val="%1)"/>
      <w:numFmt w:val="lowerLetter"/>
      <w:start w:val="2"/>
    </w:lvl>
  </w:abstractNum>
  <w:abstractNum w:abstractNumId="5">
    <w:nsid w:val="1CF10FD8"/>
    <w:multiLevelType w:val="hybridMultilevel"/>
    <w:lvl w:ilvl="0">
      <w:lvlJc w:val="left"/>
      <w:lvlText w:val="•"/>
      <w:numFmt w:val="bullet"/>
      <w:start w:val="1"/>
    </w:lvl>
    <w:lvl w:ilvl="1">
      <w:lvlJc w:val="left"/>
      <w:lvlText w:val="%2)"/>
      <w:numFmt w:val="lowerLetter"/>
      <w:start w:val="3"/>
    </w:lvl>
  </w:abstractNum>
  <w:abstractNum w:abstractNumId="6">
    <w:nsid w:val="180115BE"/>
    <w:multiLevelType w:val="hybridMultilevel"/>
    <w:lvl w:ilvl="0">
      <w:lvlJc w:val="left"/>
      <w:lvlText w:val="%1)"/>
      <w:numFmt w:val="lowerLetter"/>
      <w:start w:val="4"/>
    </w:lvl>
  </w:abstractNum>
  <w:abstractNum w:abstractNumId="7">
    <w:nsid w:val="235BA861"/>
    <w:multiLevelType w:val="hybridMultilevel"/>
    <w:lvl w:ilvl="0">
      <w:lvlJc w:val="left"/>
      <w:lvlText w:val="%1)"/>
      <w:numFmt w:val="lowerLetter"/>
      <w:start w:val="1"/>
    </w:lvl>
  </w:abstractNum>
  <w:abstractNum w:abstractNumId="8">
    <w:nsid w:val="47398C89"/>
    <w:multiLevelType w:val="hybridMultilevel"/>
    <w:lvl w:ilvl="0">
      <w:lvlJc w:val="left"/>
      <w:lvlText w:val="%1)"/>
      <w:numFmt w:val="lowerLetter"/>
      <w:start w:val="2"/>
    </w:lvl>
  </w:abstractNum>
  <w:abstractNum w:abstractNumId="9">
    <w:nsid w:val="354FE9F9"/>
    <w:multiLevelType w:val="hybridMultilevel"/>
    <w:lvl w:ilvl="0">
      <w:lvlJc w:val="left"/>
      <w:lvlText w:val="%1)"/>
      <w:numFmt w:val="lowerLetter"/>
      <w:start w:val="3"/>
    </w:lvl>
  </w:abstractNum>
  <w:abstractNum w:abstractNumId="10">
    <w:nsid w:val="15B5AF5C"/>
    <w:multiLevelType w:val="hybridMultilevel"/>
    <w:lvl w:ilvl="0">
      <w:lvlJc w:val="left"/>
      <w:lvlText w:val="%1)"/>
      <w:numFmt w:val="lowerLetter"/>
      <w:start w:val="4"/>
    </w:lvl>
  </w:abstractNum>
  <w:abstractNum w:abstractNumId="11">
    <w:nsid w:val="741226BB"/>
    <w:multiLevelType w:val="hybridMultilevel"/>
    <w:lvl w:ilvl="0">
      <w:lvlJc w:val="left"/>
      <w:lvlText w:val="%1)"/>
      <w:numFmt w:val="lowerLetter"/>
      <w:start w:val="5"/>
    </w:lvl>
  </w:abstractNum>
  <w:abstractNum w:abstractNumId="12">
    <w:nsid w:val="D34B6A8"/>
    <w:multiLevelType w:val="hybridMultilevel"/>
    <w:lvl w:ilvl="0">
      <w:lvlJc w:val="left"/>
      <w:lvlText w:val="%1)"/>
      <w:numFmt w:val="lowerLetter"/>
      <w:start w:val="6"/>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1)"/>
      <w:numFmt w:val="decimal"/>
      <w:start w:val="4"/>
    </w:lvl>
  </w:abstractNum>
  <w:abstractNum w:abstractNumId="17">
    <w:nsid w:val="77AE35EB"/>
    <w:multiLevelType w:val="hybridMultilevel"/>
    <w:lvl w:ilvl="0">
      <w:lvlJc w:val="left"/>
      <w:lvlText w:val="(%1)"/>
      <w:numFmt w:val="decimal"/>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lvl w:ilvl="1">
      <w:lvlJc w:val="left"/>
      <w:lvlText w:val="="/>
      <w:numFmt w:val="bullet"/>
      <w:start w:val="1"/>
    </w:lvl>
  </w:abstractNum>
  <w:abstractNum w:abstractNumId="21">
    <w:nsid w:val="2F305DEF"/>
    <w:multiLevelType w:val="hybridMultilevel"/>
    <w:lvl w:ilvl="0">
      <w:lvlJc w:val="left"/>
      <w:lvlText w:val="(%1)"/>
      <w:numFmt w:val="decimal"/>
      <w:start w:val="1"/>
    </w:lvl>
  </w:abstractNum>
  <w:abstractNum w:abstractNumId="22">
    <w:nsid w:val="25A70BF7"/>
    <w:multiLevelType w:val="hybridMultilevel"/>
    <w:lvl w:ilvl="0">
      <w:lvlJc w:val="left"/>
      <w:lvlText w:val="(%1)"/>
      <w:numFmt w:val="decimal"/>
      <w:start w:val="1"/>
    </w:lvl>
  </w:abstractNum>
  <w:abstractNum w:abstractNumId="23">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
    <w:nsid w:val="4AD084E9"/>
    <w:multiLevelType w:val="hybridMultilevel"/>
    <w:lvl w:ilvl="0">
      <w:lvlJc w:val="left"/>
      <w:lvlText w:val="(%1)"/>
      <w:numFmt w:val="decimal"/>
      <w:start w:val="2"/>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lvl w:ilvl="1">
      <w:lvlJc w:val="left"/>
      <w:lvlText w:val="%2)"/>
      <w:numFmt w:val="decimal"/>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1)"/>
      <w:numFmt w:val="decimal"/>
      <w:start w:val="1"/>
    </w:lvl>
  </w:abstractNum>
  <w:abstractNum w:abstractNumId="32">
    <w:nsid w:val="98A3148"/>
    <w:multiLevelType w:val="hybridMultilevel"/>
    <w:lvl w:ilvl="0">
      <w:lvlJc w:val="left"/>
      <w:lvlText w:val="(%1)"/>
      <w:numFmt w:val="decimal"/>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1."/>
      <w:numFmt w:val="decimal"/>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1)"/>
      <w:numFmt w:val="decimal"/>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1)"/>
      <w:numFmt w:val="decimal"/>
      <w:start w:val="1"/>
    </w:lvl>
  </w:abstractNum>
  <w:abstractNum w:abstractNumId="48">
    <w:nsid w:val="8F2B15E"/>
    <w:multiLevelType w:val="hybridMultilevel"/>
    <w:lvl w:ilvl="0">
      <w:lvlJc w:val="left"/>
      <w:lvlText w:val="%1."/>
      <w:numFmt w:val="decimal"/>
      <w:start w:val="1"/>
    </w:lvl>
  </w:abstractNum>
  <w:abstractNum w:abstractNumId="49">
    <w:nsid w:val="1A32234B"/>
    <w:multiLevelType w:val="hybridMultilevel"/>
    <w:lvl w:ilvl="0">
      <w:lvlJc w:val="left"/>
      <w:lvlText w:val="(%1)"/>
      <w:numFmt w:val="decimal"/>
      <w:start w:val="1"/>
    </w:lvl>
  </w:abstractNum>
  <w:abstractNum w:abstractNumId="50">
    <w:nsid w:val="3B0FD379"/>
    <w:multiLevelType w:val="hybridMultilevel"/>
    <w:lvl w:ilvl="0">
      <w:lvlJc w:val="left"/>
      <w:lvlText w:val="(%1)"/>
      <w:numFmt w:val="decimal"/>
      <w:start w:val="1"/>
    </w:lvl>
  </w:abstractNum>
  <w:abstractNum w:abstractNumId="51">
    <w:nsid w:val="68EB2F63"/>
    <w:multiLevelType w:val="hybridMultilevel"/>
    <w:lvl w:ilvl="0">
      <w:lvlJc w:val="left"/>
      <w:lvlText w:val="(%1)"/>
      <w:numFmt w:val="decimal"/>
      <w:start w:val="1"/>
    </w:lvl>
  </w:abstractNum>
  <w:abstractNum w:abstractNumId="52">
    <w:nsid w:val="4962813B"/>
    <w:multiLevelType w:val="hybridMultilevel"/>
    <w:lvl w:ilvl="0">
      <w:lvlJc w:val="left"/>
      <w:lvlText w:val="(%1)"/>
      <w:numFmt w:val="decimal"/>
      <w:start w:val="1"/>
    </w:lvl>
  </w:abstractNum>
  <w:abstractNum w:abstractNumId="53">
    <w:nsid w:val="60B6DF70"/>
    <w:multiLevelType w:val="hybridMultilevel"/>
    <w:lvl w:ilvl="0">
      <w:lvlJc w:val="left"/>
      <w:lvlText w:val="(%1)"/>
      <w:numFmt w:val="decimal"/>
      <w:start w:val="1"/>
    </w:lvl>
  </w:abstractNum>
  <w:abstractNum w:abstractNumId="54">
    <w:nsid w:val="6A5EE64"/>
    <w:multiLevelType w:val="hybridMultilevel"/>
    <w:lvl w:ilvl="0">
      <w:lvlJc w:val="left"/>
      <w:lvlText w:val="(%1)"/>
      <w:numFmt w:val="decimal"/>
      <w:start w:val="1"/>
    </w:lvl>
  </w:abstractNum>
  <w:abstractNum w:abstractNumId="55">
    <w:nsid w:val="14330624"/>
    <w:multiLevelType w:val="hybridMultilevel"/>
    <w:lvl w:ilvl="0">
      <w:lvlJc w:val="left"/>
      <w:lvlText w:val="(%1)"/>
      <w:numFmt w:val="decimal"/>
      <w:start w:val="1"/>
    </w:lvl>
  </w:abstractNum>
  <w:abstractNum w:abstractNumId="56">
    <w:nsid w:val="7FFFCA11"/>
    <w:multiLevelType w:val="hybridMultilevel"/>
    <w:lvl w:ilvl="0">
      <w:lvlJc w:val="left"/>
      <w:lvlText w:val="(%1)"/>
      <w:numFmt w:val="lowerLetter"/>
      <w:start w:val="5"/>
    </w:lvl>
    <w:lvl w:ilvl="1">
      <w:lvlJc w:val="left"/>
      <w:lvlText w:val="%2."/>
      <w:numFmt w:val="decimal"/>
      <w:start w:val="1"/>
    </w:lvl>
  </w:abstractNum>
  <w:abstractNum w:abstractNumId="57">
    <w:nsid w:val="1A27709E"/>
    <w:multiLevelType w:val="hybridMultilevel"/>
    <w:lvl w:ilvl="0">
      <w:lvlJc w:val="left"/>
      <w:lvlText w:val="(%1)"/>
      <w:numFmt w:val="decimal"/>
      <w:start w:val="1"/>
    </w:lvl>
  </w:abstractNum>
  <w:abstractNum w:abstractNumId="58">
    <w:nsid w:val="71EA1109"/>
    <w:multiLevelType w:val="hybridMultilevel"/>
    <w:lvl w:ilvl="0">
      <w:lvlJc w:val="left"/>
      <w:lvlText w:val="(%1)"/>
      <w:numFmt w:val="decimal"/>
      <w:start w:val="2"/>
    </w:lvl>
  </w:abstractNum>
  <w:abstractNum w:abstractNumId="59">
    <w:nsid w:val="100F59DC"/>
    <w:multiLevelType w:val="hybridMultilevel"/>
    <w:lvl w:ilvl="0">
      <w:lvlJc w:val="left"/>
      <w:lvlText w:val="(%1)"/>
      <w:numFmt w:val="decimal"/>
      <w:start w:val="1"/>
    </w:lvl>
  </w:abstractNum>
  <w:abstractNum w:abstractNumId="60">
    <w:nsid w:val="7FB7E0AA"/>
    <w:multiLevelType w:val="hybridMultilevel"/>
    <w:lvl w:ilvl="0">
      <w:lvlJc w:val="left"/>
      <w:lvlText w:val="(%1)"/>
      <w:numFmt w:val="decimal"/>
      <w:start w:val="1"/>
    </w:lvl>
  </w:abstractNum>
  <w:abstractNum w:abstractNumId="61">
    <w:nsid w:val="6EB5BD4"/>
    <w:multiLevelType w:val="hybridMultilevel"/>
    <w:lvl w:ilvl="0">
      <w:lvlJc w:val="left"/>
      <w:lvlText w:val="(%1)"/>
      <w:numFmt w:val="decimal"/>
      <w:start w:val="1"/>
    </w:lvl>
  </w:abstractNum>
  <w:abstractNum w:abstractNumId="62">
    <w:nsid w:val="6F6DD9AC"/>
    <w:multiLevelType w:val="hybridMultilevel"/>
    <w:lvl w:ilvl="0">
      <w:lvlJc w:val="left"/>
      <w:lvlText w:val="(%1)"/>
      <w:numFmt w:val="decimal"/>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1)"/>
      <w:numFmt w:val="decimal"/>
      <w:start w:val="1"/>
    </w:lvl>
  </w:abstractNum>
  <w:abstractNum w:abstractNumId="65">
    <w:nsid w:val="76272110"/>
    <w:multiLevelType w:val="hybridMultilevel"/>
    <w:lvl w:ilvl="0">
      <w:lvlJc w:val="left"/>
      <w:lvlText w:val="(%1)"/>
      <w:numFmt w:val="decimal"/>
      <w:start w:val="3"/>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1)"/>
      <w:numFmt w:val="decimal"/>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1)"/>
      <w:numFmt w:val="upperLetter"/>
      <w:start w:val="1"/>
    </w:lvl>
  </w:abstractNum>
  <w:abstractNum w:abstractNumId="70">
    <w:nsid w:val="74DE0EE3"/>
    <w:multiLevelType w:val="hybridMultilevel"/>
    <w:lvl w:ilvl="0">
      <w:lvlJc w:val="left"/>
      <w:lvlText w:val="(%1)"/>
      <w:numFmt w:val="upperLetter"/>
      <w:start w:val="10"/>
    </w:lvl>
    <w:lvl w:ilvl="1">
      <w:lvlJc w:val="left"/>
      <w:lvlText w:val="(%2)"/>
      <w:numFmt w:val="upperLetter"/>
      <w:start w:val="2"/>
    </w:lvl>
  </w:abstractNum>
  <w:abstractNum w:abstractNumId="71">
    <w:nsid w:val="68EBC550"/>
    <w:multiLevelType w:val="hybridMultilevel"/>
    <w:lvl w:ilvl="0">
      <w:lvlJc w:val="left"/>
      <w:lvlText w:val="(%1)"/>
      <w:numFmt w:val="lowerRoman"/>
      <w:start w:val="1"/>
    </w:lvl>
  </w:abstractNum>
  <w:abstractNum w:abstractNumId="72">
    <w:nsid w:val="2DF6D648"/>
    <w:multiLevelType w:val="hybridMultilevel"/>
    <w:lvl w:ilvl="0">
      <w:lvlJc w:val="left"/>
      <w:lvlText w:val="(%1)"/>
      <w:numFmt w:val="upperLetter"/>
      <w:start w:val="1"/>
    </w:lvl>
  </w:abstractNum>
  <w:abstractNum w:abstractNumId="73">
    <w:nsid w:val="46B7D447"/>
    <w:multiLevelType w:val="hybridMultilevel"/>
    <w:lvl w:ilvl="0">
      <w:lvlJc w:val="left"/>
      <w:lvlText w:val="(%1)"/>
      <w:numFmt w:val="upperLetter"/>
      <w:start w:val="1"/>
    </w:lvl>
  </w:abstractNum>
  <w:abstractNum w:abstractNumId="74">
    <w:nsid w:val="4A2AC315"/>
    <w:multiLevelType w:val="hybridMultilevel"/>
    <w:lvl w:ilvl="0">
      <w:lvlJc w:val="left"/>
      <w:lvlText w:val="(%1)"/>
      <w:numFmt w:val="upperLetter"/>
      <w:start w:val="2"/>
    </w:lvl>
  </w:abstractNum>
  <w:abstractNum w:abstractNumId="75">
    <w:nsid w:val="39EE015C"/>
    <w:multiLevelType w:val="hybridMultilevel"/>
    <w:lvl w:ilvl="0">
      <w:lvlJc w:val="left"/>
      <w:lvlText w:val="(%1)"/>
      <w:numFmt w:val="decimal"/>
      <w:start w:val="1"/>
    </w:lvl>
  </w:abstractNum>
  <w:abstractNum w:abstractNumId="76">
    <w:nsid w:val="57FC4FBB"/>
    <w:multiLevelType w:val="hybridMultilevel"/>
    <w:lvl w:ilvl="0">
      <w:lvlJc w:val="left"/>
      <w:lvlText w:val="(%1)"/>
      <w:numFmt w:val="upperLetter"/>
      <w:start w:val="3"/>
    </w:lvl>
  </w:abstractNum>
  <w:abstractNum w:abstractNumId="77">
    <w:nsid w:val="CC1016F"/>
    <w:multiLevelType w:val="hybridMultilevel"/>
    <w:lvl w:ilvl="0">
      <w:lvlJc w:val="left"/>
      <w:lvlText w:val="(%1)"/>
      <w:numFmt w:val="upperLetter"/>
      <w:start w:val="4"/>
    </w:lvl>
  </w:abstractNum>
  <w:abstractNum w:abstractNumId="78">
    <w:nsid w:val="43F18422"/>
    <w:multiLevelType w:val="hybridMultilevel"/>
    <w:lvl w:ilvl="0">
      <w:lvlJc w:val="left"/>
      <w:lvlText w:val="(%1)"/>
      <w:numFmt w:val="upperLetter"/>
      <w:start w:val="5"/>
    </w:lvl>
  </w:abstractNum>
  <w:abstractNum w:abstractNumId="79">
    <w:nsid w:val="60EF0119"/>
    <w:multiLevelType w:val="hybridMultilevel"/>
    <w:lvl w:ilvl="0">
      <w:lvlJc w:val="left"/>
      <w:lvlText w:val="(%1)"/>
      <w:numFmt w:val="decimal"/>
      <w:start w:val="1"/>
    </w:lvl>
  </w:abstractNum>
  <w:abstractNum w:abstractNumId="80">
    <w:nsid w:val="26F324BA"/>
    <w:multiLevelType w:val="hybridMultilevel"/>
    <w:lvl w:ilvl="0">
      <w:lvlJc w:val="left"/>
      <w:lvlText w:val="(%1)"/>
      <w:numFmt w:val="upperLetter"/>
      <w:start w:val="6"/>
    </w:lvl>
  </w:abstractNum>
  <w:abstractNum w:abstractNumId="81">
    <w:nsid w:val="7F01579B"/>
    <w:multiLevelType w:val="hybridMultilevel"/>
    <w:lvl w:ilvl="0">
      <w:lvlJc w:val="left"/>
      <w:lvlText w:val="(%1)"/>
      <w:numFmt w:val="upperLetter"/>
      <w:start w:val="7"/>
    </w:lvl>
  </w:abstractNum>
  <w:abstractNum w:abstractNumId="82">
    <w:nsid w:val="49DA307D"/>
    <w:multiLevelType w:val="hybridMultilevel"/>
    <w:lvl w:ilvl="0">
      <w:lvlJc w:val="left"/>
      <w:lvlText w:val="(%1)"/>
      <w:numFmt w:val="upperLetter"/>
      <w:start w:val="8"/>
    </w:lvl>
  </w:abstractNum>
  <w:abstractNum w:abstractNumId="83">
    <w:nsid w:val="7055A5F5"/>
    <w:multiLevelType w:val="hybridMultilevel"/>
    <w:lvl w:ilvl="0">
      <w:lvlJc w:val="left"/>
      <w:lvlText w:val="(%1)"/>
      <w:numFmt w:val="upperLetter"/>
      <w:start w:val="9"/>
    </w:lvl>
  </w:abstractNum>
  <w:abstractNum w:abstractNumId="84">
    <w:nsid w:val="5FB8370B"/>
    <w:multiLevelType w:val="hybridMultilevel"/>
    <w:lvl w:ilvl="0">
      <w:lvlJc w:val="left"/>
      <w:lvlText w:val="(%1)"/>
      <w:numFmt w:val="upperLetter"/>
      <w:start w:val="10"/>
    </w:lvl>
  </w:abstractNum>
  <w:abstractNum w:abstractNumId="85">
    <w:nsid w:val="50801EE1"/>
    <w:multiLevelType w:val="hybridMultilevel"/>
    <w:lvl w:ilvl="0">
      <w:lvlJc w:val="left"/>
      <w:lvlText w:val="(%1)"/>
      <w:numFmt w:val="upperLetter"/>
      <w:start w:val="11"/>
    </w:lvl>
  </w:abstractNum>
  <w:abstractNum w:abstractNumId="86">
    <w:nsid w:val="488AC1A"/>
    <w:multiLevelType w:val="hybridMultilevel"/>
    <w:lvl w:ilvl="0">
      <w:lvlJc w:val="left"/>
      <w:lvlText w:val="(%1)"/>
      <w:numFmt w:val="decimal"/>
      <w:start w:val="1"/>
    </w:lvl>
  </w:abstractNum>
  <w:abstractNum w:abstractNumId="87">
    <w:nsid w:val="5FB8011C"/>
    <w:multiLevelType w:val="hybridMultilevel"/>
    <w:lvl w:ilvl="0">
      <w:lvlJc w:val="left"/>
      <w:lvlText w:val="(%1)"/>
      <w:numFmt w:val="upperLetter"/>
      <w:start w:val="1"/>
    </w:lvl>
  </w:abstractNum>
  <w:abstractNum w:abstractNumId="88">
    <w:nsid w:val="6AA78F7F"/>
    <w:multiLevelType w:val="hybridMultilevel"/>
    <w:lvl w:ilvl="0">
      <w:lvlJc w:val="left"/>
      <w:lvlText w:val="(%1)"/>
      <w:numFmt w:val="upperLetter"/>
      <w:start w:val="2"/>
    </w:lvl>
  </w:abstractNum>
  <w:abstractNum w:abstractNumId="89">
    <w:nsid w:val="7672BD23"/>
    <w:multiLevelType w:val="hybridMultilevel"/>
    <w:lvl w:ilvl="0">
      <w:lvlJc w:val="left"/>
      <w:lvlText w:val="(%1)"/>
      <w:numFmt w:val="upperLetter"/>
      <w:start w:val="3"/>
    </w:lvl>
  </w:abstractNum>
  <w:abstractNum w:abstractNumId="90">
    <w:nsid w:val="6FC75AF8"/>
    <w:multiLevelType w:val="hybridMultilevel"/>
    <w:lvl w:ilvl="0">
      <w:lvlJc w:val="left"/>
      <w:lvlText w:val="(%1)"/>
      <w:numFmt w:val="upperLetter"/>
      <w:start w:val="1"/>
    </w:lvl>
  </w:abstractNum>
  <w:abstractNum w:abstractNumId="91">
    <w:nsid w:val="6A5F7029"/>
    <w:multiLevelType w:val="hybridMultilevel"/>
    <w:lvl w:ilvl="0">
      <w:lvlJc w:val="left"/>
      <w:lvlText w:val="(%1)"/>
      <w:numFmt w:val="decimal"/>
      <w:start w:val="1"/>
    </w:lvl>
  </w:abstractNum>
  <w:abstractNum w:abstractNumId="92">
    <w:nsid w:val="7D5E18F8"/>
    <w:multiLevelType w:val="hybridMultilevel"/>
    <w:lvl w:ilvl="0">
      <w:lvlJc w:val="left"/>
      <w:lvlText w:val="(%1)"/>
      <w:numFmt w:val="upperLetter"/>
      <w:start w:val="5"/>
    </w:lvl>
  </w:abstractNum>
  <w:abstractNum w:abstractNumId="93">
    <w:nsid w:val="5F3534A4"/>
    <w:multiLevelType w:val="hybridMultilevel"/>
    <w:lvl w:ilvl="0">
      <w:lvlJc w:val="left"/>
      <w:lvlText w:val="(%1)"/>
      <w:numFmt w:val="upperLetter"/>
      <w:start w:val="1"/>
    </w:lvl>
  </w:abstractNum>
  <w:abstractNum w:abstractNumId="94">
    <w:nsid w:val="73A1821B"/>
    <w:multiLevelType w:val="hybridMultilevel"/>
    <w:lvl w:ilvl="0">
      <w:lvlJc w:val="left"/>
      <w:lvlText w:val="(%1)"/>
      <w:numFmt w:val="upperLetter"/>
      <w:start w:val="2"/>
    </w:lvl>
  </w:abstractNum>
  <w:abstractNum w:abstractNumId="95">
    <w:nsid w:val="7DE67713"/>
    <w:multiLevelType w:val="hybridMultilevel"/>
    <w:lvl w:ilvl="0">
      <w:lvlJc w:val="left"/>
      <w:lvlText w:val="(%1)"/>
      <w:numFmt w:val="upperLetter"/>
      <w:start w:val="1"/>
    </w:lvl>
  </w:abstractNum>
  <w:abstractNum w:abstractNumId="96">
    <w:nsid w:val="555C55B5"/>
    <w:multiLevelType w:val="hybridMultilevel"/>
    <w:lvl w:ilvl="0">
      <w:lvlJc w:val="left"/>
      <w:lvlText w:val="(%1)"/>
      <w:numFmt w:val="decimal"/>
      <w:start w:val="1"/>
    </w:lvl>
  </w:abstractNum>
  <w:abstractNum w:abstractNumId="97">
    <w:nsid w:val="3FA62ACA"/>
    <w:multiLevelType w:val="hybridMultilevel"/>
    <w:lvl w:ilvl="0">
      <w:lvlJc w:val="left"/>
      <w:lvlText w:val="(%1)"/>
      <w:numFmt w:val="upperLetter"/>
      <w:start w:val="3"/>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upperLetter"/>
      <w:start w:val="4"/>
    </w:lvl>
  </w:abstractNum>
  <w:abstractNum w:abstractNumId="100">
    <w:nsid w:val="71C91298"/>
    <w:multiLevelType w:val="hybridMultilevel"/>
    <w:lvl w:ilvl="0">
      <w:lvlJc w:val="left"/>
      <w:lvlText w:val="(%1)"/>
      <w:numFmt w:val="decimal"/>
      <w:start w:val="1"/>
    </w:lvl>
  </w:abstractNum>
  <w:abstractNum w:abstractNumId="101">
    <w:nsid w:val="9DAF632"/>
    <w:multiLevelType w:val="hybridMultilevel"/>
    <w:lvl w:ilvl="0">
      <w:lvlJc w:val="left"/>
      <w:lvlText w:val="%1."/>
      <w:numFmt w:val="decimal"/>
      <w:start w:val="1"/>
    </w:lvl>
    <w:lvl w:ilvl="1">
      <w:lvlJc w:val="left"/>
      <w:lvlText w:val="%2)"/>
      <w:numFmt w:val="lowerLetter"/>
      <w:start w:val="1"/>
    </w:lvl>
  </w:abstractNum>
  <w:abstractNum w:abstractNumId="102">
    <w:nsid w:val="53299938"/>
    <w:multiLevelType w:val="hybridMultilevel"/>
    <w:lvl w:ilvl="0">
      <w:lvlJc w:val="left"/>
      <w:lvlText w:val="%1."/>
      <w:numFmt w:val="decimal"/>
      <w:start w:val="1"/>
    </w:lvl>
    <w:lvl w:ilvl="1">
      <w:lvlJc w:val="left"/>
      <w:lvlText w:val="%2)"/>
      <w:numFmt w:val="lowerLetter"/>
      <w:start w:val="1"/>
    </w:lvl>
  </w:abstractNum>
  <w:abstractNum w:abstractNumId="103">
    <w:nsid w:val="1FBFE8E0"/>
    <w:multiLevelType w:val="hybridMultilevel"/>
    <w:lvl w:ilvl="0">
      <w:lvlJc w:val="left"/>
      <w:lvlText w:val="(%1)"/>
      <w:numFmt w:val="decimal"/>
      <w:start w:val="1"/>
    </w:lvl>
  </w:abstractNum>
  <w:abstractNum w:abstractNumId="104">
    <w:nsid w:val="5092CA79"/>
    <w:multiLevelType w:val="hybridMultilevel"/>
    <w:lvl w:ilvl="0">
      <w:lvlJc w:val="left"/>
      <w:lvlText w:val="(%1)"/>
      <w:numFmt w:val="decimal"/>
      <w:start w:val="1"/>
    </w:lvl>
  </w:abstractNum>
  <w:abstractNum w:abstractNumId="105">
    <w:nsid w:val="1D545C4D"/>
    <w:multiLevelType w:val="hybridMultilevel"/>
    <w:lvl w:ilvl="0">
      <w:lvlJc w:val="left"/>
      <w:lvlText w:val="•"/>
      <w:numFmt w:val="bullet"/>
      <w:start w:val="1"/>
    </w:lvl>
  </w:abstractNum>
  <w:abstractNum w:abstractNumId="106">
    <w:nsid w:val="59ADEA3D"/>
    <w:multiLevelType w:val="hybridMultilevel"/>
    <w:lvl w:ilvl="0">
      <w:lvlJc w:val="left"/>
      <w:lvlText w:val="•"/>
      <w:numFmt w:val="bullet"/>
      <w:start w:val="1"/>
    </w:lvl>
  </w:abstractNum>
  <w:abstractNum w:abstractNumId="107">
    <w:nsid w:val="288F1A3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29" Type="http://schemas.openxmlformats.org/officeDocument/2006/relationships/hyperlink" Target="http://www.sec.gov/Archives/edgar/data/1504619/000119312511080862/dex99a.htm" TargetMode="External"/><Relationship Id="rId130" Type="http://schemas.openxmlformats.org/officeDocument/2006/relationships/hyperlink" Target="http://www.sec.gov/Archives/edgar/data/1504619/000119312515393212/d59576dex31.htm" TargetMode="External"/><Relationship Id="rId131" Type="http://schemas.openxmlformats.org/officeDocument/2006/relationships/hyperlink" Target="http://www.sec.gov/Archives/edgar/data/1504619/000119312511088977/dex99d.htm" TargetMode="External"/><Relationship Id="rId132" Type="http://schemas.openxmlformats.org/officeDocument/2006/relationships/hyperlink" Target="http://www.sec.gov/Archives/edgar/data/1504619/000119312517368270/d487151dex99d8.htm" TargetMode="External"/><Relationship Id="rId133" Type="http://schemas.openxmlformats.org/officeDocument/2006/relationships/hyperlink" Target="http://www.sec.gov/Archives/edgar/data/1504619/000119312519250688/d808045dex992.htm" TargetMode="External"/><Relationship Id="rId134" Type="http://schemas.openxmlformats.org/officeDocument/2006/relationships/hyperlink" Target="http://www.sec.gov/Archives/edgar/data/1504619/000150461911000006/exhibit102purchaseandcontr.htm" TargetMode="External"/><Relationship Id="rId135" Type="http://schemas.openxmlformats.org/officeDocument/2006/relationships/hyperlink" Target="http://www.sec.gov/Archives/edgar/data/1504619/000156459018001680/pflt-ex104_47.htm" TargetMode="External"/><Relationship Id="rId136" Type="http://schemas.openxmlformats.org/officeDocument/2006/relationships/hyperlink" Target="http://www.sec.gov/Archives/edgar/data/1504619/000119312511080862/dex99k2.htm" TargetMode="External"/><Relationship Id="rId137" Type="http://schemas.openxmlformats.org/officeDocument/2006/relationships/hyperlink" Target="http://www.sec.gov/Archives/edgar/data/1504619/000119312511080862/dex99e.htm" TargetMode="External"/><Relationship Id="rId138" Type="http://schemas.openxmlformats.org/officeDocument/2006/relationships/hyperlink" Target="http://www.sec.gov/Archives/edgar/data/1504619/000119312516450643/d38254dex101.htm" TargetMode="External"/><Relationship Id="rId139" Type="http://schemas.openxmlformats.org/officeDocument/2006/relationships/hyperlink" Target="http://www.sec.gov/Archives/edgar/data/1504619/000156459017016504/pflt-ex101_78.htm" TargetMode="External"/><Relationship Id="rId140" Type="http://schemas.openxmlformats.org/officeDocument/2006/relationships/hyperlink" Target="http://www.sec.gov/Archives/edgar/data/1504619/000119312516775064/d290892dex106.htm" TargetMode="External"/><Relationship Id="rId141" Type="http://schemas.openxmlformats.org/officeDocument/2006/relationships/hyperlink" Target="http://www.sec.gov/Archives/edgar/data/1504619/000119312519250688/d808045dex993.htm" TargetMode="External"/><Relationship Id="rId142" Type="http://schemas.openxmlformats.org/officeDocument/2006/relationships/hyperlink" Target="http://www.sec.gov/Archives/edgar/data/1504619/000119312519250688/d808045dex994.htm" TargetMode="External"/><Relationship Id="rId143" Type="http://schemas.openxmlformats.org/officeDocument/2006/relationships/hyperlink" Target="http://www.sec.gov/Archives/edgar/data/1504619/000119312519250688/d808045dex995.htm" TargetMode="External"/><Relationship Id="rId144" Type="http://schemas.openxmlformats.org/officeDocument/2006/relationships/hyperlink" Target="http://www.sec.gov/Archives/edgar/data/1504619/000119312519250688/d808045dex996.htm" TargetMode="External"/><Relationship Id="rId145" Type="http://schemas.openxmlformats.org/officeDocument/2006/relationships/hyperlink" Target="http://www.sec.gov/Archives/edgar/data/1504619/000119312518322533/d642622dex101.htm" TargetMode="External"/><Relationship Id="rId148"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2020-05-05T12:08:18Z</dcterms:created>
  <dcterms:modified xsi:type="dcterms:W3CDTF">2020-05-05T12:08:18Z</dcterms:modified>
</cp:coreProperties>
</file>