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3340" w:right="2040" w:hanging="3332"/>
        <w:spacing w:after="0" w:line="391" w:lineRule="auto"/>
        <w:tabs>
          <w:tab w:leader="none" w:pos="37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2018</w:t>
      </w:r>
    </w:p>
    <w:p>
      <w:pPr>
        <w:spacing w:after="0" w:line="28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9"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186"/>
        </w:trPr>
        <w:tc>
          <w:tcPr>
            <w:tcW w:w="4820" w:type="dxa"/>
            <w:vAlign w:val="bottom"/>
          </w:tcPr>
          <w:p>
            <w:pPr>
              <w:jc w:val="center"/>
              <w:ind w:right="1512"/>
              <w:spacing w:after="0"/>
              <w:rPr>
                <w:sz w:val="20"/>
                <w:szCs w:val="20"/>
                <w:color w:val="auto"/>
              </w:rPr>
            </w:pPr>
            <w:r>
              <w:rPr>
                <w:rFonts w:ascii="Arial" w:cs="Arial" w:eastAsia="Arial" w:hAnsi="Arial"/>
                <w:sz w:val="14"/>
                <w:szCs w:val="14"/>
                <w:b w:val="1"/>
                <w:bCs w:val="1"/>
                <w:color w:val="auto"/>
              </w:rPr>
              <w:t>MARYLAND</w:t>
            </w:r>
          </w:p>
        </w:tc>
        <w:tc>
          <w:tcPr>
            <w:tcW w:w="3500" w:type="dxa"/>
            <w:vAlign w:val="bottom"/>
          </w:tcPr>
          <w:p>
            <w:pPr>
              <w:jc w:val="right"/>
              <w:ind w:right="553"/>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212"/>
        </w:trPr>
        <w:tc>
          <w:tcPr>
            <w:tcW w:w="4820" w:type="dxa"/>
            <w:vAlign w:val="bottom"/>
          </w:tcPr>
          <w:p>
            <w:pPr>
              <w:jc w:val="center"/>
              <w:ind w:right="151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500" w:type="dxa"/>
            <w:vAlign w:val="bottom"/>
          </w:tcPr>
          <w:p>
            <w:pPr>
              <w:jc w:val="center"/>
              <w:ind w:left="1493"/>
              <w:spacing w:after="0"/>
              <w:rPr>
                <w:sz w:val="20"/>
                <w:szCs w:val="20"/>
                <w:color w:val="auto"/>
              </w:rPr>
            </w:pPr>
            <w:r>
              <w:rPr>
                <w:rFonts w:ascii="Arial" w:cs="Arial" w:eastAsia="Arial" w:hAnsi="Arial"/>
                <w:sz w:val="13"/>
                <w:szCs w:val="13"/>
                <w:b w:val="1"/>
                <w:bCs w:val="1"/>
                <w:color w:val="auto"/>
                <w:w w:val="91"/>
              </w:rPr>
              <w:t>(I.R.S. Employer Identification No.)</w:t>
            </w:r>
          </w:p>
        </w:tc>
        <w:tc>
          <w:tcPr>
            <w:tcW w:w="0" w:type="dxa"/>
            <w:vAlign w:val="bottom"/>
          </w:tcPr>
          <w:p>
            <w:pPr>
              <w:spacing w:after="0"/>
              <w:rPr>
                <w:sz w:val="1"/>
                <w:szCs w:val="1"/>
                <w:color w:val="auto"/>
              </w:rPr>
            </w:pPr>
          </w:p>
        </w:tc>
      </w:tr>
      <w:tr>
        <w:trPr>
          <w:trHeight w:val="236"/>
        </w:trPr>
        <w:tc>
          <w:tcPr>
            <w:tcW w:w="4820" w:type="dxa"/>
            <w:vAlign w:val="bottom"/>
          </w:tcPr>
          <w:p>
            <w:pPr>
              <w:jc w:val="center"/>
              <w:ind w:right="1532"/>
              <w:spacing w:after="0"/>
              <w:rPr>
                <w:sz w:val="20"/>
                <w:szCs w:val="20"/>
                <w:color w:val="auto"/>
              </w:rPr>
            </w:pPr>
            <w:r>
              <w:rPr>
                <w:rFonts w:ascii="Arial" w:cs="Arial" w:eastAsia="Arial" w:hAnsi="Arial"/>
                <w:sz w:val="14"/>
                <w:szCs w:val="14"/>
                <w:b w:val="1"/>
                <w:bCs w:val="1"/>
                <w:color w:val="auto"/>
                <w:w w:val="93"/>
              </w:rPr>
              <w:t>590 Madison Avenue, 15</w:t>
            </w:r>
            <w:r>
              <w:rPr>
                <w:rFonts w:ascii="Arial" w:cs="Arial" w:eastAsia="Arial" w:hAnsi="Arial"/>
                <w:sz w:val="12"/>
                <w:szCs w:val="12"/>
                <w:b w:val="1"/>
                <w:bCs w:val="1"/>
                <w:color w:val="auto"/>
                <w:w w:val="93"/>
              </w:rPr>
              <w:t>th</w:t>
            </w:r>
            <w:r>
              <w:rPr>
                <w:rFonts w:ascii="Arial" w:cs="Arial" w:eastAsia="Arial" w:hAnsi="Arial"/>
                <w:sz w:val="14"/>
                <w:szCs w:val="14"/>
                <w:b w:val="1"/>
                <w:bCs w:val="1"/>
                <w:color w:val="auto"/>
                <w:w w:val="93"/>
              </w:rPr>
              <w:t xml:space="preserve"> Floor</w:t>
            </w:r>
          </w:p>
        </w:tc>
        <w:tc>
          <w:tcPr>
            <w:tcW w:w="350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53"/>
        </w:trPr>
        <w:tc>
          <w:tcPr>
            <w:tcW w:w="4820" w:type="dxa"/>
            <w:vAlign w:val="bottom"/>
          </w:tcPr>
          <w:p>
            <w:pPr>
              <w:jc w:val="center"/>
              <w:ind w:right="1512"/>
              <w:spacing w:after="0" w:line="153" w:lineRule="exact"/>
              <w:rPr>
                <w:sz w:val="20"/>
                <w:szCs w:val="20"/>
                <w:color w:val="auto"/>
              </w:rPr>
            </w:pPr>
            <w:r>
              <w:rPr>
                <w:rFonts w:ascii="Arial" w:cs="Arial" w:eastAsia="Arial" w:hAnsi="Arial"/>
                <w:sz w:val="14"/>
                <w:szCs w:val="14"/>
                <w:b w:val="1"/>
                <w:bCs w:val="1"/>
                <w:color w:val="auto"/>
                <w:w w:val="97"/>
              </w:rPr>
              <w:t>New York, N.Y.</w:t>
            </w:r>
          </w:p>
        </w:tc>
        <w:tc>
          <w:tcPr>
            <w:tcW w:w="3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20" w:type="dxa"/>
            <w:vAlign w:val="bottom"/>
          </w:tcPr>
          <w:p>
            <w:pPr>
              <w:jc w:val="center"/>
              <w:ind w:right="151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500" w:type="dxa"/>
            <w:vAlign w:val="bottom"/>
          </w:tcPr>
          <w:p>
            <w:pPr>
              <w:jc w:val="center"/>
              <w:ind w:left="149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 (212)-905-1000</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00"/>
          </w:cols>
          <w:pgMar w:left="320" w:top="360" w:right="379" w:bottom="1440" w:gutter="0" w:footer="0" w:header="0"/>
        </w:sectPr>
      </w:pPr>
    </w:p>
    <w:p>
      <w:pPr>
        <w:spacing w:after="0" w:line="93" w:lineRule="exact"/>
        <w:rPr>
          <w:sz w:val="24"/>
          <w:szCs w:val="24"/>
          <w:color w:val="auto"/>
        </w:rPr>
      </w:pPr>
    </w:p>
    <w:p>
      <w:pPr>
        <w:ind w:left="21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95" w:lineRule="exact"/>
        <w:rPr>
          <w:sz w:val="24"/>
          <w:szCs w:val="24"/>
          <w:color w:val="auto"/>
        </w:rPr>
      </w:pPr>
    </w:p>
    <w:p>
      <w:pPr>
        <w:sectPr>
          <w:pgSz w:w="11900" w:h="16838" w:orient="portrait"/>
          <w:cols w:equalWidth="0" w:num="2">
            <w:col w:w="6360" w:space="720"/>
            <w:col w:w="4120"/>
          </w:cols>
          <w:pgMar w:left="320" w:top="360" w:right="379" w:bottom="1440" w:gutter="0" w:footer="0" w:header="0"/>
          <w:type w:val="continuous"/>
        </w:sectPr>
      </w:pPr>
    </w:p>
    <w:p>
      <w:pPr>
        <w:ind w:left="152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NASDAQ Stock Market LLC</w:t>
      </w:r>
    </w:p>
    <w:p>
      <w:pPr>
        <w:spacing w:after="0" w:line="198" w:lineRule="exact"/>
        <w:rPr>
          <w:sz w:val="24"/>
          <w:szCs w:val="24"/>
          <w:color w:val="auto"/>
        </w:rPr>
      </w:pPr>
    </w:p>
    <w:p>
      <w:pPr>
        <w:sectPr>
          <w:pgSz w:w="11900" w:h="16838" w:orient="portrait"/>
          <w:cols w:equalWidth="0" w:num="2">
            <w:col w:w="6780" w:space="720"/>
            <w:col w:w="3700"/>
          </w:cols>
          <w:pgMar w:left="320" w:top="360" w:right="379" w:bottom="1440" w:gutter="0" w:footer="0" w:header="0"/>
          <w:type w:val="continuous"/>
        </w:sectPr>
      </w:pPr>
    </w:p>
    <w:p>
      <w:pPr>
        <w:ind w:left="370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86"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3"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36" w:lineRule="exact"/>
        <w:rPr>
          <w:sz w:val="24"/>
          <w:szCs w:val="24"/>
          <w:color w:val="auto"/>
        </w:rPr>
      </w:pPr>
    </w:p>
    <w:p>
      <w:pPr>
        <w:ind w:right="14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72" w:lineRule="exact"/>
        <w:rPr>
          <w:sz w:val="24"/>
          <w:szCs w:val="24"/>
          <w:color w:val="auto"/>
        </w:rPr>
      </w:pPr>
    </w:p>
    <w:p>
      <w:pPr>
        <w:ind w:right="12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72" w:lineRule="exact"/>
        <w:rPr>
          <w:sz w:val="24"/>
          <w:szCs w:val="24"/>
          <w:color w:val="auto"/>
        </w:rPr>
      </w:pPr>
    </w:p>
    <w:p>
      <w:pPr>
        <w:ind w:firstLine="43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2" w:lineRule="exact"/>
        <w:rPr>
          <w:sz w:val="24"/>
          <w:szCs w:val="24"/>
          <w:color w:val="auto"/>
        </w:rPr>
      </w:pPr>
    </w:p>
    <w:p>
      <w:pPr>
        <w:ind w:right="180" w:firstLine="43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194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194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85" w:lineRule="exact"/>
        <w:rPr>
          <w:sz w:val="24"/>
          <w:szCs w:val="24"/>
          <w:color w:val="auto"/>
        </w:rPr>
      </w:pPr>
    </w:p>
    <w:p>
      <w:pPr>
        <w:ind w:right="10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36" w:lineRule="exact"/>
        <w:rPr>
          <w:sz w:val="24"/>
          <w:szCs w:val="24"/>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2018 based on the closing price on that date of $13.09 on the NASDAQ Global Select Market was approximately $503 million. For the purposes of calculating the aggregate market value of common stock held by non-affiliates, all directors and executive officers of the Registrant have been treated as affiliates. There were 38,772,074 shares of the Registrant’s common stock outstanding as of November 14, 2018.</w:t>
      </w:r>
    </w:p>
    <w:p>
      <w:pPr>
        <w:spacing w:after="0" w:line="75" w:lineRule="exact"/>
        <w:rPr>
          <w:sz w:val="24"/>
          <w:szCs w:val="24"/>
          <w:color w:val="auto"/>
        </w:rPr>
      </w:pPr>
    </w:p>
    <w:p>
      <w:pPr>
        <w:ind w:right="12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2019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540" w:type="dxa"/>
            <w:vAlign w:val="bottom"/>
          </w:tcPr>
          <w:p>
            <w:pPr>
              <w:jc w:val="center"/>
              <w:ind w:left="1168"/>
              <w:spacing w:after="0"/>
              <w:rPr>
                <w:sz w:val="20"/>
                <w:szCs w:val="20"/>
                <w:color w:val="auto"/>
              </w:rPr>
            </w:pPr>
            <w:r>
              <w:rPr>
                <w:rFonts w:ascii="Arial" w:cs="Arial" w:eastAsia="Arial" w:hAnsi="Arial"/>
                <w:sz w:val="14"/>
                <w:szCs w:val="14"/>
                <w:b w:val="1"/>
                <w:bCs w:val="1"/>
                <w:color w:val="auto"/>
              </w:rPr>
              <w:t>PENNANTPARK FLOATING RATE CAPITAL LTD.</w:t>
            </w:r>
          </w:p>
        </w:tc>
        <w:tc>
          <w:tcPr>
            <w:tcW w:w="1980" w:type="dxa"/>
            <w:vAlign w:val="bottom"/>
          </w:tcPr>
          <w:p>
            <w:pPr>
              <w:spacing w:after="0"/>
              <w:rPr>
                <w:sz w:val="14"/>
                <w:szCs w:val="14"/>
                <w:color w:val="auto"/>
              </w:rPr>
            </w:pPr>
          </w:p>
        </w:tc>
      </w:tr>
      <w:tr>
        <w:trPr>
          <w:trHeight w:val="149"/>
        </w:trPr>
        <w:tc>
          <w:tcPr>
            <w:tcW w:w="740" w:type="dxa"/>
            <w:vAlign w:val="bottom"/>
          </w:tcPr>
          <w:p>
            <w:pPr>
              <w:spacing w:after="0"/>
              <w:rPr>
                <w:sz w:val="12"/>
                <w:szCs w:val="12"/>
                <w:color w:val="auto"/>
              </w:rPr>
            </w:pPr>
          </w:p>
        </w:tc>
        <w:tc>
          <w:tcPr>
            <w:tcW w:w="854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rPr>
              <w:t>FORM 10-K</w:t>
            </w:r>
          </w:p>
        </w:tc>
        <w:tc>
          <w:tcPr>
            <w:tcW w:w="1980" w:type="dxa"/>
            <w:vAlign w:val="bottom"/>
          </w:tcPr>
          <w:p>
            <w:pPr>
              <w:spacing w:after="0"/>
              <w:rPr>
                <w:sz w:val="12"/>
                <w:szCs w:val="12"/>
                <w:color w:val="auto"/>
              </w:rPr>
            </w:pPr>
          </w:p>
        </w:tc>
      </w:tr>
      <w:tr>
        <w:trPr>
          <w:trHeight w:val="148"/>
        </w:trPr>
        <w:tc>
          <w:tcPr>
            <w:tcW w:w="740" w:type="dxa"/>
            <w:vAlign w:val="bottom"/>
          </w:tcPr>
          <w:p>
            <w:pPr>
              <w:spacing w:after="0"/>
              <w:rPr>
                <w:sz w:val="12"/>
                <w:szCs w:val="12"/>
                <w:color w:val="auto"/>
              </w:rPr>
            </w:pPr>
          </w:p>
        </w:tc>
        <w:tc>
          <w:tcPr>
            <w:tcW w:w="854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rPr>
              <w:t>FOR THE FISCAL YEAR ENDED SEPTEMBER 30, 2018</w:t>
            </w:r>
          </w:p>
        </w:tc>
        <w:tc>
          <w:tcPr>
            <w:tcW w:w="1980" w:type="dxa"/>
            <w:vAlign w:val="bottom"/>
          </w:tcPr>
          <w:p>
            <w:pPr>
              <w:spacing w:after="0"/>
              <w:rPr>
                <w:sz w:val="12"/>
                <w:szCs w:val="12"/>
                <w:color w:val="auto"/>
              </w:rPr>
            </w:pPr>
          </w:p>
        </w:tc>
      </w:tr>
      <w:tr>
        <w:trPr>
          <w:trHeight w:val="186"/>
        </w:trPr>
        <w:tc>
          <w:tcPr>
            <w:tcW w:w="740" w:type="dxa"/>
            <w:vAlign w:val="bottom"/>
          </w:tcPr>
          <w:p>
            <w:pPr>
              <w:spacing w:after="0"/>
              <w:rPr>
                <w:sz w:val="16"/>
                <w:szCs w:val="16"/>
                <w:color w:val="auto"/>
              </w:rPr>
            </w:pPr>
          </w:p>
        </w:tc>
        <w:tc>
          <w:tcPr>
            <w:tcW w:w="8540" w:type="dxa"/>
            <w:vAlign w:val="bottom"/>
          </w:tcPr>
          <w:p>
            <w:pPr>
              <w:jc w:val="center"/>
              <w:ind w:left="1168"/>
              <w:spacing w:after="0"/>
              <w:rPr>
                <w:sz w:val="20"/>
                <w:szCs w:val="20"/>
                <w:color w:val="auto"/>
              </w:rPr>
            </w:pPr>
            <w:r>
              <w:rPr>
                <w:rFonts w:ascii="Arial" w:cs="Arial" w:eastAsia="Arial" w:hAnsi="Arial"/>
                <w:sz w:val="14"/>
                <w:szCs w:val="14"/>
                <w:b w:val="1"/>
                <w:bCs w:val="1"/>
                <w:color w:val="auto"/>
              </w:rPr>
              <w:t>TABLE OF CONTENTS</w:t>
            </w:r>
          </w:p>
        </w:tc>
        <w:tc>
          <w:tcPr>
            <w:tcW w:w="1980" w:type="dxa"/>
            <w:vAlign w:val="bottom"/>
          </w:tcPr>
          <w:p>
            <w:pPr>
              <w:spacing w:after="0"/>
              <w:rPr>
                <w:sz w:val="16"/>
                <w:szCs w:val="16"/>
                <w:color w:val="auto"/>
              </w:rPr>
            </w:pP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40" w:type="dxa"/>
            <w:vAlign w:val="bottom"/>
          </w:tcPr>
          <w:p>
            <w:pPr>
              <w:ind w:left="18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40" w:type="dxa"/>
            <w:vAlign w:val="bottom"/>
          </w:tcPr>
          <w:p>
            <w:pPr>
              <w:ind w:left="18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Risk Factors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40" w:type="dxa"/>
            <w:vAlign w:val="bottom"/>
          </w:tcPr>
          <w:p>
            <w:pPr>
              <w:ind w:left="1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Unresolved Staff Comments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40" w:type="dxa"/>
            <w:vAlign w:val="bottom"/>
          </w:tcPr>
          <w:p>
            <w:pPr>
              <w:ind w:left="1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Properties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40" w:type="dxa"/>
            <w:vAlign w:val="bottom"/>
          </w:tcPr>
          <w:p>
            <w:pPr>
              <w:ind w:left="1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Legal Proceedings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40" w:type="dxa"/>
            <w:vAlign w:val="bottom"/>
          </w:tcPr>
          <w:p>
            <w:pPr>
              <w:ind w:left="1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Mine Safety Disclosures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28"/>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40" w:type="dxa"/>
            <w:vAlign w:val="bottom"/>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40" w:type="dxa"/>
            <w:vAlign w:val="bottom"/>
          </w:tcPr>
          <w:p>
            <w:pPr>
              <w:ind w:left="18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Selected Financial Data</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40" w:type="dxa"/>
            <w:vAlign w:val="bottom"/>
          </w:tcPr>
          <w:p>
            <w:pPr>
              <w:ind w:left="18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40" w:type="dxa"/>
            <w:vAlign w:val="bottom"/>
          </w:tcPr>
          <w:p>
            <w:pPr>
              <w:ind w:left="1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Quantitative and Qualitative Disclosures About Market Risk</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40" w:type="dxa"/>
            <w:vAlign w:val="bottom"/>
          </w:tcPr>
          <w:p>
            <w:pPr>
              <w:ind w:left="1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Consolidated Financial Statements and Supplementary Data</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40" w:type="dxa"/>
            <w:vAlign w:val="bottom"/>
          </w:tcPr>
          <w:p>
            <w:pPr>
              <w:ind w:left="180"/>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Changes in and Disagreements with Accountants on Accounting and Financial Disclosure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40" w:type="dxa"/>
            <w:vAlign w:val="bottom"/>
          </w:tcPr>
          <w:p>
            <w:pPr>
              <w:ind w:left="180"/>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Controls and Procedures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40" w:type="dxa"/>
            <w:vAlign w:val="bottom"/>
          </w:tcPr>
          <w:p>
            <w:pPr>
              <w:ind w:left="180"/>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Other Information</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79">
              <w:r>
                <w:rPr>
                  <w:rFonts w:ascii="Arial" w:cs="Arial" w:eastAsia="Arial" w:hAnsi="Arial"/>
                  <w:sz w:val="14"/>
                  <w:szCs w:val="14"/>
                  <w:b w:val="1"/>
                  <w:bCs w:val="1"/>
                  <w:u w:val="single" w:color="auto"/>
                  <w:color w:val="0000EE"/>
                </w:rPr>
                <w:t>PART III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40" w:type="dxa"/>
            <w:vAlign w:val="bottom"/>
          </w:tcPr>
          <w:p>
            <w:pPr>
              <w:ind w:left="180"/>
              <w:spacing w:after="0"/>
              <w:rPr>
                <w:rFonts w:ascii="Arial" w:cs="Arial" w:eastAsia="Arial" w:hAnsi="Arial"/>
                <w:sz w:val="14"/>
                <w:szCs w:val="14"/>
                <w:u w:val="single" w:color="auto"/>
                <w:color w:val="0000EE"/>
              </w:rPr>
            </w:pPr>
            <w:hyperlink w:anchor="page79">
              <w:r>
                <w:rPr>
                  <w:rFonts w:ascii="Arial" w:cs="Arial" w:eastAsia="Arial" w:hAnsi="Arial"/>
                  <w:sz w:val="14"/>
                  <w:szCs w:val="14"/>
                  <w:u w:val="single" w:color="auto"/>
                  <w:color w:val="0000EE"/>
                </w:rPr>
                <w:t>Directors, Executive Officers and Corporate Governance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40" w:type="dxa"/>
            <w:vAlign w:val="bottom"/>
          </w:tcPr>
          <w:p>
            <w:pPr>
              <w:ind w:left="180"/>
              <w:spacing w:after="0"/>
              <w:rPr>
                <w:rFonts w:ascii="Arial" w:cs="Arial" w:eastAsia="Arial" w:hAnsi="Arial"/>
                <w:sz w:val="14"/>
                <w:szCs w:val="14"/>
                <w:u w:val="single" w:color="auto"/>
                <w:color w:val="0000EE"/>
              </w:rPr>
            </w:pPr>
            <w:hyperlink w:anchor="page79">
              <w:r>
                <w:rPr>
                  <w:rFonts w:ascii="Arial" w:cs="Arial" w:eastAsia="Arial" w:hAnsi="Arial"/>
                  <w:sz w:val="14"/>
                  <w:szCs w:val="14"/>
                  <w:u w:val="single" w:color="auto"/>
                  <w:color w:val="0000EE"/>
                </w:rPr>
                <w:t>Executive Compensation</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40" w:type="dxa"/>
            <w:vAlign w:val="bottom"/>
          </w:tcPr>
          <w:p>
            <w:pPr>
              <w:ind w:left="180"/>
              <w:spacing w:after="0"/>
              <w:rPr>
                <w:rFonts w:ascii="Arial" w:cs="Arial" w:eastAsia="Arial" w:hAnsi="Arial"/>
                <w:sz w:val="14"/>
                <w:szCs w:val="14"/>
                <w:u w:val="single" w:color="auto"/>
                <w:color w:val="0000EE"/>
              </w:rPr>
            </w:pPr>
            <w:hyperlink w:anchor="page79">
              <w:r>
                <w:rPr>
                  <w:rFonts w:ascii="Arial" w:cs="Arial" w:eastAsia="Arial" w:hAnsi="Arial"/>
                  <w:sz w:val="14"/>
                  <w:szCs w:val="14"/>
                  <w:u w:val="single" w:color="auto"/>
                  <w:color w:val="0000EE"/>
                </w:rPr>
                <w:t>Security Ownership of Certain Beneficial Owners and Management and Related Stockholder Matters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40" w:type="dxa"/>
            <w:vAlign w:val="bottom"/>
          </w:tcPr>
          <w:p>
            <w:pPr>
              <w:ind w:left="180"/>
              <w:spacing w:after="0"/>
              <w:rPr>
                <w:rFonts w:ascii="Arial" w:cs="Arial" w:eastAsia="Arial" w:hAnsi="Arial"/>
                <w:sz w:val="14"/>
                <w:szCs w:val="14"/>
                <w:u w:val="single" w:color="auto"/>
                <w:color w:val="0000EE"/>
              </w:rPr>
            </w:pPr>
            <w:hyperlink w:anchor="page79">
              <w:r>
                <w:rPr>
                  <w:rFonts w:ascii="Arial" w:cs="Arial" w:eastAsia="Arial" w:hAnsi="Arial"/>
                  <w:sz w:val="14"/>
                  <w:szCs w:val="14"/>
                  <w:u w:val="single" w:color="auto"/>
                  <w:color w:val="0000EE"/>
                </w:rPr>
                <w:t>Certain Relationships and Related Transactions, and Director Independence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40" w:type="dxa"/>
            <w:vAlign w:val="bottom"/>
          </w:tcPr>
          <w:p>
            <w:pPr>
              <w:ind w:left="180"/>
              <w:spacing w:after="0"/>
              <w:rPr>
                <w:rFonts w:ascii="Arial" w:cs="Arial" w:eastAsia="Arial" w:hAnsi="Arial"/>
                <w:sz w:val="14"/>
                <w:szCs w:val="14"/>
                <w:u w:val="single" w:color="auto"/>
                <w:color w:val="0000EE"/>
              </w:rPr>
            </w:pPr>
            <w:hyperlink w:anchor="page79">
              <w:r>
                <w:rPr>
                  <w:rFonts w:ascii="Arial" w:cs="Arial" w:eastAsia="Arial" w:hAnsi="Arial"/>
                  <w:sz w:val="14"/>
                  <w:szCs w:val="14"/>
                  <w:u w:val="single" w:color="auto"/>
                  <w:color w:val="0000EE"/>
                </w:rPr>
                <w:t>Principal Accountant Fees and Services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80">
              <w:r>
                <w:rPr>
                  <w:rFonts w:ascii="Arial" w:cs="Arial" w:eastAsia="Arial" w:hAnsi="Arial"/>
                  <w:sz w:val="14"/>
                  <w:szCs w:val="14"/>
                  <w:b w:val="1"/>
                  <w:bCs w:val="1"/>
                  <w:u w:val="single" w:color="auto"/>
                  <w:color w:val="0000EE"/>
                </w:rPr>
                <w:t>PART IV</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40" w:type="dxa"/>
            <w:vAlign w:val="bottom"/>
          </w:tcPr>
          <w:p>
            <w:pPr>
              <w:ind w:left="180"/>
              <w:spacing w:after="0"/>
              <w:rPr>
                <w:rFonts w:ascii="Arial" w:cs="Arial" w:eastAsia="Arial" w:hAnsi="Arial"/>
                <w:sz w:val="14"/>
                <w:szCs w:val="14"/>
                <w:u w:val="single" w:color="auto"/>
                <w:color w:val="0000EE"/>
              </w:rPr>
            </w:pPr>
            <w:hyperlink w:anchor="page80">
              <w:r>
                <w:rPr>
                  <w:rFonts w:ascii="Arial" w:cs="Arial" w:eastAsia="Arial" w:hAnsi="Arial"/>
                  <w:sz w:val="14"/>
                  <w:szCs w:val="14"/>
                  <w:u w:val="single" w:color="auto"/>
                  <w:color w:val="0000EE"/>
                </w:rPr>
                <w:t>Exhibits and Financial Statement Schedules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97"/>
        </w:trPr>
        <w:tc>
          <w:tcPr>
            <w:tcW w:w="740" w:type="dxa"/>
            <w:vAlign w:val="bottom"/>
          </w:tcPr>
          <w:p>
            <w:pPr>
              <w:spacing w:after="0"/>
              <w:rPr>
                <w:sz w:val="24"/>
                <w:szCs w:val="24"/>
                <w:color w:val="auto"/>
              </w:rPr>
            </w:pPr>
          </w:p>
        </w:tc>
        <w:tc>
          <w:tcPr>
            <w:tcW w:w="8540" w:type="dxa"/>
            <w:vAlign w:val="bottom"/>
          </w:tcPr>
          <w:p>
            <w:pPr>
              <w:ind w:left="18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1058"/>
        </w:trPr>
        <w:tc>
          <w:tcPr>
            <w:tcW w:w="74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74" w:lineRule="exact"/>
        <w:rPr>
          <w:sz w:val="20"/>
          <w:szCs w:val="20"/>
          <w:color w:val="auto"/>
        </w:rPr>
      </w:pPr>
    </w:p>
    <w:p>
      <w:pPr>
        <w:ind w:right="60" w:firstLine="438"/>
        <w:spacing w:after="0" w:line="272" w:lineRule="auto"/>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“1940 Act” refers to the Investment Company Act of 1940, as amended; “Code” refers to the Internal Revenue Code of 1986, as amended; “RIC” refers to a</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regulated investment company under the Code; “BDC” refers to a business development company under the 1940 Act; “MCG” refers to MCG Capital Corporation; and “Credit Facility”</w:t>
      </w:r>
    </w:p>
    <w:p>
      <w:pPr>
        <w:spacing w:after="0" w:line="44" w:lineRule="exact"/>
        <w:rPr>
          <w:sz w:val="20"/>
          <w:szCs w:val="20"/>
          <w:color w:val="auto"/>
        </w:rPr>
      </w:pPr>
    </w:p>
    <w:p>
      <w:pPr>
        <w:ind w:right="280"/>
        <w:spacing w:after="0" w:line="229" w:lineRule="auto"/>
        <w:rPr>
          <w:sz w:val="20"/>
          <w:szCs w:val="20"/>
          <w:color w:val="auto"/>
        </w:rPr>
      </w:pPr>
      <w:r>
        <w:rPr>
          <w:rFonts w:ascii="Arial" w:cs="Arial" w:eastAsia="Arial" w:hAnsi="Arial"/>
          <w:sz w:val="14"/>
          <w:szCs w:val="14"/>
          <w:b w:val="1"/>
          <w:bCs w:val="1"/>
          <w:i w:val="1"/>
          <w:iCs w:val="1"/>
          <w:color w:val="auto"/>
        </w:rPr>
        <w:t>refers to our multi-currency senior secured revolving credit facility, as amended and restated with SunTrust Bank and other lenders, or the Lenders.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while seeking to preserve capital by investing primarily in loans bearing a variable-rate of interest, or Floating Rate Loans, and other investments made to U.S. middle-market companies.</w:t>
      </w:r>
    </w:p>
    <w:p>
      <w:pPr>
        <w:spacing w:after="0" w:line="93"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1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our Credit Facility.</w:t>
      </w:r>
    </w:p>
    <w:p>
      <w:pPr>
        <w:spacing w:after="0" w:line="93"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$8.3 billion in 496 companies with approximately 180 different financial sponsors through its managed funds.</w:t>
      </w:r>
    </w:p>
    <w:p>
      <w:pPr>
        <w:spacing w:after="0" w:line="98"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36"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ind w:left="920" w:right="20" w:hanging="359"/>
        <w:spacing w:after="0" w:line="296"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76" w:lineRule="exact"/>
        <w:rPr>
          <w:rFonts w:ascii="Arial" w:cs="Arial" w:eastAsia="Arial" w:hAnsi="Arial"/>
          <w:sz w:val="13"/>
          <w:szCs w:val="13"/>
          <w:color w:val="auto"/>
        </w:rPr>
      </w:pPr>
    </w:p>
    <w:p>
      <w:pPr>
        <w:jc w:val="both"/>
        <w:ind w:left="920" w:right="6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ind w:left="920" w:right="4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60" w:hanging="359"/>
        <w:spacing w:after="0" w:line="26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95" w:lineRule="exact"/>
        <w:rPr>
          <w:rFonts w:ascii="Arial" w:cs="Arial" w:eastAsia="Arial" w:hAnsi="Arial"/>
          <w:sz w:val="13"/>
          <w:szCs w:val="13"/>
          <w:color w:val="auto"/>
        </w:rPr>
      </w:pPr>
    </w:p>
    <w:p>
      <w:pPr>
        <w:ind w:left="920" w:hanging="359"/>
        <w:spacing w:after="0" w:line="232"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36" w:lineRule="exact"/>
        <w:rPr>
          <w:sz w:val="20"/>
          <w:szCs w:val="20"/>
          <w:color w:val="auto"/>
        </w:rPr>
      </w:pPr>
    </w:p>
    <w:p>
      <w:pPr>
        <w:ind w:left="920" w:hanging="359"/>
        <w:spacing w:after="0"/>
        <w:tabs>
          <w:tab w:leader="none" w:pos="9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right="36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17"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04" w:lineRule="exact"/>
        <w:rPr>
          <w:sz w:val="20"/>
          <w:szCs w:val="20"/>
          <w:color w:val="auto"/>
        </w:rPr>
      </w:pPr>
    </w:p>
    <w:p>
      <w:pPr>
        <w:ind w:left="920" w:hanging="359"/>
        <w:spacing w:after="0"/>
        <w:tabs>
          <w:tab w:leader="none" w:pos="92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17"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23" w:lineRule="exact"/>
        <w:rPr>
          <w:sz w:val="20"/>
          <w:szCs w:val="20"/>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1"/>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17"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84"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9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23"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07"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36" w:lineRule="exact"/>
        <w:rPr>
          <w:sz w:val="20"/>
          <w:szCs w:val="20"/>
          <w:color w:val="auto"/>
        </w:rPr>
      </w:pPr>
    </w:p>
    <w:p>
      <w:pPr>
        <w:ind w:firstLine="456"/>
        <w:spacing w:after="0" w:line="245" w:lineRule="auto"/>
        <w:rPr>
          <w:sz w:val="20"/>
          <w:szCs w:val="20"/>
          <w:color w:val="auto"/>
        </w:rPr>
      </w:pPr>
      <w:r>
        <w:rPr>
          <w:rFonts w:ascii="Arial" w:cs="Arial" w:eastAsia="Arial" w:hAnsi="Arial"/>
          <w:sz w:val="13"/>
          <w:szCs w:val="13"/>
          <w:color w:val="auto"/>
        </w:rPr>
        <w:t>As of September 30, 2018, we maintained a $405 million Credit Facility, which matures in November 2022, with the Lenders. During the Credit Facility’s revolving period, which extends to November 2020, it bears interest at London Interbank Offered Rate, or LIBOR, plus 200 basis points, and after the revolving period, the rate sets to LIBOR plus 425 basis points for the remaining two years. The Credit Facility is secured by all of the assets held by Funding I, under which we had $333.7 million outstanding as of September 30, 2018. The Credit Facility had a weighted average interest rate of 4.25% and 3.18%, exclusive of the fee on undrawn commitments as of September 30, 2018 and 2017, respectively. As of September 30, 2018 and 2017, we had $71.3 million and $121.2 million, respectively, of unused borrowing capacity under our Credit Facility, subject to the regulatory restrictions. We believe that our capital resources will provide us with the flexibility to take advantage of market opportunities when they arise. Our use of leverage, as calculated under the asset coverage requirements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“Recent Developments” for more information.</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3"/>
          <w:szCs w:val="13"/>
          <w:color w:val="auto"/>
        </w:rPr>
        <w:t>As of September 30, 2018 we had $138.6 million in aggregate principal amount of 2023 Notes outstanding. The 2023 Notes were issued pursuant to a deed of trust between the Company and Mishmeret Trust Company, Ltd. as trustee. 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7"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See “Management’s Discussion and Analysis of Financial Condition and Results of Operations”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1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0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5" w:name="page6"/>
    <w:bookmarkEnd w:id="5"/>
    <w:p>
      <w:pPr>
        <w:ind w:right="2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2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0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15"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jc w:val="both"/>
        <w:ind w:right="34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02"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6"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04"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15"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23"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may include:</w:t>
      </w:r>
    </w:p>
    <w:p>
      <w:pPr>
        <w:spacing w:after="0" w:line="136" w:lineRule="exact"/>
        <w:rPr>
          <w:sz w:val="20"/>
          <w:szCs w:val="20"/>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136"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93"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ind w:right="440"/>
        <w:spacing w:after="0" w:line="432" w:lineRule="auto"/>
        <w:rPr>
          <w:sz w:val="20"/>
          <w:szCs w:val="20"/>
          <w:color w:val="auto"/>
        </w:rPr>
      </w:pPr>
      <w:r>
        <w:rPr>
          <w:rFonts w:ascii="Arial" w:cs="Arial" w:eastAsia="Arial" w:hAnsi="Arial"/>
          <w:sz w:val="14"/>
          <w:szCs w:val="14"/>
          <w:color w:val="auto"/>
        </w:rPr>
        <w:t xml:space="preserve">our Investment Adviser. The members of the investment committee receive no compensation from us. Rather, they are employees of and receive compensation from our Investment Adviser. </w:t>
      </w:r>
      <w:r>
        <w:rPr>
          <w:rFonts w:ascii="Arial" w:cs="Arial" w:eastAsia="Arial" w:hAnsi="Arial"/>
          <w:sz w:val="14"/>
          <w:szCs w:val="14"/>
          <w:b w:val="1"/>
          <w:bCs w:val="1"/>
          <w:i w:val="1"/>
          <w:iCs w:val="1"/>
          <w:color w:val="auto"/>
        </w:rPr>
        <w:t>Investment Structure</w:t>
      </w:r>
    </w:p>
    <w:p>
      <w:pPr>
        <w:spacing w:after="0" w:line="1"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93"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0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5"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36" w:lineRule="exact"/>
        <w:rPr>
          <w:rFonts w:ascii="Arial" w:cs="Arial" w:eastAsia="Arial" w:hAnsi="Arial"/>
          <w:sz w:val="14"/>
          <w:szCs w:val="14"/>
          <w:color w:val="auto"/>
        </w:rPr>
      </w:pPr>
    </w:p>
    <w:p>
      <w:pPr>
        <w:jc w:val="both"/>
        <w:ind w:left="920" w:right="260" w:hanging="359"/>
        <w:spacing w:after="0" w:line="238" w:lineRule="auto"/>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03"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Monitoring</w:t>
      </w:r>
    </w:p>
    <w:p>
      <w:pPr>
        <w:spacing w:after="0" w:line="123"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36" w:lineRule="exact"/>
        <w:rPr>
          <w:sz w:val="20"/>
          <w:szCs w:val="20"/>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36" w:lineRule="exact"/>
        <w:rPr>
          <w:rFonts w:ascii="Arial" w:cs="Arial" w:eastAsia="Arial" w:hAnsi="Arial"/>
          <w:sz w:val="14"/>
          <w:szCs w:val="14"/>
          <w:color w:val="auto"/>
        </w:rPr>
      </w:pPr>
    </w:p>
    <w:p>
      <w:pPr>
        <w:ind w:left="920" w:right="800" w:hanging="359"/>
        <w:spacing w:after="0" w:line="253"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136" w:lineRule="exact"/>
        <w:rPr>
          <w:sz w:val="20"/>
          <w:szCs w:val="20"/>
          <w:color w:val="auto"/>
        </w:rPr>
      </w:pPr>
    </w:p>
    <w:p>
      <w:pPr>
        <w:ind w:right="14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20" w:firstLine="8"/>
        <w:spacing w:after="0" w:line="237" w:lineRule="auto"/>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Staffing</w:t>
      </w:r>
    </w:p>
    <w:p>
      <w:pPr>
        <w:spacing w:after="0" w:line="12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23"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7" w:name="page8"/>
    <w:bookmarkEnd w:id="7"/>
    <w:p>
      <w:pPr>
        <w:ind w:right="60"/>
        <w:spacing w:after="0" w:line="290" w:lineRule="auto"/>
        <w:rPr>
          <w:sz w:val="20"/>
          <w:szCs w:val="20"/>
          <w:color w:val="auto"/>
        </w:rPr>
      </w:pPr>
      <w:r>
        <w:rPr>
          <w:rFonts w:ascii="Arial" w:cs="Arial" w:eastAsia="Arial" w:hAnsi="Arial"/>
          <w:sz w:val="13"/>
          <w:szCs w:val="13"/>
          <w:color w:val="auto"/>
        </w:rPr>
        <w:t xml:space="preserve">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36"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tbl>
      <w:tblPr>
        <w:tblLayout w:type="fixed"/>
        <w:tblInd w:w="180" w:type="dxa"/>
        <w:tblCellMar>
          <w:top w:w="0" w:type="dxa"/>
          <w:left w:w="0" w:type="dxa"/>
          <w:bottom w:w="0" w:type="dxa"/>
          <w:right w:w="0" w:type="dxa"/>
        </w:tblCellMar>
      </w:tblPr>
      <w:tr>
        <w:trPr>
          <w:trHeight w:val="137"/>
        </w:trPr>
        <w:tc>
          <w:tcPr>
            <w:tcW w:w="12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4520" w:type="dxa"/>
            <w:vAlign w:val="bottom"/>
          </w:tcPr>
          <w:p>
            <w:pPr>
              <w:ind w:left="60"/>
              <w:spacing w:after="0" w:line="137" w:lineRule="exact"/>
              <w:rPr>
                <w:sz w:val="20"/>
                <w:szCs w:val="20"/>
                <w:color w:val="auto"/>
              </w:rPr>
            </w:pPr>
            <w:r>
              <w:rPr>
                <w:rFonts w:ascii="Arial" w:cs="Arial" w:eastAsia="Arial" w:hAnsi="Arial"/>
                <w:sz w:val="14"/>
                <w:szCs w:val="14"/>
                <w:color w:val="auto"/>
              </w:rPr>
              <w:t>Aerospace and Defense</w:t>
            </w:r>
          </w:p>
        </w:tc>
        <w:tc>
          <w:tcPr>
            <w:tcW w:w="1020" w:type="dxa"/>
            <w:vAlign w:val="bottom"/>
          </w:tcPr>
          <w:p>
            <w:pPr>
              <w:ind w:left="900"/>
              <w:spacing w:after="0" w:line="137"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37" w:lineRule="exact"/>
              <w:rPr>
                <w:sz w:val="20"/>
                <w:szCs w:val="20"/>
                <w:color w:val="auto"/>
              </w:rPr>
            </w:pPr>
            <w:r>
              <w:rPr>
                <w:rFonts w:ascii="Arial" w:cs="Arial" w:eastAsia="Arial" w:hAnsi="Arial"/>
                <w:sz w:val="14"/>
                <w:szCs w:val="14"/>
                <w:color w:val="auto"/>
              </w:rPr>
              <w:t>Energy/Utilities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60"/>
              <w:spacing w:after="0" w:line="149" w:lineRule="exact"/>
              <w:rPr>
                <w:sz w:val="20"/>
                <w:szCs w:val="20"/>
                <w:color w:val="auto"/>
              </w:rPr>
            </w:pPr>
            <w:r>
              <w:rPr>
                <w:rFonts w:ascii="Arial" w:cs="Arial" w:eastAsia="Arial" w:hAnsi="Arial"/>
                <w:sz w:val="14"/>
                <w:szCs w:val="14"/>
                <w:color w:val="auto"/>
              </w:rPr>
              <w:t>Auto Sector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Beverage, Food and Tobacco</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Financial Services</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Broadcasting and Entertainment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Grocery</w:t>
            </w:r>
          </w:p>
        </w:tc>
      </w:tr>
      <w:tr>
        <w:trPr>
          <w:trHeight w:val="175"/>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Buildings and Real Estate</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Healthcare, Education and Childcare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Building Materials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w w:val="95"/>
              </w:rPr>
              <w:t>•  Home &amp; Office Furnishings, Housewares &amp; Durable Consumer Products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Cable Television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Hotels, Motels, Inns and Gaming</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Capital Equipment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Cargo Transportation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Leisure, Amusement, Motion Picture, Entertainment</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Chemicals, Plastics and Rubber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Communications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1020" w:type="dxa"/>
            <w:vAlign w:val="bottom"/>
          </w:tcPr>
          <w:p>
            <w:pPr>
              <w:ind w:left="90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Media</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Mining, Steel, Iron and Non-Precious Metals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&amp; Glass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Oil and Gas</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Distribution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Other Media</w:t>
            </w:r>
          </w:p>
        </w:tc>
      </w:tr>
      <w:tr>
        <w:trPr>
          <w:trHeight w:val="175"/>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Personal, Food and Miscellaneous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Printing and Publishing</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Retail</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Education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Wholesale</w:t>
            </w:r>
          </w:p>
        </w:tc>
      </w:tr>
      <w:tr>
        <w:trPr>
          <w:trHeight w:val="18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Electronics</w:t>
            </w:r>
          </w:p>
        </w:tc>
        <w:tc>
          <w:tcPr>
            <w:tcW w:w="1020" w:type="dxa"/>
            <w:vAlign w:val="bottom"/>
          </w:tcPr>
          <w:p>
            <w:pPr>
              <w:spacing w:after="0"/>
              <w:rPr>
                <w:sz w:val="15"/>
                <w:szCs w:val="15"/>
                <w:color w:val="auto"/>
              </w:rPr>
            </w:pPr>
          </w:p>
        </w:tc>
        <w:tc>
          <w:tcPr>
            <w:tcW w:w="4280" w:type="dxa"/>
            <w:vAlign w:val="bottom"/>
          </w:tcPr>
          <w:p>
            <w:pPr>
              <w:spacing w:after="0"/>
              <w:rPr>
                <w:sz w:val="15"/>
                <w:szCs w:val="15"/>
                <w:color w:val="auto"/>
              </w:rPr>
            </w:pPr>
          </w:p>
        </w:tc>
      </w:tr>
    </w:tbl>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and cash equivalents) as of September 30: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280" w:type="dxa"/>
            <w:vAlign w:val="bottom"/>
            <w:tcBorders>
              <w:bottom w:val="single" w:sz="8" w:color="CCECFF"/>
            </w:tcBorders>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6"/>
        </w:trPr>
        <w:tc>
          <w:tcPr>
            <w:tcW w:w="45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Beauty Industry Group Opco, LLC</w:t>
            </w:r>
          </w:p>
        </w:tc>
        <w:tc>
          <w:tcPr>
            <w:tcW w:w="16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rPr>
              <w:t>4%</w:t>
            </w:r>
          </w:p>
        </w:tc>
        <w:tc>
          <w:tcPr>
            <w:tcW w:w="4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Montreign Operating Company, LLC</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w:t>
            </w: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Integrative Nutrition, LLC</w:t>
            </w: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Advanced Cable Communications, LLC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Credit Infonet, Inc.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By Light Professional IT Services,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Education Networks of America, Inc.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Country Fresh Holdings, LLC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Montreign Operating Company,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East Valley Tourist Development Authority</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Research Now Group, Inc. and Survey Sampling International LLC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Marketplace Events LLC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Tensar Corporation</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Pathway Partners Vet Management Company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East Valley Tourist Development Authority</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Salient CRGT Inc.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Morphe,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DecoPac, Inc.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82"/>
        </w:trPr>
        <w:tc>
          <w:tcPr>
            <w:tcW w:w="4660" w:type="dxa"/>
            <w:vAlign w:val="bottom"/>
            <w:gridSpan w:val="2"/>
          </w:tcPr>
          <w:p>
            <w:pPr>
              <w:spacing w:after="0"/>
              <w:rPr>
                <w:sz w:val="20"/>
                <w:szCs w:val="20"/>
                <w:color w:val="auto"/>
              </w:rPr>
            </w:pPr>
            <w:r>
              <w:rPr>
                <w:rFonts w:ascii="Arial" w:cs="Arial" w:eastAsia="Arial" w:hAnsi="Arial"/>
                <w:sz w:val="14"/>
                <w:szCs w:val="14"/>
                <w:color w:val="auto"/>
              </w:rPr>
              <w:t>NextiraOne Federal, LLC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r>
      <w:tr>
        <w:trPr>
          <w:trHeight w:val="628"/>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24"/>
                <w:szCs w:val="2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280" w:type="dxa"/>
            <w:vAlign w:val="bottom"/>
            <w:tcBorders>
              <w:bottom w:val="single" w:sz="8" w:color="CCECFF"/>
            </w:tcBorders>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24"/>
                <w:szCs w:val="2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24"/>
                <w:szCs w:val="24"/>
                <w:color w:val="auto"/>
              </w:rPr>
            </w:pPr>
          </w:p>
        </w:tc>
      </w:tr>
      <w:tr>
        <w:trPr>
          <w:trHeight w:val="155"/>
        </w:trPr>
        <w:tc>
          <w:tcPr>
            <w:tcW w:w="45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Consumer Goods: Non-Durable</w:t>
            </w:r>
          </w:p>
        </w:tc>
        <w:tc>
          <w:tcPr>
            <w:tcW w:w="16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rPr>
              <w:t>11%</w:t>
            </w:r>
          </w:p>
        </w:tc>
        <w:tc>
          <w:tcPr>
            <w:tcW w:w="4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High Tech Industries</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w:t>
            </w: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Non-Durable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Capital Equipment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82"/>
        </w:trPr>
        <w:tc>
          <w:tcPr>
            <w:tcW w:w="46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Wholesale</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r>
    </w:tbl>
    <w:p>
      <w:pPr>
        <w:spacing w:after="0" w:line="12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investments in PSSL.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1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23"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2018, 2017 and 2016, the Investment Adviser earned a base management fee of $8.4 million, $6.9 million and $5.0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December 31, 20XX = $160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March 31, 20XX = $200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2018, 2017 and 2016, the Investment Adviser earned $3.5 million, $4.9 million and $3.7 million, respectively, in incentive fees on net investment income from us.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 w:name="page10"/>
    <w:bookmarkEnd w:id="9"/>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5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304800</wp:posOffset>
            </wp:positionV>
            <wp:extent cx="225425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54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5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24" w:lineRule="exact"/>
        <w:rPr>
          <w:sz w:val="20"/>
          <w:szCs w:val="20"/>
          <w:color w:val="auto"/>
        </w:rPr>
      </w:pPr>
    </w:p>
    <w:p>
      <w:pPr>
        <w:ind w:right="120" w:firstLine="438"/>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we accrued an incentive fee on capital gains of approximately $(0.1) million, $0.1 million and zero, respectively, as calculated under the Investment Management Agreement (as described above).</w:t>
      </w:r>
    </w:p>
    <w:p>
      <w:pPr>
        <w:spacing w:after="0" w:line="92"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2018, 2017 and 2016 was $(1.0) million, $1.2 million and $1.1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36"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50% X Pre-Incentive Fee Net Investment Income, subject to “catch-up”</w:t>
      </w:r>
    </w:p>
    <w:p>
      <w:pPr>
        <w:ind w:left="2480" w:hanging="110"/>
        <w:spacing w:after="0" w:line="221" w:lineRule="auto"/>
        <w:tabs>
          <w:tab w:leader="none" w:pos="2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50% X (2.25% - 1.75%)</w:t>
      </w:r>
    </w:p>
    <w:p>
      <w:pPr>
        <w:ind w:left="2480" w:hanging="110"/>
        <w:spacing w:after="0"/>
        <w:tabs>
          <w:tab w:leader="none" w:pos="2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0.25%</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Alternative 3:</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4.00%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3.55%</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rPr>
                <w:sz w:val="20"/>
                <w:szCs w:val="20"/>
                <w:color w:val="auto"/>
              </w:rPr>
            </w:pPr>
            <w:r>
              <w:rPr>
                <w:rFonts w:ascii="Arial" w:cs="Arial" w:eastAsia="Arial" w:hAnsi="Arial"/>
                <w:sz w:val="14"/>
                <w:szCs w:val="14"/>
                <w:color w:val="auto"/>
                <w:w w:val="89"/>
              </w:rPr>
              <w:t>= 20%</w:t>
            </w:r>
          </w:p>
        </w:tc>
        <w:tc>
          <w:tcPr>
            <w:tcW w:w="4580" w:type="dxa"/>
            <w:vAlign w:val="bottom"/>
          </w:tcPr>
          <w:p>
            <w:pPr>
              <w:ind w:left="20"/>
              <w:spacing w:after="0"/>
              <w:rPr>
                <w:sz w:val="20"/>
                <w:szCs w:val="20"/>
                <w:color w:val="auto"/>
              </w:rPr>
            </w:pPr>
            <w:r>
              <w:rPr>
                <w:rFonts w:ascii="Arial" w:cs="Arial" w:eastAsia="Arial" w:hAnsi="Arial"/>
                <w:sz w:val="14"/>
                <w:szCs w:val="14"/>
                <w:color w:val="auto"/>
              </w:rPr>
              <w:t xml:space="preserve">X Pre-Incentive Fee Net Investment Income, subject to “catch-up” </w:t>
            </w:r>
            <w:r>
              <w:rPr>
                <w:rFonts w:ascii="Arial" w:cs="Arial" w:eastAsia="Arial" w:hAnsi="Arial"/>
                <w:sz w:val="12"/>
                <w:szCs w:val="12"/>
                <w:color w:val="auto"/>
              </w:rPr>
              <w:t>(3)</w:t>
            </w:r>
          </w:p>
        </w:tc>
      </w:tr>
      <w:tr>
        <w:trPr>
          <w:trHeight w:val="148"/>
        </w:trPr>
        <w:tc>
          <w:tcPr>
            <w:tcW w:w="980" w:type="dxa"/>
            <w:vAlign w:val="bottom"/>
          </w:tcPr>
          <w:p>
            <w:pPr>
              <w:spacing w:after="0" w:line="149" w:lineRule="exact"/>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line="149" w:lineRule="exact"/>
              <w:rPr>
                <w:sz w:val="20"/>
                <w:szCs w:val="20"/>
                <w:color w:val="auto"/>
              </w:rPr>
            </w:pPr>
            <w:r>
              <w:rPr>
                <w:rFonts w:ascii="Arial" w:cs="Arial" w:eastAsia="Arial" w:hAnsi="Arial"/>
                <w:sz w:val="14"/>
                <w:szCs w:val="14"/>
                <w:color w:val="auto"/>
                <w:w w:val="89"/>
              </w:rPr>
              <w:t>= 50%</w:t>
            </w:r>
          </w:p>
        </w:tc>
        <w:tc>
          <w:tcPr>
            <w:tcW w:w="4580" w:type="dxa"/>
            <w:vAlign w:val="bottom"/>
          </w:tcPr>
          <w:p>
            <w:pPr>
              <w:ind w:left="20"/>
              <w:spacing w:after="0" w:line="149" w:lineRule="exact"/>
              <w:rPr>
                <w:sz w:val="20"/>
                <w:szCs w:val="20"/>
                <w:color w:val="auto"/>
              </w:rPr>
            </w:pPr>
            <w:r>
              <w:rPr>
                <w:rFonts w:ascii="Arial" w:cs="Arial" w:eastAsia="Arial" w:hAnsi="Arial"/>
                <w:sz w:val="14"/>
                <w:szCs w:val="14"/>
                <w:color w:val="auto"/>
                <w:w w:val="94"/>
              </w:rPr>
              <w:t>X “catch-up” + (20% x (Pre-Incentive Fee Net Investment Income - 2.9167%))</w:t>
            </w: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Catch-up</w:t>
            </w:r>
          </w:p>
        </w:tc>
        <w:tc>
          <w:tcPr>
            <w:tcW w:w="5220" w:type="dxa"/>
            <w:vAlign w:val="bottom"/>
            <w:gridSpan w:val="2"/>
          </w:tcPr>
          <w:p>
            <w:pPr>
              <w:ind w:left="260"/>
              <w:spacing w:after="0"/>
              <w:rPr>
                <w:sz w:val="20"/>
                <w:szCs w:val="20"/>
                <w:color w:val="auto"/>
              </w:rPr>
            </w:pPr>
            <w:r>
              <w:rPr>
                <w:rFonts w:ascii="Arial" w:cs="Arial" w:eastAsia="Arial" w:hAnsi="Arial"/>
                <w:sz w:val="14"/>
                <w:szCs w:val="14"/>
                <w:color w:val="auto"/>
              </w:rPr>
              <w:t>= 2.9167% - 1.75%</w:t>
            </w:r>
          </w:p>
        </w:tc>
      </w:tr>
    </w:tbl>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1.1667%</w:t>
      </w:r>
    </w:p>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(50% X 1.1667%) + (20% X (3.55% - 2.9167%))</w:t>
      </w:r>
    </w:p>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0.5833% + (20% X 0.6333%)</w:t>
      </w:r>
    </w:p>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0.5833% + 0.1267%</w:t>
      </w:r>
    </w:p>
    <w:p>
      <w:pPr>
        <w:ind w:left="2480" w:hanging="110"/>
        <w:spacing w:after="0"/>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0.71%</w:t>
      </w:r>
    </w:p>
    <w:p>
      <w:pPr>
        <w:spacing w:after="0" w:line="137"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345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line="221"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Represents 1.0% annualized base management fee.</w:t>
      </w:r>
    </w:p>
    <w:p>
      <w:pPr>
        <w:ind w:left="380" w:right="200" w:hanging="372"/>
        <w:spacing w:after="0" w:line="237"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Investment B sold for $31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$6 million capital gains incentive fee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None</w:t>
      </w:r>
    </w:p>
    <w:p>
      <w:pPr>
        <w:spacing w:after="0" w:line="123"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$200,000 capital gains incentive fee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right="520"/>
        <w:spacing w:after="0" w:line="253" w:lineRule="auto"/>
        <w:rPr>
          <w:sz w:val="20"/>
          <w:szCs w:val="20"/>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FMV of Investment B determined to be $35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Investment B sold for $20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$5 million capital gains incentive fee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ind w:left="1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Year 3: $1.4 million capital gains incentive fee </w:t>
      </w:r>
      <w:r>
        <w:rPr>
          <w:rFonts w:ascii="Arial" w:cs="Arial" w:eastAsia="Arial" w:hAnsi="Arial"/>
          <w:sz w:val="12"/>
          <w:szCs w:val="12"/>
          <w:color w:val="auto"/>
        </w:rPr>
        <w:t>(1)</w:t>
      </w:r>
    </w:p>
    <w:p>
      <w:pPr>
        <w:spacing w:after="0" w:line="136" w:lineRule="exact"/>
        <w:rPr>
          <w:sz w:val="20"/>
          <w:szCs w:val="20"/>
          <w:color w:val="auto"/>
        </w:rPr>
      </w:pPr>
    </w:p>
    <w:p>
      <w:pPr>
        <w:ind w:left="160" w:right="300"/>
        <w:spacing w:after="0" w:line="253"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$0.6 million capital gains incentive fee</w:t>
      </w:r>
    </w:p>
    <w:p>
      <w:pPr>
        <w:spacing w:after="0" w:line="123"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$5 million of unrealized appreciation)) less $6.4 million (previous cumulative capital gains fee paid in Year 2 of $5 million and Year 3 of $1.4 million)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None</w:t>
      </w:r>
    </w:p>
    <w:p>
      <w:pPr>
        <w:spacing w:after="0" w:line="136" w:lineRule="exact"/>
        <w:rPr>
          <w:sz w:val="20"/>
          <w:szCs w:val="20"/>
          <w:color w:val="auto"/>
        </w:rPr>
      </w:pPr>
    </w:p>
    <w:p>
      <w:pPr>
        <w:ind w:left="160" w:right="42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120" w:lineRule="exact"/>
        <w:rPr>
          <w:sz w:val="20"/>
          <w:szCs w:val="20"/>
          <w:color w:val="auto"/>
        </w:rPr>
      </w:pPr>
    </w:p>
    <w:p>
      <w:pPr>
        <w:ind w:left="380" w:right="20" w:hanging="372"/>
        <w:spacing w:after="0" w:line="253"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As illustrated in Year 3 of Alternative 2 above, if we were to be wound up on a date other than December 31 of any year after year 3, we may have paid aggregate capital gain incentive fees that are more than the amount of such fees that would be payable if we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4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23" w:lineRule="exact"/>
        <w:rPr>
          <w:sz w:val="20"/>
          <w:szCs w:val="20"/>
          <w:color w:val="auto"/>
        </w:rPr>
      </w:pPr>
    </w:p>
    <w:p>
      <w:pPr>
        <w:ind w:right="68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2018. Unless terminated earlier as described below, the Investment Management Agreement will continue in effect for a period of one year through February 2019.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0"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36"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2018, 2017 and 2016, we reimbursed the Investment Adviser approximately $1.3 million, $1.7 million and $0.8 million, respectively, including expenses the Investment Adviser incurred on behalf of the Administrator, for services described above.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3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2018. Unless terminated earlier as described below, our Administration Agreement will continue in effect for a period of one year through February 2019.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36" w:lineRule="exact"/>
        <w:rPr>
          <w:sz w:val="20"/>
          <w:szCs w:val="20"/>
          <w:color w:val="auto"/>
        </w:rPr>
      </w:pPr>
    </w:p>
    <w:p>
      <w:pPr>
        <w:ind w:right="26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PennantPark Senior Secured Loan Fund I LLC</w:t>
      </w:r>
    </w:p>
    <w:p>
      <w:pPr>
        <w:spacing w:after="0" w:line="135"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2018, PSSL had total assets of $443.4 million. As of the same date, we and Kemper had remaining commitments to fund first lien secured debt and equity interests in PSSL in an aggregate of $45.0 million. PSSL’s portfolio consisted of debt investments in 42 portfolio companies as of September 30, 2018. As of September 30, 2018, at fair value, the largest investment in a single portfolio company in PSSL was $21.2 million and the five largest investments totaled $95.9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0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2018, we and Kemper owned 87.5% and 12.5%, respectively, of each of the outstanding first lien secured debt and equity interests. As of the same date, our investment in PSSL consisted of first lien secured debt of $101.1 million and equity interests of $43.3 million. As of the same date, we had commitments to fund first lien secured debt to PSSL of $128.6 million, of which $27.5 million was unfunded. As of September 30, 2018, we had commitments to fund equity interests in PSSL of $55.1 million, of which $11.8 million was unfunded.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and Regulated Investment Company Regulations</w:t>
      </w:r>
    </w:p>
    <w:p>
      <w:pPr>
        <w:spacing w:after="0" w:line="123"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07"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23"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4" w:lineRule="exact"/>
        <w:rPr>
          <w:sz w:val="20"/>
          <w:szCs w:val="20"/>
          <w:color w:val="auto"/>
        </w:rPr>
      </w:pPr>
    </w:p>
    <w:p>
      <w:pPr>
        <w:ind w:left="920" w:right="20" w:hanging="359"/>
        <w:spacing w:after="0" w:line="238"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1480" w:right="100" w:hanging="365"/>
        <w:spacing w:after="0" w:line="253" w:lineRule="auto"/>
        <w:tabs>
          <w:tab w:leader="none" w:pos="14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3"/>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3"/>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36" w:lineRule="exact"/>
        <w:rPr>
          <w:rFonts w:ascii="Arial" w:cs="Arial" w:eastAsia="Arial" w:hAnsi="Arial"/>
          <w:sz w:val="14"/>
          <w:szCs w:val="14"/>
          <w:color w:val="auto"/>
        </w:rPr>
      </w:pPr>
    </w:p>
    <w:p>
      <w:pPr>
        <w:ind w:left="2040" w:right="360" w:hanging="372"/>
        <w:spacing w:after="0" w:line="290" w:lineRule="auto"/>
        <w:tabs>
          <w:tab w:leader="none" w:pos="2040" w:val="left"/>
        </w:tabs>
        <w:numPr>
          <w:ilvl w:val="2"/>
          <w:numId w:val="23"/>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4" w:lineRule="exact"/>
        <w:rPr>
          <w:rFonts w:ascii="Arial" w:cs="Arial" w:eastAsia="Arial" w:hAnsi="Arial"/>
          <w:sz w:val="13"/>
          <w:szCs w:val="13"/>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36" w:lineRule="exact"/>
        <w:rPr>
          <w:rFonts w:ascii="Arial" w:cs="Arial" w:eastAsia="Arial" w:hAnsi="Arial"/>
          <w:sz w:val="14"/>
          <w:szCs w:val="14"/>
          <w:color w:val="auto"/>
        </w:rPr>
      </w:pPr>
    </w:p>
    <w:p>
      <w:pPr>
        <w:ind w:left="920" w:right="160" w:hanging="359"/>
        <w:spacing w:after="0" w:line="238"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380" w:hanging="359"/>
        <w:spacing w:after="0" w:line="253"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20" w:hanging="359"/>
        <w:spacing w:after="0" w:line="253"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23"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ind w:right="440"/>
        <w:spacing w:after="0" w:line="253" w:lineRule="auto"/>
        <w:rPr>
          <w:sz w:val="20"/>
          <w:szCs w:val="20"/>
          <w:color w:val="auto"/>
        </w:rPr>
      </w:pPr>
      <w:r>
        <w:rPr>
          <w:rFonts w:ascii="Arial" w:cs="Arial" w:eastAsia="Arial" w:hAnsi="Arial"/>
          <w:sz w:val="14"/>
          <w:szCs w:val="14"/>
          <w:color w:val="auto"/>
        </w:rPr>
        <w:t>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36"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may also obtain a copy of our joint code of ethics,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or by writing the SEC’s Public Reference Section, 100 F Street, N.E., Washington, D.C. 20549.</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23"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2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23"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2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11"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i w:val="1"/>
          <w:iCs w:val="1"/>
          <w:color w:val="auto"/>
        </w:rPr>
        <w:t>Other</w:t>
      </w:r>
    </w:p>
    <w:p>
      <w:pPr>
        <w:spacing w:after="0" w:line="123"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36"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36" w:lineRule="exact"/>
        <w:rPr>
          <w:sz w:val="20"/>
          <w:szCs w:val="20"/>
          <w:color w:val="auto"/>
        </w:rPr>
      </w:pPr>
    </w:p>
    <w:p>
      <w:pPr>
        <w:ind w:right="60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36" w:lineRule="exact"/>
        <w:rPr>
          <w:sz w:val="20"/>
          <w:szCs w:val="20"/>
          <w:color w:val="auto"/>
        </w:rPr>
      </w:pPr>
    </w:p>
    <w:p>
      <w:pPr>
        <w:ind w:left="920" w:right="400" w:hanging="359"/>
        <w:spacing w:after="0" w:line="253"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jc w:val="both"/>
        <w:ind w:left="920" w:right="180" w:hanging="359"/>
        <w:spacing w:after="0" w:line="238"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23"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36" w:lineRule="exact"/>
        <w:rPr>
          <w:rFonts w:ascii="Arial" w:cs="Arial" w:eastAsia="Arial" w:hAnsi="Arial"/>
          <w:sz w:val="14"/>
          <w:szCs w:val="14"/>
          <w:color w:val="auto"/>
        </w:rPr>
      </w:pPr>
    </w:p>
    <w:p>
      <w:pPr>
        <w:ind w:left="920" w:right="140" w:hanging="359"/>
        <w:spacing w:after="0" w:line="238"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115" w:lineRule="exact"/>
        <w:rPr>
          <w:rFonts w:ascii="Arial" w:cs="Arial" w:eastAsia="Arial" w:hAnsi="Arial"/>
          <w:sz w:val="14"/>
          <w:szCs w:val="14"/>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36" w:lineRule="exact"/>
        <w:rPr>
          <w:rFonts w:ascii="Arial" w:cs="Arial" w:eastAsia="Arial" w:hAnsi="Arial"/>
          <w:sz w:val="14"/>
          <w:szCs w:val="14"/>
          <w:color w:val="auto"/>
        </w:rPr>
      </w:pPr>
    </w:p>
    <w:p>
      <w:pPr>
        <w:ind w:left="1480" w:right="40" w:hanging="365"/>
        <w:spacing w:after="0" w:line="290" w:lineRule="auto"/>
        <w:tabs>
          <w:tab w:leader="none" w:pos="148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4" w:lineRule="exact"/>
        <w:rPr>
          <w:rFonts w:ascii="Arial" w:cs="Arial" w:eastAsia="Arial" w:hAnsi="Arial"/>
          <w:sz w:val="13"/>
          <w:szCs w:val="13"/>
          <w:color w:val="auto"/>
        </w:rPr>
      </w:pPr>
    </w:p>
    <w:p>
      <w:pPr>
        <w:ind w:left="1480" w:right="180" w:hanging="365"/>
        <w:spacing w:after="0" w:line="238" w:lineRule="auto"/>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w:t>
      </w:r>
    </w:p>
    <w:p>
      <w:pPr>
        <w:spacing w:after="0" w:line="245" w:lineRule="auto"/>
        <w:rPr>
          <w:sz w:val="20"/>
          <w:szCs w:val="20"/>
          <w:color w:val="auto"/>
        </w:rPr>
      </w:pPr>
      <w:r>
        <w:rPr>
          <w:rFonts w:ascii="Arial" w:cs="Arial" w:eastAsia="Arial" w:hAnsi="Arial"/>
          <w:sz w:val="13"/>
          <w:szCs w:val="13"/>
          <w:color w:val="auto"/>
        </w:rPr>
        <w:t>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2" w:lineRule="exact"/>
        <w:rPr>
          <w:sz w:val="20"/>
          <w:szCs w:val="20"/>
          <w:color w:val="auto"/>
        </w:rPr>
      </w:pPr>
    </w:p>
    <w:p>
      <w:pPr>
        <w:jc w:val="both"/>
        <w:ind w:right="240" w:firstLine="438"/>
        <w:spacing w:after="0" w:line="233" w:lineRule="auto"/>
        <w:rPr>
          <w:sz w:val="20"/>
          <w:szCs w:val="20"/>
          <w:color w:val="auto"/>
        </w:rPr>
      </w:pPr>
      <w:r>
        <w:rPr>
          <w:rFonts w:ascii="Arial" w:cs="Arial" w:eastAsia="Arial" w:hAnsi="Arial"/>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7"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5" w:name="page16"/>
    <w:bookmarkEnd w:id="15"/>
    <w:p>
      <w:pPr>
        <w:ind w:right="280"/>
        <w:spacing w:after="0" w:line="290" w:lineRule="auto"/>
        <w:rPr>
          <w:sz w:val="20"/>
          <w:szCs w:val="20"/>
          <w:color w:val="auto"/>
        </w:rPr>
      </w:pPr>
      <w:r>
        <w:rPr>
          <w:rFonts w:ascii="Arial" w:cs="Arial" w:eastAsia="Arial" w:hAnsi="Arial"/>
          <w:sz w:val="13"/>
          <w:szCs w:val="13"/>
          <w:color w:val="auto"/>
        </w:rPr>
        <w:t>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3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0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warrant.</w:t>
      </w:r>
    </w:p>
    <w:p>
      <w:pPr>
        <w:spacing w:after="0" w:line="12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0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04"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2023 Notes or any securities we may issue, may decline, and you may lose all or part of your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84"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We may in the future have difficulty accessing debt and equity capital markets, and a severe disruption in the global financial markets, deterioration in credit and financing</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6" w:name="page17"/>
    <w:bookmarkEnd w:id="16"/>
    <w:p>
      <w:pPr>
        <w:ind w:right="460"/>
        <w:spacing w:after="0" w:line="253" w:lineRule="auto"/>
        <w:rPr>
          <w:sz w:val="20"/>
          <w:szCs w:val="20"/>
          <w:color w:val="auto"/>
        </w:rPr>
      </w:pPr>
      <w:r>
        <w:rPr>
          <w:rFonts w:ascii="Arial" w:cs="Arial" w:eastAsia="Arial" w:hAnsi="Arial"/>
          <w:sz w:val="14"/>
          <w:szCs w:val="14"/>
          <w:color w:val="auto"/>
        </w:rPr>
        <w:t>conditions or uncertainty regarding U.S. government spending and deficit levels, Brexit or other global economic conditions could have a material adverse effect on our business, financial condition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Funding I’s Credit Facility and our 2023 Notes.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In addition to the asset coverage ratio requirements, our Credit Facility contains various covenants applicable to Funding I, which restricts our ability to borrow funds, and the deed of trust governing our 2023 Notes contains various covenants which, if not complied with, could accelerate repayment of the 2023 Notes.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13" w:lineRule="exact"/>
        <w:rPr>
          <w:sz w:val="20"/>
          <w:szCs w:val="20"/>
          <w:color w:val="auto"/>
        </w:rPr>
      </w:pPr>
    </w:p>
    <w:p>
      <w:pPr>
        <w:ind w:left="920" w:hanging="359"/>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to result in the ability of the trustee and our note holders to accelerate amounts due under the deed of trust governing our 2023 Notes. This could have a material adverse effect on our operations, as it would reduce availability under the Credit Facility and could trigger mandatory prepayment obligations under the terms of the Credit Facility.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3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34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7" w:name="page18"/>
    <w:bookmarkEnd w:id="17"/>
    <w:p>
      <w:pPr>
        <w:ind w:right="220"/>
        <w:spacing w:after="0" w:line="238" w:lineRule="auto"/>
        <w:rPr>
          <w:sz w:val="20"/>
          <w:szCs w:val="20"/>
          <w:color w:val="auto"/>
        </w:rPr>
      </w:pPr>
      <w:r>
        <w:rPr>
          <w:rFonts w:ascii="Arial" w:cs="Arial" w:eastAsia="Arial" w:hAnsi="Arial"/>
          <w:sz w:val="14"/>
          <w:szCs w:val="14"/>
          <w:color w:val="auto"/>
        </w:rPr>
        <w:t>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and our 2023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15"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93"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23"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0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1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23"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34" w:lineRule="exact"/>
        <w:rPr>
          <w:sz w:val="20"/>
          <w:szCs w:val="20"/>
          <w:color w:val="auto"/>
        </w:rPr>
      </w:pPr>
    </w:p>
    <w:p>
      <w:pPr>
        <w:ind w:right="38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48"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36"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Excise Tax Avoidance Requirement.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36"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04"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15"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passed legislation will allow us to incur additional leverage.</w:t>
      </w:r>
    </w:p>
    <w:p>
      <w:pPr>
        <w:spacing w:after="0" w:line="136" w:lineRule="exact"/>
        <w:rPr>
          <w:sz w:val="20"/>
          <w:szCs w:val="20"/>
          <w:color w:val="auto"/>
        </w:rPr>
      </w:pPr>
    </w:p>
    <w:p>
      <w:pPr>
        <w:ind w:firstLine="252"/>
        <w:spacing w:after="0" w:line="228"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Small Business Credit Availability Act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Since on April 5, 2018 our Board has approved such reduction, if we comply with the applicable disclosure requirements, we will be able to incur additional indebtedness on April 5, 2019, which may increase the risk of investing in us.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93"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As a BDC, we are required to meet a 200% asset coverage ratio through April 4, 2019 and 150% thereafter, subject to certain disclosure requirements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limitations.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11" w:lineRule="exact"/>
        <w:rPr>
          <w:sz w:val="20"/>
          <w:szCs w:val="20"/>
          <w:color w:val="auto"/>
        </w:rPr>
      </w:pPr>
    </w:p>
    <w:p>
      <w:pPr>
        <w:ind w:left="920" w:right="20" w:hanging="359"/>
        <w:spacing w:after="0" w:line="251" w:lineRule="auto"/>
        <w:tabs>
          <w:tab w:leader="none" w:pos="92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including our 2023 Notes, we are exposed to typical risks associated with leverage, including an increased risk of loss.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41" w:lineRule="auto"/>
        <w:tabs>
          <w:tab w:leader="none" w:pos="92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22" w:lineRule="exact"/>
        <w:rPr>
          <w:rFonts w:ascii="Arial" w:cs="Arial" w:eastAsia="Arial" w:hAnsi="Arial"/>
          <w:sz w:val="13"/>
          <w:szCs w:val="13"/>
          <w:color w:val="auto"/>
        </w:rPr>
      </w:pPr>
    </w:p>
    <w:p>
      <w:pPr>
        <w:ind w:left="920" w:hanging="359"/>
        <w:spacing w:after="0" w:line="242" w:lineRule="auto"/>
        <w:tabs>
          <w:tab w:leader="none" w:pos="92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and the rules and regulations of the SEC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02"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current debt is governed by the terms of the Credit Facility and the deed of trust governing the 2023 Notes,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Through April 4, 2019, we are not permitted to incur indebtedness unless immediately after such borrowing we have an asset coverage for total borrowings of at least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0" w:name="page21"/>
    <w:bookmarkEnd w:id="20"/>
    <w:p>
      <w:pPr>
        <w:ind w:right="40"/>
        <w:spacing w:after="0" w:line="226" w:lineRule="auto"/>
        <w:rPr>
          <w:sz w:val="20"/>
          <w:szCs w:val="20"/>
          <w:color w:val="auto"/>
        </w:rPr>
      </w:pPr>
      <w:r>
        <w:rPr>
          <w:rFonts w:ascii="Arial" w:cs="Arial" w:eastAsia="Arial" w:hAnsi="Arial"/>
          <w:sz w:val="14"/>
          <w:szCs w:val="14"/>
          <w:color w:val="auto"/>
        </w:rPr>
        <w:t>200% (i.e., the amount of debt may not exceed 50% of the value of our assets). In addition, through such date we may not be permitted to declare any cash distribution on our outstanding common shares, or purchase any such shares, unless, at the time of such declaration or purchase, we have asset coverage of at least 200% after deducting the amount of such distribution or purchase price. If this ratio declines below 200% before April 5, 2019, we may not be able to incur additional debt and may need to sell a portion of our investments to repay some debt when it is disadvantageous to do so, and we may not be able to make distributions. The SBCAA, which was signed into law in March 2018, modifies this section of the 1940 Act and decreases this percentage from 200% to 150% (subject to either stockholder approval or approval of both a majority of the board of directors and a majority of directors who are not interested persons). 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 disclosure requirements. As of such date, we will be able to incur additional indebtedness as a result of this new law and therefore, your risk of an investment in us may increase.</w:t>
      </w:r>
    </w:p>
    <w:p>
      <w:pPr>
        <w:spacing w:after="0" w:line="120"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As of September 30, 2018 and 2017, our asset coverage ratio, as computed in accordance with the 1940 Act, was 215% and 278%, respectively. Since our leverage was 87% and 56% of our net assets as of September 30, 2018 and 2017, respectively, we would have to receive an annual return of at least 1.93% and 1.13%, respectively, to cover annual interest payments.</w:t>
      </w:r>
    </w:p>
    <w:p>
      <w:pPr>
        <w:spacing w:after="0" w:line="84"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September 30, 2018, we had outstanding borrowings of $333.7 million under our Credit Facility and $138.6 million outstanding under our 2023 Notes. Our consolidated debt outstanding was $472.3 million and had a weighted average annual interest rate at the time of 4.13%, exclusive of the fees on the undrawn commitment on our Credit Facility. To cover the annual interest on our borrowings of $472.3 million outstanding as of September 30, 2018, at the weighted average annual rate of 4.13%, we would have to receive an annual yield of at least 1.93%.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116"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2018 of 43% of total assets (including such borrowed funds), at the current interest rate at the time of 4.13%,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9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(10.0)%</w:t>
            </w:r>
          </w:p>
        </w:tc>
        <w:tc>
          <w:tcPr>
            <w:tcW w:w="1580" w:type="dxa"/>
            <w:vAlign w:val="bottom"/>
            <w:shd w:val="clear" w:color="auto" w:fill="CCECFF"/>
          </w:tcPr>
          <w:p>
            <w:pPr>
              <w:jc w:val="right"/>
              <w:ind w:right="508"/>
              <w:spacing w:after="0"/>
              <w:rPr>
                <w:sz w:val="20"/>
                <w:szCs w:val="20"/>
                <w:color w:val="auto"/>
              </w:rPr>
            </w:pPr>
            <w:r>
              <w:rPr>
                <w:rFonts w:ascii="Arial" w:cs="Arial" w:eastAsia="Arial" w:hAnsi="Arial"/>
                <w:sz w:val="14"/>
                <w:szCs w:val="14"/>
                <w:color w:val="auto"/>
              </w:rPr>
              <w:t>(5.0)%</w:t>
            </w:r>
          </w:p>
        </w:tc>
        <w:tc>
          <w:tcPr>
            <w:tcW w:w="156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ind w:right="468"/>
              <w:spacing w:after="0"/>
              <w:rPr>
                <w:sz w:val="20"/>
                <w:szCs w:val="20"/>
                <w:color w:val="auto"/>
              </w:rPr>
            </w:pPr>
            <w:r>
              <w:rPr>
                <w:rFonts w:ascii="Arial" w:cs="Arial" w:eastAsia="Arial" w:hAnsi="Arial"/>
                <w:sz w:val="14"/>
                <w:szCs w:val="14"/>
                <w:color w:val="auto"/>
              </w:rPr>
              <w:t>5.0%</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37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(23.7)%</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(13.7)%</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(3.6)%</w:t>
            </w:r>
          </w:p>
        </w:tc>
        <w:tc>
          <w:tcPr>
            <w:tcW w:w="1440" w:type="dxa"/>
            <w:vAlign w:val="bottom"/>
          </w:tcPr>
          <w:p>
            <w:pPr>
              <w:jc w:val="right"/>
              <w:ind w:right="468"/>
              <w:spacing w:after="0"/>
              <w:rPr>
                <w:sz w:val="20"/>
                <w:szCs w:val="20"/>
                <w:color w:val="auto"/>
              </w:rPr>
            </w:pPr>
            <w:r>
              <w:rPr>
                <w:rFonts w:ascii="Arial" w:cs="Arial" w:eastAsia="Arial" w:hAnsi="Arial"/>
                <w:sz w:val="14"/>
                <w:szCs w:val="14"/>
                <w:color w:val="auto"/>
              </w:rPr>
              <w:t>6.4%</w:t>
            </w:r>
          </w:p>
        </w:tc>
        <w:tc>
          <w:tcPr>
            <w:tcW w:w="960" w:type="dxa"/>
            <w:vAlign w:val="bottom"/>
          </w:tcPr>
          <w:p>
            <w:pPr>
              <w:jc w:val="right"/>
              <w:spacing w:after="0"/>
              <w:rPr>
                <w:sz w:val="20"/>
                <w:szCs w:val="20"/>
                <w:color w:val="auto"/>
              </w:rPr>
            </w:pPr>
            <w:r>
              <w:rPr>
                <w:rFonts w:ascii="Arial" w:cs="Arial" w:eastAsia="Arial" w:hAnsi="Arial"/>
                <w:sz w:val="14"/>
                <w:szCs w:val="14"/>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28"/>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5"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06"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a result of any issuance of debt securities and borrowings under our Credit Facility and the 2023 Notes,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23" w:lineRule="exact"/>
        <w:rPr>
          <w:sz w:val="20"/>
          <w:szCs w:val="20"/>
          <w:color w:val="auto"/>
        </w:rPr>
      </w:pPr>
    </w:p>
    <w:p>
      <w:pPr>
        <w:ind w:right="140" w:firstLine="438"/>
        <w:spacing w:after="0" w:line="283" w:lineRule="auto"/>
        <w:rPr>
          <w:sz w:val="20"/>
          <w:szCs w:val="20"/>
          <w:color w:val="auto"/>
        </w:rPr>
      </w:pPr>
      <w:r>
        <w:rPr>
          <w:rFonts w:ascii="Arial" w:cs="Arial" w:eastAsia="Arial" w:hAnsi="Arial"/>
          <w:sz w:val="12"/>
          <w:szCs w:val="12"/>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48"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Our Credit Facility expires in November 2022.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12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w:t>
      </w:r>
    </w:p>
    <w:p>
      <w:pPr>
        <w:spacing w:after="0" w:line="2" w:lineRule="exact"/>
        <w:rPr>
          <w:sz w:val="20"/>
          <w:szCs w:val="20"/>
          <w:color w:val="auto"/>
        </w:rPr>
      </w:pPr>
    </w:p>
    <w:p>
      <w:pPr>
        <w:ind w:right="240" w:firstLine="8"/>
        <w:spacing w:after="0" w:line="237" w:lineRule="auto"/>
        <w:tabs>
          <w:tab w:leader="none" w:pos="20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16"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12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right="80" w:firstLine="438"/>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0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16" w:lineRule="exact"/>
        <w:rPr>
          <w:sz w:val="20"/>
          <w:szCs w:val="20"/>
          <w:color w:val="auto"/>
        </w:rPr>
      </w:pPr>
    </w:p>
    <w:p>
      <w:pPr>
        <w:jc w:val="both"/>
        <w:ind w:right="50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36"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maintain our qualification as a RIC for U.S. federal income tax purposes, which could have a material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and the Tel Aviv Stock Exchange, or TASE,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23"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123"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36"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36" w:lineRule="exact"/>
        <w:rPr>
          <w:sz w:val="20"/>
          <w:szCs w:val="20"/>
          <w:color w:val="auto"/>
        </w:rPr>
      </w:pPr>
    </w:p>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36" w:lineRule="exact"/>
        <w:rPr>
          <w:sz w:val="20"/>
          <w:szCs w:val="20"/>
          <w:color w:val="auto"/>
        </w:rPr>
      </w:pPr>
    </w:p>
    <w:p>
      <w:pPr>
        <w:ind w:right="20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2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2"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36" w:lineRule="exact"/>
        <w:rPr>
          <w:sz w:val="20"/>
          <w:szCs w:val="20"/>
          <w:color w:val="auto"/>
        </w:rPr>
      </w:pPr>
    </w:p>
    <w:p>
      <w:pPr>
        <w:ind w:right="140" w:firstLine="438"/>
        <w:spacing w:after="0" w:line="244" w:lineRule="auto"/>
        <w:rPr>
          <w:sz w:val="20"/>
          <w:szCs w:val="20"/>
          <w:color w:val="auto"/>
        </w:rPr>
      </w:pPr>
      <w:r>
        <w:rPr>
          <w:rFonts w:ascii="Arial" w:cs="Arial" w:eastAsia="Arial" w:hAnsi="Arial"/>
          <w:sz w:val="13"/>
          <w:szCs w:val="13"/>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about presidential administration initiatives could negatively impact our business, financial condition and results of operations.</w:t>
      </w:r>
    </w:p>
    <w:p>
      <w:pPr>
        <w:spacing w:after="0" w:line="136" w:lineRule="exact"/>
        <w:rPr>
          <w:sz w:val="20"/>
          <w:szCs w:val="20"/>
          <w:color w:val="auto"/>
        </w:rPr>
      </w:pPr>
    </w:p>
    <w:p>
      <w:pPr>
        <w:ind w:right="80" w:firstLine="456"/>
        <w:spacing w:after="0" w:line="227" w:lineRule="auto"/>
        <w:rPr>
          <w:sz w:val="20"/>
          <w:szCs w:val="20"/>
          <w:color w:val="auto"/>
        </w:rPr>
      </w:pPr>
      <w:r>
        <w:rPr>
          <w:rFonts w:ascii="Arial" w:cs="Arial" w:eastAsia="Arial" w:hAnsi="Arial"/>
          <w:sz w:val="14"/>
          <w:szCs w:val="14"/>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2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17"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106" w:lineRule="exact"/>
        <w:rPr>
          <w:sz w:val="20"/>
          <w:szCs w:val="20"/>
          <w:color w:val="auto"/>
        </w:rPr>
      </w:pPr>
    </w:p>
    <w:p>
      <w:pPr>
        <w:ind w:right="80" w:firstLine="456"/>
        <w:spacing w:after="0" w:line="247" w:lineRule="auto"/>
        <w:rPr>
          <w:sz w:val="20"/>
          <w:szCs w:val="20"/>
          <w:color w:val="auto"/>
        </w:rPr>
      </w:pPr>
      <w:r>
        <w:rPr>
          <w:rFonts w:ascii="Arial" w:cs="Arial" w:eastAsia="Arial" w:hAnsi="Arial"/>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06"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98"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13"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4" w:name="page25"/>
    <w:bookmarkEnd w:id="24"/>
    <w:p>
      <w:pPr>
        <w:jc w:val="both"/>
        <w:spacing w:after="0" w:line="296" w:lineRule="auto"/>
        <w:rPr>
          <w:sz w:val="20"/>
          <w:szCs w:val="20"/>
          <w:color w:val="auto"/>
        </w:rPr>
      </w:pPr>
      <w:r>
        <w:rPr>
          <w:rFonts w:ascii="Arial" w:cs="Arial" w:eastAsia="Arial" w:hAnsi="Arial"/>
          <w:sz w:val="12"/>
          <w:szCs w:val="12"/>
          <w:color w:val="auto"/>
        </w:rPr>
        <w:t>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3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15"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04"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04"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36"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36"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We intend to invest primarily in Floating Rate Loans, which may consist of first lien secured debt, second lien secured debt, subordinated debt and selected equity investments issued by U.S. middle-market companies.</w:t>
      </w:r>
    </w:p>
    <w:p>
      <w:pPr>
        <w:spacing w:after="0" w:line="93" w:lineRule="exact"/>
        <w:rPr>
          <w:sz w:val="20"/>
          <w:szCs w:val="20"/>
          <w:color w:val="auto"/>
        </w:rPr>
      </w:pPr>
    </w:p>
    <w:p>
      <w:pPr>
        <w:ind w:left="920" w:right="20" w:hanging="359"/>
        <w:spacing w:after="0" w:line="248" w:lineRule="auto"/>
        <w:tabs>
          <w:tab w:leader="none" w:pos="920" w:val="left"/>
        </w:tabs>
        <w:numPr>
          <w:ilvl w:val="0"/>
          <w:numId w:val="3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Floating Rate Loans: </w:t>
      </w:r>
      <w:r>
        <w:rPr>
          <w:rFonts w:ascii="Arial" w:cs="Arial" w:eastAsia="Arial" w:hAnsi="Arial"/>
          <w:sz w:val="13"/>
          <w:szCs w:val="13"/>
          <w:color w:val="auto"/>
        </w:rPr>
        <w:t>The Floating Rate Loans we invest in are usually rated below investment grade or may also be unrated. Investments in Floating Rate Loans rated below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 grade, variable-rate securities.</w:t>
      </w:r>
    </w:p>
    <w:p>
      <w:pPr>
        <w:spacing w:after="0" w:line="112" w:lineRule="exact"/>
        <w:rPr>
          <w:rFonts w:ascii="Arial" w:cs="Arial" w:eastAsia="Arial" w:hAnsi="Arial"/>
          <w:sz w:val="13"/>
          <w:szCs w:val="13"/>
          <w:color w:val="auto"/>
        </w:rPr>
      </w:pPr>
    </w:p>
    <w:p>
      <w:pPr>
        <w:ind w:left="920" w:right="40"/>
        <w:spacing w:after="0" w:line="245" w:lineRule="auto"/>
        <w:rPr>
          <w:rFonts w:ascii="Arial" w:cs="Arial" w:eastAsia="Arial" w:hAnsi="Arial"/>
          <w:sz w:val="13"/>
          <w:szCs w:val="13"/>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115" w:lineRule="exact"/>
        <w:rPr>
          <w:rFonts w:ascii="Arial" w:cs="Arial" w:eastAsia="Arial" w:hAnsi="Arial"/>
          <w:sz w:val="13"/>
          <w:szCs w:val="13"/>
          <w:color w:val="auto"/>
        </w:rPr>
      </w:pPr>
    </w:p>
    <w:p>
      <w:pPr>
        <w:ind w:left="920" w:right="100"/>
        <w:spacing w:after="0" w:line="225" w:lineRule="auto"/>
        <w:rPr>
          <w:rFonts w:ascii="Arial" w:cs="Arial" w:eastAsia="Arial" w:hAnsi="Arial"/>
          <w:sz w:val="13"/>
          <w:szCs w:val="13"/>
          <w:color w:val="auto"/>
        </w:rPr>
      </w:pPr>
      <w:r>
        <w:rPr>
          <w:rFonts w:ascii="Arial" w:cs="Arial" w:eastAsia="Arial" w:hAnsi="Arial"/>
          <w:sz w:val="14"/>
          <w:szCs w:val="14"/>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121" w:lineRule="exact"/>
        <w:rPr>
          <w:rFonts w:ascii="Arial" w:cs="Arial" w:eastAsia="Arial" w:hAnsi="Arial"/>
          <w:sz w:val="13"/>
          <w:szCs w:val="13"/>
          <w:color w:val="auto"/>
        </w:rPr>
      </w:pPr>
    </w:p>
    <w:p>
      <w:pPr>
        <w:ind w:left="920" w:right="20" w:hanging="359"/>
        <w:spacing w:after="0" w:line="238" w:lineRule="auto"/>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ind w:left="920" w:right="20"/>
        <w:spacing w:after="0" w:line="231" w:lineRule="auto"/>
        <w:rPr>
          <w:sz w:val="20"/>
          <w:szCs w:val="20"/>
          <w:color w:val="auto"/>
        </w:rPr>
      </w:pPr>
      <w:r>
        <w:rPr>
          <w:rFonts w:ascii="Arial" w:cs="Arial" w:eastAsia="Arial" w:hAnsi="Arial"/>
          <w:sz w:val="14"/>
          <w:szCs w:val="14"/>
          <w:color w:val="auto"/>
        </w:rPr>
        <w:t>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5" w:lineRule="exact"/>
        <w:rPr>
          <w:sz w:val="20"/>
          <w:szCs w:val="20"/>
          <w:color w:val="auto"/>
        </w:rPr>
      </w:pPr>
    </w:p>
    <w:p>
      <w:pPr>
        <w:ind w:left="920" w:right="60" w:hanging="359"/>
        <w:spacing w:after="0" w:line="229"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7" w:lineRule="exact"/>
        <w:rPr>
          <w:rFonts w:ascii="Arial" w:cs="Arial" w:eastAsia="Arial" w:hAnsi="Arial"/>
          <w:sz w:val="14"/>
          <w:szCs w:val="14"/>
          <w:color w:val="auto"/>
        </w:rPr>
      </w:pPr>
    </w:p>
    <w:p>
      <w:pPr>
        <w:ind w:left="920" w:hanging="359"/>
        <w:spacing w:after="0" w:line="229"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920" w:right="60" w:hanging="359"/>
        <w:spacing w:after="0" w:line="247" w:lineRule="auto"/>
        <w:tabs>
          <w:tab w:leader="none" w:pos="920" w:val="left"/>
        </w:tabs>
        <w:numPr>
          <w:ilvl w:val="0"/>
          <w:numId w:val="3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23" w:lineRule="exact"/>
        <w:rPr>
          <w:sz w:val="20"/>
          <w:szCs w:val="20"/>
          <w:color w:val="auto"/>
        </w:rPr>
      </w:pPr>
    </w:p>
    <w:p>
      <w:pPr>
        <w:ind w:left="920" w:right="520" w:hanging="359"/>
        <w:spacing w:after="0" w:line="238"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920" w:right="60" w:hanging="359"/>
        <w:spacing w:after="0" w:line="335"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0" w:lineRule="exact"/>
        <w:rPr>
          <w:rFonts w:ascii="Arial" w:cs="Arial" w:eastAsia="Arial" w:hAnsi="Arial"/>
          <w:sz w:val="12"/>
          <w:szCs w:val="12"/>
          <w:color w:val="auto"/>
        </w:rPr>
      </w:pPr>
    </w:p>
    <w:p>
      <w:pPr>
        <w:ind w:left="920" w:right="340" w:hanging="359"/>
        <w:spacing w:after="0" w:line="253"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6" w:lineRule="exact"/>
        <w:rPr>
          <w:rFonts w:ascii="Arial" w:cs="Arial" w:eastAsia="Arial" w:hAnsi="Arial"/>
          <w:sz w:val="14"/>
          <w:szCs w:val="14"/>
          <w:color w:val="auto"/>
        </w:rPr>
      </w:pPr>
    </w:p>
    <w:p>
      <w:pPr>
        <w:ind w:left="920" w:right="200" w:hanging="359"/>
        <w:spacing w:after="0" w:line="264"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0" w:lineRule="exact"/>
        <w:rPr>
          <w:rFonts w:ascii="Arial" w:cs="Arial" w:eastAsia="Arial" w:hAnsi="Arial"/>
          <w:sz w:val="13"/>
          <w:szCs w:val="13"/>
          <w:color w:val="auto"/>
        </w:rPr>
      </w:pPr>
    </w:p>
    <w:p>
      <w:pPr>
        <w:ind w:left="920" w:right="380" w:hanging="359"/>
        <w:spacing w:after="0" w:line="253"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0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7"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2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right="120"/>
        <w:spacing w:after="0" w:line="238" w:lineRule="auto"/>
        <w:rPr>
          <w:sz w:val="20"/>
          <w:szCs w:val="20"/>
          <w:color w:val="auto"/>
        </w:rPr>
      </w:pPr>
      <w:r>
        <w:rPr>
          <w:rFonts w:ascii="Arial" w:cs="Arial" w:eastAsia="Arial" w:hAnsi="Arial"/>
          <w:sz w:val="14"/>
          <w:szCs w:val="14"/>
          <w:color w:val="auto"/>
        </w:rPr>
        <w:t>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2"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23" w:lineRule="exact"/>
        <w:rPr>
          <w:sz w:val="20"/>
          <w:szCs w:val="20"/>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3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116"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0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04" w:lineRule="exact"/>
        <w:rPr>
          <w:sz w:val="20"/>
          <w:szCs w:val="20"/>
          <w:color w:val="auto"/>
        </w:rPr>
      </w:pPr>
    </w:p>
    <w:p>
      <w:pPr>
        <w:ind w:right="36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6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23"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8"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27" w:name="page28"/>
    <w:bookmarkEnd w:id="27"/>
    <w:p>
      <w:pPr>
        <w:ind w:right="80"/>
        <w:spacing w:after="0" w:line="233" w:lineRule="auto"/>
        <w:rPr>
          <w:sz w:val="20"/>
          <w:szCs w:val="20"/>
          <w:color w:val="auto"/>
        </w:rPr>
      </w:pPr>
      <w:r>
        <w:rPr>
          <w:rFonts w:ascii="Arial" w:cs="Arial" w:eastAsia="Arial" w:hAnsi="Arial"/>
          <w:sz w:val="14"/>
          <w:szCs w:val="14"/>
          <w:color w:val="auto"/>
        </w:rPr>
        <w:t>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9"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48"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04"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36" w:lineRule="exact"/>
        <w:rPr>
          <w:sz w:val="20"/>
          <w:szCs w:val="20"/>
          <w:color w:val="auto"/>
        </w:rPr>
      </w:pPr>
    </w:p>
    <w:p>
      <w:pPr>
        <w:ind w:right="20" w:firstLine="438"/>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4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15"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2"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8" w:name="page29"/>
    <w:bookmarkEnd w:id="28"/>
    <w:p>
      <w:pPr>
        <w:jc w:val="both"/>
        <w:ind w:right="40"/>
        <w:spacing w:after="0" w:line="238" w:lineRule="auto"/>
        <w:rPr>
          <w:sz w:val="20"/>
          <w:szCs w:val="20"/>
          <w:color w:val="auto"/>
        </w:rPr>
      </w:pPr>
      <w:r>
        <w:rPr>
          <w:rFonts w:ascii="Arial" w:cs="Arial" w:eastAsia="Arial" w:hAnsi="Arial"/>
          <w:sz w:val="14"/>
          <w:szCs w:val="14"/>
          <w:color w:val="auto"/>
        </w:rPr>
        <w:t>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02"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36"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36"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23"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36"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$13.15 and $14.48 on September 30, 2018 and 2017, respectively. Our NAV per share was $13.82 and $14.10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23"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6" w:lineRule="exact"/>
        <w:rPr>
          <w:sz w:val="20"/>
          <w:szCs w:val="20"/>
          <w:color w:val="auto"/>
        </w:rPr>
      </w:pPr>
    </w:p>
    <w:p>
      <w:pPr>
        <w:ind w:left="920" w:right="60" w:hanging="359"/>
        <w:spacing w:after="0" w:line="253"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loss of our BDC or RIC status;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23"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9" w:name="page30"/>
    <w:bookmarkEnd w:id="29"/>
    <w:p>
      <w:pPr>
        <w:ind w:right="220"/>
        <w:spacing w:after="0" w:line="253" w:lineRule="auto"/>
        <w:rPr>
          <w:sz w:val="20"/>
          <w:szCs w:val="20"/>
          <w:color w:val="auto"/>
        </w:rPr>
      </w:pPr>
      <w:r>
        <w:rPr>
          <w:rFonts w:ascii="Arial" w:cs="Arial" w:eastAsia="Arial" w:hAnsi="Arial"/>
          <w:sz w:val="14"/>
          <w:szCs w:val="14"/>
          <w:color w:val="auto"/>
        </w:rPr>
        <w:t>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123"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 and the clearing house guidelines of the TASE.</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RISKS RELATING TO OUR 2023 NOTES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unsecured and therefore are effectively subordinated to any secured indebtedness we have currently incurred or may incur in the future.</w:t>
      </w:r>
    </w:p>
    <w:p>
      <w:pPr>
        <w:spacing w:after="0" w:line="136"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The 2023 Notes are not secured by any of our assets or any of the assets of our subsidiaries. As a result, the 2023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2023 Notes. As of September 30, 2018, we had $333.7 million outstanding under the Credit Facility. The Credit Facility is secured by substantially all of the assets of Funding I, and the indebtedness under the Credit Facility is therefore effectively senior in right of payment to the 2023 Notes to the extent of the value of such assets.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structurally subordinated to the indebtedness and other liabilities of our subsidiaries.</w:t>
      </w:r>
    </w:p>
    <w:p>
      <w:pPr>
        <w:spacing w:after="0" w:line="123"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2023 Notes are obligations exclusively of PennantPark Floating Rate Capital Ltd. and not of any of our subsidiaries. None of our subsidiaries is or acts as a guarantor of the 2023 Notes and the 2023 Notes are not required to be guaranteed by any subsidiaries we may acquire or create in the future.</w:t>
      </w:r>
    </w:p>
    <w:p>
      <w:pPr>
        <w:spacing w:after="0" w:line="10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2023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2023 Notes are structurally subordinated to all indebtedness and other liabilities (including trade payables) of our subsidiaries and any subsidiaries that we may in the future acquire or establish as financing vehicles or otherwise.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linked to the U.S. Dollar and therefore holders of the 2023 Notes are subject to currency risk.</w:t>
      </w:r>
    </w:p>
    <w:p>
      <w:pPr>
        <w:spacing w:after="0" w:line="12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Payments of principal and interest under the 2023 Notes will be adjusted for increases or decreases in the representative exchange rate of the U.S. Dollar to the New Israeli Shekel, or NIS, from the time of the public offering of the 2023 Notes. Accordingly, if such exchange rate declines, the rate of interest holders of the 2023 Notes receive in NIS terms effectively will be lower than the stated interest rate of the 2023 Notes and they will be entitled to receive fewer NIS upon repayment of the 2023 Notes than the par value thereof.</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trading market does not develop for the 2023 Notes holders of the 2023 Notes may not be able to sell them.</w:t>
      </w:r>
    </w:p>
    <w:p>
      <w:pPr>
        <w:spacing w:after="0" w:line="123"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The 2023 Notes are a new issue of debt securities, and they may trade a discount to their initial offering price depending on prevailing interest rates, foreign currency exchange rates, the market for similar securities, our credit ratings, our financial condition or other relevant factors. We cannot assure holders of the 2023 Notes that a liquid trading market will develop for the 2023 Notes, that they will be able to sell their 2023 Notes at a particular time or that the price they receive when they sell will be favorable. To the extent an active trading market does not develop, the liquidity and trading price for the 2023 Notes may be harmed. Accordingly, investors may be required to bear the financial risk of an investment in the 2023 Notes for an indefinite period of time.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the 2023 Notes may fluctuate.</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If an active trading market for the 2023 Notes does develop on the TASE, the 2023 Notes may trade at prices lower than the offering price. The trading price of the 2023 Notes depends on many factors, including:</w:t>
      </w:r>
    </w:p>
    <w:p>
      <w:pPr>
        <w:spacing w:after="0" w:line="93" w:lineRule="exact"/>
        <w:rPr>
          <w:sz w:val="20"/>
          <w:szCs w:val="20"/>
          <w:color w:val="auto"/>
        </w:rPr>
      </w:pPr>
    </w:p>
    <w:p>
      <w:pPr>
        <w:ind w:left="920" w:hanging="372"/>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prevailing interest rates;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ind w:left="920" w:hanging="372"/>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prevailing exchange rate of the U.S. Dollar to the NIS;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market for similar securities;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 political, economic and financial market conditions in Israel and globally;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issuance of debt or preferred equity securities;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financial condition, results of operations and prospects.</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In addition, a downgrade, suspension or withdrawal of the credit rating assigned by a rating agency to us or the 2023 Notes, if any, or change in the debt markets could cause the liquidity or market value of the 2023 Notes to decline significantly.</w:t>
      </w:r>
    </w:p>
    <w:p>
      <w:pPr>
        <w:spacing w:after="0" w:line="9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Our credit ratings are an assessment by rating agencies of our ability to pay our debts when due. Consequently, real or anticipated changes in our credit ratings will generally affect the market value of the 2023 Notes. These credit ratings may not reflect the potential impact of risks relating to the structure or marketing of the 2023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2023 Notes of any changes in our credit ratings. There can be no assurance that our credit ratings will remain for any given period of time or that they will not be lowered or withdrawn entirely if in the judgment of the rating agency future circumstances relating to the basis of our credit ratings, such as adverse changes in our company, so warrant. In addition, the interest rate payable under the 2023 Notes will increase in the event of certain ratings declines or if a rating agency ceases to rate the 2023 Notes for more than 21 days until such declines are reversed and/or the 2023 Notes are again rated by a rating agency.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deed of trust under which the 2023 Notes were issued contains limited protection for holders of the 2023 Notes.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deed of trust under which the 2023 Notes were issued offers limited protection to holders of the 2023 Notes. The terms of the deed of trust and the 2023 Notes do not restrict our or any of our subsidiaries’ ability to engage in, or otherwise be a party to, a variety of corporate transactions, circumstances or events that could have an adverse impact on each holder’s investment in the 2023 Notes. In particular, subject to the satisfaction of certain financial covenants, the terms of the deed of trust and the 2023 Notes will not place any restrictions on our or our subsidiaries’ ability to:</w:t>
      </w:r>
    </w:p>
    <w:p>
      <w:pPr>
        <w:spacing w:after="0" w:line="104" w:lineRule="exact"/>
        <w:rPr>
          <w:sz w:val="20"/>
          <w:szCs w:val="20"/>
          <w:color w:val="auto"/>
        </w:rPr>
      </w:pPr>
    </w:p>
    <w:p>
      <w:pPr>
        <w:ind w:left="920" w:right="80" w:hanging="372"/>
        <w:spacing w:after="0" w:line="248" w:lineRule="auto"/>
        <w:tabs>
          <w:tab w:leader="none" w:pos="9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 (3) indebtedness of ours that is guaranteed by one or more of our subsidiaries and which therefore would rank structurally senior to the 2023 Notes and (4) securities, indebtedness or other obligations issued or incurred by our subsidiaries that would be senior in right of payment to our equity interests in our subsidiaries and therefore would rank structurally senior in right of payment to the 2023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126" w:lineRule="exact"/>
        <w:rPr>
          <w:rFonts w:ascii="Arial" w:cs="Arial" w:eastAsia="Arial" w:hAnsi="Arial"/>
          <w:sz w:val="13"/>
          <w:szCs w:val="13"/>
          <w:color w:val="auto"/>
        </w:rPr>
      </w:pPr>
    </w:p>
    <w:p>
      <w:pPr>
        <w:ind w:left="920" w:hanging="372"/>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2023 Notes;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sell assets;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enter into sale and leaseback transactions;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123"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Our ability to recapitalize, incur additional debt and take a number of other actions that are not limited by the terms of the 2023 Notes may have important consequences for holders of the 2023 Notes, including making it more difficult for us to satisfy our obligations with respect to the 2023 Notes or negatively affecting the trading value of the 2023 Notes.</w:t>
      </w:r>
    </w:p>
    <w:p>
      <w:pPr>
        <w:spacing w:after="0" w:line="8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Other debt we issue or incur in the future could contain more protections for its holders than the deed of trust and the 2023 Notes, including additional covenants and events of default. The issuance or incurrence of any such debt with incremental protections could affect the market for and trading levels and prices of the 2023 Notes.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optional redemption provision may materially adversely affect the return on the 2023 Notes.</w:t>
      </w:r>
    </w:p>
    <w:p>
      <w:pPr>
        <w:spacing w:after="0" w:line="123" w:lineRule="exact"/>
        <w:rPr>
          <w:sz w:val="20"/>
          <w:szCs w:val="20"/>
          <w:color w:val="auto"/>
        </w:rPr>
      </w:pPr>
    </w:p>
    <w:p>
      <w:pPr>
        <w:ind w:right="500" w:firstLine="438"/>
        <w:spacing w:after="0" w:line="238" w:lineRule="auto"/>
        <w:rPr>
          <w:sz w:val="20"/>
          <w:szCs w:val="20"/>
          <w:color w:val="auto"/>
        </w:rPr>
      </w:pPr>
      <w:r>
        <w:rPr>
          <w:rFonts w:ascii="Arial" w:cs="Arial" w:eastAsia="Arial" w:hAnsi="Arial"/>
          <w:sz w:val="14"/>
          <w:szCs w:val="14"/>
          <w:color w:val="auto"/>
        </w:rPr>
        <w:t>The 2023 Notes are redeemable in whole or in part upon certain conditions at any time or from time to time at our option. We may choose to redeem the 2023 Notes at times when prevailing interest rates are lower than the interest rate paid on the 2023 Notes. In this circumstance, holders of the 2023 Notes may not be able to reinvest the redemption proceeds in a comparable security at an effective interest rate as high as the 2023 Notes being redeemed.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2023 Notes.</w:t>
      </w:r>
    </w:p>
    <w:p>
      <w:pPr>
        <w:spacing w:after="0" w:line="136" w:lineRule="exact"/>
        <w:rPr>
          <w:sz w:val="20"/>
          <w:szCs w:val="20"/>
          <w:color w:val="auto"/>
        </w:rPr>
      </w:pPr>
    </w:p>
    <w:p>
      <w:pPr>
        <w:ind w:right="80" w:firstLine="438"/>
        <w:spacing w:after="0" w:line="243" w:lineRule="auto"/>
        <w:rPr>
          <w:sz w:val="20"/>
          <w:szCs w:val="20"/>
          <w:color w:val="auto"/>
        </w:rPr>
      </w:pPr>
      <w:r>
        <w:rPr>
          <w:rFonts w:ascii="Arial" w:cs="Arial" w:eastAsia="Arial" w:hAnsi="Arial"/>
          <w:sz w:val="13"/>
          <w:szCs w:val="13"/>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p>
      <w:pPr>
        <w:ind w:right="140"/>
        <w:spacing w:after="0" w:line="253" w:lineRule="auto"/>
        <w:rPr>
          <w:sz w:val="20"/>
          <w:szCs w:val="20"/>
          <w:color w:val="auto"/>
        </w:rPr>
      </w:pPr>
      <w:r>
        <w:rPr>
          <w:rFonts w:ascii="Arial" w:cs="Arial" w:eastAsia="Arial" w:hAnsi="Arial"/>
          <w:sz w:val="14"/>
          <w:szCs w:val="14"/>
          <w:color w:val="auto"/>
        </w:rPr>
        <w:t>Credit Facility has, and any future debt will likely have, customary cross-default provisions, if the indebtedness thereunder or under any future credit facility is accelerated, we may be unable to repay or finance the amounts due.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Payments made under the 2023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2023 Notes as well as, after December 31, 2018, scheduled payments of principal, early redemption, or sale of the 2023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2023 Notes should consult their own tax advisors regarding FATCA and how it may affect their investment in the notes.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may be difficult to obtain and enforce civil judgments against us and our directors, officers and experts.</w:t>
      </w:r>
    </w:p>
    <w:p>
      <w:pPr>
        <w:spacing w:after="0" w:line="123"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We are a Maryland corporation and our principal executive offices are located in New York City. All of our assets are located outside of Israel. As a result, even though the deed of trust for the 2023 Notes is governed by Israeli law and any disputes thereunder are stipulated to be adjudicated in Israeli courts, holders of the 2023 Notes may have difficulty enforcing in Israel judgments they may obtain in an Israeli court against us.</w:t>
      </w:r>
    </w:p>
    <w:p>
      <w:pPr>
        <w:spacing w:after="0" w:line="115"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U.S. courts may refuse to hear a securities law claim of a non-U.S. investor who purchased our securities on the TASE. In addition, since our directors, officers and experts are located outside of Israel, it may be difficult serving legal process upon any of these persons. It also may be difficult enforcing judgments holders of the 2023 Notes may obtain in Israeli courts against us or those persons in any action, including actions based upon the civil liability provisions of U.S. securities laws.</w:t>
      </w:r>
    </w:p>
    <w:p>
      <w:pPr>
        <w:spacing w:after="0" w:line="115"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It may also be difficult to assert U.S. securities laws claims in original actions instituted in Israel. Israeli courts may refuse to hear a claim based on an alleged violation of U.S. securities laws reasoning that Israel is not the most appropriate forum to bring such a claim. In particular, the Israeli Securities Law expressly authorizes Israeli courts to stay a securities lawsuit against a dual-listed company while a lawsuit on similar grounds is being adjudicated in a non-Israeli court.</w:t>
      </w:r>
    </w:p>
    <w:p>
      <w:pPr>
        <w:spacing w:after="0" w:line="102"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115" w:lineRule="exact"/>
        <w:rPr>
          <w:sz w:val="20"/>
          <w:szCs w:val="20"/>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limited exceptions, the judgment is final and non-appealable;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judgment was given by a court competent under the laws of the state of the court and is otherwise enforceable in such state;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judgment was rendered by a court competent under the rules of private international law applicable in Israel;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laws of the state in which the judgment was given provide for the enforcement of judgments of Israeli courts;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adequate service of process has been effected and the defendant has had a reasonable opportunity to present his arguments and evidence;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judgment and its enforcement are not contrary to the law, public policy, security or sovereignty of the State of Israel;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judgment was not obtained by fraud and does not conflict with any other valid judgment in the same matter between the same parties;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 action between the same parties in the same matter was not pending in any Israeli court at the time the lawsuit was instituted in the U.S.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2" w:name="page33"/>
    <w:bookmarkEnd w:id="32"/>
    <w:p>
      <w:pPr>
        <w:spacing w:after="0"/>
        <w:tabs>
          <w:tab w:leader="none" w:pos="9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As of September 30, 2018,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PART II</w:t>
      </w:r>
    </w:p>
    <w:p>
      <w:pPr>
        <w:spacing w:after="0" w:line="27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75" w:lineRule="exact"/>
        <w:rPr>
          <w:sz w:val="20"/>
          <w:szCs w:val="20"/>
          <w:color w:val="auto"/>
        </w:rPr>
      </w:pPr>
    </w:p>
    <w:p>
      <w:pPr>
        <w:jc w:val="both"/>
        <w:ind w:right="500" w:firstLine="438"/>
        <w:spacing w:after="0" w:line="290" w:lineRule="auto"/>
        <w:rPr>
          <w:sz w:val="20"/>
          <w:szCs w:val="20"/>
          <w:color w:val="auto"/>
        </w:rPr>
      </w:pPr>
      <w:r>
        <w:rPr>
          <w:rFonts w:ascii="Arial" w:cs="Arial" w:eastAsia="Arial" w:hAnsi="Arial"/>
          <w:sz w:val="13"/>
          <w:szCs w:val="13"/>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declared per share on the NASDAQ Global Select Market since October 1, 2016.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Premium /</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Premium /</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(Discount)</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(Discount)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Closing Sale Prices</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High Sale</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of Low Sale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Distributions</w:t>
            </w:r>
          </w:p>
        </w:tc>
      </w:tr>
      <w:tr>
        <w:trPr>
          <w:trHeight w:val="237"/>
        </w:trPr>
        <w:tc>
          <w:tcPr>
            <w:tcW w:w="32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Declared</w:t>
            </w:r>
          </w:p>
        </w:tc>
      </w:tr>
      <w:tr>
        <w:trPr>
          <w:trHeight w:val="155"/>
        </w:trPr>
        <w:tc>
          <w:tcPr>
            <w:tcW w:w="3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Year Ended September 30, 2018</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Fourth quarter</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13.82</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13.83</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13.15</w:t>
            </w:r>
          </w:p>
        </w:tc>
        <w:tc>
          <w:tcPr>
            <w:tcW w:w="2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(5)%  $</w:t>
            </w:r>
          </w:p>
        </w:tc>
        <w:tc>
          <w:tcPr>
            <w:tcW w:w="98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4"/>
                <w:szCs w:val="14"/>
                <w:color w:val="auto"/>
              </w:rPr>
            </w:pPr>
          </w:p>
        </w:tc>
      </w:tr>
      <w:tr>
        <w:trPr>
          <w:trHeight w:val="162"/>
        </w:trPr>
        <w:tc>
          <w:tcPr>
            <w:tcW w:w="3240" w:type="dxa"/>
            <w:vAlign w:val="bottom"/>
            <w:shd w:val="clear" w:color="auto" w:fill="CCECFF"/>
          </w:tcPr>
          <w:p>
            <w:pPr>
              <w:spacing w:after="0"/>
              <w:rPr>
                <w:sz w:val="20"/>
                <w:szCs w:val="20"/>
                <w:color w:val="auto"/>
              </w:rPr>
            </w:pPr>
            <w:r>
              <w:rPr>
                <w:rFonts w:ascii="Arial" w:cs="Arial" w:eastAsia="Arial" w:hAnsi="Arial"/>
                <w:sz w:val="14"/>
                <w:szCs w:val="14"/>
                <w:color w:val="auto"/>
              </w:rPr>
              <w:t>Third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13.82</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13.08</w:t>
            </w:r>
          </w:p>
        </w:tc>
        <w:tc>
          <w:tcPr>
            <w:tcW w:w="2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Second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12.19</w:t>
            </w:r>
          </w:p>
        </w:tc>
        <w:tc>
          <w:tcPr>
            <w:tcW w:w="2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4"/>
                <w:szCs w:val="14"/>
                <w:color w:val="auto"/>
              </w:rPr>
            </w:pPr>
          </w:p>
        </w:tc>
      </w:tr>
      <w:tr>
        <w:trPr>
          <w:trHeight w:val="162"/>
        </w:trPr>
        <w:tc>
          <w:tcPr>
            <w:tcW w:w="3240" w:type="dxa"/>
            <w:vAlign w:val="bottom"/>
            <w:shd w:val="clear" w:color="auto" w:fill="CCECFF"/>
          </w:tcPr>
          <w:p>
            <w:pPr>
              <w:spacing w:after="0"/>
              <w:rPr>
                <w:sz w:val="20"/>
                <w:szCs w:val="20"/>
                <w:color w:val="auto"/>
              </w:rPr>
            </w:pPr>
            <w:r>
              <w:rPr>
                <w:rFonts w:ascii="Arial" w:cs="Arial" w:eastAsia="Arial" w:hAnsi="Arial"/>
                <w:sz w:val="14"/>
                <w:szCs w:val="14"/>
                <w:color w:val="auto"/>
              </w:rPr>
              <w:t>First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13.86</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14.61</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13.72</w:t>
            </w:r>
          </w:p>
        </w:tc>
        <w:tc>
          <w:tcPr>
            <w:tcW w:w="2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b w:val="1"/>
                <w:bCs w:val="1"/>
                <w:color w:val="auto"/>
              </w:rPr>
              <w:t>Year Ended September 30,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40" w:type="dxa"/>
            <w:vAlign w:val="bottom"/>
            <w:shd w:val="clear" w:color="auto" w:fill="CCECFF"/>
          </w:tcPr>
          <w:p>
            <w:pPr>
              <w:spacing w:after="0"/>
              <w:rPr>
                <w:sz w:val="20"/>
                <w:szCs w:val="20"/>
                <w:color w:val="auto"/>
              </w:rPr>
            </w:pPr>
            <w:r>
              <w:rPr>
                <w:rFonts w:ascii="Arial" w:cs="Arial" w:eastAsia="Arial" w:hAnsi="Arial"/>
                <w:sz w:val="14"/>
                <w:szCs w:val="14"/>
                <w:color w:val="auto"/>
              </w:rPr>
              <w:t>Fourth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13.96</w:t>
            </w:r>
          </w:p>
        </w:tc>
        <w:tc>
          <w:tcPr>
            <w:tcW w:w="2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13.61</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4"/>
                <w:szCs w:val="14"/>
                <w:color w:val="auto"/>
              </w:rPr>
            </w:pPr>
          </w:p>
        </w:tc>
      </w:tr>
      <w:tr>
        <w:trPr>
          <w:trHeight w:val="162"/>
        </w:trPr>
        <w:tc>
          <w:tcPr>
            <w:tcW w:w="3240" w:type="dxa"/>
            <w:vAlign w:val="bottom"/>
            <w:shd w:val="clear" w:color="auto" w:fill="CCECFF"/>
          </w:tcPr>
          <w:p>
            <w:pPr>
              <w:spacing w:after="0"/>
              <w:rPr>
                <w:sz w:val="20"/>
                <w:szCs w:val="20"/>
                <w:color w:val="auto"/>
              </w:rPr>
            </w:pPr>
            <w:r>
              <w:rPr>
                <w:rFonts w:ascii="Arial" w:cs="Arial" w:eastAsia="Arial" w:hAnsi="Arial"/>
                <w:sz w:val="14"/>
                <w:szCs w:val="14"/>
                <w:color w:val="auto"/>
              </w:rPr>
              <w:t>Second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13.42</w:t>
            </w:r>
          </w:p>
        </w:tc>
        <w:tc>
          <w:tcPr>
            <w:tcW w:w="2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First quarter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12.44</w:t>
            </w:r>
          </w:p>
        </w:tc>
        <w:tc>
          <w:tcPr>
            <w:tcW w:w="24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4" w:lineRule="exact"/>
        <w:rPr>
          <w:sz w:val="20"/>
          <w:szCs w:val="20"/>
          <w:color w:val="auto"/>
        </w:rPr>
      </w:pPr>
    </w:p>
    <w:p>
      <w:pPr>
        <w:ind w:left="380" w:right="260" w:hanging="372"/>
        <w:spacing w:after="0" w:line="230" w:lineRule="auto"/>
        <w:tabs>
          <w:tab w:leader="none" w:pos="3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80" w:hanging="372"/>
        <w:spacing w:after="0"/>
        <w:tabs>
          <w:tab w:leader="none" w:pos="3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Calculated as the respective high or low closing sale prices less NAV per share, divided by the quarter-end NAV per share.</w:t>
      </w:r>
    </w:p>
    <w:p>
      <w:pPr>
        <w:spacing w:after="0" w:line="12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$13.15 and $14.48 on September 30, 2018 and 2017, respectively. Our NAV per share was $13.82 and $14.10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14, 2018, we had 42 stockholders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year ended September 30,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repurchase any of our common stock under our share repurchase plan during the year ended September 30, 2018.</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DISTRIBUTIONS</w:t>
      </w:r>
    </w:p>
    <w:p>
      <w:pPr>
        <w:spacing w:after="0" w:line="275"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that we have declared on our common stock in the last two fiscal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2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Payment Dates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7140" w:type="dxa"/>
            <w:vAlign w:val="bottom"/>
            <w:gridSpan w:val="2"/>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56"/>
        </w:trPr>
        <w:tc>
          <w:tcPr>
            <w:tcW w:w="69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Year Ended September 30, 2018</w:t>
            </w:r>
          </w:p>
        </w:tc>
        <w:tc>
          <w:tcPr>
            <w:tcW w:w="200" w:type="dxa"/>
            <w:vAlign w:val="bottom"/>
            <w:tcBorders>
              <w:top w:val="single" w:sz="8" w:color="CCECFF"/>
            </w:tcBorders>
            <w:shd w:val="clear" w:color="auto" w:fill="CCECFF"/>
          </w:tcPr>
          <w:p>
            <w:pPr>
              <w:spacing w:after="0"/>
              <w:rPr>
                <w:sz w:val="13"/>
                <w:szCs w:val="13"/>
                <w:color w:val="auto"/>
              </w:rPr>
            </w:pPr>
          </w:p>
        </w:tc>
        <w:tc>
          <w:tcPr>
            <w:tcW w:w="19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September 17, 2018, September 18, 2018</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October 2, 2018</w:t>
            </w:r>
          </w:p>
        </w:tc>
        <w:tc>
          <w:tcPr>
            <w:tcW w:w="300" w:type="dxa"/>
            <w:vAlign w:val="bottom"/>
            <w:gridSpan w:val="2"/>
          </w:tcPr>
          <w:p>
            <w:pPr>
              <w:jc w:val="right"/>
              <w:ind w:right="16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August 21, 2018, August 22, 2018</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0"/>
              </w:rPr>
              <w:t>September 4, 2018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July 18, 2018, July 19, 2018</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August 1, 2018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June 18, 2018</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5"/>
              </w:rPr>
              <w:t>July 2, 2018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May 18, 2018</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June 1, 2018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April 17, 2018</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May 1, 2018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March 19, 2018</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April 2, 2018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February 16, 2018</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March 1, 2018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January 18, 2018</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February 1, 2018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December 26,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1"/>
              </w:rPr>
              <w:t>January 2, 2018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November 17, 2017</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December 1,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October 19,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November 1, 2017</w:t>
            </w: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w:t>
            </w:r>
          </w:p>
        </w:tc>
        <w:tc>
          <w:tcPr>
            <w:tcW w:w="1940" w:type="dxa"/>
            <w:vAlign w:val="bottom"/>
            <w:tcBorders>
              <w:bottom w:val="single" w:sz="8" w:color="CCECFF"/>
            </w:tcBorders>
          </w:tcPr>
          <w:p>
            <w:pPr>
              <w:spacing w:after="0"/>
              <w:rPr>
                <w:sz w:val="17"/>
                <w:szCs w:val="17"/>
                <w:color w:val="auto"/>
              </w:rPr>
            </w:pPr>
          </w:p>
        </w:tc>
        <w:tc>
          <w:tcPr>
            <w:tcW w:w="20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1.140</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14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Year Ended September 30, 2017</w:t>
            </w:r>
          </w:p>
        </w:tc>
        <w:tc>
          <w:tcPr>
            <w:tcW w:w="19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September 20,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October 2, 2017</w:t>
            </w:r>
          </w:p>
        </w:tc>
        <w:tc>
          <w:tcPr>
            <w:tcW w:w="300" w:type="dxa"/>
            <w:vAlign w:val="bottom"/>
            <w:gridSpan w:val="2"/>
          </w:tcPr>
          <w:p>
            <w:pPr>
              <w:jc w:val="right"/>
              <w:ind w:right="16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August 18,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0"/>
              </w:rPr>
              <w:t>September 1,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July 20,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August 1,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June 21,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5"/>
              </w:rPr>
              <w:t>July 3,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May 19,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June 1,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April 19,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May 1,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March 22,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April 3,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February 17,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March 1,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January 20,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February 1,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December 22,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1"/>
              </w:rPr>
              <w:t>January 3,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November 18, 2016</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December 1, 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October 20,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November 1, 2016</w:t>
            </w: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w:t>
            </w: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In January 2019, a Form 1099-DIV will be sent to stockholders subject to information reporting that will state the amount and composition of distributions and provide information with respect to appropriate tax treatment of our distributions.</w:t>
      </w:r>
    </w:p>
    <w:p>
      <w:pPr>
        <w:spacing w:after="0" w:line="106"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The tax characteristics of distributions declared, in accordance with Section 19(a) of the 1940 Act, during the years ended September 30, 2018 and 2017 from ordinary income (including short-term gains), if any, totaled $42.8 million and $34.8 million, or $1.14 and $1.15 per share, respectively, based on the weighted average shares outstanding for the respective periods. Additionally, for the year ended September 30, 2018, we had long-term capital gain distributions of $0.8 million, or $0.02 per share, based on the weighted average shares outstanding.</w:t>
      </w:r>
    </w:p>
    <w:p>
      <w:pPr>
        <w:spacing w:after="0" w:line="8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23"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2013,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75565</wp:posOffset>
            </wp:positionV>
            <wp:extent cx="6060440" cy="35058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6044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69" w:right="419"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39"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Statements of Operations data, per share data and Consolidated Statements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September 30,</w:t>
            </w: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5"/>
        </w:trPr>
        <w:tc>
          <w:tcPr>
            <w:tcW w:w="50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CFF"/>
            </w:tcBorders>
          </w:tcPr>
          <w:p>
            <w:pPr>
              <w:spacing w:after="0"/>
              <w:rPr>
                <w:sz w:val="13"/>
                <w:szCs w:val="13"/>
                <w:color w:val="auto"/>
              </w:rPr>
            </w:pPr>
          </w:p>
        </w:tc>
      </w:tr>
      <w:tr>
        <w:trPr>
          <w:trHeight w:val="156"/>
        </w:trPr>
        <w:tc>
          <w:tcPr>
            <w:tcW w:w="50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Total investment income</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72,205</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59,497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46,301</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30,355</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30,357</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41,241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26,052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18,965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12,695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13,721</w:t>
            </w: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investment income</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30,964</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27,336</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17,660</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16,636</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Net realized and unrealized gain (loss)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(5,156)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3,878</w:t>
            </w: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33,490</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36,325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33,489</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12,504</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20,514</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asset value</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13.82</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14.06</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13.95</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14.40</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0.23</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(0.31)</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w:t>
            </w: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(1), (2)</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b w:val="1"/>
                <w:bCs w:val="1"/>
                <w:color w:val="auto"/>
              </w:rPr>
              <w:t>Consolidated Statements of Assets and Liabilities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1,076,443</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747,345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631,420</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416,120</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372,874</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Total investment portfolio</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1,000,613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710,499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598,888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391,312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348,428</w:t>
            </w: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Debt payable </w:t>
            </w:r>
            <w:r>
              <w:rPr>
                <w:rFonts w:ascii="Arial" w:cs="Arial" w:eastAsia="Arial" w:hAnsi="Arial"/>
                <w:sz w:val="12"/>
                <w:szCs w:val="12"/>
                <w:color w:val="auto"/>
              </w:rPr>
              <w:t>(3)</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467,632</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256,858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232,389</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29,600</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146,949</w:t>
            </w: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Total net asset value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535,842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457,906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375,907</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372,890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214,528</w:t>
            </w:r>
          </w:p>
        </w:tc>
        <w:tc>
          <w:tcPr>
            <w:tcW w:w="14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Other data:</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(4)</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18.71%</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21.77%</w:t>
            </w:r>
          </w:p>
        </w:tc>
        <w:tc>
          <w:tcPr>
            <w:tcW w:w="3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(6.01)%</w:t>
            </w:r>
          </w:p>
        </w:tc>
        <w:tc>
          <w:tcPr>
            <w:tcW w:w="2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8.05%</w:t>
            </w: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(5)</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w:t>
            </w:r>
          </w:p>
        </w:tc>
        <w:tc>
          <w:tcPr>
            <w:tcW w:w="3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CECFF"/>
          </w:tcPr>
          <w:p>
            <w:pPr>
              <w:spacing w:after="0"/>
              <w:rPr>
                <w:sz w:val="14"/>
                <w:szCs w:val="14"/>
                <w:color w:val="auto"/>
              </w:rPr>
            </w:pPr>
          </w:p>
        </w:tc>
      </w:tr>
      <w:tr>
        <w:trPr>
          <w:trHeight w:val="182"/>
        </w:trPr>
        <w:tc>
          <w:tcPr>
            <w:tcW w:w="502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(5)</w:t>
            </w:r>
          </w:p>
        </w:tc>
        <w:tc>
          <w:tcPr>
            <w:tcW w:w="2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00" w:hanging="372"/>
        <w:spacing w:after="0" w:line="221" w:lineRule="auto"/>
        <w:tabs>
          <w:tab w:leader="none" w:pos="3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ind w:left="380" w:hanging="372"/>
        <w:spacing w:after="0" w:line="221" w:lineRule="auto"/>
        <w:tabs>
          <w:tab w:leader="none" w:pos="3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At fair value.</w:t>
      </w:r>
    </w:p>
    <w:p>
      <w:pPr>
        <w:ind w:left="380" w:right="360" w:hanging="372"/>
        <w:spacing w:after="0" w:line="221" w:lineRule="auto"/>
        <w:tabs>
          <w:tab w:leader="none" w:pos="3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 which was terminated on November 22, 2017.</w:t>
      </w:r>
    </w:p>
    <w:p>
      <w:pPr>
        <w:ind w:left="380" w:hanging="372"/>
        <w:spacing w:after="0"/>
        <w:tabs>
          <w:tab w:leader="none" w:pos="3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4"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8"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2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2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As of September 30, 2018, our portfolio totaled $1,000.6 million and consisted of $913.3 million of first lien secured debt (of which $101.1 million was invested in PSSL), $21.2 million of second lien secured debt and $66.1 million of preferred and common equity (of which $44.8 million was invested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ind w:right="340"/>
        <w:spacing w:after="0" w:line="253" w:lineRule="auto"/>
        <w:rPr>
          <w:sz w:val="20"/>
          <w:szCs w:val="20"/>
          <w:color w:val="auto"/>
        </w:rPr>
      </w:pPr>
      <w:r>
        <w:rPr>
          <w:rFonts w:ascii="Arial" w:cs="Arial" w:eastAsia="Arial" w:hAnsi="Arial"/>
          <w:sz w:val="14"/>
          <w:szCs w:val="14"/>
          <w:color w:val="auto"/>
        </w:rPr>
        <w:t>and was invested 91% in first lien secured debt (of which 10% was invested in PSSL), 2% in second lien secured debt and 7% in preferred and common equity (of which 4% was invested in PSSL). As of September 30, 2018, all of the investments held by PSSL were first lien secured debt.</w:t>
      </w:r>
    </w:p>
    <w:p>
      <w:pPr>
        <w:spacing w:after="0" w:line="93"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As of September 30, 2017, our portfolio totaled $710.5 million and consisted of $609.7 million of first lien secured debt, $37.8 million of second lien secured debt, $37.5 million of subordinated debt (of which $30.1 million was invested in PSSL) and $25.5 million of preferred and common equity (of which $13.4 million was invested in PSSL). Our debt portfolio consisted of 99% variable-rate investments and 1% fixed-rate investments. As of September 30, 2017, we had one portfolio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by PSSL were first lien secured debt.</w:t>
      </w:r>
    </w:p>
    <w:p>
      <w:pPr>
        <w:spacing w:after="0" w:line="11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2018, we invested $682.7 million of investments in 32 new and 66 existing portfolio companies with a weighted average yield on debt investments of 8.1%. Sales and repayments of investments for the year ended September 30, 2018 totaled $391.4 million.</w:t>
      </w:r>
    </w:p>
    <w:p>
      <w:pPr>
        <w:spacing w:after="0" w:line="10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2017, we invested $508.9 million of investments in 29 new and 49 existing portfolio companies with a weighted average yield on debt investments of 7.7%. Sales and repayments of investments for the year ended September 30, 2017 totaled $406.5 million.</w:t>
      </w:r>
    </w:p>
    <w:p>
      <w:pPr>
        <w:spacing w:after="0" w:line="9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4"/>
          <w:szCs w:val="14"/>
          <w:color w:val="auto"/>
        </w:rPr>
        <w:t>As of September 30, 2018, PSSL’s portfolio totaled $425.4 million, consisted of 42 companies with an average investment size of $10.1 million and had a weighted average yield on debt investments of 7.8%. As of September 30, 2017, PSSL’s portfolio totaled $100.0 million, consisted of 18 companies with an average investment size of $5.6 million and had a weighted average yield on debt investments of 7.2%.</w:t>
      </w:r>
    </w:p>
    <w:p>
      <w:pPr>
        <w:spacing w:after="0" w:line="115"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3"/>
          <w:szCs w:val="13"/>
          <w:color w:val="auto"/>
        </w:rPr>
        <w:t>For the year ended September 30, 2018, PSSL invested $371.3 million (of which $108.0 million was purchased from the Company) in 28 new and 14 existing portfolio companies with a weighted average yield on debt investments of 7.5%. PSSL’s sales and repayments of investments for the year ended September 30, 2018 totaled $45.8 million. For the period May 4, 2017 (inception) through September 30, 2017, PSSL invested $111.5 million (of which $85.1 million was purchased from the Company) in 19 new and four existing portfolio companies with a weighted average yield on debt investments of 6.5%. PSSL’s sales and repayments of investments for the period May 4, 2017 (inception) through September 30, 2017 totaled $12.1 million.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1" w:lineRule="exact"/>
        <w:rPr>
          <w:sz w:val="20"/>
          <w:szCs w:val="20"/>
          <w:color w:val="auto"/>
        </w:rPr>
      </w:pPr>
    </w:p>
    <w:p>
      <w:pPr>
        <w:ind w:left="920" w:right="20" w:hanging="359"/>
        <w:spacing w:after="0" w:line="253"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00" w:hanging="359"/>
        <w:spacing w:after="0" w:line="238"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0" w:name="page41"/>
    <w:bookmarkEnd w:id="40"/>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$10.9 million, $0.1 million and $0.9 million relating to amendment costs on the Credit Facility and debt issuance costs on the 2023 Notes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years ended September 30, 2018, 2017 and 2016, our Credit Facility and the 2023 Notes had a net change in unrealized depreciation (appreciation) of $7.8 million, $(3.6) million and $0.5 million, respectively. As of September 30, 2018 and 2017, the net unrealized depreciation (appreciation) on our Credit Facility and the 2023 Notes totaled $4.7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23"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23" w:lineRule="exact"/>
        <w:rPr>
          <w:sz w:val="20"/>
          <w:szCs w:val="20"/>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1" w:name="page42"/>
    <w:bookmarkEnd w:id="41"/>
    <w:p>
      <w:pPr>
        <w:ind w:right="140"/>
        <w:spacing w:after="0" w:line="238" w:lineRule="auto"/>
        <w:rPr>
          <w:sz w:val="20"/>
          <w:szCs w:val="20"/>
          <w:color w:val="auto"/>
        </w:rPr>
      </w:pPr>
      <w:r>
        <w:rPr>
          <w:rFonts w:ascii="Arial" w:cs="Arial" w:eastAsia="Arial" w:hAnsi="Arial"/>
          <w:sz w:val="14"/>
          <w:szCs w:val="14"/>
          <w:color w:val="auto"/>
        </w:rPr>
        <w:t>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w:t>
      </w:r>
    </w:p>
    <w:p>
      <w:pPr>
        <w:spacing w:after="0" w:line="229" w:lineRule="auto"/>
        <w:rPr>
          <w:sz w:val="20"/>
          <w:szCs w:val="20"/>
          <w:color w:val="auto"/>
        </w:rPr>
      </w:pPr>
      <w:r>
        <w:rPr>
          <w:rFonts w:ascii="Arial" w:cs="Arial" w:eastAsia="Arial" w:hAnsi="Arial"/>
          <w:sz w:val="14"/>
          <w:szCs w:val="14"/>
          <w:color w:val="auto"/>
        </w:rPr>
        <w:t>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03" w:lineRule="exact"/>
        <w:rPr>
          <w:sz w:val="20"/>
          <w:szCs w:val="20"/>
          <w:color w:val="auto"/>
        </w:rPr>
      </w:pPr>
    </w:p>
    <w:p>
      <w:pPr>
        <w:ind w:right="8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years ended September 30, 2018, 2017 and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Investment income for the year ended September 30, 2018 was $72.2 million and was attributable to $65.5 million from first lien secured debt, $6.7 million from second lien secured debt, subordinated debt and preferred equity. The increase in investment income over the prior year was primarily due to the growth of our portfolio.</w:t>
      </w:r>
    </w:p>
    <w:p>
      <w:pPr>
        <w:spacing w:after="0" w:line="93"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Investment income for the year ended September 30, 2017 was $59.5 million (including $4.6 million from a litigation settlement related to a former portfolio company of MCG, which is not expected to be recurring) and was attributable to $50.0 million from first lien secured debt, $4.9 million from second lien secured debt and subordinated debt. The increase in investment income over the prior year was primarily due to the growth of our portfolio.</w:t>
      </w:r>
    </w:p>
    <w:p>
      <w:pPr>
        <w:spacing w:after="0" w:line="115"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Investment income for the year ended September 30, 2016 was $46.3 million (including $3.3 million from a litigation settlement related to a former portfolio company of MCG, which is not expected to be recurring) and was attributable to $33.1 million from first lien secured debt, $9.9 million from second lien secured debt and subordinated debt.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23"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Expenses for the year ended September 30, 2018 totaled $41.2 million. Base management fee for the same period totaled $8.4 million, incentive fee totaled $2.4 million (including $(0.1) million on realized gains and $(1.0) million on net unrealized gains accrued but not payable), debt related interest and expenses totaled $25.2 million (including $10.9 million in Credit Facility amendment and debt issuance costs on the 2023 Notes), general and administrative expenses totaled $4.4 million and provision for taxes totaled $0.8 million. The increase in expenses compared to the prior year was primarily due to the expenses incurred in connection with the Credit Facility amendment and debt issuance costs on the 2023 Notes in the current year.</w:t>
      </w:r>
    </w:p>
    <w:p>
      <w:pPr>
        <w:spacing w:after="0" w:line="107"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Expenses for the year ended September 30, 2017 totaled $26.1 million. Base management fee for the same period totaled $6.9 million, incentive fee totaled $6.2 million (including $0.1 million on realized gains and $1.2 million on net unrealized gains accrued but not payable), Credit Facility expenses totaled $8.5 million (including $0.1 million of Credit Facility amendment expenses), general and administrative expenses totaled $4.2 million and provision for taxes totaled $0.3 million. The increase in expenses over the prior year was primarily due to increases in base management and incentive fees as a result from the growth of our portfolio.</w:t>
      </w:r>
    </w:p>
    <w:p>
      <w:pPr>
        <w:spacing w:after="0" w:line="117"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Expenses for the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80" w:firstLine="456"/>
        <w:spacing w:after="0" w:line="238" w:lineRule="auto"/>
        <w:rPr>
          <w:sz w:val="20"/>
          <w:szCs w:val="20"/>
          <w:color w:val="auto"/>
        </w:rPr>
      </w:pPr>
      <w:r>
        <w:rPr>
          <w:rFonts w:ascii="Arial" w:cs="Arial" w:eastAsia="Arial" w:hAnsi="Arial"/>
          <w:sz w:val="14"/>
          <w:szCs w:val="14"/>
          <w:color w:val="auto"/>
        </w:rPr>
        <w:t>Net investment income totaled $31.0 million or $0.81 per share, $33.4 million or $1.10 per share and $27.3 million or $1.02 per share, for the years ended September 30, 2018, 2017 and 2016, respectively. The decrease in net investment income compared to the prior year was primarily due to the expenses incurred in connection with the Credit Facility amendment and debt issuance costs on the 2023 Notes in the current year.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Sales and repayments of investments for the years ended September 30, 2018, 2017 and 2016 totaled $391.4 million, $406.5 million and $164.2 million, respectively. Net realized (losses) gains totaled $(2.3) million, $5.4 million and $(1.4) million for the same periods, respectively. The change in realized gains/losses was primarily due to changes in the market conditions of our investments and the values at which they were realized.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For the years ended September 30, 2018, 2017 and 2016, we reported net change in unrealized (depreciation) appreciation on investments of $(2.9) million, $1.1 million and $7.0 million, respectively. As of September 30, 2018 and 2017, our net unrealized (depreciation) appreciation on investments totaled $(0.9) million and $2.0 million, respectively. The net change in unrealized appreciation/depreciation on our investments for the year ended September 30, 2018 compared to the prior year was primarily due to changes in the capital market conditions, the financial performance of certain portfolio companies and the reversal of unrealized appreciation/depreciation on investments that were realized.</w:t>
      </w:r>
    </w:p>
    <w:p>
      <w:pPr>
        <w:spacing w:after="0" w:line="104"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For the year ended September 30, 2018, our Credit Facility and the 2023 Notes had a net change in unrealized depreciation of $7.8 million. For the years ended September 30, 2017 and 2016, our Credit Facility had a net change in unrealized (appreciation) depreciation of $(3.6) million and $0.5 million. As of September 30, 2018 and 2017, our net unrealized depreciation (appreciation) on our Credit Facility and the 2023 Notes totaled $4.7 million and $(3.1) million, respectively. The net change in unrealized depreciation for the year ended September 30, 2018 compared to the prior year was primarily due to changes in the capital markets.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23" w:lineRule="exact"/>
        <w:rPr>
          <w:sz w:val="20"/>
          <w:szCs w:val="20"/>
          <w:color w:val="auto"/>
        </w:rPr>
      </w:pPr>
    </w:p>
    <w:p>
      <w:pPr>
        <w:ind w:right="280" w:firstLine="438"/>
        <w:spacing w:after="0" w:line="296" w:lineRule="auto"/>
        <w:rPr>
          <w:sz w:val="20"/>
          <w:szCs w:val="20"/>
          <w:color w:val="auto"/>
        </w:rPr>
      </w:pPr>
      <w:r>
        <w:rPr>
          <w:rFonts w:ascii="Arial" w:cs="Arial" w:eastAsia="Arial" w:hAnsi="Arial"/>
          <w:sz w:val="12"/>
          <w:szCs w:val="12"/>
          <w:color w:val="auto"/>
        </w:rPr>
        <w:t>Net change in net assets resulting from operations totaled $33.5 million or $0.87 per share, $36.3 million or $1.20 per share and $33.5 million or $1.25 per share, for the years ended September 30, 2018, 2017 and 2016, respectively. The decrease in net assets from operations for year ended September 30, 2018 compared to the prior year was primarily due to the expenses incurred in connection with the Credit Facility amendment and debt issuance costs on the 2023 Notes, partially offset by an increase in investment income due to the growth of our portfolio.</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2018, in accordance with the 1940 Act, with certain limited exceptions, we are only allowed to borrow amounts such that we are in compliance with a 200% asset coverage ratio requirement after such borrowing.</w:t>
      </w:r>
    </w:p>
    <w:p>
      <w:pPr>
        <w:spacing w:after="0" w:line="11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 disclosure requirements. As of September 30, 2018 and 2017, our asset coverage ratio, as computed in accordance with the 1940 Act, was 215% and 278%, respectively.</w:t>
      </w:r>
    </w:p>
    <w:p>
      <w:pPr>
        <w:spacing w:after="0" w:line="117" w:lineRule="exact"/>
        <w:rPr>
          <w:sz w:val="20"/>
          <w:szCs w:val="20"/>
          <w:color w:val="auto"/>
        </w:rPr>
      </w:pPr>
    </w:p>
    <w:p>
      <w:pPr>
        <w:jc w:val="both"/>
        <w:ind w:right="280" w:firstLine="438"/>
        <w:spacing w:after="0" w:line="255" w:lineRule="auto"/>
        <w:rPr>
          <w:sz w:val="20"/>
          <w:szCs w:val="20"/>
          <w:color w:val="auto"/>
        </w:rPr>
      </w:pPr>
      <w:r>
        <w:rPr>
          <w:rFonts w:ascii="Arial" w:cs="Arial" w:eastAsia="Arial" w:hAnsi="Arial"/>
          <w:sz w:val="13"/>
          <w:szCs w:val="13"/>
          <w:color w:val="auto"/>
        </w:rPr>
        <w:t>Funding I’s multi-currency Credit Facility with the Lenders was $405 million as of September 30, 2018, subject to satisfaction of certain conditions and regulatory restrictions that the 1940 Act imposes on us as a BDC, has an interest rate spread above LIBOR of 200 basis points, a maturity date of November 2022 and a revolving period that ends in November 2020. As of September 30, 2018 and 2017, Funding I had $333.7 million and $253.8 million of outstanding borrowings under the Credit Facility, respectively. The Credit Facility had a weighted average interest rate of 4.13% and 3.18%, exclusive of the fee on undrawn commitments, as of September 30, 2018 and 2017, respectively. See “Recent Developments” for more information.</w:t>
      </w:r>
    </w:p>
    <w:p>
      <w:pPr>
        <w:spacing w:after="0" w:line="107"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The annualized weighted average cost of debt for the years ended September 30, 2018, 2017 and 2016, inclusive of the fee on the undrawn commitment of 0.375% on the Credit Facility, amendment costs and debt issuance costs, was 7.12%, 3.14% and 4.16%, respectively (excluding amendment and debt issuance costs, amounts are 4.05%, 3.10% and 3.51%). As of September 30, 2018 and 2017, we had $71.3 million and $121.2 million of unused borrowing capacity under our Credit Facility, respectively, subject to the regulatory restrictions.</w:t>
      </w:r>
    </w:p>
    <w:p>
      <w:pPr>
        <w:spacing w:after="0" w:line="87"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2018, we were in compliance with the covenants relating to our Credit Facility.</w:t>
      </w:r>
    </w:p>
    <w:p>
      <w:pPr>
        <w:spacing w:after="0" w:line="116"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3"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right="1320" w:firstLine="438"/>
        <w:spacing w:after="0" w:line="253" w:lineRule="auto"/>
        <w:rPr>
          <w:sz w:val="20"/>
          <w:szCs w:val="20"/>
          <w:color w:val="auto"/>
        </w:rPr>
      </w:pPr>
      <w:r>
        <w:rPr>
          <w:rFonts w:ascii="Arial" w:cs="Arial" w:eastAsia="Arial" w:hAnsi="Arial"/>
          <w:sz w:val="14"/>
          <w:szCs w:val="14"/>
          <w:color w:val="auto"/>
        </w:rPr>
        <w:t>In November 2017, we issued $138.6 million of our 2023 Notes. The 2023 Notes were issued pursuant to a deed of trust between the Company and Mishmeret Trust Company, Ltd. as trustee.</w:t>
      </w:r>
    </w:p>
    <w:p>
      <w:pPr>
        <w:spacing w:after="0" w:line="106" w:lineRule="exact"/>
        <w:rPr>
          <w:sz w:val="20"/>
          <w:szCs w:val="20"/>
          <w:color w:val="auto"/>
        </w:rPr>
      </w:pPr>
    </w:p>
    <w:p>
      <w:pPr>
        <w:jc w:val="both"/>
        <w:ind w:right="14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2018, 2017 and 2016, we issued 6.3 million, 5.8 million and zero shares, respectively. As a result, we raised approximately $88.0 million, $80.5 million and zero in net proceeds from our issuances of our equity capital, respectively.</w:t>
      </w:r>
    </w:p>
    <w:p>
      <w:pPr>
        <w:spacing w:after="0" w:line="11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As of September 30, 2018 and 2017, we had cash equivalents of $72.2 million and $18.9 million, respectively, available for investing and general corporate purposes. We believe our liquidity and capital resources are sufficient to take advantage of market opportunities.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3" w:name="page44"/>
    <w:bookmarkEnd w:id="43"/>
    <w:p>
      <w:pPr>
        <w:ind w:right="340" w:firstLine="438"/>
        <w:spacing w:after="0" w:line="290" w:lineRule="auto"/>
        <w:rPr>
          <w:sz w:val="20"/>
          <w:szCs w:val="20"/>
          <w:color w:val="auto"/>
        </w:rPr>
      </w:pPr>
      <w:r>
        <w:rPr>
          <w:rFonts w:ascii="Arial" w:cs="Arial" w:eastAsia="Arial" w:hAnsi="Arial"/>
          <w:sz w:val="13"/>
          <w:szCs w:val="13"/>
          <w:color w:val="auto"/>
        </w:rPr>
        <w:t>Our operating activities used cash of $208.3 million for the year ended September 30, 2018, and our financing activities provided cash of $263.6 million for the same period. Our operating activities used cash primarily for our investment activities and our financing activities provided cash primarily from a follow-on equity offering and the issuance of the 2023 Notes.</w:t>
      </w:r>
    </w:p>
    <w:p>
      <w:pPr>
        <w:spacing w:after="0" w:line="84" w:lineRule="exact"/>
        <w:rPr>
          <w:sz w:val="20"/>
          <w:szCs w:val="20"/>
          <w:color w:val="auto"/>
        </w:rPr>
      </w:pPr>
    </w:p>
    <w:p>
      <w:pPr>
        <w:ind w:right="160" w:firstLine="438"/>
        <w:spacing w:after="0" w:line="290" w:lineRule="auto"/>
        <w:rPr>
          <w:sz w:val="20"/>
          <w:szCs w:val="20"/>
          <w:color w:val="auto"/>
        </w:rPr>
      </w:pPr>
      <w:r>
        <w:rPr>
          <w:rFonts w:ascii="Arial" w:cs="Arial" w:eastAsia="Arial" w:hAnsi="Arial"/>
          <w:sz w:val="13"/>
          <w:szCs w:val="13"/>
          <w:color w:val="auto"/>
        </w:rPr>
        <w:t>Our operating activities used cash of $76.7 million for the year ended September 30, 2017, and our financing activities provided cash of $67.1 million for the same period. Our operating activities used cash primarily for our investment activities and our financing activities provided cash primarily from a follow-on equity offering and net borrowings under the Credit Facility.</w:t>
      </w:r>
    </w:p>
    <w:p>
      <w:pPr>
        <w:spacing w:after="0" w:line="84" w:lineRule="exact"/>
        <w:rPr>
          <w:sz w:val="20"/>
          <w:szCs w:val="20"/>
          <w:color w:val="auto"/>
        </w:rPr>
      </w:pPr>
    </w:p>
    <w:p>
      <w:pPr>
        <w:ind w:right="600" w:firstLine="438"/>
        <w:spacing w:after="0" w:line="290" w:lineRule="auto"/>
        <w:rPr>
          <w:sz w:val="20"/>
          <w:szCs w:val="20"/>
          <w:color w:val="auto"/>
        </w:rPr>
      </w:pPr>
      <w:r>
        <w:rPr>
          <w:rFonts w:ascii="Arial" w:cs="Arial" w:eastAsia="Arial" w:hAnsi="Arial"/>
          <w:sz w:val="13"/>
          <w:szCs w:val="13"/>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2018, PSSL had total assets of $443.4 million. As of the same date, we and Kemper had remaining commitments to fund first lien secured debt and equity interests in PSSL in an aggregate amount of $45.0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1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2018, we and Kemper owned 87.5% and 12.5%, respectively, of each of the outstanding first lien secured debt and equity interests. As of the same date, our investment in PSSL consisted of first lien secured debt of $101.1 million and equity interests of $43.3 million. As of the same date, we had commitments to fund first lien secured debt to PSSL of $128.6 million, of which $27.5 million was unfunded. As of September 30, 2018, we had commitments to fund equity interests in PSSL of $55.1 million, of which $11.8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September 30, 2018 allowed PSSL Subsidiary to borrow up to $420 million at any one time outstanding, subject to leverage and borrowing base restrictions.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ind w:left="440"/>
              <w:spacing w:after="0"/>
              <w:rPr>
                <w:sz w:val="20"/>
                <w:szCs w:val="20"/>
                <w:color w:val="auto"/>
              </w:rPr>
            </w:pPr>
            <w:r>
              <w:rPr>
                <w:rFonts w:ascii="Arial" w:cs="Arial" w:eastAsia="Arial" w:hAnsi="Arial"/>
                <w:sz w:val="14"/>
                <w:szCs w:val="14"/>
                <w:color w:val="auto"/>
              </w:rPr>
              <w:t>Below is a summary of PSSL’s portfolio at fair value:</w:t>
            </w: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6"/>
        </w:trPr>
        <w:tc>
          <w:tcPr>
            <w:tcW w:w="4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2017</w:t>
            </w:r>
          </w:p>
        </w:tc>
        <w:tc>
          <w:tcPr>
            <w:tcW w:w="20" w:type="dxa"/>
            <w:vAlign w:val="bottom"/>
          </w:tcPr>
          <w:p>
            <w:pPr>
              <w:spacing w:after="0"/>
              <w:rPr>
                <w:sz w:val="24"/>
                <w:szCs w:val="2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99,994,314</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7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21,152,781</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8,080,000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78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34,935,330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40" w:type="dxa"/>
            <w:vAlign w:val="bottom"/>
          </w:tcPr>
          <w:p>
            <w:pPr>
              <w:jc w:val="center"/>
              <w:ind w:left="2"/>
              <w:spacing w:after="0"/>
              <w:rPr>
                <w:sz w:val="20"/>
                <w:szCs w:val="20"/>
                <w:color w:val="auto"/>
              </w:rPr>
            </w:pPr>
            <w:r>
              <w:rPr>
                <w:rFonts w:ascii="Arial" w:cs="Arial" w:eastAsia="Arial" w:hAnsi="Arial"/>
                <w:sz w:val="12"/>
                <w:szCs w:val="12"/>
                <w:b w:val="1"/>
                <w:bCs w:val="1"/>
                <w:color w:val="auto"/>
                <w:w w:val="94"/>
              </w:rPr>
              <w:t>Maturity</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Companies—830.9%</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04/04/2022</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Transportation: Consumer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4,910,720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08/01/2024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04/22/2024</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04/06/2023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05/16/2022</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800" w:type="dxa"/>
            <w:vAlign w:val="bottom"/>
          </w:tcPr>
          <w:p>
            <w:pPr>
              <w:jc w:val="right"/>
              <w:spacing w:after="0"/>
              <w:rPr>
                <w:sz w:val="20"/>
                <w:szCs w:val="20"/>
                <w:color w:val="auto"/>
              </w:rPr>
            </w:pPr>
            <w:r>
              <w:rPr>
                <w:rFonts w:ascii="Arial" w:cs="Arial" w:eastAsia="Arial" w:hAnsi="Arial"/>
                <w:sz w:val="12"/>
                <w:szCs w:val="12"/>
                <w:color w:val="auto"/>
              </w:rPr>
              <w:t>3M L+725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800" w:type="dxa"/>
            <w:vAlign w:val="bottom"/>
          </w:tcPr>
          <w:p>
            <w:pPr>
              <w:jc w:val="right"/>
              <w:spacing w:after="0"/>
              <w:rPr>
                <w:sz w:val="20"/>
                <w:szCs w:val="20"/>
                <w:color w:val="auto"/>
              </w:rPr>
            </w:pPr>
            <w:r>
              <w:rPr>
                <w:rFonts w:ascii="Arial" w:cs="Arial" w:eastAsia="Arial" w:hAnsi="Arial"/>
                <w:sz w:val="12"/>
                <w:szCs w:val="12"/>
                <w:color w:val="auto"/>
              </w:rPr>
              <w:t>1M L+575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7,381,442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7,424,433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08/31/2023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03/31/2023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800" w:type="dxa"/>
            <w:vAlign w:val="bottom"/>
          </w:tcPr>
          <w:p>
            <w:pPr>
              <w:jc w:val="right"/>
              <w:spacing w:after="0"/>
              <w:rPr>
                <w:sz w:val="20"/>
                <w:szCs w:val="20"/>
                <w:color w:val="auto"/>
              </w:rPr>
            </w:pPr>
            <w:r>
              <w:rPr>
                <w:rFonts w:ascii="Arial" w:cs="Arial" w:eastAsia="Arial" w:hAnsi="Arial"/>
                <w:sz w:val="12"/>
                <w:szCs w:val="12"/>
                <w:color w:val="auto"/>
              </w:rPr>
              <w:t>3M L+500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4,218,011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08/02/2021</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Deva Holdings, Inc.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10/31/2023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800" w:type="dxa"/>
            <w:vAlign w:val="bottom"/>
          </w:tcPr>
          <w:p>
            <w:pPr>
              <w:jc w:val="right"/>
              <w:spacing w:after="0"/>
              <w:rPr>
                <w:sz w:val="20"/>
                <w:szCs w:val="20"/>
                <w:color w:val="auto"/>
              </w:rPr>
            </w:pPr>
            <w:r>
              <w:rPr>
                <w:rFonts w:ascii="Arial" w:cs="Arial" w:eastAsia="Arial" w:hAnsi="Arial"/>
                <w:sz w:val="12"/>
                <w:szCs w:val="12"/>
                <w:color w:val="auto"/>
              </w:rPr>
              <w:t>3M L+550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12/29/2023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03/29/2022</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800" w:type="dxa"/>
            <w:vAlign w:val="bottom"/>
          </w:tcPr>
          <w:p>
            <w:pPr>
              <w:jc w:val="right"/>
              <w:spacing w:after="0"/>
              <w:rPr>
                <w:sz w:val="20"/>
                <w:szCs w:val="20"/>
                <w:color w:val="auto"/>
              </w:rPr>
            </w:pPr>
            <w:r>
              <w:rPr>
                <w:rFonts w:ascii="Arial" w:cs="Arial" w:eastAsia="Arial" w:hAnsi="Arial"/>
                <w:sz w:val="12"/>
                <w:szCs w:val="12"/>
                <w:color w:val="auto"/>
              </w:rPr>
              <w:t>3M L+575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09/30/2022</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05/30/2025</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Transportation: Cargo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3M L+425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05/31/2024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Banking, Finance, Insurance and Real Estate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36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GCOM Software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800" w:type="dxa"/>
            <w:vAlign w:val="bottom"/>
          </w:tcPr>
          <w:p>
            <w:pPr>
              <w:jc w:val="right"/>
              <w:spacing w:after="0"/>
              <w:rPr>
                <w:sz w:val="20"/>
                <w:szCs w:val="20"/>
                <w:color w:val="auto"/>
              </w:rPr>
            </w:pPr>
            <w:r>
              <w:rPr>
                <w:rFonts w:ascii="Arial" w:cs="Arial" w:eastAsia="Arial" w:hAnsi="Arial"/>
                <w:sz w:val="12"/>
                <w:szCs w:val="12"/>
                <w:color w:val="auto"/>
              </w:rPr>
              <w:t>3M L+750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06/29/2023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GSM Holdings, Inc.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800" w:type="dxa"/>
            <w:vAlign w:val="bottom"/>
          </w:tcPr>
          <w:p>
            <w:pPr>
              <w:jc w:val="right"/>
              <w:spacing w:after="0"/>
              <w:rPr>
                <w:sz w:val="20"/>
                <w:szCs w:val="20"/>
                <w:color w:val="auto"/>
              </w:rPr>
            </w:pPr>
            <w:r>
              <w:rPr>
                <w:rFonts w:ascii="Arial" w:cs="Arial" w:eastAsia="Arial" w:hAnsi="Arial"/>
                <w:sz w:val="12"/>
                <w:szCs w:val="12"/>
                <w:color w:val="auto"/>
              </w:rPr>
              <w:t>3M L+450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06/27/2023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12/12/2023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1M L+475</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08/19/2022</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05/01/2023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7,319,871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7,002,246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12/08/2023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01/27/2021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Media: Diversified and Production</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800" w:type="dxa"/>
            <w:vAlign w:val="bottom"/>
          </w:tcPr>
          <w:p>
            <w:pPr>
              <w:jc w:val="right"/>
              <w:spacing w:after="0"/>
              <w:rPr>
                <w:sz w:val="20"/>
                <w:szCs w:val="20"/>
                <w:color w:val="auto"/>
              </w:rPr>
            </w:pPr>
            <w:r>
              <w:rPr>
                <w:rFonts w:ascii="Arial" w:cs="Arial" w:eastAsia="Arial" w:hAnsi="Arial"/>
                <w:sz w:val="12"/>
                <w:szCs w:val="12"/>
                <w:color w:val="auto"/>
              </w:rPr>
              <w:t>P+275</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80" w:type="dxa"/>
            <w:vAlign w:val="bottom"/>
          </w:tcPr>
          <w:p>
            <w:pPr>
              <w:jc w:val="right"/>
              <w:spacing w:after="0"/>
              <w:rPr>
                <w:sz w:val="20"/>
                <w:szCs w:val="20"/>
                <w:color w:val="auto"/>
              </w:rPr>
            </w:pPr>
            <w:r>
              <w:rPr>
                <w:rFonts w:ascii="Arial" w:cs="Arial" w:eastAsia="Arial" w:hAnsi="Arial"/>
                <w:sz w:val="12"/>
                <w:szCs w:val="12"/>
                <w:color w:val="auto"/>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4,486,587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12/27/2023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09/30/2024</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7,359,161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09/28/2022</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02/10/2023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800" w:type="dxa"/>
            <w:vAlign w:val="bottom"/>
          </w:tcPr>
          <w:p>
            <w:pPr>
              <w:jc w:val="right"/>
              <w:spacing w:after="0"/>
              <w:rPr>
                <w:sz w:val="20"/>
                <w:szCs w:val="20"/>
                <w:color w:val="auto"/>
              </w:rPr>
            </w:pPr>
            <w:r>
              <w:rPr>
                <w:rFonts w:ascii="Arial" w:cs="Arial" w:eastAsia="Arial" w:hAnsi="Arial"/>
                <w:sz w:val="12"/>
                <w:szCs w:val="12"/>
                <w:color w:val="auto"/>
              </w:rPr>
              <w:t>3M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06/06/2024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Olde Thompson,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05/14/2024</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03/27/2024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07/19/2021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4,054,683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12/01/2022</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12/02/2021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04/03/2024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08/30/2024</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800" w:type="dxa"/>
            <w:vAlign w:val="bottom"/>
          </w:tcPr>
          <w:p>
            <w:pPr>
              <w:jc w:val="right"/>
              <w:spacing w:after="0"/>
              <w:rPr>
                <w:sz w:val="20"/>
                <w:szCs w:val="20"/>
                <w:color w:val="auto"/>
              </w:rPr>
            </w:pPr>
            <w:r>
              <w:rPr>
                <w:rFonts w:ascii="Arial" w:cs="Arial" w:eastAsia="Arial" w:hAnsi="Arial"/>
                <w:sz w:val="12"/>
                <w:szCs w:val="12"/>
                <w:color w:val="auto"/>
              </w:rPr>
              <w:t>1M L+500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8,352,305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07/15/2024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03/01/2023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4,678,730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4,636,563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10/18/2022</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40" w:type="dxa"/>
            <w:vAlign w:val="bottom"/>
            <w:tcBorders>
              <w:bottom w:val="single" w:sz="8" w:color="CCECFF"/>
            </w:tcBorders>
          </w:tcPr>
          <w:p>
            <w:pPr>
              <w:jc w:val="center"/>
              <w:ind w:left="2"/>
              <w:spacing w:after="0"/>
              <w:rPr>
                <w:sz w:val="20"/>
                <w:szCs w:val="20"/>
                <w:color w:val="auto"/>
              </w:rPr>
            </w:pPr>
            <w:r>
              <w:rPr>
                <w:rFonts w:ascii="Arial" w:cs="Arial" w:eastAsia="Arial" w:hAnsi="Arial"/>
                <w:sz w:val="12"/>
                <w:szCs w:val="12"/>
                <w:color w:val="auto"/>
                <w:w w:val="86"/>
              </w:rPr>
              <w:t>02/12/2024</w:t>
            </w:r>
          </w:p>
        </w:tc>
        <w:tc>
          <w:tcPr>
            <w:tcW w:w="254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8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2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4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4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4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40" w:type="dxa"/>
            <w:vAlign w:val="bottom"/>
            <w:tcBorders>
              <w:bottom w:val="single" w:sz="8" w:color="CCECFF"/>
            </w:tcBorders>
          </w:tcPr>
          <w:p>
            <w:pPr>
              <w:spacing w:after="0"/>
              <w:rPr>
                <w:sz w:val="12"/>
                <w:szCs w:val="12"/>
                <w:color w:val="auto"/>
              </w:rPr>
            </w:pP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40" w:type="dxa"/>
            <w:vAlign w:val="bottom"/>
            <w:tcBorders>
              <w:bottom w:val="single" w:sz="8" w:color="CCECFF"/>
            </w:tcBorders>
            <w:shd w:val="clear" w:color="auto" w:fill="CCECFF"/>
          </w:tcPr>
          <w:p>
            <w:pPr>
              <w:spacing w:after="0"/>
              <w:rPr>
                <w:sz w:val="12"/>
                <w:szCs w:val="12"/>
                <w:color w:val="auto"/>
              </w:rPr>
            </w:pPr>
          </w:p>
        </w:tc>
        <w:tc>
          <w:tcPr>
            <w:tcW w:w="24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438,941,641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(387,744,237)</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40" w:type="dxa"/>
            <w:vAlign w:val="bottom"/>
            <w:tcBorders>
              <w:bottom w:val="single" w:sz="8" w:color="CCECFF"/>
            </w:tcBorders>
            <w:shd w:val="clear" w:color="auto" w:fill="CCECFF"/>
          </w:tcPr>
          <w:p>
            <w:pPr>
              <w:spacing w:after="0"/>
              <w:rPr>
                <w:sz w:val="12"/>
                <w:szCs w:val="12"/>
                <w:color w:val="auto"/>
              </w:rPr>
            </w:pPr>
          </w:p>
        </w:tc>
        <w:tc>
          <w:tcPr>
            <w:tcW w:w="24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76" w:lineRule="auto"/>
        <w:tabs>
          <w:tab w:leader="none" w:pos="3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172"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Companies—651.7%</w:t>
            </w:r>
          </w:p>
        </w:tc>
        <w:tc>
          <w:tcPr>
            <w:tcW w:w="25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04/04/2022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08/01/2024</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04/22/2022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05/16/2022</w:t>
            </w:r>
          </w:p>
        </w:tc>
        <w:tc>
          <w:tcPr>
            <w:tcW w:w="264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11/29/2023</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03/31/2023</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10/31/2024</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12/09/2020</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09/30/2022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10/12/2021</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12/30/2021</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05/01/2023</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09/28/2022</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02/10/2023</w:t>
            </w:r>
          </w:p>
        </w:tc>
        <w:tc>
          <w:tcPr>
            <w:tcW w:w="26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03/03/2022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07/19/2021</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12/02/2021</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03/01/2023</w:t>
            </w:r>
          </w:p>
        </w:tc>
        <w:tc>
          <w:tcPr>
            <w:tcW w:w="264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5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w w:val="99"/>
              </w:rPr>
              <w:t>Total Investments and Cash Equivalents—667.2%</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8"/>
        </w:trPr>
        <w:tc>
          <w:tcPr>
            <w:tcW w:w="2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76" w:lineRule="exact"/>
        <w:rPr>
          <w:sz w:val="20"/>
          <w:szCs w:val="20"/>
          <w:color w:val="auto"/>
        </w:rPr>
      </w:pPr>
    </w:p>
    <w:p>
      <w:pPr>
        <w:ind w:left="380" w:right="180" w:hanging="372"/>
        <w:spacing w:after="0" w:line="252" w:lineRule="auto"/>
        <w:tabs>
          <w:tab w:leader="none" w:pos="3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52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0" w:type="dxa"/>
            <w:vAlign w:val="bottom"/>
          </w:tcPr>
          <w:p>
            <w:pPr>
              <w:jc w:val="center"/>
              <w:ind w:left="120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00" w:type="dxa"/>
            <w:vAlign w:val="bottom"/>
          </w:tcPr>
          <w:p>
            <w:pPr>
              <w:jc w:val="center"/>
              <w:ind w:left="118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9"/>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24"/>
                <w:szCs w:val="24"/>
                <w:color w:val="auto"/>
              </w:rPr>
            </w:pPr>
          </w:p>
        </w:tc>
      </w:tr>
      <w:tr>
        <w:trPr>
          <w:trHeight w:val="155"/>
        </w:trPr>
        <w:tc>
          <w:tcPr>
            <w:tcW w:w="77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(cost—$425,336,210 and $99,544,903,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Cash and cash equivalents (cost—$13,520,127 and $2,371,169,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13,520,760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7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275,285,900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115,500,000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1,065,306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99,966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247,595</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392,198,767</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77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51,197,404</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0" w:type="dxa"/>
            <w:vAlign w:val="bottom"/>
          </w:tcPr>
          <w:p>
            <w:pPr>
              <w:spacing w:after="0"/>
              <w:rPr>
                <w:sz w:val="13"/>
                <w:szCs w:val="13"/>
                <w:color w:val="auto"/>
              </w:rPr>
            </w:pPr>
          </w:p>
        </w:tc>
        <w:tc>
          <w:tcPr>
            <w:tcW w:w="752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443,396,171</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5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6"/>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52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as of September 30, 2018 and 2017.</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94"/>
        </w:trPr>
        <w:tc>
          <w:tcPr>
            <w:tcW w:w="200" w:type="dxa"/>
            <w:vAlign w:val="bottom"/>
          </w:tcPr>
          <w:p>
            <w:pPr>
              <w:spacing w:after="0"/>
              <w:rPr>
                <w:sz w:val="24"/>
                <w:szCs w:val="24"/>
                <w:color w:val="auto"/>
              </w:rPr>
            </w:pPr>
          </w:p>
        </w:tc>
        <w:tc>
          <w:tcPr>
            <w:tcW w:w="7520" w:type="dxa"/>
            <w:vAlign w:val="bottom"/>
            <w:gridSpan w:val="2"/>
          </w:tcPr>
          <w:p>
            <w:pPr>
              <w:ind w:left="5360"/>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5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8040" w:type="dxa"/>
            <w:vAlign w:val="bottom"/>
            <w:gridSpan w:val="2"/>
          </w:tcPr>
          <w:p>
            <w:pPr>
              <w:ind w:left="4100"/>
              <w:spacing w:after="0"/>
              <w:rPr>
                <w:sz w:val="20"/>
                <w:szCs w:val="20"/>
                <w:color w:val="auto"/>
              </w:rPr>
            </w:pPr>
            <w:r>
              <w:rPr>
                <w:rFonts w:ascii="Arial" w:cs="Arial" w:eastAsia="Arial" w:hAnsi="Arial"/>
                <w:sz w:val="14"/>
                <w:szCs w:val="14"/>
                <w:b w:val="1"/>
                <w:bCs w:val="1"/>
                <w:color w:val="auto"/>
              </w:rPr>
              <w:t>PennantPark Senior Secured Loan Fund I LLC</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00" w:type="dxa"/>
            <w:vAlign w:val="bottom"/>
          </w:tcPr>
          <w:p>
            <w:pPr>
              <w:ind w:left="4780"/>
              <w:spacing w:after="0"/>
              <w:rPr>
                <w:sz w:val="20"/>
                <w:szCs w:val="20"/>
                <w:color w:val="auto"/>
              </w:rPr>
            </w:pPr>
            <w:r>
              <w:rPr>
                <w:rFonts w:ascii="Arial" w:cs="Arial" w:eastAsia="Arial" w:hAnsi="Arial"/>
                <w:sz w:val="14"/>
                <w:szCs w:val="14"/>
                <w:b w:val="1"/>
                <w:bCs w:val="1"/>
                <w:color w:val="auto"/>
              </w:rPr>
              <w:t>Statements of Operations</w:t>
            </w:r>
          </w:p>
        </w:tc>
        <w:tc>
          <w:tcPr>
            <w:tcW w:w="1440" w:type="dxa"/>
            <w:vAlign w:val="bottom"/>
            <w:vMerge w:val="restart"/>
          </w:tcPr>
          <w:p>
            <w:pPr>
              <w:jc w:val="center"/>
              <w:ind w:left="688"/>
              <w:spacing w:after="0"/>
              <w:rPr>
                <w:sz w:val="20"/>
                <w:szCs w:val="20"/>
                <w:color w:val="auto"/>
              </w:rPr>
            </w:pPr>
            <w:r>
              <w:rPr>
                <w:rFonts w:ascii="Arial" w:cs="Arial" w:eastAsia="Arial" w:hAnsi="Arial"/>
                <w:sz w:val="14"/>
                <w:szCs w:val="14"/>
                <w:b w:val="1"/>
                <w:bCs w:val="1"/>
                <w:color w:val="auto"/>
                <w:w w:val="92"/>
              </w:rPr>
              <w:t>Year</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24"/>
        </w:trPr>
        <w:tc>
          <w:tcPr>
            <w:tcW w:w="66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September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40" w:type="dxa"/>
            <w:vAlign w:val="bottom"/>
          </w:tcPr>
          <w:p>
            <w:pPr>
              <w:spacing w:after="0" w:line="149" w:lineRule="exact"/>
              <w:rPr>
                <w:sz w:val="20"/>
                <w:szCs w:val="20"/>
                <w:color w:val="auto"/>
              </w:rPr>
            </w:pPr>
            <w:r>
              <w:rPr>
                <w:rFonts w:ascii="Arial" w:cs="Arial" w:eastAsia="Arial" w:hAnsi="Arial"/>
                <w:sz w:val="14"/>
                <w:szCs w:val="14"/>
                <w:b w:val="1"/>
                <w:bCs w:val="1"/>
                <w:color w:val="auto"/>
              </w:rPr>
              <w:t>Ended</w:t>
            </w: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May 4, 2017 (inception)</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rPr>
              <w:t>30, 2018</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through September 30, 2017</w:t>
            </w:r>
          </w:p>
        </w:tc>
        <w:tc>
          <w:tcPr>
            <w:tcW w:w="0" w:type="dxa"/>
            <w:vAlign w:val="bottom"/>
          </w:tcPr>
          <w:p>
            <w:pPr>
              <w:spacing w:after="0"/>
              <w:rPr>
                <w:sz w:val="1"/>
                <w:szCs w:val="1"/>
                <w:color w:val="auto"/>
              </w:rPr>
            </w:pPr>
          </w:p>
        </w:tc>
      </w:tr>
      <w:tr>
        <w:trPr>
          <w:trHeight w:val="156"/>
        </w:trPr>
        <w:tc>
          <w:tcPr>
            <w:tcW w:w="66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4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9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44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17,744,486</w:t>
            </w:r>
          </w:p>
        </w:tc>
        <w:tc>
          <w:tcPr>
            <w:tcW w:w="300" w:type="dxa"/>
            <w:vAlign w:val="bottom"/>
            <w:shd w:val="clear" w:color="auto" w:fill="CCECFF"/>
          </w:tcPr>
          <w:p>
            <w:pPr>
              <w:spacing w:after="0"/>
              <w:rPr>
                <w:sz w:val="14"/>
                <w:szCs w:val="14"/>
                <w:color w:val="auto"/>
              </w:rPr>
            </w:pPr>
          </w:p>
        </w:tc>
        <w:tc>
          <w:tcPr>
            <w:tcW w:w="100" w:type="dxa"/>
            <w:vAlign w:val="bottom"/>
            <w:gridSpan w:val="2"/>
            <w:shd w:val="clear" w:color="auto" w:fill="CCECFF"/>
          </w:tcPr>
          <w:p>
            <w:pPr>
              <w:jc w:val="right"/>
              <w:ind w:right="14"/>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1,365,433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280,080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6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440" w:type="dxa"/>
            <w:vAlign w:val="bottom"/>
            <w:tcBorders>
              <w:top w:val="single" w:sz="8" w:color="auto"/>
              <w:bottom w:val="single" w:sz="8" w:color="auto"/>
            </w:tcBorders>
            <w:shd w:val="clear" w:color="auto" w:fill="CCECFF"/>
          </w:tcPr>
          <w:p>
            <w:pPr>
              <w:spacing w:after="0"/>
              <w:rPr>
                <w:sz w:val="13"/>
                <w:szCs w:val="13"/>
                <w:color w:val="auto"/>
              </w:rPr>
            </w:pP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18,024,566</w:t>
            </w: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1,365,433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7,654,035</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442,554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4"/>
                <w:szCs w:val="14"/>
                <w:color w:val="auto"/>
              </w:rPr>
              <w:t>Interest expense on notes to members</w:t>
            </w: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6,060,468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585,840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650,000</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67,528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692,736</w:t>
            </w:r>
          </w:p>
        </w:tc>
        <w:tc>
          <w:tcPr>
            <w:tcW w:w="3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148,936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440" w:type="dxa"/>
            <w:vAlign w:val="bottom"/>
            <w:tcBorders>
              <w:bottom w:val="single" w:sz="8" w:color="auto"/>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15,057,239</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1,244,858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2,967,327</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120,575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credit facility foreign currency translations:</w:t>
            </w:r>
          </w:p>
        </w:tc>
        <w:tc>
          <w:tcPr>
            <w:tcW w:w="14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Net realized gain on investments</w:t>
            </w: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111,215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100,920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4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(364,201)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449,505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foreign currency translations</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882,899</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33"/>
        </w:trPr>
        <w:tc>
          <w:tcPr>
            <w:tcW w:w="660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 foreign</w:t>
            </w:r>
          </w:p>
        </w:tc>
        <w:tc>
          <w:tcPr>
            <w:tcW w:w="1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CFF"/>
            </w:tcBorders>
          </w:tcPr>
          <w:p>
            <w:pPr>
              <w:ind w:left="260"/>
              <w:spacing w:after="0"/>
              <w:rPr>
                <w:sz w:val="20"/>
                <w:szCs w:val="20"/>
                <w:color w:val="auto"/>
              </w:rPr>
            </w:pPr>
            <w:r>
              <w:rPr>
                <w:rFonts w:ascii="Arial" w:cs="Arial" w:eastAsia="Arial" w:hAnsi="Arial"/>
                <w:sz w:val="14"/>
                <w:szCs w:val="14"/>
                <w:b w:val="1"/>
                <w:bCs w:val="1"/>
                <w:color w:val="auto"/>
              </w:rPr>
              <w:t>currency translations</w:t>
            </w:r>
          </w:p>
        </w:tc>
        <w:tc>
          <w:tcPr>
            <w:tcW w:w="1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518,698</w:t>
            </w:r>
          </w:p>
        </w:tc>
        <w:tc>
          <w:tcPr>
            <w:tcW w:w="3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378,669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440" w:type="dxa"/>
            <w:vAlign w:val="bottom"/>
            <w:tcBorders>
              <w:bottom w:val="single" w:sz="8" w:color="auto"/>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629,913</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479,589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3,597,240</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600,164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September 30, 2018, including borrowings under our Credit Facility, the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6"/>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135.5</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467.6</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372.8</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39.4</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79.4</w:t>
            </w:r>
          </w:p>
        </w:tc>
        <w:tc>
          <w:tcPr>
            <w:tcW w:w="240" w:type="dxa"/>
            <w:vAlign w:val="bottom"/>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49.0</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586.4</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421.8</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right="120" w:hanging="372"/>
        <w:spacing w:after="0" w:line="230" w:lineRule="auto"/>
        <w:tabs>
          <w:tab w:leader="none" w:pos="380" w:val="left"/>
        </w:tabs>
        <w:numPr>
          <w:ilvl w:val="0"/>
          <w:numId w:val="49"/>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2018, excluding amendment costs and debt issuance costs, was 4.25% exclusive of the fee on the undrawn commitment on the Credit Facility.</w:t>
      </w: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12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3455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0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03"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jc w:val="both"/>
        <w:ind w:right="340" w:firstLine="456"/>
        <w:spacing w:after="0" w:line="238" w:lineRule="auto"/>
        <w:rPr>
          <w:sz w:val="20"/>
          <w:szCs w:val="20"/>
          <w:color w:val="auto"/>
        </w:rPr>
      </w:pPr>
      <w:r>
        <w:rPr>
          <w:rFonts w:ascii="Arial" w:cs="Arial" w:eastAsia="Arial" w:hAnsi="Arial"/>
          <w:sz w:val="14"/>
          <w:szCs w:val="14"/>
          <w:color w:val="auto"/>
        </w:rPr>
        <w:t>Subsequent to September 30, 2018, we entered into an amendment and restatement of our Credit Facility to, among other things, (i) increase the size of the Credit Facility from $405 million to $520 million, (ii) extend the reinvestment period to October 30, 2021, (iii) extend the maturity date to October 30, 2023 and (iv) reduce the asset coverage covenant from 200% to 150%. The interest rate of LIBOR plus 200 basis points remains unchanged.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23"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w:t>
      </w:r>
    </w:p>
    <w:p>
      <w:pPr>
        <w:ind w:right="40"/>
        <w:spacing w:after="0" w:line="229" w:lineRule="auto"/>
        <w:rPr>
          <w:sz w:val="20"/>
          <w:szCs w:val="20"/>
          <w:color w:val="auto"/>
        </w:rPr>
      </w:pPr>
      <w:r>
        <w:rPr>
          <w:rFonts w:ascii="Arial" w:cs="Arial" w:eastAsia="Arial" w:hAnsi="Arial"/>
          <w:sz w:val="14"/>
          <w:szCs w:val="14"/>
          <w:color w:val="auto"/>
        </w:rPr>
        <w:t>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During the years ended September 30, 2018, 2017 and 2016, we declared distributions of $1.14, $1.14 and $1.14 per share, respectively, for total distributions of $43.6 million, $34.8 million and $30.5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3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2018, our debt portfolio consisted of 100% variable-rate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(6,033)</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6,033</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12,066</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18,253</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24,465</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2"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80" w:type="dxa"/>
            <w:vAlign w:val="bottom"/>
          </w:tcPr>
          <w:p>
            <w:pPr>
              <w:jc w:val="right"/>
              <w:ind w:right="3728"/>
              <w:spacing w:after="0"/>
              <w:rPr>
                <w:sz w:val="20"/>
                <w:szCs w:val="20"/>
                <w:color w:val="auto"/>
              </w:rPr>
            </w:pPr>
            <w:r>
              <w:rPr>
                <w:rFonts w:ascii="Arial" w:cs="Arial" w:eastAsia="Arial" w:hAnsi="Arial"/>
                <w:sz w:val="14"/>
                <w:szCs w:val="14"/>
                <w:b w:val="1"/>
                <w:bCs w:val="1"/>
                <w:color w:val="auto"/>
                <w:w w:val="98"/>
              </w:rPr>
              <w:t>Consolidated Financial Statements and Supplementary Data</w:t>
            </w:r>
          </w:p>
        </w:tc>
        <w:tc>
          <w:tcPr>
            <w:tcW w:w="2760" w:type="dxa"/>
            <w:vAlign w:val="bottom"/>
          </w:tcPr>
          <w:p>
            <w:pPr>
              <w:spacing w:after="0"/>
              <w:rPr>
                <w:sz w:val="16"/>
                <w:szCs w:val="16"/>
                <w:color w:val="auto"/>
              </w:rPr>
            </w:pPr>
          </w:p>
        </w:tc>
      </w:tr>
      <w:tr>
        <w:trPr>
          <w:trHeight w:val="297"/>
        </w:trPr>
        <w:tc>
          <w:tcPr>
            <w:tcW w:w="7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Report of Independent Registered Public Accounting Firm</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Statements of Assets and Liabilities as of September 30,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Statements of Operations for the years ended September 30, 2018,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Consolidated Statements of Changes in Net Assets for the years ended September 30, 2018,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Consolidated Statements of Cash Flows for the years ended September 30, 2018,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Consolidated Schedules of Investments as of September 30,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Notes to the Consolidated Financial Statements</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662"/>
        </w:trPr>
        <w:tc>
          <w:tcPr>
            <w:tcW w:w="720" w:type="dxa"/>
            <w:vAlign w:val="bottom"/>
          </w:tcPr>
          <w:p>
            <w:pPr>
              <w:spacing w:after="0"/>
              <w:rPr>
                <w:sz w:val="24"/>
                <w:szCs w:val="24"/>
                <w:color w:val="auto"/>
              </w:rPr>
            </w:pPr>
          </w:p>
        </w:tc>
        <w:tc>
          <w:tcPr>
            <w:tcW w:w="7780" w:type="dxa"/>
            <w:vAlign w:val="bottom"/>
          </w:tcPr>
          <w:p>
            <w:pPr>
              <w:jc w:val="right"/>
              <w:ind w:right="2728"/>
              <w:spacing w:after="0"/>
              <w:rPr>
                <w:sz w:val="20"/>
                <w:szCs w:val="20"/>
                <w:color w:val="auto"/>
              </w:rPr>
            </w:pPr>
            <w:r>
              <w:rPr>
                <w:rFonts w:ascii="Arial" w:cs="Arial" w:eastAsia="Arial" w:hAnsi="Arial"/>
                <w:sz w:val="14"/>
                <w:szCs w:val="14"/>
                <w:color w:val="auto"/>
              </w:rPr>
              <w:t>47</w:t>
            </w:r>
          </w:p>
        </w:tc>
        <w:tc>
          <w:tcPr>
            <w:tcW w:w="2760" w:type="dxa"/>
            <w:vAlign w:val="bottom"/>
          </w:tcPr>
          <w:p>
            <w:pPr>
              <w:spacing w:after="0"/>
              <w:rPr>
                <w:sz w:val="24"/>
                <w:szCs w:val="24"/>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778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7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2018. Our internal control system is a process designed to provide reasonable assurance to our management and board of directors regarding the preparation and fair presentation of published financial statements.</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2018.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2018, our internal control over financial reporting is effective based on those criteria.</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2018.</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50.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4"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We have audited the accompanying consolidated statements of assets and liabilities, including the consolidated schedules of investments, of PennantPark Floating Rate Capital Ltd. and its Subsidiaries (collectively referred to as the “Company”) as of September 30, 2018 and 2017, and the related consolidated statements of operations, changes in net assets and cash flows for each of the three years in the period ended September 30, 2018, and the related notes to the consolidated financial statements of the Company (collectively,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and in our opinion, the related financial statements schedules, when considered in relation to the basic consolidated financial statements taken as a whole, presents fairly in all material respects the information set forth therein.</w:t>
      </w:r>
    </w:p>
    <w:p>
      <w:pPr>
        <w:spacing w:after="0" w:line="112"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PennantPark Floating Rate Capital Ltd. and its Subsidiaries’ internal control over financial reporting as of September 30, 2018,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and our report dated November 14, 2018,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5"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2018, by correspondence with the custodians and brokers or by other appropriate auditing procedures where replies from brokers were not received. We believe that our audits provide a reasonable basis for our opinion.</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year 2013.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 xml:space="preserve">We have audited PennantPark Floating Rate Capital Ltd. and its Subsidiaries' (collectively referred to as the “Company”) internal control over financial reporting as of September 30, 2018,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In our opinion, the Company maintained, in all material respects, effective internal control over financial reporting as of September 30, 2018,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w:t>
      </w:r>
    </w:p>
    <w:p>
      <w:pPr>
        <w:spacing w:after="0" w:line="116" w:lineRule="exact"/>
        <w:rPr>
          <w:sz w:val="20"/>
          <w:szCs w:val="20"/>
          <w:color w:val="auto"/>
        </w:rPr>
      </w:pPr>
    </w:p>
    <w:p>
      <w:pPr>
        <w:ind w:right="220"/>
        <w:spacing w:after="0" w:line="233"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statements of assets and liabilities, including the consolidated schedules of investments as of September 30, 2018 and 2017, the related consolidated statements of operations, changes in net assets and cash flows for each of the three years in the period ended September 30, 2018, and the related notes to the consolidated financial statements (collectively, the financial statements) of the Company and our report dated November 14, 2018 expressed an unqualified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300"/>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r>
      <w:tr>
        <w:trPr>
          <w:trHeight w:val="155"/>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(cost—$856,893,017 and $665,514,821,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854,753,064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666,973,639</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Controlled, affiliated investments (cost—$144,375,000 and $43,000,000, respectively)</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145,860,229</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43,525,143</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(cost—$1,001,268,017 and $708,514,821, respectively)</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1,000,613,293</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(cost—$72,231,801 and $18,847,673,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72,224,183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18,910,756</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2,813,808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2,520,506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140" w:type="dxa"/>
            <w:vAlign w:val="bottom"/>
          </w:tcPr>
          <w:p>
            <w:pPr>
              <w:spacing w:after="0"/>
              <w:rPr>
                <w:sz w:val="14"/>
                <w:szCs w:val="14"/>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14,185,850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792,069</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1,229,505</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1,076,443,353</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3,085,607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59,587,222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21,730,512</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(cost—$333,727,520 and $253,783,301, respectively) (See Notes 5 and 11)</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332,128,815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256,858,457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2023 Notes payable (cost—$138,579,858 and zero, respectively) (See Notes 5 and 11)</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135,503,385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2,638,504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693,787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2,419,629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1,784,806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Performance-based incentive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3,298,404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5,061,217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1,342,479</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224,739</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540,601,785</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289,439,125</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and 32,480,074 shares issued and outstanding, respectively</w:t>
            </w: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7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32,480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539,462,336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451,448,872</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in excess of ) undistributed net investment income</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(5,153,449)</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3,163,645</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Accumulated net realized (loss) gain on investments</w:t>
            </w:r>
          </w:p>
        </w:tc>
        <w:tc>
          <w:tcPr>
            <w:tcW w:w="14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(2,331,230)</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4,289,389</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(depreciation) appreciation on investments</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(850,039)</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2,047,044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depreciation (appreciation) on debt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4,675,178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(3,075,156)</w:t>
            </w: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535,841,568</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457,906,274</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1,076,443,353</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13.82</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14.10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Years Ended September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60" w:type="dxa"/>
            <w:vAlign w:val="bottom"/>
            <w:tcBorders>
              <w:bottom w:val="single" w:sz="8" w:color="CCECFF"/>
            </w:tcBorders>
          </w:tcPr>
          <w:p>
            <w:pPr>
              <w:spacing w:after="0"/>
              <w:rPr>
                <w:sz w:val="13"/>
                <w:szCs w:val="13"/>
                <w:color w:val="auto"/>
              </w:rPr>
            </w:pPr>
          </w:p>
        </w:tc>
        <w:tc>
          <w:tcPr>
            <w:tcW w:w="1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46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62,469,275</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52,772,368</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40,561,694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2,244,895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1,660,371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2,334,330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Settlement proceeds</w:t>
            </w:r>
          </w:p>
        </w:tc>
        <w:tc>
          <w:tcPr>
            <w:tcW w:w="1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4,551,485</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3,299,764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5,302,909</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512,610</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105,502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260"/>
              <w:spacing w:after="0"/>
              <w:rPr>
                <w:sz w:val="20"/>
                <w:szCs w:val="20"/>
                <w:color w:val="auto"/>
              </w:rPr>
            </w:pPr>
            <w:r>
              <w:rPr>
                <w:rFonts w:ascii="Arial" w:cs="Arial" w:eastAsia="Arial" w:hAnsi="Arial"/>
                <w:sz w:val="14"/>
                <w:szCs w:val="14"/>
                <w:color w:val="auto"/>
              </w:rPr>
              <w:t>Dividend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2,187,500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6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72,204,579</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59,496,834</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46,301,290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1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8,351,653</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6,902,645</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5,015,077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2,399,249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6,217,210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4,791,574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11)</w:t>
            </w:r>
          </w:p>
        </w:tc>
        <w:tc>
          <w:tcPr>
            <w:tcW w:w="1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14,359,908</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8,338,880</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4,923,219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2,245,000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1,148,281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2,460,582</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1,935,000</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2,179,257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6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29,571,392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25,638,735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18,057,408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11)</w:t>
            </w:r>
          </w:p>
        </w:tc>
        <w:tc>
          <w:tcPr>
            <w:tcW w:w="1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10,869,098</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112,736</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907,722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6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41,240,490</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26,051,471</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18,965,130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30,964,089</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33,445,363</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27,336,160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debt:</w:t>
            </w:r>
          </w:p>
        </w:tc>
        <w:tc>
          <w:tcPr>
            <w:tcW w:w="1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(2,327,118)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5,410,903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(1,376,788)</w:t>
            </w: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1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(3,857,170)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537,029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7,011,289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w:t>
            </w:r>
          </w:p>
        </w:tc>
        <w:tc>
          <w:tcPr>
            <w:tcW w:w="1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960,087</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525,143</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60" w:type="dxa"/>
            <w:vAlign w:val="bottom"/>
          </w:tcPr>
          <w:p>
            <w:pPr>
              <w:ind w:left="260"/>
              <w:spacing w:after="0"/>
              <w:rPr>
                <w:sz w:val="20"/>
                <w:szCs w:val="20"/>
                <w:color w:val="auto"/>
              </w:rPr>
            </w:pPr>
            <w:r>
              <w:rPr>
                <w:rFonts w:ascii="Arial" w:cs="Arial" w:eastAsia="Arial" w:hAnsi="Arial"/>
                <w:sz w:val="14"/>
                <w:szCs w:val="14"/>
                <w:color w:val="auto"/>
              </w:rPr>
              <w:t>Debt depreciation (appreciation) (See Note 5 and 11)</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7,750,334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(3,593,158)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518,002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6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1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4,853,251</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(2,530,986)</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7,529,291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debt</w:t>
            </w:r>
          </w:p>
        </w:tc>
        <w:tc>
          <w:tcPr>
            <w:tcW w:w="1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2,526,133</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2,879,917</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6,152,503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33,490,222</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33,488,663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tcBorders>
              <w:bottom w:val="single" w:sz="8" w:color="CCECFF"/>
            </w:tcBorders>
            <w:vMerge w:val="continue"/>
          </w:tcPr>
          <w:p>
            <w:pPr>
              <w:spacing w:after="0"/>
              <w:rPr>
                <w:sz w:val="15"/>
                <w:szCs w:val="15"/>
                <w:color w:val="auto"/>
              </w:rPr>
            </w:pPr>
          </w:p>
        </w:tc>
        <w:tc>
          <w:tcPr>
            <w:tcW w:w="1240" w:type="dxa"/>
            <w:vAlign w:val="bottom"/>
            <w:tcBorders>
              <w:bottom w:val="single" w:sz="8" w:color="CCEC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0.87</w:t>
            </w:r>
          </w:p>
        </w:tc>
        <w:tc>
          <w:tcPr>
            <w:tcW w:w="260" w:type="dxa"/>
            <w:vAlign w:val="bottom"/>
            <w:tcBorders>
              <w:bottom w:val="single" w:sz="8" w:color="CCEC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w:t>
            </w:r>
          </w:p>
        </w:tc>
        <w:tc>
          <w:tcPr>
            <w:tcW w:w="260" w:type="dxa"/>
            <w:vAlign w:val="bottom"/>
            <w:tcBorders>
              <w:bottom w:val="single" w:sz="8" w:color="CCEC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1.25</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26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12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0.81</w:t>
            </w:r>
          </w:p>
        </w:tc>
        <w:tc>
          <w:tcPr>
            <w:tcW w:w="2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1.10</w:t>
            </w:r>
          </w:p>
        </w:tc>
        <w:tc>
          <w:tcPr>
            <w:tcW w:w="2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1.02</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CECFF"/>
            </w:tcBorders>
          </w:tcPr>
          <w:p>
            <w:pPr>
              <w:spacing w:after="0"/>
              <w:rPr>
                <w:sz w:val="13"/>
                <w:szCs w:val="13"/>
                <w:color w:val="auto"/>
              </w:rPr>
            </w:pPr>
          </w:p>
        </w:tc>
        <w:tc>
          <w:tcPr>
            <w:tcW w:w="9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from operations:</w:t>
            </w:r>
          </w:p>
        </w:tc>
        <w:tc>
          <w:tcPr>
            <w:tcW w:w="9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30,964,089</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33,445,363</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27,336,160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9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(2,327,118)</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5,410,903</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(1,376,788)</w:t>
            </w: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(2,897,083)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1,062,172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7,011,289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9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7,750,334</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(3,593,158)</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518,002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9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33,490,222</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36,325,280</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33,488,663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9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Distribution of net investment income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(39,387,692)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(34,842,284)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(30,076,422)</w:t>
            </w:r>
          </w:p>
        </w:tc>
        <w:tc>
          <w:tcPr>
            <w:tcW w:w="0" w:type="dxa"/>
            <w:vAlign w:val="bottom"/>
          </w:tcPr>
          <w:p>
            <w:pPr>
              <w:spacing w:after="0"/>
              <w:rPr>
                <w:sz w:val="1"/>
                <w:szCs w:val="1"/>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realized gains</w:t>
            </w:r>
          </w:p>
        </w:tc>
        <w:tc>
          <w:tcPr>
            <w:tcW w:w="9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(4,186,992)</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(395,862)</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9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(43,574,684)</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(34,842,284)</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(30,472,284)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9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60"/>
              <w:spacing w:after="0"/>
              <w:rPr>
                <w:sz w:val="20"/>
                <w:szCs w:val="20"/>
                <w:color w:val="auto"/>
              </w:rPr>
            </w:pPr>
            <w:r>
              <w:rPr>
                <w:rFonts w:ascii="Arial" w:cs="Arial" w:eastAsia="Arial" w:hAnsi="Arial"/>
                <w:sz w:val="14"/>
                <w:szCs w:val="14"/>
                <w:color w:val="auto"/>
              </w:rPr>
              <w:t>Public offering (See Note 1)</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89,031,800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80,986,450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Offering costs</w:t>
            </w:r>
          </w:p>
        </w:tc>
        <w:tc>
          <w:tcPr>
            <w:tcW w:w="9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(1,012,044)</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(470,000)</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9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88,019,756</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80,516,450</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98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77,935,294</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81,999,446</w:t>
            </w:r>
          </w:p>
        </w:tc>
        <w:tc>
          <w:tcPr>
            <w:tcW w:w="24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3,016,379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Beginning of year</w:t>
            </w:r>
          </w:p>
        </w:tc>
        <w:tc>
          <w:tcPr>
            <w:tcW w:w="9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457,906,274</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375,906,828</w:t>
            </w:r>
          </w:p>
        </w:tc>
        <w:tc>
          <w:tcPr>
            <w:tcW w:w="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372,890,449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End of year</w:t>
            </w:r>
          </w:p>
        </w:tc>
        <w:tc>
          <w:tcPr>
            <w:tcW w:w="9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535,841,568</w:t>
            </w: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457,906,274</w:t>
            </w:r>
          </w:p>
        </w:tc>
        <w:tc>
          <w:tcPr>
            <w:tcW w:w="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375,906,828</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8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(Distributions in excess of) Undistributed net investment income, end of year</w:t>
            </w:r>
          </w:p>
        </w:tc>
        <w:tc>
          <w:tcPr>
            <w:tcW w:w="9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(5,153,449)</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3,163,645</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4,559,646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issued from public offering</w:t>
            </w:r>
          </w:p>
        </w:tc>
        <w:tc>
          <w:tcPr>
            <w:tcW w:w="9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6,292,000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5,750,000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80" w:type="dxa"/>
            <w:vAlign w:val="bottom"/>
            <w:tcBorders>
              <w:top w:val="single" w:sz="8" w:color="CCECFF"/>
            </w:tcBorders>
          </w:tcPr>
          <w:p>
            <w:pPr>
              <w:spacing w:after="0" w:line="20" w:lineRule="exact"/>
              <w:rPr>
                <w:sz w:val="1"/>
                <w:szCs w:val="1"/>
                <w:color w:val="auto"/>
              </w:rPr>
            </w:pPr>
          </w:p>
        </w:tc>
        <w:tc>
          <w:tcPr>
            <w:tcW w:w="98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CFF"/>
            </w:tcBorders>
          </w:tcPr>
          <w:p>
            <w:pPr>
              <w:spacing w:after="0"/>
              <w:rPr>
                <w:sz w:val="13"/>
                <w:szCs w:val="13"/>
                <w:color w:val="auto"/>
              </w:rPr>
            </w:pPr>
          </w:p>
        </w:tc>
        <w:tc>
          <w:tcPr>
            <w:tcW w:w="5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33,490,222</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36,325,280</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33,488,663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10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CFF"/>
          </w:tcPr>
          <w:p>
            <w:pPr>
              <w:ind w:left="600"/>
              <w:spacing w:after="0"/>
              <w:rPr>
                <w:sz w:val="20"/>
                <w:szCs w:val="20"/>
                <w:color w:val="auto"/>
              </w:rPr>
            </w:pPr>
            <w:r>
              <w:rPr>
                <w:rFonts w:ascii="Arial" w:cs="Arial" w:eastAsia="Arial" w:hAnsi="Arial"/>
                <w:sz w:val="14"/>
                <w:szCs w:val="14"/>
                <w:color w:val="auto"/>
              </w:rPr>
              <w:t>used in operating activities: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2,897,083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(1,062,172)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(7,011,289)</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change in unrealized (depreciation) appreciation on debt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(7,750,334)</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3,593,158</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(518,002)</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realized loss (gain)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2,327,118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(5,410,903)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1,376,788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accretion of discount and amortization of premium</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(1,401,358)</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(1,741,190)</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(1,679,006)</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Purchases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(682,735,730)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(508,906,932)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(364,442,810)</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Payment-in-kind interest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(669,290)</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(590,703)</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(108,066)</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Proceeds from dispositions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391,442,572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406,484,118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164,178,802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interest receivable</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(293,302)</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(40,100)</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(521,002)</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Decrease (increase) in receivable for investments sold</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14,185,850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(14,185,850)</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Decrease (increase) in prepaid expenses and other assets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437,436</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(88,314)</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279,338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in payable for investments purchased</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37,856,710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6,794,542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5,568,470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interest payable on debt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1,944,717</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161,861</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307,293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in base management fee payable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634,823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326,181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(Decrease) increase in performance-based incentive fee payable</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(1,762,813)</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1,606,303</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3,451,978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(decrease) in accrued other expenses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1,117,740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21,762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(336,370)</w:t>
            </w:r>
          </w:p>
        </w:tc>
        <w:tc>
          <w:tcPr>
            <w:tcW w:w="0" w:type="dxa"/>
            <w:vAlign w:val="bottom"/>
          </w:tcPr>
          <w:p>
            <w:pPr>
              <w:spacing w:after="0"/>
              <w:rPr>
                <w:sz w:val="1"/>
                <w:szCs w:val="1"/>
                <w:color w:val="auto"/>
              </w:rPr>
            </w:pPr>
          </w:p>
        </w:tc>
      </w:tr>
      <w:tr>
        <w:trPr>
          <w:trHeight w:val="155"/>
        </w:trPr>
        <w:tc>
          <w:tcPr>
            <w:tcW w:w="610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color w:val="auto"/>
              </w:rPr>
              <w:t>Net cash used in operating activities</w:t>
            </w:r>
          </w:p>
        </w:tc>
        <w:tc>
          <w:tcPr>
            <w:tcW w:w="5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(208,278,556)</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(76,712,959)</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(165,462,703)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Public offering</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Offering costs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(1,012,044)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(470,000)</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Distributions paid to stockholders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(42,976,944)</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(34,296,034)</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(30,472,284)</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Proceeds from 2023 Notes issuance (See Notes 5 and 11)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138,579,858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Borrowings under Credit Facility (See Notes 5 and 11)</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246,485,010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309,680,000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260,707,500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Repayments under Credit Facility (See Notes 5 and 11)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(166,540,790)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(288,804,200)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(57,400,000)</w:t>
            </w:r>
          </w:p>
        </w:tc>
        <w:tc>
          <w:tcPr>
            <w:tcW w:w="0" w:type="dxa"/>
            <w:vAlign w:val="bottom"/>
          </w:tcPr>
          <w:p>
            <w:pPr>
              <w:spacing w:after="0"/>
              <w:rPr>
                <w:sz w:val="1"/>
                <w:szCs w:val="1"/>
                <w:color w:val="auto"/>
              </w:rPr>
            </w:pPr>
          </w:p>
        </w:tc>
      </w:tr>
      <w:tr>
        <w:trPr>
          <w:trHeight w:val="156"/>
        </w:trPr>
        <w:tc>
          <w:tcPr>
            <w:tcW w:w="610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5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263,566,890</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67,096,216</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172,835,216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55,288,334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(9,616,743)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7,372,513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(1,974,907)</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(383,474)</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109,946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5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18,910,756</w:t>
            </w:r>
          </w:p>
        </w:tc>
        <w:tc>
          <w:tcPr>
            <w:tcW w:w="6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28,910,973</w:t>
            </w:r>
          </w:p>
        </w:tc>
        <w:tc>
          <w:tcPr>
            <w:tcW w:w="24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21,428,514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5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28,910,973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0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5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23,284,289</w:t>
            </w:r>
          </w:p>
        </w:tc>
        <w:tc>
          <w:tcPr>
            <w:tcW w:w="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8,289,755</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4,615,926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tcBorders>
              <w:bottom w:val="single" w:sz="8" w:color="CCECFF"/>
            </w:tcBorders>
            <w:vMerge w:val="continue"/>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395,555</w:t>
            </w:r>
          </w:p>
        </w:tc>
        <w:tc>
          <w:tcPr>
            <w:tcW w:w="6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256,719</w:t>
            </w:r>
          </w:p>
        </w:tc>
        <w:tc>
          <w:tcPr>
            <w:tcW w:w="24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308,795</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10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56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53,200,000</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35,659,395</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4,843,385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3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8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Investments in Non-Controlled, Non-Affiliated Portfolio Companies—159.5% </w:t>
            </w:r>
            <w:r>
              <w:rPr>
                <w:rFonts w:ascii="Arial" w:cs="Arial" w:eastAsia="Arial" w:hAnsi="Arial"/>
                <w:sz w:val="9"/>
                <w:szCs w:val="9"/>
                <w:b w:val="1"/>
                <w:bCs w:val="1"/>
                <w:color w:val="auto"/>
                <w:w w:val="91"/>
              </w:rPr>
              <w:t>(3), (4)</w:t>
            </w:r>
          </w:p>
        </w:tc>
        <w:tc>
          <w:tcPr>
            <w:tcW w:w="232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b w:val="1"/>
                <w:bCs w:val="1"/>
                <w:color w:val="auto"/>
              </w:rPr>
              <w:t>First Lien Secured Debt—151.6%</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Alera Group Intermediate Holdings,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08/01/2025</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Banking, Finance, Insurance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9,950,063</w:t>
            </w:r>
          </w:p>
        </w:tc>
        <w:tc>
          <w:tcPr>
            <w:tcW w:w="3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10,099,688</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Allied America,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08/08/2022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9.39%</w:t>
            </w:r>
          </w:p>
        </w:tc>
        <w:tc>
          <w:tcPr>
            <w:tcW w:w="68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1,685,452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1,685,452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1,688,823</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11/30/2021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5,857,878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5,800,066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5,770,010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American Scaffold</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03/31/2022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8.89%</w:t>
            </w:r>
          </w:p>
        </w:tc>
        <w:tc>
          <w:tcPr>
            <w:tcW w:w="6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4,455,413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4,455,000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8.84%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10,107,368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9,986,139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9,715,708</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API Technologies Corp.</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04/22/2024</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4,987,500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4,927,669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4,937,625</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04/22/2024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(9,843)</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Beauty Industry Group Opco,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04/06/2023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33,047,995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32,717,900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32,882,753</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04/28/2023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11,752,654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11,731,500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05/16/2022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9.57%</w:t>
            </w:r>
          </w:p>
        </w:tc>
        <w:tc>
          <w:tcPr>
            <w:tcW w:w="680" w:type="dxa"/>
            <w:vAlign w:val="bottom"/>
          </w:tcPr>
          <w:p>
            <w:pPr>
              <w:jc w:val="right"/>
              <w:spacing w:after="0"/>
              <w:rPr>
                <w:sz w:val="20"/>
                <w:szCs w:val="20"/>
                <w:color w:val="auto"/>
              </w:rPr>
            </w:pPr>
            <w:r>
              <w:rPr>
                <w:rFonts w:ascii="Arial" w:cs="Arial" w:eastAsia="Arial" w:hAnsi="Arial"/>
                <w:sz w:val="12"/>
                <w:szCs w:val="12"/>
                <w:color w:val="auto"/>
              </w:rPr>
              <w:t>3M L+725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15,454,395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15,157,019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15,454,395</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05/16/2022</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Cadence Aerospace,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11/14/2023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8.82%</w:t>
            </w:r>
          </w:p>
        </w:tc>
        <w:tc>
          <w:tcPr>
            <w:tcW w:w="6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10,917,500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10,824,456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10,937,086</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06/30/2021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2,418,750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2,406,335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2,322,000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Cardenas Markets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11/29/2023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7.99%</w:t>
            </w:r>
          </w:p>
        </w:tc>
        <w:tc>
          <w:tcPr>
            <w:tcW w:w="68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3,874,317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3,881,627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3,874,317</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CD&amp;R TZ Purchaser, Inc. </w:t>
            </w:r>
            <w:r>
              <w:rPr>
                <w:rFonts w:ascii="Arial" w:cs="Arial" w:eastAsia="Arial" w:hAnsi="Arial"/>
                <w:sz w:val="9"/>
                <w:szCs w:val="9"/>
                <w:color w:val="auto"/>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07/21/2023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16,161,170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15,861,453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15,837,947</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04/10/2025</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6.89%</w:t>
            </w:r>
          </w:p>
        </w:tc>
        <w:tc>
          <w:tcPr>
            <w:tcW w:w="68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6,145,313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6,115,613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6,176,039</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04/10/2025</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Environmental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1,339,286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08/31/2023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7.89%</w:t>
            </w:r>
          </w:p>
        </w:tc>
        <w:tc>
          <w:tcPr>
            <w:tcW w:w="68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426,868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426,868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422,599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08/31/2023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284,579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(2,846)</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01/08/2019</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8.35%</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4,539,286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4,535,666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3,994,572</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03/31/2023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17,727,205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17,691,760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17,195,389</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Credit Infonet,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03/13/2023</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8.52%</w:t>
            </w:r>
          </w:p>
        </w:tc>
        <w:tc>
          <w:tcPr>
            <w:tcW w:w="680" w:type="dxa"/>
            <w:vAlign w:val="bottom"/>
          </w:tcPr>
          <w:p>
            <w:pPr>
              <w:jc w:val="right"/>
              <w:spacing w:after="0"/>
              <w:rPr>
                <w:sz w:val="20"/>
                <w:szCs w:val="20"/>
                <w:color w:val="auto"/>
              </w:rPr>
            </w:pPr>
            <w:r>
              <w:rPr>
                <w:rFonts w:ascii="Arial" w:cs="Arial" w:eastAsia="Arial" w:hAnsi="Arial"/>
                <w:sz w:val="12"/>
                <w:szCs w:val="12"/>
                <w:color w:val="auto"/>
              </w:rPr>
              <w:t>6M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26,713,426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26,527,311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26,713,426</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03/13/2023</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DBI Holding,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08/02/2021</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7.51%</w:t>
            </w:r>
          </w:p>
        </w:tc>
        <w:tc>
          <w:tcPr>
            <w:tcW w:w="680" w:type="dxa"/>
            <w:vAlign w:val="bottom"/>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17,395,068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17,297,351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17,395,068</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10/31/2023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7,214,912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10/31/2022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Digital Room Holdings, Inc. </w:t>
            </w:r>
            <w:r>
              <w:rPr>
                <w:rFonts w:ascii="Arial" w:cs="Arial" w:eastAsia="Arial" w:hAnsi="Arial"/>
                <w:sz w:val="9"/>
                <w:szCs w:val="9"/>
                <w:color w:val="auto"/>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12/29/2023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16,376,250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16,227,058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16,192,017</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03/29/2022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8.14%</w:t>
            </w:r>
          </w:p>
        </w:tc>
        <w:tc>
          <w:tcPr>
            <w:tcW w:w="680" w:type="dxa"/>
            <w:vAlign w:val="bottom"/>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14,486,029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14,260,279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14,341,169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03/29/2022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2,941,176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(29,412)</w:t>
            </w:r>
          </w:p>
        </w:tc>
      </w:tr>
      <w:tr>
        <w:trPr>
          <w:trHeight w:val="148"/>
        </w:trPr>
        <w:tc>
          <w:tcPr>
            <w:tcW w:w="33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09/30/2022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6.92%</w:t>
            </w:r>
          </w:p>
        </w:tc>
        <w:tc>
          <w:tcPr>
            <w:tcW w:w="680" w:type="dxa"/>
            <w:vAlign w:val="bottom"/>
          </w:tcPr>
          <w:p>
            <w:pPr>
              <w:jc w:val="right"/>
              <w:spacing w:after="0"/>
              <w:rPr>
                <w:sz w:val="20"/>
                <w:szCs w:val="20"/>
                <w:color w:val="auto"/>
              </w:rPr>
            </w:pPr>
            <w:r>
              <w:rPr>
                <w:rFonts w:ascii="Arial" w:cs="Arial" w:eastAsia="Arial" w:hAnsi="Arial"/>
                <w:sz w:val="12"/>
                <w:szCs w:val="12"/>
                <w:color w:val="auto"/>
              </w:rPr>
              <w:t>2M 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10,085,149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10,062,733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10,085,149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09/30/2022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03/07/2022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8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19,923,750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19,762,133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20,172,797</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05/06/2021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20,742,489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20,646,931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20,742,489</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05/06/2021</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9.19%</w:t>
            </w:r>
          </w:p>
        </w:tc>
        <w:tc>
          <w:tcPr>
            <w:tcW w:w="680" w:type="dxa"/>
            <w:vAlign w:val="bottom"/>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1,304,348</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05/06/2021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869,565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06/15/2022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8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9,331,620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9,268,771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9,284,961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ENC Holding Corporation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05/30/2025</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Transportation: Cargo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(1,571)</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11/14/2022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2,666,667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06/03/2024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6.86%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5,097,491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5,072,239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5,072,003</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06/03/2024</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6.87%</w:t>
            </w:r>
          </w:p>
        </w:tc>
        <w:tc>
          <w:tcPr>
            <w:tcW w:w="68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1,187,750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1,187,750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1,181,811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06/03/2024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3,563,250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(17,817)</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06/09/2023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8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10,952,132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10,770,250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10,842,611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05/01/2019</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5,445,988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5,434,106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5,432,373</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06/27/2023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8.64%</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12,482,923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12,364,105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12,420,509</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06/27/2023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12,491,009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(62,455)</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8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3,339,631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3,303,281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3,322,933</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176,106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353,982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(1,770)</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Integrative Nutrition,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09/29/2023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36,000,000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35,640,000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35,640,000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09/29/2023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Intralinks,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11/14/2024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14,451,316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14,384,410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14,478,484</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Inventus Power,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04/30/2020</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8.74%</w:t>
            </w:r>
          </w:p>
        </w:tc>
        <w:tc>
          <w:tcPr>
            <w:tcW w:w="680" w:type="dxa"/>
            <w:vAlign w:val="bottom"/>
          </w:tcPr>
          <w:p>
            <w:pPr>
              <w:jc w:val="right"/>
              <w:spacing w:after="0"/>
              <w:rPr>
                <w:sz w:val="20"/>
                <w:szCs w:val="20"/>
                <w:color w:val="auto"/>
              </w:rPr>
            </w:pPr>
            <w:r>
              <w:rPr>
                <w:rFonts w:ascii="Arial" w:cs="Arial" w:eastAsia="Arial" w:hAnsi="Arial"/>
                <w:sz w:val="12"/>
                <w:szCs w:val="12"/>
                <w:color w:val="auto"/>
              </w:rPr>
              <w:t>1M 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4,230,023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4,216,353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3,933,921</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02/19/2021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3,865,568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KHC Holdings,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10/31/2022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8.39%</w:t>
            </w:r>
          </w:p>
        </w:tc>
        <w:tc>
          <w:tcPr>
            <w:tcW w:w="68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12,109,261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11,972,865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12,109,261</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10/30/2020</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10/30/2020</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947,581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03/07/2022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10,098,000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9,966,385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9,694,080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(5), (9), (10)</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09/12/2022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7.73%</w:t>
            </w:r>
          </w:p>
        </w:tc>
        <w:tc>
          <w:tcPr>
            <w:tcW w:w="680" w:type="dxa"/>
            <w:vAlign w:val="bottom"/>
          </w:tcPr>
          <w:p>
            <w:pPr>
              <w:jc w:val="right"/>
              <w:spacing w:after="0"/>
              <w:rPr>
                <w:sz w:val="20"/>
                <w:szCs w:val="20"/>
                <w:color w:val="auto"/>
              </w:rPr>
            </w:pPr>
            <w:r>
              <w:rPr>
                <w:rFonts w:ascii="Arial" w:cs="Arial" w:eastAsia="Arial" w:hAnsi="Arial"/>
                <w:sz w:val="12"/>
                <w:szCs w:val="12"/>
                <w:color w:val="auto"/>
              </w:rPr>
              <w:t>3M L+575</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7,688,759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7,181,254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11/30/2021</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4,596,389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4,528,529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2,987,653</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6.00%)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Lombart Brothers,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8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9,251,830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9,147,743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9,205,570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616,372</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(3,098)</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09/11/2023</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6,052,632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5,992,433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5,976,091</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09/11/2023</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3,947,368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(49,918)</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08/19/2022</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9,914,849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08/19/2022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(60,000)</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14,046,875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13,932,255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13,537,676</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12/08/2023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8.17%</w:t>
            </w: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6,983,750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6,909,661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6,930,659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(7,412)</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Marketplace Events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7.64%</w:t>
            </w:r>
          </w:p>
        </w:tc>
        <w:tc>
          <w:tcPr>
            <w:tcW w:w="6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3,343,309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3,313,221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3,343,309</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01/27/2021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16,473,429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11,599,021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12,744,421</w:t>
            </w:r>
          </w:p>
        </w:tc>
        <w:tc>
          <w:tcPr>
            <w:tcW w:w="120" w:type="dxa"/>
            <w:vAlign w:val="bottom"/>
            <w:shd w:val="clear" w:color="auto" w:fill="CCECFF"/>
          </w:tcPr>
          <w:p>
            <w:pPr>
              <w:spacing w:after="0"/>
              <w:rPr>
                <w:sz w:val="12"/>
                <w:szCs w:val="12"/>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240"/>
          </w:cols>
          <w:pgMar w:left="320" w:top="118"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Par /</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20" w:type="dxa"/>
            <w:vAlign w:val="bottom"/>
            <w:tcBorders>
              <w:bottom w:val="single" w:sz="8" w:color="CCECFF"/>
            </w:tcBorders>
          </w:tcPr>
          <w:p>
            <w:pPr>
              <w:spacing w:after="0"/>
              <w:rPr>
                <w:sz w:val="12"/>
                <w:szCs w:val="1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12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01/27/2021</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P+275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12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01/27/2021</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1,277,372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09/28/2021</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(2,122)</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01/24/2023</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10.59%</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80" w:type="dxa"/>
            <w:vAlign w:val="bottom"/>
          </w:tcPr>
          <w:p>
            <w:pPr>
              <w:jc w:val="right"/>
              <w:spacing w:after="0"/>
              <w:rPr>
                <w:sz w:val="20"/>
                <w:szCs w:val="20"/>
                <w:color w:val="auto"/>
              </w:rPr>
            </w:pPr>
            <w:r>
              <w:rPr>
                <w:rFonts w:ascii="Arial" w:cs="Arial" w:eastAsia="Arial" w:hAnsi="Arial"/>
                <w:sz w:val="12"/>
                <w:szCs w:val="12"/>
                <w:color w:val="auto"/>
              </w:rPr>
              <w:t>26,163,397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26,518,501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23,350,832</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02/10/2023</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8.40%</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20,644,462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20,276,981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20,541,240</w:t>
            </w:r>
          </w:p>
        </w:tc>
        <w:tc>
          <w:tcPr>
            <w:tcW w:w="120" w:type="dxa"/>
            <w:vAlign w:val="bottom"/>
            <w:shd w:val="clear" w:color="auto" w:fill="CCECFF"/>
          </w:tcPr>
          <w:p>
            <w:pPr>
              <w:spacing w:after="0"/>
              <w:rPr>
                <w:sz w:val="12"/>
                <w:szCs w:val="12"/>
                <w:color w:val="auto"/>
              </w:rPr>
            </w:pPr>
          </w:p>
        </w:tc>
      </w:tr>
      <w:tr>
        <w:trPr>
          <w:trHeight w:val="156"/>
        </w:trPr>
        <w:tc>
          <w:tcPr>
            <w:tcW w:w="308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08/01/2022</w:t>
            </w:r>
          </w:p>
        </w:tc>
        <w:tc>
          <w:tcPr>
            <w:tcW w:w="220" w:type="dxa"/>
            <w:vAlign w:val="bottom"/>
          </w:tcPr>
          <w:p>
            <w:pPr>
              <w:spacing w:after="0"/>
              <w:rPr>
                <w:sz w:val="13"/>
                <w:szCs w:val="13"/>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8.24%</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80" w:type="dxa"/>
            <w:vAlign w:val="bottom"/>
          </w:tcPr>
          <w:p>
            <w:pPr>
              <w:jc w:val="right"/>
              <w:spacing w:after="0"/>
              <w:rPr>
                <w:sz w:val="20"/>
                <w:szCs w:val="20"/>
                <w:color w:val="auto"/>
              </w:rPr>
            </w:pPr>
            <w:r>
              <w:rPr>
                <w:rFonts w:ascii="Arial" w:cs="Arial" w:eastAsia="Arial" w:hAnsi="Arial"/>
                <w:sz w:val="12"/>
                <w:szCs w:val="12"/>
                <w:color w:val="auto"/>
              </w:rPr>
              <w:t>7,068,161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6,998,756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5,654,528</w:t>
            </w:r>
          </w:p>
        </w:tc>
        <w:tc>
          <w:tcPr>
            <w:tcW w:w="120" w:type="dxa"/>
            <w:vAlign w:val="bottom"/>
          </w:tcPr>
          <w:p>
            <w:pPr>
              <w:spacing w:after="0"/>
              <w:rPr>
                <w:sz w:val="13"/>
                <w:szCs w:val="13"/>
                <w:color w:val="auto"/>
              </w:rPr>
            </w:pPr>
          </w:p>
        </w:tc>
      </w:tr>
      <w:tr>
        <w:trPr>
          <w:trHeight w:val="142"/>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3.00%)</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NextiraOne Federal,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08/27/2024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8.07%</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18,181,818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17,911,938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17,906,255</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08/27/2024</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8.07%</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80" w:type="dxa"/>
            <w:vAlign w:val="bottom"/>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2,647,727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2,607,599</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08/27/2024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4,170,455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(63,207)</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Olde Thompson, LLC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05/14/2024</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6.66%</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L+450</w:t>
            </w:r>
          </w:p>
        </w:tc>
        <w:tc>
          <w:tcPr>
            <w:tcW w:w="680" w:type="dxa"/>
            <w:vAlign w:val="bottom"/>
          </w:tcPr>
          <w:p>
            <w:pPr>
              <w:jc w:val="right"/>
              <w:spacing w:after="0"/>
              <w:rPr>
                <w:sz w:val="20"/>
                <w:szCs w:val="20"/>
                <w:color w:val="auto"/>
              </w:rPr>
            </w:pPr>
            <w:r>
              <w:rPr>
                <w:rFonts w:ascii="Arial" w:cs="Arial" w:eastAsia="Arial" w:hAnsi="Arial"/>
                <w:sz w:val="12"/>
                <w:szCs w:val="12"/>
                <w:color w:val="auto"/>
              </w:rPr>
              <w:t>1,852,500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1,833,975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1,852,500</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05/14/2024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Ox Two, LLC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02/27/2023</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8.49%</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13,034,722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12,946,045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13,034,722</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02/27/2023</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12.50%</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02/27/2023</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06/01/2023</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7.51%</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14,850,000</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01/31/2023</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7.29%</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80" w:type="dxa"/>
            <w:vAlign w:val="bottom"/>
          </w:tcPr>
          <w:p>
            <w:pPr>
              <w:jc w:val="right"/>
              <w:spacing w:after="0"/>
              <w:rPr>
                <w:sz w:val="20"/>
                <w:szCs w:val="20"/>
                <w:color w:val="auto"/>
              </w:rPr>
            </w:pPr>
            <w:r>
              <w:rPr>
                <w:rFonts w:ascii="Arial" w:cs="Arial" w:eastAsia="Arial" w:hAnsi="Arial"/>
                <w:sz w:val="12"/>
                <w:szCs w:val="12"/>
                <w:color w:val="auto"/>
              </w:rPr>
              <w:t>10,075,023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9,997,462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10,075,023</w:t>
            </w:r>
          </w:p>
        </w:tc>
        <w:tc>
          <w:tcPr>
            <w:tcW w:w="12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01/31/2022</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Questex, LLC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09/09/2024</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8.57%</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7,351,373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7,350,000</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09/09/2024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199,468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195,479</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09/09/2024</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997,340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(19,947)</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08/23/2021</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7.06%</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9,288,885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7,921,875</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Research Horizons, LLC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06/28/2022</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8.36%</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5,250,000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5,150,977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5,145,000</w:t>
            </w:r>
          </w:p>
        </w:tc>
        <w:tc>
          <w:tcPr>
            <w:tcW w:w="12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06/28/2022</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2,128,378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(42,568)</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06/28/2022</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8.36%</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416,216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407,892</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06/28/2022</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529,730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(10,595)</w:t>
            </w:r>
          </w:p>
        </w:tc>
      </w:tr>
      <w:tr>
        <w:trPr>
          <w:trHeight w:val="156"/>
        </w:trPr>
        <w:tc>
          <w:tcPr>
            <w:tcW w:w="3080" w:type="dxa"/>
            <w:vAlign w:val="bottom"/>
          </w:tcPr>
          <w:p>
            <w:pPr>
              <w:spacing w:after="0"/>
              <w:rPr>
                <w:sz w:val="20"/>
                <w:szCs w:val="20"/>
                <w:color w:val="auto"/>
              </w:rPr>
            </w:pPr>
            <w:r>
              <w:rPr>
                <w:rFonts w:ascii="Arial" w:cs="Arial" w:eastAsia="Arial" w:hAnsi="Arial"/>
                <w:sz w:val="12"/>
                <w:szCs w:val="12"/>
                <w:color w:val="auto"/>
              </w:rPr>
              <w:t>Research Now Group, Inc. and Survey Sampling</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12/20/2024</w:t>
            </w:r>
          </w:p>
        </w:tc>
        <w:tc>
          <w:tcPr>
            <w:tcW w:w="220" w:type="dxa"/>
            <w:vAlign w:val="bottom"/>
          </w:tcPr>
          <w:p>
            <w:pPr>
              <w:spacing w:after="0"/>
              <w:rPr>
                <w:sz w:val="13"/>
                <w:szCs w:val="13"/>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24,812,500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23,676,196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24,882,223</w:t>
            </w:r>
          </w:p>
        </w:tc>
        <w:tc>
          <w:tcPr>
            <w:tcW w:w="120" w:type="dxa"/>
            <w:vAlign w:val="bottom"/>
          </w:tcPr>
          <w:p>
            <w:pPr>
              <w:spacing w:after="0"/>
              <w:rPr>
                <w:sz w:val="13"/>
                <w:szCs w:val="13"/>
                <w:color w:val="auto"/>
              </w:rPr>
            </w:pPr>
          </w:p>
        </w:tc>
      </w:tr>
      <w:tr>
        <w:trPr>
          <w:trHeight w:val="141"/>
        </w:trPr>
        <w:tc>
          <w:tcPr>
            <w:tcW w:w="3080" w:type="dxa"/>
            <w:vAlign w:val="bottom"/>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02/28/2022</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7.99%</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18,136,905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17,867,722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18,318,274</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09/01/2022</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8.59%</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5,898,822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09/01/2022</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09/01/2022</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07/19/2021</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8.10%</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418,084</w:t>
            </w:r>
          </w:p>
        </w:tc>
        <w:tc>
          <w:tcPr>
            <w:tcW w:w="12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07/19/2021</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(24,750)</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02/22/2019</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(667)</w:t>
            </w: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Softvision, LLC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05/21/2021</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10,201,863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10,146,148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10,201,863</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07/25/2023</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7.24%</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7,920,000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7,818,453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7,939,800</w:t>
            </w:r>
          </w:p>
        </w:tc>
        <w:tc>
          <w:tcPr>
            <w:tcW w:w="12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Tensar Corporation</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07/09/2021</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7.14%</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80" w:type="dxa"/>
            <w:vAlign w:val="bottom"/>
          </w:tcPr>
          <w:p>
            <w:pPr>
              <w:jc w:val="right"/>
              <w:spacing w:after="0"/>
              <w:rPr>
                <w:sz w:val="20"/>
                <w:szCs w:val="20"/>
                <w:color w:val="auto"/>
              </w:rPr>
            </w:pPr>
            <w:r>
              <w:rPr>
                <w:rFonts w:ascii="Arial" w:cs="Arial" w:eastAsia="Arial" w:hAnsi="Arial"/>
                <w:sz w:val="12"/>
                <w:szCs w:val="12"/>
                <w:color w:val="auto"/>
              </w:rPr>
              <w:t>22,620,696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22,474,697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22,281,386</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12/02/2021</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7.56%</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6,689,308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6,644,404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6,622,415</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07/20/2022</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7.20%</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80" w:type="dxa"/>
            <w:vAlign w:val="bottom"/>
          </w:tcPr>
          <w:p>
            <w:pPr>
              <w:jc w:val="right"/>
              <w:spacing w:after="0"/>
              <w:rPr>
                <w:sz w:val="20"/>
                <w:szCs w:val="20"/>
                <w:color w:val="auto"/>
              </w:rPr>
            </w:pPr>
            <w:r>
              <w:rPr>
                <w:rFonts w:ascii="Arial" w:cs="Arial" w:eastAsia="Arial" w:hAnsi="Arial"/>
                <w:sz w:val="12"/>
                <w:szCs w:val="12"/>
                <w:color w:val="auto"/>
              </w:rPr>
              <w:t>7,721,739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7,658,431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7,721,739</w:t>
            </w:r>
          </w:p>
        </w:tc>
        <w:tc>
          <w:tcPr>
            <w:tcW w:w="12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07/20/2022</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6.70%</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2M 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5,500,217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5,459,582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5,500,217</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07/20/2022</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255,327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255,327</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07/20/2022</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1,163,157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12/28/2020</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15.49%</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80" w:type="dxa"/>
            <w:vAlign w:val="bottom"/>
          </w:tcPr>
          <w:p>
            <w:pPr>
              <w:jc w:val="right"/>
              <w:spacing w:after="0"/>
              <w:rPr>
                <w:sz w:val="20"/>
                <w:szCs w:val="20"/>
                <w:color w:val="auto"/>
              </w:rPr>
            </w:pPr>
            <w:r>
              <w:rPr>
                <w:rFonts w:ascii="Arial" w:cs="Arial" w:eastAsia="Arial" w:hAnsi="Arial"/>
                <w:sz w:val="12"/>
                <w:szCs w:val="12"/>
                <w:color w:val="auto"/>
              </w:rPr>
              <w:t>8,470,850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8,383,257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8,216,724</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04/03/2024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6.60%</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1,976,435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1,995,000</w:t>
            </w:r>
          </w:p>
        </w:tc>
        <w:tc>
          <w:tcPr>
            <w:tcW w:w="12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04/03/2024</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6.88%</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1,173,333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1,173,333</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04/03/2024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08/20/2024</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7.89%</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80" w:type="dxa"/>
            <w:vAlign w:val="bottom"/>
          </w:tcPr>
          <w:p>
            <w:pPr>
              <w:jc w:val="right"/>
              <w:spacing w:after="0"/>
              <w:rPr>
                <w:sz w:val="20"/>
                <w:szCs w:val="20"/>
                <w:color w:val="auto"/>
              </w:rPr>
            </w:pPr>
            <w:r>
              <w:rPr>
                <w:rFonts w:ascii="Arial" w:cs="Arial" w:eastAsia="Arial" w:hAnsi="Arial"/>
                <w:sz w:val="12"/>
                <w:szCs w:val="12"/>
                <w:color w:val="auto"/>
              </w:rPr>
              <w:t>8,750,000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8,533,866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8,662,500</w:t>
            </w:r>
          </w:p>
        </w:tc>
        <w:tc>
          <w:tcPr>
            <w:tcW w:w="12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08/20/2024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(17,500)</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US Dominion,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07/15/2024</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5,883,015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08/13/2021</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11.39%</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8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3,027,344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2,875,976</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07/15/2021</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7.75%</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15,398,203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15,324,732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15,475,194</w:t>
            </w:r>
          </w:p>
        </w:tc>
        <w:tc>
          <w:tcPr>
            <w:tcW w:w="12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07/15/2021</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2,094,671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10,473</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Veterinary Specialists of North America,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07/15/2021</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4,400</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03/01/2023</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80" w:type="dxa"/>
            <w:vAlign w:val="bottom"/>
          </w:tcPr>
          <w:p>
            <w:pPr>
              <w:jc w:val="right"/>
              <w:spacing w:after="0"/>
              <w:rPr>
                <w:sz w:val="20"/>
                <w:szCs w:val="20"/>
                <w:color w:val="auto"/>
              </w:rPr>
            </w:pPr>
            <w:r>
              <w:rPr>
                <w:rFonts w:ascii="Arial" w:cs="Arial" w:eastAsia="Arial" w:hAnsi="Arial"/>
                <w:sz w:val="12"/>
                <w:szCs w:val="12"/>
                <w:color w:val="auto"/>
              </w:rPr>
              <w:t>6,937,500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6,910,133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6,954,844</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Walker Edison Furniture Company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09/26/2024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8.88%</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16,307,500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15,981,904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15,981,350</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Winchester Electronics Corporation</w:t>
            </w:r>
          </w:p>
        </w:tc>
        <w:tc>
          <w:tcPr>
            <w:tcW w:w="660" w:type="dxa"/>
            <w:vAlign w:val="bottom"/>
            <w:tcBorders>
              <w:bottom w:val="single" w:sz="8" w:color="CCECFF"/>
            </w:tcBorders>
            <w:gridSpan w:val="2"/>
          </w:tcPr>
          <w:p>
            <w:pPr>
              <w:jc w:val="center"/>
              <w:ind w:left="42"/>
              <w:spacing w:after="0"/>
              <w:rPr>
                <w:sz w:val="20"/>
                <w:szCs w:val="20"/>
                <w:color w:val="auto"/>
              </w:rPr>
            </w:pPr>
            <w:r>
              <w:rPr>
                <w:rFonts w:ascii="Arial" w:cs="Arial" w:eastAsia="Arial" w:hAnsi="Arial"/>
                <w:sz w:val="12"/>
                <w:szCs w:val="12"/>
                <w:color w:val="auto"/>
                <w:w w:val="86"/>
              </w:rPr>
              <w:t>06/30/2022</w:t>
            </w:r>
          </w:p>
        </w:tc>
        <w:tc>
          <w:tcPr>
            <w:tcW w:w="220" w:type="dxa"/>
            <w:vAlign w:val="bottom"/>
            <w:tcBorders>
              <w:bottom w:val="single" w:sz="8" w:color="CCECFF"/>
            </w:tcBorders>
          </w:tcPr>
          <w:p>
            <w:pPr>
              <w:spacing w:after="0"/>
              <w:rPr>
                <w:sz w:val="12"/>
                <w:szCs w:val="12"/>
                <w:color w:val="auto"/>
              </w:rPr>
            </w:pPr>
          </w:p>
        </w:tc>
        <w:tc>
          <w:tcPr>
            <w:tcW w:w="25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8.74%</w:t>
            </w:r>
          </w:p>
        </w:tc>
        <w:tc>
          <w:tcPr>
            <w:tcW w:w="10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11,724,183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11,675,472</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11,724,182</w:t>
            </w:r>
          </w:p>
        </w:tc>
        <w:tc>
          <w:tcPr>
            <w:tcW w:w="12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817,243,688</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812,235,476</w:t>
            </w:r>
          </w:p>
        </w:tc>
        <w:tc>
          <w:tcPr>
            <w:tcW w:w="12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Second Lien Secured Debt—4.0%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04/25/2025</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11.09%</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1,963,478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12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03/31/2025</w:t>
            </w:r>
          </w:p>
        </w:tc>
        <w:tc>
          <w:tcPr>
            <w:tcW w:w="220" w:type="dxa"/>
            <w:vAlign w:val="bottom"/>
          </w:tcPr>
          <w:p>
            <w:pPr>
              <w:spacing w:after="0"/>
              <w:rPr>
                <w:sz w:val="12"/>
                <w:szCs w:val="1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10.64%</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80" w:type="dxa"/>
            <w:vAlign w:val="bottom"/>
          </w:tcPr>
          <w:p>
            <w:pPr>
              <w:jc w:val="right"/>
              <w:spacing w:after="0"/>
              <w:rPr>
                <w:sz w:val="20"/>
                <w:szCs w:val="20"/>
                <w:color w:val="auto"/>
              </w:rPr>
            </w:pPr>
            <w:r>
              <w:rPr>
                <w:rFonts w:ascii="Arial" w:cs="Arial" w:eastAsia="Arial" w:hAnsi="Arial"/>
                <w:sz w:val="12"/>
                <w:szCs w:val="12"/>
                <w:color w:val="auto"/>
              </w:rPr>
              <w:t>11,341,463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11,136,261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11,341,463</w:t>
            </w:r>
          </w:p>
        </w:tc>
        <w:tc>
          <w:tcPr>
            <w:tcW w:w="12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10/23/2024</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3,702,622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3,699,500</w:t>
            </w:r>
          </w:p>
        </w:tc>
        <w:tc>
          <w:tcPr>
            <w:tcW w:w="12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09/29/2025</w:t>
            </w:r>
          </w:p>
        </w:tc>
        <w:tc>
          <w:tcPr>
            <w:tcW w:w="220" w:type="dxa"/>
            <w:vAlign w:val="bottom"/>
          </w:tcPr>
          <w:p>
            <w:pPr>
              <w:spacing w:after="0"/>
              <w:rPr>
                <w:sz w:val="12"/>
                <w:szCs w:val="12"/>
                <w:color w:val="auto"/>
              </w:rPr>
            </w:pP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2,464,229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2,543,750</w:t>
            </w:r>
          </w:p>
        </w:tc>
        <w:tc>
          <w:tcPr>
            <w:tcW w:w="12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04/12/2023</w:t>
            </w:r>
          </w:p>
        </w:tc>
        <w:tc>
          <w:tcPr>
            <w:tcW w:w="22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12.34%</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1,666,667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1,638,368</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1,650,000</w:t>
            </w:r>
          </w:p>
        </w:tc>
        <w:tc>
          <w:tcPr>
            <w:tcW w:w="120" w:type="dxa"/>
            <w:vAlign w:val="bottom"/>
            <w:shd w:val="clear" w:color="auto" w:fill="CCECFF"/>
          </w:tcPr>
          <w:p>
            <w:pPr>
              <w:spacing w:after="0"/>
              <w:rPr>
                <w:sz w:val="12"/>
                <w:szCs w:val="12"/>
                <w:color w:val="auto"/>
              </w:rPr>
            </w:pPr>
          </w:p>
        </w:tc>
      </w:tr>
      <w:tr>
        <w:trPr>
          <w:trHeight w:val="142"/>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8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20,904,958</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21,234,713</w:t>
            </w:r>
          </w:p>
        </w:tc>
        <w:tc>
          <w:tcPr>
            <w:tcW w:w="12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Equity—0.6% </w:t>
            </w:r>
            <w:r>
              <w:rPr>
                <w:rFonts w:ascii="Arial" w:cs="Arial" w:eastAsia="Arial" w:hAnsi="Arial"/>
                <w:sz w:val="9"/>
                <w:szCs w:val="9"/>
                <w:b w:val="1"/>
                <w:bCs w:val="1"/>
                <w:color w:val="auto"/>
              </w:rPr>
              <w:t>(6), (7)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55"/>
        </w:trPr>
        <w:tc>
          <w:tcPr>
            <w:tcW w:w="308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1,458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21,870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22,614</w:t>
            </w:r>
          </w:p>
        </w:tc>
        <w:tc>
          <w:tcPr>
            <w:tcW w:w="120" w:type="dxa"/>
            <w:vAlign w:val="bottom"/>
          </w:tcPr>
          <w:p>
            <w:pPr>
              <w:spacing w:after="0"/>
              <w:rPr>
                <w:sz w:val="13"/>
                <w:szCs w:val="13"/>
                <w:color w:val="auto"/>
              </w:rPr>
            </w:pPr>
          </w:p>
        </w:tc>
      </w:tr>
      <w:tr>
        <w:trPr>
          <w:trHeight w:val="141"/>
        </w:trPr>
        <w:tc>
          <w:tcPr>
            <w:tcW w:w="308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(9)</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120" w:type="dxa"/>
            <w:vAlign w:val="bottom"/>
            <w:shd w:val="clear" w:color="auto" w:fill="CCECFF"/>
          </w:tcPr>
          <w:p>
            <w:pPr>
              <w:spacing w:after="0"/>
              <w:rPr>
                <w:sz w:val="12"/>
                <w:szCs w:val="12"/>
                <w:color w:val="auto"/>
              </w:rPr>
            </w:pPr>
          </w:p>
        </w:tc>
      </w:tr>
      <w:tr>
        <w:trPr>
          <w:trHeight w:val="155"/>
        </w:trPr>
        <w:tc>
          <w:tcPr>
            <w:tcW w:w="308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(9)</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77,827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77,827</w:t>
            </w:r>
          </w:p>
        </w:tc>
        <w:tc>
          <w:tcPr>
            <w:tcW w:w="120" w:type="dxa"/>
            <w:vAlign w:val="bottom"/>
          </w:tcPr>
          <w:p>
            <w:pPr>
              <w:spacing w:after="0"/>
              <w:rPr>
                <w:sz w:val="13"/>
                <w:szCs w:val="13"/>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Maturity</w:t>
            </w:r>
          </w:p>
        </w:tc>
        <w:tc>
          <w:tcPr>
            <w:tcW w:w="240" w:type="dxa"/>
            <w:vAlign w:val="bottom"/>
            <w:tcBorders>
              <w:bottom w:val="single" w:sz="8" w:color="CCECFF"/>
            </w:tcBorders>
          </w:tcPr>
          <w:p>
            <w:pPr>
              <w:spacing w:after="0"/>
              <w:rPr>
                <w:sz w:val="12"/>
                <w:szCs w:val="12"/>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6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NXOF Holdings, Inc. (NextiraOne Federal, LLC)</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490,000</w:t>
            </w: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453,077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gridSpan w:val="2"/>
          </w:tcPr>
          <w:p>
            <w:pPr>
              <w:spacing w:after="0"/>
              <w:rPr>
                <w:sz w:val="20"/>
                <w:szCs w:val="20"/>
                <w:color w:val="auto"/>
              </w:rPr>
            </w:pPr>
            <w:r>
              <w:rPr>
                <w:rFonts w:ascii="Arial" w:cs="Arial" w:eastAsia="Arial" w:hAnsi="Arial"/>
                <w:sz w:val="12"/>
                <w:szCs w:val="12"/>
                <w:color w:val="auto"/>
              </w:rPr>
              <w:t>UniTek Global Services, Inc. -</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20.00%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343,861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343,861</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351,752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40" w:type="dxa"/>
            <w:vAlign w:val="bottom"/>
            <w:gridSpan w:val="2"/>
          </w:tcPr>
          <w:p>
            <w:pPr>
              <w:ind w:left="140"/>
              <w:spacing w:after="0"/>
              <w:rPr>
                <w:sz w:val="20"/>
                <w:szCs w:val="20"/>
                <w:color w:val="auto"/>
              </w:rPr>
            </w:pPr>
            <w:r>
              <w:rPr>
                <w:rFonts w:ascii="Arial" w:cs="Arial" w:eastAsia="Arial" w:hAnsi="Arial"/>
                <w:sz w:val="12"/>
                <w:szCs w:val="12"/>
                <w:color w:val="auto"/>
              </w:rPr>
              <w:t>Super Senior Preferred Equity</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UniTek Global Services, Inc. - Senior Preferred Equity</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570,762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UniTek Global Services, Inc.</w:t>
            </w: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13.50%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1,726,920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2,062,865</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3,213,125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Equity/Warrants—3.3% </w:t>
            </w:r>
            <w:r>
              <w:rPr>
                <w:rFonts w:ascii="Arial" w:cs="Arial" w:eastAsia="Arial" w:hAnsi="Arial"/>
                <w:sz w:val="9"/>
                <w:szCs w:val="9"/>
                <w:b w:val="1"/>
                <w:bCs w:val="1"/>
                <w:color w:val="auto"/>
              </w:rPr>
              <w:t>(6), (7)</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3,514,571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2,089,710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tcPr>
          <w:p>
            <w:pPr>
              <w:spacing w:after="0"/>
              <w:rPr>
                <w:sz w:val="20"/>
                <w:szCs w:val="20"/>
                <w:color w:val="auto"/>
              </w:rPr>
            </w:pPr>
            <w:r>
              <w:rPr>
                <w:rFonts w:ascii="Arial" w:cs="Arial" w:eastAsia="Arial" w:hAnsi="Arial"/>
                <w:sz w:val="12"/>
                <w:szCs w:val="12"/>
                <w:color w:val="auto"/>
              </w:rPr>
              <w:t>Affinion Group Holdings, Inc., Series C and Series D</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4,298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1,186,649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(11)</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4,426,169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(8), (11)</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5,592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gridSpan w:val="2"/>
          </w:tcPr>
          <w:p>
            <w:pPr>
              <w:spacing w:after="0"/>
              <w:rPr>
                <w:sz w:val="20"/>
                <w:szCs w:val="20"/>
                <w:color w:val="auto"/>
              </w:rPr>
            </w:pPr>
            <w:r>
              <w:rPr>
                <w:rFonts w:ascii="Arial" w:cs="Arial" w:eastAsia="Arial" w:hAnsi="Arial"/>
                <w:sz w:val="12"/>
                <w:szCs w:val="12"/>
                <w:color w:val="auto"/>
              </w:rPr>
              <w:t>CI (PTN) Investment Holdings II, LLC</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13,333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40" w:type="dxa"/>
            <w:vAlign w:val="bottom"/>
            <w:gridSpan w:val="2"/>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47,893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596,660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tcPr>
          <w:p>
            <w:pPr>
              <w:spacing w:after="0"/>
              <w:rPr>
                <w:sz w:val="20"/>
                <w:szCs w:val="20"/>
                <w:color w:val="auto"/>
              </w:rPr>
            </w:pPr>
            <w:r>
              <w:rPr>
                <w:rFonts w:ascii="Arial" w:cs="Arial" w:eastAsia="Arial" w:hAnsi="Arial"/>
                <w:sz w:val="12"/>
                <w:szCs w:val="12"/>
                <w:color w:val="auto"/>
              </w:rPr>
              <w:t>DecoPac Holdings Inc.</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1,632,744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305,907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gridSpan w:val="2"/>
          </w:tcPr>
          <w:p>
            <w:pPr>
              <w:spacing w:after="0"/>
              <w:rPr>
                <w:sz w:val="20"/>
                <w:szCs w:val="20"/>
                <w:color w:val="auto"/>
              </w:rPr>
            </w:pPr>
            <w:r>
              <w:rPr>
                <w:rFonts w:ascii="Arial" w:cs="Arial" w:eastAsia="Arial" w:hAnsi="Arial"/>
                <w:sz w:val="12"/>
                <w:szCs w:val="12"/>
                <w:color w:val="auto"/>
              </w:rPr>
              <w:t>Gauge InfosoftCoInvest, LLC</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738,439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40" w:type="dxa"/>
            <w:vAlign w:val="bottom"/>
            <w:gridSpan w:val="2"/>
          </w:tcPr>
          <w:p>
            <w:pPr>
              <w:ind w:left="140"/>
              <w:spacing w:after="0"/>
              <w:rPr>
                <w:sz w:val="20"/>
                <w:szCs w:val="20"/>
                <w:color w:val="auto"/>
              </w:rPr>
            </w:pPr>
            <w:r>
              <w:rPr>
                <w:rFonts w:ascii="Arial" w:cs="Arial" w:eastAsia="Arial" w:hAnsi="Arial"/>
                <w:sz w:val="12"/>
                <w:szCs w:val="12"/>
                <w:color w:val="auto"/>
              </w:rPr>
              <w:t>(The Infosoft Group, LLC)</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(11)</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1,132,039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(8), (11)</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718,567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(83,773)</w:t>
            </w: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IIN Group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Consumer Services</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(Integrative Nutrition,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tcPr>
          <w:p>
            <w:pPr>
              <w:spacing w:after="0"/>
              <w:rPr>
                <w:sz w:val="20"/>
                <w:szCs w:val="20"/>
                <w:color w:val="auto"/>
              </w:rPr>
            </w:pPr>
            <w:r>
              <w:rPr>
                <w:rFonts w:ascii="Arial" w:cs="Arial" w:eastAsia="Arial" w:hAnsi="Arial"/>
                <w:sz w:val="12"/>
                <w:szCs w:val="12"/>
                <w:color w:val="auto"/>
              </w:rPr>
              <w:t>JWC/UMA Holdings, L.P.</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JWC-WE Holdings,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(Walker Edison Furniture Company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tcPr>
          <w:p>
            <w:pPr>
              <w:spacing w:after="0"/>
              <w:rPr>
                <w:sz w:val="20"/>
                <w:szCs w:val="20"/>
                <w:color w:val="auto"/>
              </w:rPr>
            </w:pPr>
            <w:r>
              <w:rPr>
                <w:rFonts w:ascii="Arial" w:cs="Arial" w:eastAsia="Arial" w:hAnsi="Arial"/>
                <w:sz w:val="12"/>
                <w:szCs w:val="12"/>
                <w:color w:val="auto"/>
              </w:rPr>
              <w:t>NXOF Holdings, Inc. (NextiraOne Federal, LLC)</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A (US Dominion,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gridSpan w:val="2"/>
          </w:tcPr>
          <w:p>
            <w:pPr>
              <w:spacing w:after="0"/>
              <w:rPr>
                <w:sz w:val="20"/>
                <w:szCs w:val="20"/>
                <w:color w:val="auto"/>
              </w:rPr>
            </w:pPr>
            <w:r>
              <w:rPr>
                <w:rFonts w:ascii="Arial" w:cs="Arial" w:eastAsia="Arial" w:hAnsi="Arial"/>
                <w:sz w:val="12"/>
                <w:szCs w:val="12"/>
                <w:color w:val="auto"/>
              </w:rPr>
              <w:t>SSC Dominion Holdings, LLC</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240" w:type="dxa"/>
            <w:vAlign w:val="bottom"/>
            <w:gridSpan w:val="2"/>
          </w:tcPr>
          <w:p>
            <w:pPr>
              <w:ind w:left="140"/>
              <w:spacing w:after="0"/>
              <w:rPr>
                <w:sz w:val="20"/>
                <w:szCs w:val="20"/>
                <w:color w:val="auto"/>
              </w:rPr>
            </w:pPr>
            <w:r>
              <w:rPr>
                <w:rFonts w:ascii="Arial" w:cs="Arial" w:eastAsia="Arial" w:hAnsi="Arial"/>
                <w:sz w:val="12"/>
                <w:szCs w:val="12"/>
                <w:color w:val="auto"/>
              </w:rPr>
              <w:t>Class B (US Dominion, Inc.)</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(11)</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1,024,002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(8), (11)</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257,308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524,411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rPr>
                <w:sz w:val="20"/>
                <w:szCs w:val="20"/>
                <w:color w:val="auto"/>
              </w:rPr>
            </w:pPr>
            <w:r>
              <w:rPr>
                <w:rFonts w:ascii="Arial" w:cs="Arial" w:eastAsia="Arial" w:hAnsi="Arial"/>
                <w:sz w:val="12"/>
                <w:szCs w:val="12"/>
                <w:color w:val="auto"/>
              </w:rPr>
              <w:t>UniTek Global Services, Inc. (Warrants)</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(11)</w:t>
            </w: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268,571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Common Equity/Warrants</w:t>
            </w: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16,681,506</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18,069,750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856,893,017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854,753,064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gridSpan w:val="4"/>
          </w:tcPr>
          <w:p>
            <w:pPr>
              <w:spacing w:after="0"/>
              <w:rPr>
                <w:sz w:val="20"/>
                <w:szCs w:val="20"/>
                <w:color w:val="auto"/>
              </w:rPr>
            </w:pPr>
            <w:r>
              <w:rPr>
                <w:rFonts w:ascii="Arial" w:cs="Arial" w:eastAsia="Arial" w:hAnsi="Arial"/>
                <w:sz w:val="12"/>
                <w:szCs w:val="12"/>
                <w:b w:val="1"/>
                <w:bCs w:val="1"/>
                <w:color w:val="auto"/>
                <w:w w:val="99"/>
              </w:rPr>
              <w:t xml:space="preserve">Investments in Controlled, Affiliated Portfolio Companies—27.2% </w:t>
            </w:r>
            <w:r>
              <w:rPr>
                <w:rFonts w:ascii="Arial" w:cs="Arial" w:eastAsia="Arial" w:hAnsi="Arial"/>
                <w:sz w:val="9"/>
                <w:szCs w:val="9"/>
                <w:b w:val="1"/>
                <w:bCs w:val="1"/>
                <w:color w:val="auto"/>
                <w:w w:val="99"/>
              </w:rPr>
              <w:t>(3), (4)</w:t>
            </w: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Debt—18.9%</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5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w w:val="86"/>
              </w:rPr>
              <w:t>05/06/2024</w:t>
            </w:r>
          </w:p>
        </w:tc>
        <w:tc>
          <w:tcPr>
            <w:tcW w:w="24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10.39%</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101,062,500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Equity Interests—8.3%</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6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43,312,500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44,797,729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89"/>
              </w:rPr>
              <w:t>Total Investments in Controlled, Affiliated Portfolio Companies</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144,375,000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145,860,229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Investments—186.7%</w:t>
            </w: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1,001,268,017</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1,000,613,293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Equivalents—13.5%</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tcPr>
          <w:p>
            <w:pPr>
              <w:spacing w:after="0"/>
              <w:rPr>
                <w:sz w:val="20"/>
                <w:szCs w:val="20"/>
                <w:color w:val="auto"/>
              </w:rPr>
            </w:pPr>
            <w:r>
              <w:rPr>
                <w:rFonts w:ascii="Arial" w:cs="Arial" w:eastAsia="Arial" w:hAnsi="Arial"/>
                <w:sz w:val="12"/>
                <w:szCs w:val="12"/>
                <w:color w:val="auto"/>
              </w:rPr>
              <w:t>BlackRock Federal FD Institutional 30</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69,502,018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69,502,018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2,729,783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2,722,165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72,231,801</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72,224,183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Equivalents—200.2%</w:t>
            </w: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1,073,499,818</w:t>
            </w: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1"/>
              </w:rPr>
              <w:t>1,072,837,476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Assets—(100.2)%</w:t>
            </w:r>
          </w:p>
        </w:tc>
        <w:tc>
          <w:tcPr>
            <w:tcW w:w="5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3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(536,995,908)</w:t>
            </w:r>
          </w:p>
        </w:tc>
        <w:tc>
          <w:tcPr>
            <w:tcW w:w="0" w:type="dxa"/>
            <w:vAlign w:val="bottom"/>
          </w:tcPr>
          <w:p>
            <w:pPr>
              <w:spacing w:after="0"/>
              <w:rPr>
                <w:sz w:val="1"/>
                <w:szCs w:val="1"/>
                <w:color w:val="auto"/>
              </w:rPr>
            </w:pPr>
          </w:p>
        </w:tc>
      </w:tr>
      <w:tr>
        <w:trPr>
          <w:trHeight w:val="20"/>
        </w:trPr>
        <w:tc>
          <w:tcPr>
            <w:tcW w:w="3240" w:type="dxa"/>
            <w:vAlign w:val="bottom"/>
            <w:gridSpan w:val="2"/>
            <w:vMerge w:val="restart"/>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54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3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7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300" w:type="dxa"/>
            <w:vAlign w:val="bottom"/>
            <w:tcBorders>
              <w:right w:val="single" w:sz="8" w:color="auto"/>
            </w:tcBorders>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gridSpan w:val="2"/>
            <w:vMerge w:val="continue"/>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535,841,568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3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455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6" w:lineRule="exact"/>
        <w:rPr>
          <w:sz w:val="20"/>
          <w:szCs w:val="20"/>
          <w:color w:val="auto"/>
        </w:rPr>
      </w:pPr>
    </w:p>
    <w:p>
      <w:pPr>
        <w:ind w:left="380" w:right="40" w:hanging="372"/>
        <w:spacing w:after="0" w:line="344" w:lineRule="auto"/>
        <w:tabs>
          <w:tab w:leader="none" w:pos="380" w:val="left"/>
        </w:tabs>
        <w:numPr>
          <w:ilvl w:val="0"/>
          <w:numId w:val="50"/>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82% of our total assets and non-qualifying assets represent 18%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24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Debt—133.1%</w:t>
            </w: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16,225,000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16,029,514</w:t>
            </w:r>
          </w:p>
        </w:tc>
        <w:tc>
          <w:tcPr>
            <w:tcW w:w="3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16,225,000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Alera Group Holdings,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9,177,637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9,098,312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9,177,637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1,771,962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2,983,500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10,945,000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10,805,812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10,780,825</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Metals and Mining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128,248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124,746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141,073</w:t>
            </w:r>
          </w:p>
        </w:tc>
        <w:tc>
          <w:tcPr>
            <w:tcW w:w="12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4,691,657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4,702,500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7.78%</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10,741,453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10,574,347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10,338,648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Anesthesia Consulting &amp; Management, LP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3,970,000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3,935,087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3,890,600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(20,000)</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4,881,581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4,803,856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4,832,765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11,970,000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11,854,093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11,850,300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2,207,741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2,326,329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2,291,698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2,326,329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15,630,360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15,263,130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15,630,360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2,443,750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2,427,358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2,346,000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5.58%</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6,982,500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7,084,560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3,923,223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3,874,613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CD&amp;R TZ Purchaser,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12,375,000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12,094,894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12,359,531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Charming Charlie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12/24/2019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3,961,544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3,935,418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3,367,313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3.00%)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4,589,286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4,573,873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4,313,929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Clarus Glassboards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4,799,506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4,820,775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10.99%</w:t>
            </w:r>
          </w:p>
        </w:tc>
        <w:tc>
          <w:tcPr>
            <w:tcW w:w="680" w:type="dxa"/>
            <w:vAlign w:val="bottom"/>
          </w:tcPr>
          <w:p>
            <w:pPr>
              <w:jc w:val="right"/>
              <w:spacing w:after="0"/>
              <w:rPr>
                <w:sz w:val="20"/>
                <w:szCs w:val="20"/>
                <w:color w:val="auto"/>
              </w:rPr>
            </w:pPr>
            <w:r>
              <w:rPr>
                <w:rFonts w:ascii="Arial" w:cs="Arial" w:eastAsia="Arial" w:hAnsi="Arial"/>
                <w:sz w:val="12"/>
                <w:szCs w:val="12"/>
                <w:color w:val="auto"/>
              </w:rPr>
              <w:t>L+975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6,024,894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5,941,505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5,994,770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19,874,245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19,826,088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19,598,775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9,817,138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Digital Room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11/21/2022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6,737,500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6,618,201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6,670,125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4,353,783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6.01%</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10,621,111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10,592,972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10,621,111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9.33%</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16,743,500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16,527,764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16,827,218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7,657,615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7,627,450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7,581,039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10,265,559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10,180,889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10,265,559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12,228,162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12,344,063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5,862,500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5,846,053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5,386,172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7.56%</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5,918,532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5,850,581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5,740,976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7,032,993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6,999,227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6,962,663</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E+800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12,127,444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12,605,265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14,337,076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6,693,710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3,234,375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3,328,240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530,973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7,465,921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Instant Web, LLC, Term Loan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12.30%</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4,475,493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6,486,278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Inventus Power,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4,726,503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4,701,985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4,442,913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Jackson Hewitt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4,653,450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4,596,122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4,467,312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4,002,471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3,936,841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3,889,079</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12,140,282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11,975,690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12,140,282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6.16%</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241,935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967,742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10,036,631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10,098,000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4,954,937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4,935,975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3,740,977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Lombart Brothers,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6,170,275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9.75%</w:t>
            </w:r>
          </w:p>
        </w:tc>
        <w:tc>
          <w:tcPr>
            <w:tcW w:w="680" w:type="dxa"/>
            <w:vAlign w:val="bottom"/>
          </w:tcPr>
          <w:p>
            <w:pPr>
              <w:jc w:val="right"/>
              <w:spacing w:after="0"/>
              <w:rPr>
                <w:sz w:val="20"/>
                <w:szCs w:val="20"/>
                <w:color w:val="auto"/>
              </w:rPr>
            </w:pPr>
            <w:r>
              <w:rPr>
                <w:rFonts w:ascii="Arial" w:cs="Arial" w:eastAsia="Arial" w:hAnsi="Arial"/>
                <w:sz w:val="12"/>
                <w:szCs w:val="12"/>
                <w:color w:val="auto"/>
              </w:rPr>
              <w:t>P+550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778,761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460,177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4,238,073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4,204,738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4,195,692</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14,409,375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14,275,705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14,439,347</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01/27/2021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3,377,372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3,335,177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3,377,372</w:t>
            </w:r>
          </w:p>
        </w:tc>
        <w:tc>
          <w:tcPr>
            <w:tcW w:w="120" w:type="dxa"/>
            <w:vAlign w:val="bottom"/>
          </w:tcPr>
          <w:p>
            <w:pPr>
              <w:spacing w:after="0"/>
              <w:rPr>
                <w:sz w:val="13"/>
                <w:szCs w:val="13"/>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20" w:type="dxa"/>
            <w:vAlign w:val="bottom"/>
            <w:shd w:val="clear" w:color="auto" w:fill="CCECFF"/>
          </w:tcPr>
          <w:p>
            <w:pPr>
              <w:ind w:left="140"/>
              <w:spacing w:after="0"/>
              <w:rPr>
                <w:sz w:val="20"/>
                <w:szCs w:val="20"/>
                <w:color w:val="auto"/>
              </w:rPr>
            </w:pPr>
            <w:r>
              <w:rPr>
                <w:rFonts w:ascii="Arial" w:cs="Arial" w:eastAsia="Arial" w:hAnsi="Arial"/>
                <w:sz w:val="11"/>
                <w:szCs w:val="11"/>
                <w:color w:val="auto"/>
                <w:w w:val="74"/>
              </w:rPr>
              <w:t>C</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17,070,749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11,982,846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13,581,250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1,243,309</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09/30/2024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7,425,000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7,533,750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(3,592)</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9.49%</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26,729,488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26,513,908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14,625,000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14,241,842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14,405,625</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7.08%</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8,717,647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8,682,164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7,845,882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03/03/2022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2,699,796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19,874,203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10,045,209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PT Network,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7.82%</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8,383,771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2,291,100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6.02%</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9,625,000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9,509,035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9,288,125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19,654,762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19,296,231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19,753,036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Softvision,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8,678,587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Sundial Group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08/15/2024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5.99%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9,851,797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Survey Sampling International,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12/16/2020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6.27%</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5,394,946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5,366,833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5,287,047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7,882,265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6.08%</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4,603,617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4,295,470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8,139,730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6.81%</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3,037,176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5,879,466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8,856,365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8,730,717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8,812,084</w:t>
            </w: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577,759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2,905,664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6.56%</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11,374,590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11,277,723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11,362,740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(2,771)</w:t>
            </w: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(917)</w:t>
            </w:r>
          </w:p>
        </w:tc>
      </w:tr>
      <w:tr>
        <w:trPr>
          <w:trHeight w:val="141"/>
        </w:trPr>
        <w:tc>
          <w:tcPr>
            <w:tcW w:w="302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7,312,500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7,278,094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7,358,203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Vistage Worldwide,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5,029,514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4,994,127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5,042,087</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7,695,662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7,636,513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7,734,140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7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tcBorders>
              <w:bottom w:val="single" w:sz="8" w:color="CCECFF"/>
            </w:tcBorders>
          </w:tcPr>
          <w:p>
            <w:pPr>
              <w:spacing w:after="0"/>
              <w:rPr>
                <w:sz w:val="12"/>
                <w:szCs w:val="12"/>
                <w:color w:val="auto"/>
              </w:rPr>
            </w:pPr>
          </w:p>
        </w:tc>
        <w:tc>
          <w:tcPr>
            <w:tcW w:w="2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607,582,054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609,668,554</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Debt—8.3%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03/31/2025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14,700,169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11.84%</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1,976,823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11,064,344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10,992,000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MailSouth,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3,714,927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2,462,500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08/01/2018</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2,792,500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2,720,508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1,144,925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2,623,765</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2,663,719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39,263,036</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37,833,394</w:t>
            </w:r>
          </w:p>
        </w:tc>
        <w:tc>
          <w:tcPr>
            <w:tcW w:w="100" w:type="dxa"/>
            <w:vAlign w:val="bottom"/>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12/31/2021</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417,458</w:t>
            </w:r>
          </w:p>
        </w:tc>
        <w:tc>
          <w:tcPr>
            <w:tcW w:w="100" w:type="dxa"/>
            <w:vAlign w:val="bottom"/>
          </w:tcPr>
          <w:p>
            <w:pPr>
              <w:spacing w:after="0"/>
              <w:rPr>
                <w:sz w:val="13"/>
                <w:szCs w:val="13"/>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(PIK 17.00%)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10/26/2020</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2,051,232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Sonny's Enterprises,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4,662,663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173,933</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7,267,407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7,432,373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472,846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1,509,417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1,982,263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2,263,885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339,402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By Light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2,601,944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429,091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204,710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631,240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(The Infosoft Group,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16,020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342,767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1,274,388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10,283,190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10,057,055</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665,514,821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666,973,639</w:t>
            </w:r>
          </w:p>
        </w:tc>
        <w:tc>
          <w:tcPr>
            <w:tcW w:w="100" w:type="dxa"/>
            <w:vAlign w:val="bottom"/>
            <w:tcBorders>
              <w:bottom w:val="single" w:sz="8" w:color="CCECFF"/>
            </w:tcBorders>
          </w:tcPr>
          <w:p>
            <w:pPr>
              <w:spacing w:after="0"/>
              <w:rPr>
                <w:sz w:val="12"/>
                <w:szCs w:val="12"/>
                <w:color w:val="auto"/>
              </w:rPr>
            </w:pPr>
          </w:p>
        </w:tc>
      </w:tr>
      <w:tr>
        <w:trPr>
          <w:trHeight w:val="142"/>
        </w:trPr>
        <w:tc>
          <w:tcPr>
            <w:tcW w:w="39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8"/>
              </w:rPr>
              <w:t xml:space="preserve">Investments in Controlled, Affiliated Portfolio Companies—9.5% </w:t>
            </w:r>
            <w:r>
              <w:rPr>
                <w:rFonts w:ascii="Arial" w:cs="Arial" w:eastAsia="Arial" w:hAnsi="Arial"/>
                <w:sz w:val="9"/>
                <w:szCs w:val="9"/>
                <w:b w:val="1"/>
                <w:bCs w:val="1"/>
                <w:color w:val="auto"/>
                <w:w w:val="98"/>
              </w:rPr>
              <w:t>(3), (4)</w:t>
            </w: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Notes—6.6%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05/06/2024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9"/>
                <w:szCs w:val="9"/>
                <w:b w:val="1"/>
                <w:bCs w:val="1"/>
                <w:color w:val="auto"/>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12,900,000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13,425,143</w:t>
            </w:r>
          </w:p>
        </w:tc>
        <w:tc>
          <w:tcPr>
            <w:tcW w:w="100" w:type="dxa"/>
            <w:vAlign w:val="bottom"/>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43,525,143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Investments—155.2%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708,514,821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710,498,782</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Cash and Cash Equivalents—4.1%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16,818,166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16,818,166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2,029,507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2,092,590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18,847,673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18,910,756</w:t>
            </w:r>
          </w:p>
        </w:tc>
        <w:tc>
          <w:tcPr>
            <w:tcW w:w="100" w:type="dxa"/>
            <w:vAlign w:val="bottom"/>
            <w:shd w:val="clear" w:color="auto" w:fill="CCECFF"/>
          </w:tcPr>
          <w:p>
            <w:pPr>
              <w:spacing w:after="0"/>
              <w:rPr>
                <w:sz w:val="12"/>
                <w:szCs w:val="12"/>
                <w:color w:val="auto"/>
              </w:rPr>
            </w:pPr>
          </w:p>
        </w:tc>
      </w:tr>
      <w:tr>
        <w:trPr>
          <w:trHeight w:val="18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Equivalents—159.3%</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264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8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727,362,494</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729,409,538</w:t>
            </w:r>
          </w:p>
        </w:tc>
        <w:tc>
          <w:tcPr>
            <w:tcW w:w="100" w:type="dxa"/>
            <w:vAlign w:val="bottom"/>
            <w:tcBorders>
              <w:bottom w:val="single" w:sz="8" w:color="CCECFF"/>
            </w:tcBorders>
          </w:tcPr>
          <w:p>
            <w:pPr>
              <w:spacing w:after="0"/>
              <w:rPr>
                <w:sz w:val="15"/>
                <w:szCs w:val="15"/>
                <w:color w:val="auto"/>
              </w:rPr>
            </w:pPr>
          </w:p>
        </w:tc>
      </w:tr>
      <w:tr>
        <w:trPr>
          <w:trHeight w:val="129"/>
        </w:trPr>
        <w:tc>
          <w:tcPr>
            <w:tcW w:w="300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Assets—(59.3)%</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(271,503,264)</w:t>
            </w: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5"/>
              </w:rPr>
              <w:t>457,906,274</w:t>
            </w:r>
          </w:p>
        </w:tc>
        <w:tc>
          <w:tcPr>
            <w:tcW w:w="10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63" w:lineRule="exact"/>
        <w:rPr>
          <w:sz w:val="20"/>
          <w:szCs w:val="20"/>
          <w:color w:val="auto"/>
        </w:rPr>
      </w:pPr>
    </w:p>
    <w:p>
      <w:pPr>
        <w:ind w:left="380" w:right="120" w:hanging="372"/>
        <w:spacing w:after="0" w:line="252" w:lineRule="auto"/>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EURIBOR or “E,”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2018</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160" w:firstLine="438"/>
        <w:spacing w:after="0" w:line="248" w:lineRule="auto"/>
        <w:rPr>
          <w:sz w:val="20"/>
          <w:szCs w:val="20"/>
          <w:color w:val="auto"/>
        </w:rPr>
      </w:pPr>
      <w:r>
        <w:rPr>
          <w:rFonts w:ascii="Arial" w:cs="Arial" w:eastAsia="Arial" w:hAnsi="Arial"/>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3"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9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$405 million at LIBOR plus 200 basis points during the revolving period. The Credit Facility is secured by all of the assets held by Funding I. See Note 11.</w:t>
      </w:r>
    </w:p>
    <w:p>
      <w:pPr>
        <w:spacing w:after="0" w:line="10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was formed as a Delaware limited liability company. See Note 4.</w:t>
      </w:r>
    </w:p>
    <w:p>
      <w:pPr>
        <w:spacing w:after="0" w:line="124" w:lineRule="exact"/>
        <w:rPr>
          <w:sz w:val="20"/>
          <w:szCs w:val="20"/>
          <w:color w:val="auto"/>
        </w:rPr>
      </w:pPr>
    </w:p>
    <w:p>
      <w:pPr>
        <w:ind w:right="400" w:firstLine="438"/>
        <w:spacing w:after="0" w:line="238" w:lineRule="auto"/>
        <w:rPr>
          <w:sz w:val="20"/>
          <w:szCs w:val="20"/>
          <w:color w:val="auto"/>
        </w:rPr>
      </w:pPr>
      <w:r>
        <w:rPr>
          <w:rFonts w:ascii="Arial" w:cs="Arial" w:eastAsia="Arial" w:hAnsi="Arial"/>
          <w:sz w:val="14"/>
          <w:szCs w:val="14"/>
          <w:color w:val="auto"/>
        </w:rPr>
        <w:t>In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our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99"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59"/>
        <w:spacing w:after="0" w:line="253" w:lineRule="auto"/>
        <w:tabs>
          <w:tab w:leader="none" w:pos="9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ind w:left="920" w:right="60" w:hanging="359"/>
        <w:spacing w:after="0" w:line="253" w:lineRule="auto"/>
        <w:tabs>
          <w:tab w:leader="none" w:pos="9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ind w:left="920" w:right="280"/>
        <w:spacing w:after="0" w:line="253" w:lineRule="auto"/>
        <w:rPr>
          <w:sz w:val="20"/>
          <w:szCs w:val="20"/>
          <w:color w:val="auto"/>
        </w:rPr>
      </w:pPr>
      <w:r>
        <w:rPr>
          <w:rFonts w:ascii="Arial" w:cs="Arial" w:eastAsia="Arial" w:hAnsi="Arial"/>
          <w:sz w:val="14"/>
          <w:szCs w:val="14"/>
          <w:color w:val="auto"/>
        </w:rPr>
        <w:t>preliminary valuations in light of their own independent assessment and also in light of any market quotations obtained from an independent pricing service, broker, dealer or market maker;</w:t>
      </w:r>
    </w:p>
    <w:p>
      <w:pPr>
        <w:spacing w:after="0" w:line="106" w:lineRule="exact"/>
        <w:rPr>
          <w:sz w:val="20"/>
          <w:szCs w:val="20"/>
          <w:color w:val="auto"/>
        </w:rPr>
      </w:pPr>
    </w:p>
    <w:p>
      <w:pPr>
        <w:ind w:left="920" w:right="260" w:hanging="359"/>
        <w:spacing w:after="0" w:line="238" w:lineRule="auto"/>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40" w:hanging="359"/>
        <w:spacing w:after="0" w:line="253" w:lineRule="auto"/>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98" w:lineRule="exact"/>
        <w:rPr>
          <w:sz w:val="20"/>
          <w:szCs w:val="20"/>
          <w:color w:val="auto"/>
        </w:rPr>
      </w:pPr>
    </w:p>
    <w:p>
      <w:pPr>
        <w:ind w:right="30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have complied with the requirements of Subchapter M of the Code and expect to be treated as a RIC for federal income tax purposes. In this regard, we account for income taxes using the asset and liability method prescribed by ASC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the years ended September 30, 2018, 2017 and 2016, we recorded a provision for taxes of $0.8 million, $0.3 million and zero, respectively, pertaining to U.S. federal excise tax.</w:t>
      </w:r>
    </w:p>
    <w:p>
      <w:pPr>
        <w:spacing w:after="0" w:line="99" w:lineRule="exact"/>
        <w:rPr>
          <w:sz w:val="20"/>
          <w:szCs w:val="20"/>
          <w:color w:val="auto"/>
        </w:rPr>
      </w:pPr>
    </w:p>
    <w:p>
      <w:pPr>
        <w:ind w:right="20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of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23"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22"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920" w:hanging="359"/>
        <w:spacing w:after="0"/>
        <w:tabs>
          <w:tab w:leader="none" w:pos="9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8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including the Taxable Subsidiary, in our Consolidated Financial Statements. We do not consolidate our non-controlling interest in PSSL. See further description of our investment in PSSL in Note 4.</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23"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9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2018, 2017 and 2016, the Investment Adviser earned a base management fee of $8.4 million, $6.9 million and $5.0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years ended September 30, 2018, 2017 and 2016, the Investment Adviser earned $3.5 million, $4.9 million and $3.7 million, respectively, in incentive fees on net investment income from us.</w:t>
      </w:r>
    </w:p>
    <w:p>
      <w:pPr>
        <w:spacing w:after="0" w:line="102"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accrued an incentive fee on capital gains of approximately $(0.1) million, $0.1 million and zero, respectively, as calculated under the Investment Management Agreement (as described above).</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2018, 2017 and 2016 was $(1.0) million, $1.2 million and $1.1 million, respectively.</w:t>
      </w:r>
    </w:p>
    <w:p>
      <w:pPr>
        <w:spacing w:after="0" w:line="102"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2018.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2018, 2017 and 2016, we reimbursed the Investment Adviser approximately $1.3 million, $1.7 million and $0.8 million, respectively, including expenses the Investment Adviser incurred on behalf of the Administrator, for services described above.</w:t>
      </w:r>
    </w:p>
    <w:p>
      <w:pPr>
        <w:spacing w:after="0" w:line="111"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During the years ended September 30, 2018 and 2017, the Company purchased $3.9 million $38.1 million, respectively, from and sold zero and $5.0 million in total investments to an affiliated fund managed by our Investment Adviser in accordance with, and pursuant to procedures adopted under, Rule 17a-7 of the 1940 Act. Realized gains on those sales for the same periods amounted to zero and less than $0.1 million, respectively. There were no transactions in accordance with Rule 17a-7 of the 1940 Act during the year ended September 30, 2016.</w:t>
      </w:r>
    </w:p>
    <w:p>
      <w:pPr>
        <w:spacing w:after="0" w:line="101"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years ended September 30, 2018 and 2017, we sold $108.0 million and $85.1 million investments, respectively, in investments to PSSL at fair value and recognized $0.8 million and $0.4 million of net realized gains for the same periods, respectively. There were no transactions with PSSL during the year ended September 30, 2016.</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Purchases of investments, including PIK interest, for the years ended September 30, 2018, 2017 and 2016 totaled $683.4 million, $509.5 million and $364.6 million, respectively. Sales and repayments of investments for the same periods totaled $391.4 million, $406.5 million and $164.2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312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Pr>
          <w:p>
            <w:pPr>
              <w:spacing w:after="0"/>
              <w:rPr>
                <w:sz w:val="14"/>
                <w:szCs w:val="14"/>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817,243,688</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812,235,476</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607,582,054</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 xml:space="preserve">First lien in PSSL </w:t>
            </w:r>
            <w:r>
              <w:rPr>
                <w:rFonts w:ascii="Arial" w:cs="Arial" w:eastAsia="Arial" w:hAnsi="Arial"/>
                <w:sz w:val="12"/>
                <w:szCs w:val="12"/>
                <w:color w:val="auto"/>
              </w:rPr>
              <w:t>(1)</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20,904,958</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21,234,713</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39,263,036</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37,833,394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7,267,407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7,432,373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Subordinated debt in PSSL </w:t>
            </w:r>
            <w:r>
              <w:rPr>
                <w:rFonts w:ascii="Arial" w:cs="Arial" w:eastAsia="Arial" w:hAnsi="Arial"/>
                <w:sz w:val="12"/>
                <w:szCs w:val="12"/>
                <w:color w:val="auto"/>
              </w:rPr>
              <w:t>(1)</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30,100,000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18,744,371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21,282,875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11,402,324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12,039,318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43,312,500</w:t>
            </w:r>
          </w:p>
        </w:tc>
        <w:tc>
          <w:tcPr>
            <w:tcW w:w="28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12,900,000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1,001,268,017</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708,514,821</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710,498,782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72,231,801</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18,847,673</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18,910,756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1,073,499,818</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1,072,837,476</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727,362,494</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729,409,538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4"/>
          <w:szCs w:val="14"/>
          <w:color w:val="auto"/>
        </w:rPr>
        <w:t>During the three months ended March 31, 2018, our subordinated debt in PSSL was exchanged into first lien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1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820" w:type="dxa"/>
            <w:vAlign w:val="bottom"/>
            <w:tcBorders>
              <w:bottom w:val="single" w:sz="8" w:color="auto"/>
            </w:tcBorders>
          </w:tcPr>
          <w:p>
            <w:pPr>
              <w:spacing w:after="0"/>
              <w:rPr>
                <w:sz w:val="14"/>
                <w:szCs w:val="14"/>
                <w:color w:val="auto"/>
              </w:rPr>
            </w:pP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2018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2017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9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Consumer Goods: Non-Durable</w:t>
            </w:r>
          </w:p>
        </w:tc>
        <w:tc>
          <w:tcPr>
            <w:tcW w:w="2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11%</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3"/>
                <w:szCs w:val="13"/>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Capital Equipment</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Consumer Goods: Durable</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Healthcare and Pharmaceuticals</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Wholesale</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60" w:type="dxa"/>
            <w:vAlign w:val="bottom"/>
            <w:shd w:val="clear" w:color="auto" w:fill="CCECFF"/>
          </w:tcPr>
          <w:p>
            <w:pPr>
              <w:spacing w:after="0"/>
              <w:rPr>
                <w:sz w:val="20"/>
                <w:szCs w:val="20"/>
                <w:color w:val="auto"/>
              </w:rPr>
            </w:pPr>
            <w:r>
              <w:rPr>
                <w:rFonts w:ascii="Arial" w:cs="Arial" w:eastAsia="Arial" w:hAnsi="Arial"/>
                <w:sz w:val="14"/>
                <w:szCs w:val="14"/>
                <w:color w:val="auto"/>
                <w:w w:val="94"/>
              </w:rPr>
              <w:t>Retail</w:t>
            </w:r>
          </w:p>
        </w:tc>
        <w:tc>
          <w:tcPr>
            <w:tcW w:w="2580" w:type="dxa"/>
            <w:vAlign w:val="bottom"/>
            <w:shd w:val="clear" w:color="auto" w:fill="CCECFF"/>
          </w:tcPr>
          <w:p>
            <w:pPr>
              <w:spacing w:after="0"/>
              <w:rPr>
                <w:sz w:val="14"/>
                <w:szCs w:val="14"/>
                <w:color w:val="auto"/>
              </w:rPr>
            </w:pP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Media: Broadcasting and Subscription</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All Other</w:t>
            </w:r>
          </w:p>
        </w:tc>
        <w:tc>
          <w:tcPr>
            <w:tcW w:w="3020" w:type="dxa"/>
            <w:vAlign w:val="bottom"/>
            <w:gridSpan w:val="2"/>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94"/>
        </w:trPr>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36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2018, PSSL had total assets of $443.4 million. As of the same date, we and Kemper had remaining commitments to fund first lien secured debt and equity interests in PSSL in an aggregate amount of $45.0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1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2018, we and Kemper owned 87.5% and 12.5%, respectively, of each of the outstanding first lien secured debt and equity interests. As of the same date, our investment in PSSL consisted of first lien secured debt of $101.1 million and equity interests of $43.3 million. As of the same date, we had commitments to fund first lien secured debt to PSSL of $128.6 million, of which $27.5 million was unfunded. As of September 30, 2018, we had commitments to fund equity interests in PSSL of $55.1 million, of which $11.8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PSSL Subsidiary, which as of September 30, 2018 allowed PSSL Subsidiary to borrow up to $420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2017</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99,994,314</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7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21,152,781</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8,080,000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78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34,935,330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40" w:type="dxa"/>
            <w:vAlign w:val="bottom"/>
          </w:tcPr>
          <w:p>
            <w:pPr>
              <w:jc w:val="center"/>
              <w:ind w:left="2"/>
              <w:spacing w:after="0"/>
              <w:rPr>
                <w:sz w:val="20"/>
                <w:szCs w:val="20"/>
                <w:color w:val="auto"/>
              </w:rPr>
            </w:pPr>
            <w:r>
              <w:rPr>
                <w:rFonts w:ascii="Arial" w:cs="Arial" w:eastAsia="Arial" w:hAnsi="Arial"/>
                <w:sz w:val="12"/>
                <w:szCs w:val="12"/>
                <w:b w:val="1"/>
                <w:bCs w:val="1"/>
                <w:color w:val="auto"/>
                <w:w w:val="94"/>
              </w:rPr>
              <w:t>Maturity</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Companies—830.9%</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04/04/2022</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Transportation: Consumer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4,910,720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08/01/2024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04/22/2024</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04/06/2023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05/16/2022</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800" w:type="dxa"/>
            <w:vAlign w:val="bottom"/>
          </w:tcPr>
          <w:p>
            <w:pPr>
              <w:jc w:val="right"/>
              <w:spacing w:after="0"/>
              <w:rPr>
                <w:sz w:val="20"/>
                <w:szCs w:val="20"/>
                <w:color w:val="auto"/>
              </w:rPr>
            </w:pPr>
            <w:r>
              <w:rPr>
                <w:rFonts w:ascii="Arial" w:cs="Arial" w:eastAsia="Arial" w:hAnsi="Arial"/>
                <w:sz w:val="12"/>
                <w:szCs w:val="12"/>
                <w:color w:val="auto"/>
              </w:rPr>
              <w:t>3M L+725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800" w:type="dxa"/>
            <w:vAlign w:val="bottom"/>
          </w:tcPr>
          <w:p>
            <w:pPr>
              <w:jc w:val="right"/>
              <w:spacing w:after="0"/>
              <w:rPr>
                <w:sz w:val="20"/>
                <w:szCs w:val="20"/>
                <w:color w:val="auto"/>
              </w:rPr>
            </w:pPr>
            <w:r>
              <w:rPr>
                <w:rFonts w:ascii="Arial" w:cs="Arial" w:eastAsia="Arial" w:hAnsi="Arial"/>
                <w:sz w:val="12"/>
                <w:szCs w:val="12"/>
                <w:color w:val="auto"/>
              </w:rPr>
              <w:t>1M L+575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7,381,442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7,424,433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08/31/2023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03/31/2023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800" w:type="dxa"/>
            <w:vAlign w:val="bottom"/>
          </w:tcPr>
          <w:p>
            <w:pPr>
              <w:jc w:val="right"/>
              <w:spacing w:after="0"/>
              <w:rPr>
                <w:sz w:val="20"/>
                <w:szCs w:val="20"/>
                <w:color w:val="auto"/>
              </w:rPr>
            </w:pPr>
            <w:r>
              <w:rPr>
                <w:rFonts w:ascii="Arial" w:cs="Arial" w:eastAsia="Arial" w:hAnsi="Arial"/>
                <w:sz w:val="12"/>
                <w:szCs w:val="12"/>
                <w:color w:val="auto"/>
              </w:rPr>
              <w:t>3M L+500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4,218,011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08/02/2021</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Deva Holdings, Inc.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10/31/2023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800" w:type="dxa"/>
            <w:vAlign w:val="bottom"/>
          </w:tcPr>
          <w:p>
            <w:pPr>
              <w:jc w:val="right"/>
              <w:spacing w:after="0"/>
              <w:rPr>
                <w:sz w:val="20"/>
                <w:szCs w:val="20"/>
                <w:color w:val="auto"/>
              </w:rPr>
            </w:pPr>
            <w:r>
              <w:rPr>
                <w:rFonts w:ascii="Arial" w:cs="Arial" w:eastAsia="Arial" w:hAnsi="Arial"/>
                <w:sz w:val="12"/>
                <w:szCs w:val="12"/>
                <w:color w:val="auto"/>
              </w:rPr>
              <w:t>3M L+550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12/29/2023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03/29/2022</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800" w:type="dxa"/>
            <w:vAlign w:val="bottom"/>
          </w:tcPr>
          <w:p>
            <w:pPr>
              <w:jc w:val="right"/>
              <w:spacing w:after="0"/>
              <w:rPr>
                <w:sz w:val="20"/>
                <w:szCs w:val="20"/>
                <w:color w:val="auto"/>
              </w:rPr>
            </w:pPr>
            <w:r>
              <w:rPr>
                <w:rFonts w:ascii="Arial" w:cs="Arial" w:eastAsia="Arial" w:hAnsi="Arial"/>
                <w:sz w:val="12"/>
                <w:szCs w:val="12"/>
                <w:color w:val="auto"/>
              </w:rPr>
              <w:t>3M L+575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09/30/2022</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05/30/2025</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Transportation: Cargo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3M L+425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05/31/2024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Banking, Finance, Insurance and Real Estate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36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GCOM Software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800" w:type="dxa"/>
            <w:vAlign w:val="bottom"/>
          </w:tcPr>
          <w:p>
            <w:pPr>
              <w:jc w:val="right"/>
              <w:spacing w:after="0"/>
              <w:rPr>
                <w:sz w:val="20"/>
                <w:szCs w:val="20"/>
                <w:color w:val="auto"/>
              </w:rPr>
            </w:pPr>
            <w:r>
              <w:rPr>
                <w:rFonts w:ascii="Arial" w:cs="Arial" w:eastAsia="Arial" w:hAnsi="Arial"/>
                <w:sz w:val="12"/>
                <w:szCs w:val="12"/>
                <w:color w:val="auto"/>
              </w:rPr>
              <w:t>3M L+750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06/29/2023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GSM Holdings, Inc.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800" w:type="dxa"/>
            <w:vAlign w:val="bottom"/>
          </w:tcPr>
          <w:p>
            <w:pPr>
              <w:jc w:val="right"/>
              <w:spacing w:after="0"/>
              <w:rPr>
                <w:sz w:val="20"/>
                <w:szCs w:val="20"/>
                <w:color w:val="auto"/>
              </w:rPr>
            </w:pPr>
            <w:r>
              <w:rPr>
                <w:rFonts w:ascii="Arial" w:cs="Arial" w:eastAsia="Arial" w:hAnsi="Arial"/>
                <w:sz w:val="12"/>
                <w:szCs w:val="12"/>
                <w:color w:val="auto"/>
              </w:rPr>
              <w:t>3M L+450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06/27/2023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12/12/2023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1M L+475</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08/19/2022</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05/01/2023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7,319,871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7,002,246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12/08/2023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01/27/2021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Media: Diversified and Production</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800" w:type="dxa"/>
            <w:vAlign w:val="bottom"/>
          </w:tcPr>
          <w:p>
            <w:pPr>
              <w:jc w:val="right"/>
              <w:spacing w:after="0"/>
              <w:rPr>
                <w:sz w:val="20"/>
                <w:szCs w:val="20"/>
                <w:color w:val="auto"/>
              </w:rPr>
            </w:pPr>
            <w:r>
              <w:rPr>
                <w:rFonts w:ascii="Arial" w:cs="Arial" w:eastAsia="Arial" w:hAnsi="Arial"/>
                <w:sz w:val="12"/>
                <w:szCs w:val="12"/>
                <w:color w:val="auto"/>
              </w:rPr>
              <w:t>P+275</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80" w:type="dxa"/>
            <w:vAlign w:val="bottom"/>
          </w:tcPr>
          <w:p>
            <w:pPr>
              <w:jc w:val="right"/>
              <w:spacing w:after="0"/>
              <w:rPr>
                <w:sz w:val="20"/>
                <w:szCs w:val="20"/>
                <w:color w:val="auto"/>
              </w:rPr>
            </w:pPr>
            <w:r>
              <w:rPr>
                <w:rFonts w:ascii="Arial" w:cs="Arial" w:eastAsia="Arial" w:hAnsi="Arial"/>
                <w:sz w:val="12"/>
                <w:szCs w:val="12"/>
                <w:color w:val="auto"/>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4,486,587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12/27/2023</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09/30/2024</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7,359,161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09/28/2022</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02/10/2023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800" w:type="dxa"/>
            <w:vAlign w:val="bottom"/>
          </w:tcPr>
          <w:p>
            <w:pPr>
              <w:jc w:val="right"/>
              <w:spacing w:after="0"/>
              <w:rPr>
                <w:sz w:val="20"/>
                <w:szCs w:val="20"/>
                <w:color w:val="auto"/>
              </w:rPr>
            </w:pPr>
            <w:r>
              <w:rPr>
                <w:rFonts w:ascii="Arial" w:cs="Arial" w:eastAsia="Arial" w:hAnsi="Arial"/>
                <w:sz w:val="12"/>
                <w:szCs w:val="12"/>
                <w:color w:val="auto"/>
              </w:rPr>
              <w:t>3M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06/06/2024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Olde Thompson,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05/14/2024</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03/27/2024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07/19/2021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4,054,683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12/01/2022</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12/02/2021</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04/03/2024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08/30/2024</w:t>
            </w:r>
          </w:p>
        </w:tc>
        <w:tc>
          <w:tcPr>
            <w:tcW w:w="2540" w:type="dxa"/>
            <w:vAlign w:val="bottom"/>
            <w:gridSpan w:val="2"/>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800" w:type="dxa"/>
            <w:vAlign w:val="bottom"/>
          </w:tcPr>
          <w:p>
            <w:pPr>
              <w:jc w:val="right"/>
              <w:spacing w:after="0"/>
              <w:rPr>
                <w:sz w:val="20"/>
                <w:szCs w:val="20"/>
                <w:color w:val="auto"/>
              </w:rPr>
            </w:pPr>
            <w:r>
              <w:rPr>
                <w:rFonts w:ascii="Arial" w:cs="Arial" w:eastAsia="Arial" w:hAnsi="Arial"/>
                <w:sz w:val="12"/>
                <w:szCs w:val="12"/>
                <w:color w:val="auto"/>
              </w:rPr>
              <w:t>1M L+500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8,352,305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07/15/2024</w:t>
            </w:r>
          </w:p>
        </w:tc>
        <w:tc>
          <w:tcPr>
            <w:tcW w:w="25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40" w:type="dxa"/>
            <w:vAlign w:val="bottom"/>
          </w:tcPr>
          <w:p>
            <w:pPr>
              <w:jc w:val="center"/>
              <w:ind w:left="2"/>
              <w:spacing w:after="0"/>
              <w:rPr>
                <w:sz w:val="20"/>
                <w:szCs w:val="20"/>
                <w:color w:val="auto"/>
              </w:rPr>
            </w:pPr>
            <w:r>
              <w:rPr>
                <w:rFonts w:ascii="Arial" w:cs="Arial" w:eastAsia="Arial" w:hAnsi="Arial"/>
                <w:sz w:val="12"/>
                <w:szCs w:val="12"/>
                <w:color w:val="auto"/>
                <w:w w:val="86"/>
              </w:rPr>
              <w:t>03/01/2023</w:t>
            </w:r>
          </w:p>
        </w:tc>
        <w:tc>
          <w:tcPr>
            <w:tcW w:w="254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4,678,730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4,636,563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4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10/18/2022</w:t>
            </w:r>
          </w:p>
        </w:tc>
        <w:tc>
          <w:tcPr>
            <w:tcW w:w="25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40" w:type="dxa"/>
            <w:vAlign w:val="bottom"/>
            <w:tcBorders>
              <w:bottom w:val="single" w:sz="8" w:color="CCECFF"/>
            </w:tcBorders>
          </w:tcPr>
          <w:p>
            <w:pPr>
              <w:jc w:val="center"/>
              <w:ind w:left="2"/>
              <w:spacing w:after="0"/>
              <w:rPr>
                <w:sz w:val="20"/>
                <w:szCs w:val="20"/>
                <w:color w:val="auto"/>
              </w:rPr>
            </w:pPr>
            <w:r>
              <w:rPr>
                <w:rFonts w:ascii="Arial" w:cs="Arial" w:eastAsia="Arial" w:hAnsi="Arial"/>
                <w:sz w:val="12"/>
                <w:szCs w:val="12"/>
                <w:color w:val="auto"/>
                <w:w w:val="86"/>
              </w:rPr>
              <w:t>02/12/2024</w:t>
            </w:r>
          </w:p>
        </w:tc>
        <w:tc>
          <w:tcPr>
            <w:tcW w:w="254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8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2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4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4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4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40" w:type="dxa"/>
            <w:vAlign w:val="bottom"/>
            <w:tcBorders>
              <w:bottom w:val="single" w:sz="8" w:color="CCECFF"/>
            </w:tcBorders>
          </w:tcPr>
          <w:p>
            <w:pPr>
              <w:spacing w:after="0"/>
              <w:rPr>
                <w:sz w:val="12"/>
                <w:szCs w:val="12"/>
                <w:color w:val="auto"/>
              </w:rPr>
            </w:pP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40" w:type="dxa"/>
            <w:vAlign w:val="bottom"/>
            <w:tcBorders>
              <w:bottom w:val="single" w:sz="8" w:color="CCECFF"/>
            </w:tcBorders>
            <w:shd w:val="clear" w:color="auto" w:fill="CCECFF"/>
          </w:tcPr>
          <w:p>
            <w:pPr>
              <w:spacing w:after="0"/>
              <w:rPr>
                <w:sz w:val="12"/>
                <w:szCs w:val="12"/>
                <w:color w:val="auto"/>
              </w:rPr>
            </w:pPr>
          </w:p>
        </w:tc>
        <w:tc>
          <w:tcPr>
            <w:tcW w:w="24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438,941,641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(387,744,237)</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40" w:type="dxa"/>
            <w:vAlign w:val="bottom"/>
            <w:tcBorders>
              <w:bottom w:val="single" w:sz="8" w:color="CCECFF"/>
            </w:tcBorders>
            <w:shd w:val="clear" w:color="auto" w:fill="CCECFF"/>
          </w:tcPr>
          <w:p>
            <w:pPr>
              <w:spacing w:after="0"/>
              <w:rPr>
                <w:sz w:val="12"/>
                <w:szCs w:val="12"/>
                <w:color w:val="auto"/>
              </w:rPr>
            </w:pPr>
          </w:p>
        </w:tc>
        <w:tc>
          <w:tcPr>
            <w:tcW w:w="24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76" w:lineRule="auto"/>
        <w:tabs>
          <w:tab w:leader="none" w:pos="3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294"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Companies—651.7%</w:t>
            </w:r>
          </w:p>
        </w:tc>
        <w:tc>
          <w:tcPr>
            <w:tcW w:w="25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04/04/2022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08/01/2024</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04/22/2022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05/16/2022</w:t>
            </w:r>
          </w:p>
        </w:tc>
        <w:tc>
          <w:tcPr>
            <w:tcW w:w="264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11/29/2023</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03/31/2023</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10/31/2024</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12/09/2020</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09/30/2022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10/12/2021</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12/30/2021</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05/01/2023</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09/28/2022</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02/10/2023</w:t>
            </w:r>
          </w:p>
        </w:tc>
        <w:tc>
          <w:tcPr>
            <w:tcW w:w="26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03/03/2022</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07/19/2021</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12/02/2021</w:t>
            </w:r>
          </w:p>
        </w:tc>
        <w:tc>
          <w:tcPr>
            <w:tcW w:w="26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03/01/2023</w:t>
            </w:r>
          </w:p>
        </w:tc>
        <w:tc>
          <w:tcPr>
            <w:tcW w:w="264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5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w w:val="99"/>
              </w:rPr>
              <w:t>Total Investments and Cash Equivalents—667.2%</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8"/>
        </w:trPr>
        <w:tc>
          <w:tcPr>
            <w:tcW w:w="2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688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76" w:lineRule="exact"/>
        <w:rPr>
          <w:sz w:val="20"/>
          <w:szCs w:val="20"/>
          <w:color w:val="auto"/>
        </w:rPr>
      </w:pPr>
    </w:p>
    <w:p>
      <w:pPr>
        <w:ind w:left="380" w:right="180" w:hanging="372"/>
        <w:spacing w:after="0" w:line="252" w:lineRule="auto"/>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Below is the financial information for PSSL:</w:t>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Statements of Assets and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r>
      <w:tr>
        <w:trPr>
          <w:trHeight w:val="155"/>
        </w:trPr>
        <w:tc>
          <w:tcPr>
            <w:tcW w:w="77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(cost—$425,336,210 and $99,544,903,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Cash and cash equivalents (cost—$13,520,127 and $2,371,169,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13,520,760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7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275,285,900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115,500,000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1,065,306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99,966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247,595</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392,198,767</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77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51,197,404</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0" w:type="dxa"/>
            <w:vAlign w:val="bottom"/>
          </w:tcPr>
          <w:p>
            <w:pPr>
              <w:spacing w:after="0"/>
              <w:rPr>
                <w:sz w:val="13"/>
                <w:szCs w:val="13"/>
                <w:color w:val="auto"/>
              </w:rPr>
            </w:pPr>
          </w:p>
        </w:tc>
        <w:tc>
          <w:tcPr>
            <w:tcW w:w="752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443,396,171</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52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as of September 30, 2018 and 2017.</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91"/>
        </w:trPr>
        <w:tc>
          <w:tcPr>
            <w:tcW w:w="200" w:type="dxa"/>
            <w:vAlign w:val="bottom"/>
          </w:tcPr>
          <w:p>
            <w:pPr>
              <w:spacing w:after="0"/>
              <w:rPr>
                <w:sz w:val="24"/>
                <w:szCs w:val="24"/>
                <w:color w:val="auto"/>
              </w:rPr>
            </w:pPr>
          </w:p>
        </w:tc>
        <w:tc>
          <w:tcPr>
            <w:tcW w:w="7520" w:type="dxa"/>
            <w:vAlign w:val="bottom"/>
            <w:gridSpan w:val="2"/>
          </w:tcPr>
          <w:p>
            <w:pPr>
              <w:ind w:left="5360"/>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5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gridSpan w:val="2"/>
          </w:tcPr>
          <w:p>
            <w:pPr>
              <w:ind w:left="4100"/>
              <w:spacing w:after="0"/>
              <w:rPr>
                <w:sz w:val="20"/>
                <w:szCs w:val="20"/>
                <w:color w:val="auto"/>
              </w:rPr>
            </w:pPr>
            <w:r>
              <w:rPr>
                <w:rFonts w:ascii="Arial" w:cs="Arial" w:eastAsia="Arial" w:hAnsi="Arial"/>
                <w:sz w:val="14"/>
                <w:szCs w:val="14"/>
                <w:b w:val="1"/>
                <w:bCs w:val="1"/>
                <w:color w:val="auto"/>
              </w:rPr>
              <w:t>PennantPark Senior Secured Loan Fund I LLC</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00" w:type="dxa"/>
            <w:vAlign w:val="bottom"/>
          </w:tcPr>
          <w:p>
            <w:pPr>
              <w:ind w:left="4780"/>
              <w:spacing w:after="0"/>
              <w:rPr>
                <w:sz w:val="20"/>
                <w:szCs w:val="20"/>
                <w:color w:val="auto"/>
              </w:rPr>
            </w:pPr>
            <w:r>
              <w:rPr>
                <w:rFonts w:ascii="Arial" w:cs="Arial" w:eastAsia="Arial" w:hAnsi="Arial"/>
                <w:sz w:val="14"/>
                <w:szCs w:val="14"/>
                <w:b w:val="1"/>
                <w:bCs w:val="1"/>
                <w:color w:val="auto"/>
              </w:rPr>
              <w:t>Statements of Operations</w:t>
            </w:r>
          </w:p>
        </w:tc>
        <w:tc>
          <w:tcPr>
            <w:tcW w:w="1440" w:type="dxa"/>
            <w:vAlign w:val="bottom"/>
            <w:vMerge w:val="restart"/>
          </w:tcPr>
          <w:p>
            <w:pPr>
              <w:jc w:val="center"/>
              <w:ind w:left="688"/>
              <w:spacing w:after="0"/>
              <w:rPr>
                <w:sz w:val="20"/>
                <w:szCs w:val="20"/>
                <w:color w:val="auto"/>
              </w:rPr>
            </w:pPr>
            <w:r>
              <w:rPr>
                <w:rFonts w:ascii="Arial" w:cs="Arial" w:eastAsia="Arial" w:hAnsi="Arial"/>
                <w:sz w:val="14"/>
                <w:szCs w:val="14"/>
                <w:b w:val="1"/>
                <w:bCs w:val="1"/>
                <w:color w:val="auto"/>
                <w:w w:val="92"/>
              </w:rPr>
              <w:t>Year</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24"/>
        </w:trPr>
        <w:tc>
          <w:tcPr>
            <w:tcW w:w="66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September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40" w:type="dxa"/>
            <w:vAlign w:val="bottom"/>
          </w:tcPr>
          <w:p>
            <w:pPr>
              <w:spacing w:after="0" w:line="149" w:lineRule="exact"/>
              <w:rPr>
                <w:sz w:val="20"/>
                <w:szCs w:val="20"/>
                <w:color w:val="auto"/>
              </w:rPr>
            </w:pPr>
            <w:r>
              <w:rPr>
                <w:rFonts w:ascii="Arial" w:cs="Arial" w:eastAsia="Arial" w:hAnsi="Arial"/>
                <w:sz w:val="14"/>
                <w:szCs w:val="14"/>
                <w:b w:val="1"/>
                <w:bCs w:val="1"/>
                <w:color w:val="auto"/>
              </w:rPr>
              <w:t>Ended</w:t>
            </w: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May 4, 2017 (inception)</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rPr>
              <w:t>30, 2018</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through September 30, 2017</w:t>
            </w:r>
          </w:p>
        </w:tc>
        <w:tc>
          <w:tcPr>
            <w:tcW w:w="0" w:type="dxa"/>
            <w:vAlign w:val="bottom"/>
          </w:tcPr>
          <w:p>
            <w:pPr>
              <w:spacing w:after="0"/>
              <w:rPr>
                <w:sz w:val="1"/>
                <w:szCs w:val="1"/>
                <w:color w:val="auto"/>
              </w:rPr>
            </w:pPr>
          </w:p>
        </w:tc>
      </w:tr>
      <w:tr>
        <w:trPr>
          <w:trHeight w:val="156"/>
        </w:trPr>
        <w:tc>
          <w:tcPr>
            <w:tcW w:w="66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4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9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44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17,744,486</w:t>
            </w:r>
          </w:p>
        </w:tc>
        <w:tc>
          <w:tcPr>
            <w:tcW w:w="300" w:type="dxa"/>
            <w:vAlign w:val="bottom"/>
            <w:shd w:val="clear" w:color="auto" w:fill="CCECFF"/>
          </w:tcPr>
          <w:p>
            <w:pPr>
              <w:spacing w:after="0"/>
              <w:rPr>
                <w:sz w:val="14"/>
                <w:szCs w:val="14"/>
                <w:color w:val="auto"/>
              </w:rPr>
            </w:pPr>
          </w:p>
        </w:tc>
        <w:tc>
          <w:tcPr>
            <w:tcW w:w="100" w:type="dxa"/>
            <w:vAlign w:val="bottom"/>
            <w:gridSpan w:val="2"/>
            <w:shd w:val="clear" w:color="auto" w:fill="CCECFF"/>
          </w:tcPr>
          <w:p>
            <w:pPr>
              <w:jc w:val="right"/>
              <w:ind w:right="14"/>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1,365,433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280,080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6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440" w:type="dxa"/>
            <w:vAlign w:val="bottom"/>
            <w:tcBorders>
              <w:top w:val="single" w:sz="8" w:color="auto"/>
              <w:bottom w:val="single" w:sz="8" w:color="auto"/>
            </w:tcBorders>
            <w:shd w:val="clear" w:color="auto" w:fill="CCECFF"/>
          </w:tcPr>
          <w:p>
            <w:pPr>
              <w:spacing w:after="0"/>
              <w:rPr>
                <w:sz w:val="13"/>
                <w:szCs w:val="13"/>
                <w:color w:val="auto"/>
              </w:rPr>
            </w:pP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18,024,566</w:t>
            </w: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1,365,433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7,654,035</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442,554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4"/>
                <w:szCs w:val="14"/>
                <w:color w:val="auto"/>
              </w:rPr>
              <w:t>Interest expense on notes to members</w:t>
            </w: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6,060,468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585,840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650,000</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67,528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692,736</w:t>
            </w:r>
          </w:p>
        </w:tc>
        <w:tc>
          <w:tcPr>
            <w:tcW w:w="3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148,936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440" w:type="dxa"/>
            <w:vAlign w:val="bottom"/>
            <w:tcBorders>
              <w:bottom w:val="single" w:sz="8" w:color="auto"/>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15,057,239</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1,244,858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2,967,327</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120,575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credit facility foreign currency translations:</w:t>
            </w:r>
          </w:p>
        </w:tc>
        <w:tc>
          <w:tcPr>
            <w:tcW w:w="14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Net realized gain on investments</w:t>
            </w: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111,215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100,920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4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(364,201)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449,505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foreign currency translations</w:t>
            </w:r>
          </w:p>
        </w:tc>
        <w:tc>
          <w:tcPr>
            <w:tcW w:w="14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882,899</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33"/>
        </w:trPr>
        <w:tc>
          <w:tcPr>
            <w:tcW w:w="660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 foreign</w:t>
            </w:r>
          </w:p>
        </w:tc>
        <w:tc>
          <w:tcPr>
            <w:tcW w:w="1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CFF"/>
            </w:tcBorders>
          </w:tcPr>
          <w:p>
            <w:pPr>
              <w:ind w:left="260"/>
              <w:spacing w:after="0"/>
              <w:rPr>
                <w:sz w:val="20"/>
                <w:szCs w:val="20"/>
                <w:color w:val="auto"/>
              </w:rPr>
            </w:pPr>
            <w:r>
              <w:rPr>
                <w:rFonts w:ascii="Arial" w:cs="Arial" w:eastAsia="Arial" w:hAnsi="Arial"/>
                <w:sz w:val="14"/>
                <w:szCs w:val="14"/>
                <w:b w:val="1"/>
                <w:bCs w:val="1"/>
                <w:color w:val="auto"/>
              </w:rPr>
              <w:t>currency translations</w:t>
            </w:r>
          </w:p>
        </w:tc>
        <w:tc>
          <w:tcPr>
            <w:tcW w:w="1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518,698</w:t>
            </w:r>
          </w:p>
        </w:tc>
        <w:tc>
          <w:tcPr>
            <w:tcW w:w="3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378,669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440" w:type="dxa"/>
            <w:vAlign w:val="bottom"/>
            <w:tcBorders>
              <w:bottom w:val="single" w:sz="8" w:color="auto"/>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629,913</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479,589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3,597,240</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600,164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03"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2018 and 2017.</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FASB Accounting Standards Update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99"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gridSpan w:val="7"/>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23"/>
                <w:szCs w:val="23"/>
                <w:color w:val="auto"/>
              </w:rPr>
            </w:pPr>
          </w:p>
        </w:tc>
        <w:tc>
          <w:tcPr>
            <w:tcW w:w="1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Unobservable Input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2018</w:t>
            </w:r>
          </w:p>
        </w:tc>
        <w:tc>
          <w:tcPr>
            <w:tcW w:w="2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33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303,786,401</w:t>
            </w:r>
          </w:p>
        </w:tc>
        <w:tc>
          <w:tcPr>
            <w:tcW w:w="28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8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2,543,750</w:t>
            </w:r>
          </w:p>
        </w:tc>
        <w:tc>
          <w:tcPr>
            <w:tcW w:w="28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Broker/Dealer bids or quotes</w:t>
            </w:r>
          </w:p>
        </w:tc>
        <w:tc>
          <w:tcPr>
            <w:tcW w:w="18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609,511,575</w:t>
            </w:r>
          </w:p>
        </w:tc>
        <w:tc>
          <w:tcPr>
            <w:tcW w:w="28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6.6% – 17.5% (9.7%)</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18,690,963</w:t>
            </w:r>
          </w:p>
        </w:tc>
        <w:tc>
          <w:tcPr>
            <w:tcW w:w="28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20" w:type="dxa"/>
            <w:vAlign w:val="bottom"/>
          </w:tcPr>
          <w:p>
            <w:pPr>
              <w:jc w:val="center"/>
              <w:spacing w:after="0"/>
              <w:rPr>
                <w:sz w:val="20"/>
                <w:szCs w:val="20"/>
                <w:color w:val="auto"/>
              </w:rPr>
            </w:pPr>
            <w:r>
              <w:rPr>
                <w:rFonts w:ascii="Arial" w:cs="Arial" w:eastAsia="Arial" w:hAnsi="Arial"/>
                <w:sz w:val="14"/>
                <w:szCs w:val="14"/>
                <w:color w:val="auto"/>
                <w:w w:val="94"/>
              </w:rPr>
              <w:t>10.7% – 14.1% (11.7%)</w:t>
            </w:r>
          </w:p>
        </w:tc>
        <w:tc>
          <w:tcPr>
            <w:tcW w:w="0" w:type="dxa"/>
            <w:vAlign w:val="bottom"/>
          </w:tcPr>
          <w:p>
            <w:pPr>
              <w:spacing w:after="0"/>
              <w:rPr>
                <w:sz w:val="1"/>
                <w:szCs w:val="1"/>
                <w:color w:val="auto"/>
              </w:rPr>
            </w:pPr>
          </w:p>
        </w:tc>
      </w:tr>
      <w:tr>
        <w:trPr>
          <w:trHeight w:val="162"/>
        </w:trPr>
        <w:tc>
          <w:tcPr>
            <w:tcW w:w="35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8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18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6.2x – 12.0x (9.2x)</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8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2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8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8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7"/>
              </w:rPr>
              <w:t>Market Yield</w:t>
            </w:r>
          </w:p>
        </w:tc>
        <w:tc>
          <w:tcPr>
            <w:tcW w:w="18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September 30, 2017</w:t>
            </w:r>
          </w:p>
        </w:tc>
        <w:tc>
          <w:tcPr>
            <w:tcW w:w="26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6"/>
        </w:trPr>
        <w:tc>
          <w:tcPr>
            <w:tcW w:w="33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260,595,796</w:t>
            </w:r>
          </w:p>
        </w:tc>
        <w:tc>
          <w:tcPr>
            <w:tcW w:w="260" w:type="dxa"/>
            <w:vAlign w:val="bottom"/>
            <w:tcBorders>
              <w:top w:val="single" w:sz="8" w:color="CCECFF"/>
            </w:tcBorders>
            <w:shd w:val="clear" w:color="auto" w:fill="CCECFF"/>
          </w:tcPr>
          <w:p>
            <w:pPr>
              <w:spacing w:after="0"/>
              <w:rPr>
                <w:sz w:val="13"/>
                <w:szCs w:val="13"/>
                <w:color w:val="auto"/>
              </w:rPr>
            </w:pPr>
          </w:p>
        </w:tc>
        <w:tc>
          <w:tcPr>
            <w:tcW w:w="18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80" w:type="dxa"/>
            <w:vAlign w:val="bottom"/>
            <w:tcBorders>
              <w:top w:val="single" w:sz="8" w:color="CCECFF"/>
            </w:tcBorders>
            <w:shd w:val="clear" w:color="auto" w:fill="CCECFF"/>
          </w:tcPr>
          <w:p>
            <w:pPr>
              <w:spacing w:after="0"/>
              <w:rPr>
                <w:sz w:val="13"/>
                <w:szCs w:val="13"/>
                <w:color w:val="auto"/>
              </w:rPr>
            </w:pPr>
          </w:p>
        </w:tc>
        <w:tc>
          <w:tcPr>
            <w:tcW w:w="16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2,500,000</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349,072,758</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5"/>
              </w:rPr>
              <w:t>5.8% – 20.6% (8.6%)</w:t>
            </w:r>
          </w:p>
        </w:tc>
        <w:tc>
          <w:tcPr>
            <w:tcW w:w="0" w:type="dxa"/>
            <w:vAlign w:val="bottom"/>
          </w:tcPr>
          <w:p>
            <w:pPr>
              <w:spacing w:after="0"/>
              <w:rPr>
                <w:sz w:val="1"/>
                <w:szCs w:val="1"/>
                <w:color w:val="auto"/>
              </w:rPr>
            </w:pP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35,333,394</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9.6% – 14.0% (11.7%)</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9.8% – 16.7% (10.4%)</w:t>
            </w:r>
          </w:p>
        </w:tc>
        <w:tc>
          <w:tcPr>
            <w:tcW w:w="0" w:type="dxa"/>
            <w:vAlign w:val="bottom"/>
          </w:tcPr>
          <w:p>
            <w:pPr>
              <w:spacing w:after="0"/>
              <w:rPr>
                <w:sz w:val="1"/>
                <w:szCs w:val="1"/>
                <w:color w:val="auto"/>
              </w:rPr>
            </w:pPr>
          </w:p>
        </w:tc>
      </w:tr>
      <w:tr>
        <w:trPr>
          <w:trHeight w:val="162"/>
        </w:trPr>
        <w:tc>
          <w:tcPr>
            <w:tcW w:w="35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60" w:type="dxa"/>
            <w:vAlign w:val="bottom"/>
            <w:tcBorders>
              <w:bottom w:val="single" w:sz="8" w:color="CCECFF"/>
            </w:tcBorders>
          </w:tcPr>
          <w:p>
            <w:pPr>
              <w:spacing w:after="0"/>
              <w:rPr>
                <w:sz w:val="14"/>
                <w:szCs w:val="14"/>
                <w:color w:val="auto"/>
              </w:rPr>
            </w:pPr>
          </w:p>
        </w:tc>
        <w:tc>
          <w:tcPr>
            <w:tcW w:w="19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4"/>
                <w:szCs w:val="14"/>
                <w:color w:val="auto"/>
                <w:w w:val="94"/>
              </w:rPr>
              <w:t>6.5x – 9.0x (7.8x)</w:t>
            </w:r>
          </w:p>
        </w:tc>
        <w:tc>
          <w:tcPr>
            <w:tcW w:w="0" w:type="dxa"/>
            <w:vAlign w:val="bottom"/>
          </w:tcPr>
          <w:p>
            <w:pPr>
              <w:spacing w:after="0"/>
              <w:rPr>
                <w:sz w:val="1"/>
                <w:szCs w:val="1"/>
                <w:color w:val="auto"/>
              </w:rPr>
            </w:pPr>
          </w:p>
        </w:tc>
      </w:tr>
      <w:tr>
        <w:trPr>
          <w:trHeight w:val="155"/>
        </w:trPr>
        <w:tc>
          <w:tcPr>
            <w:tcW w:w="354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60" w:type="dxa"/>
            <w:vAlign w:val="bottom"/>
            <w:tcBorders>
              <w:bottom w:val="single" w:sz="8" w:color="CCECFF"/>
            </w:tcBorders>
            <w:shd w:val="clear" w:color="auto" w:fill="CCECFF"/>
          </w:tcPr>
          <w:p>
            <w:pPr>
              <w:spacing w:after="0"/>
              <w:rPr>
                <w:sz w:val="13"/>
                <w:szCs w:val="13"/>
                <w:color w:val="auto"/>
              </w:rPr>
            </w:pPr>
          </w:p>
        </w:tc>
        <w:tc>
          <w:tcPr>
            <w:tcW w:w="18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6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680" w:type="dxa"/>
            <w:vAlign w:val="bottom"/>
            <w:vMerge w:val="restart"/>
          </w:tcPr>
          <w:p>
            <w:pPr>
              <w:jc w:val="center"/>
              <w:spacing w:after="0"/>
              <w:rPr>
                <w:sz w:val="20"/>
                <w:szCs w:val="20"/>
                <w:color w:val="auto"/>
              </w:rPr>
            </w:pPr>
            <w:r>
              <w:rPr>
                <w:rFonts w:ascii="Arial" w:cs="Arial" w:eastAsia="Arial" w:hAnsi="Arial"/>
                <w:sz w:val="14"/>
                <w:szCs w:val="14"/>
                <w:color w:val="auto"/>
                <w:w w:val="93"/>
              </w:rPr>
              <w:t>3.7%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60" w:type="dxa"/>
            <w:vAlign w:val="bottom"/>
            <w:gridSpan w:val="14"/>
          </w:tcPr>
          <w:p>
            <w:pPr>
              <w:ind w:left="440"/>
              <w:spacing w:after="0"/>
              <w:rPr>
                <w:sz w:val="20"/>
                <w:szCs w:val="20"/>
                <w:color w:val="auto"/>
              </w:rPr>
            </w:pPr>
            <w:r>
              <w:rPr>
                <w:rFonts w:ascii="Arial" w:cs="Arial" w:eastAsia="Arial" w:hAnsi="Arial"/>
                <w:sz w:val="14"/>
                <w:szCs w:val="14"/>
                <w:color w:val="auto"/>
                <w:w w:val="96"/>
              </w:rPr>
              <w:t>Our investments, cash and cash equivalents, Credit Facility and the 2023 Notes were categorized as follows in the fair value hierarchy for ASC 820 purposes: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2018</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66,080,604</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21,282,875</w:t>
            </w: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1,000,613,293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1,072,837,476</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80" w:type="dxa"/>
            <w:vAlign w:val="bottom"/>
            <w:tcBorders>
              <w:top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2023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467,632,200</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332,128,815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right="420" w:hanging="372"/>
        <w:spacing w:after="0" w:line="253" w:lineRule="auto"/>
        <w:tabs>
          <w:tab w:leader="none" w:pos="380" w:val="left"/>
        </w:tabs>
        <w:numPr>
          <w:ilvl w:val="0"/>
          <w:numId w:val="59"/>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certain investments that are measured using the net asset value per share (or its equivalent) as a practical expedient for fair value, have not been classified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599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Fair Value at September 30,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60" w:type="dxa"/>
            <w:vAlign w:val="bottom"/>
          </w:tcPr>
          <w:p>
            <w:pPr>
              <w:jc w:val="center"/>
              <w:ind w:right="2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tcPr>
          <w:p>
            <w:pPr>
              <w:ind w:left="8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020" w:type="dxa"/>
            <w:vAlign w:val="bottom"/>
            <w:shd w:val="clear" w:color="auto" w:fill="CCECFF"/>
          </w:tcPr>
          <w:p>
            <w:pPr>
              <w:ind w:left="8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25,464,461</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16,020</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8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729,409,538</w:t>
            </w:r>
          </w:p>
        </w:tc>
        <w:tc>
          <w:tcPr>
            <w:tcW w:w="2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18,926,776</w:t>
            </w:r>
          </w:p>
        </w:tc>
        <w:tc>
          <w:tcPr>
            <w:tcW w:w="2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60" w:type="dxa"/>
            <w:vAlign w:val="bottom"/>
            <w:gridSpan w:val="2"/>
            <w:vMerge w:val="continue"/>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ind w:left="86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120" w:hanging="372"/>
        <w:spacing w:after="0" w:line="253" w:lineRule="auto"/>
        <w:tabs>
          <w:tab w:leader="none" w:pos="380" w:val="left"/>
        </w:tabs>
        <w:numPr>
          <w:ilvl w:val="0"/>
          <w:numId w:val="60"/>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599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2018</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87,389,065</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279,771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(862,383)</w:t>
            </w: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(582,612)</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(7,094,712)</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3,483,965</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(3,610,747)</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670,431,163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37,162,713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707,593,876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(359,986,800)</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(84,655,772)</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(444,642,572)</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(depreciation) appreciation reported within the net change in unrealized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 still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(5,553,426)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2,435,268</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(3,118,158)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2017</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2,751,432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508,716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3,260,148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3,413,386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(178,828)</w:t>
            </w: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3,234,558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433,620,964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64,717,862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498,338,826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(378,527,323)</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(25,071,426)</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(403,598,749)</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87,389,065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5"/>
              </w:rPr>
              <w:t>Net change in unrealized appreciation reported within the net change in unrealized appreciation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5"/>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2,819,530</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621,165</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3,440,695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$253,783,301 and $232,907,500,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232,389,498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(4,673,861)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3,593,159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246,485,010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309,680,000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(166,540,791)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(288,804,200)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$333,727,520 and $253,783,301,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332,128,815</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256,858,457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7,720,020</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7,163,165</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1, 2018</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(556,855)</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Canadian Dollar</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C$</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17,500,000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12,407,500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13,538,612</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1"/>
              </w:rPr>
              <w:t>October 1, 2018</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1,131,112</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20,127,520</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20,701,777</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574,257</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9"/>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70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124"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13,992,720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2, 2017</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1,585,219</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12,200,000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12,675,800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14,422,852</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1"/>
              </w:rPr>
              <w:t>October 2, 2017</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1,747,052</w:t>
            </w:r>
          </w:p>
        </w:tc>
        <w:tc>
          <w:tcPr>
            <w:tcW w:w="100" w:type="dxa"/>
            <w:vAlign w:val="bottom"/>
            <w:tcBorders>
              <w:bottom w:val="single" w:sz="8" w:color="CCECFF"/>
            </w:tcBorders>
          </w:tcPr>
          <w:p>
            <w:pPr>
              <w:spacing w:after="0"/>
              <w:rPr>
                <w:sz w:val="14"/>
                <w:szCs w:val="14"/>
                <w:color w:val="auto"/>
              </w:rPr>
            </w:pPr>
          </w:p>
        </w:tc>
      </w:tr>
      <w:tr>
        <w:trPr>
          <w:trHeight w:val="156"/>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25,083,301</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28,415,572</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3,332,271</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$10.9 million, $0.1 million and $0.9 million relating to amendment costs on the Credit Facility and debt issuance costs on the 2023 Notes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years ended September 30, 2018, 2017 and 2016, our Credit Facility and the 2023 Notes had a net change in unrealized depreciation (appreciation) of $7.8 million, $(3.6) million and $0.5 million, respectively. As of September 30, 2018 and 2017, the net unrealized depreciation (appreciation) on our Credit Facility and the 2023 Notes totaled $4.7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27" w:lineRule="exact"/>
        <w:rPr>
          <w:sz w:val="20"/>
          <w:szCs w:val="20"/>
          <w:color w:val="auto"/>
        </w:rPr>
      </w:pPr>
    </w:p>
    <w:p>
      <w:pPr>
        <w:ind w:right="44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7"/>
              </w:rPr>
              <w:t>Purchases of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Sale of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Net Change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Dividend</w:t>
            </w: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Advances to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1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2017</w:t>
            </w:r>
          </w:p>
        </w:tc>
        <w:tc>
          <w:tcPr>
            <w:tcW w:w="8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Affiliates</w:t>
            </w:r>
          </w:p>
        </w:tc>
        <w:tc>
          <w:tcPr>
            <w:tcW w:w="2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from Affiliates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Appreciation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55"/>
        </w:trPr>
        <w:tc>
          <w:tcPr>
            <w:tcW w:w="16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6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13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660" w:type="dxa"/>
            <w:vAlign w:val="bottom"/>
          </w:tcPr>
          <w:p>
            <w:pPr>
              <w:spacing w:after="0" w:line="143" w:lineRule="exact"/>
              <w:rPr>
                <w:sz w:val="20"/>
                <w:szCs w:val="20"/>
                <w:color w:val="auto"/>
              </w:rPr>
            </w:pPr>
            <w:r>
              <w:rPr>
                <w:rFonts w:ascii="Arial" w:cs="Arial" w:eastAsia="Arial" w:hAnsi="Arial"/>
                <w:sz w:val="14"/>
                <w:szCs w:val="14"/>
                <w:color w:val="auto"/>
              </w:rPr>
              <w:t>PennantPark Senior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Secured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20"/>
              <w:spacing w:after="0"/>
              <w:rPr>
                <w:sz w:val="20"/>
                <w:szCs w:val="20"/>
                <w:color w:val="auto"/>
              </w:rPr>
            </w:pPr>
            <w:r>
              <w:rPr>
                <w:rFonts w:ascii="Arial" w:cs="Arial" w:eastAsia="Arial" w:hAnsi="Arial"/>
                <w:sz w:val="14"/>
                <w:szCs w:val="14"/>
                <w:color w:val="auto"/>
              </w:rPr>
              <w:t>Loan Fund I LLC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43,525,143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101,375,000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5,302,909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2,187,500</w:t>
            </w:r>
          </w:p>
        </w:tc>
        <w:tc>
          <w:tcPr>
            <w:tcW w:w="440" w:type="dxa"/>
            <w:vAlign w:val="bottom"/>
            <w:gridSpan w:val="2"/>
          </w:tcPr>
          <w:p>
            <w:pPr>
              <w:jc w:val="right"/>
              <w:ind w:right="95"/>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w w:val="90"/>
              </w:rPr>
              <w:t>960,086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145,860,229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6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w w:val="96"/>
              </w:rPr>
              <w:t>Total Controlled Affiliates</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43,525,143</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101,375,000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ind w:left="7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5,302,909</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2,187,500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9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CFF"/>
          </w:tcPr>
          <w:p>
            <w:pPr>
              <w:ind w:left="160"/>
              <w:spacing w:after="0" w:line="155" w:lineRule="exact"/>
              <w:rPr>
                <w:sz w:val="20"/>
                <w:szCs w:val="20"/>
                <w:color w:val="auto"/>
              </w:rPr>
            </w:pPr>
            <w:r>
              <w:rPr>
                <w:rFonts w:ascii="Arial" w:cs="Arial" w:eastAsia="Arial" w:hAnsi="Arial"/>
                <w:sz w:val="14"/>
                <w:szCs w:val="14"/>
                <w:color w:val="auto"/>
                <w:w w:val="90"/>
              </w:rPr>
              <w:t>960,086</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145,860,229</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CFF"/>
          </w:tcPr>
          <w:p>
            <w:pPr>
              <w:ind w:left="320"/>
              <w:spacing w:after="0" w:line="155" w:lineRule="exact"/>
              <w:rPr>
                <w:sz w:val="20"/>
                <w:szCs w:val="20"/>
                <w:color w:val="auto"/>
              </w:rPr>
            </w:pPr>
            <w:r>
              <w:rPr>
                <w:rFonts w:ascii="Arial" w:cs="Arial" w:eastAsia="Arial" w:hAnsi="Arial"/>
                <w:sz w:val="14"/>
                <w:szCs w:val="14"/>
                <w:color w:val="auto"/>
                <w:w w:val="99"/>
              </w:rPr>
              <w:t>—</w:t>
            </w: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40" w:hanging="372"/>
        <w:spacing w:after="0" w:line="233" w:lineRule="auto"/>
        <w:tabs>
          <w:tab w:leader="none" w:pos="380" w:val="left"/>
        </w:tabs>
        <w:numPr>
          <w:ilvl w:val="0"/>
          <w:numId w:val="61"/>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Years Ended September 30,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00" w:type="dxa"/>
            <w:vAlign w:val="bottom"/>
            <w:tcBorders>
              <w:bottom w:val="single" w:sz="8" w:color="CCECFF"/>
            </w:tcBorders>
          </w:tcPr>
          <w:p>
            <w:pPr>
              <w:spacing w:after="0"/>
              <w:rPr>
                <w:sz w:val="13"/>
                <w:szCs w:val="13"/>
                <w:color w:val="auto"/>
              </w:rPr>
            </w:pPr>
          </w:p>
        </w:tc>
        <w:tc>
          <w:tcPr>
            <w:tcW w:w="9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r>
      <w:tr>
        <w:trPr>
          <w:trHeight w:val="155"/>
        </w:trPr>
        <w:tc>
          <w:tcPr>
            <w:tcW w:w="54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92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33,490,222</w:t>
            </w: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33,488,663</w:t>
            </w:r>
          </w:p>
        </w:tc>
        <w:tc>
          <w:tcPr>
            <w:tcW w:w="100" w:type="dxa"/>
            <w:vAlign w:val="bottom"/>
            <w:shd w:val="clear" w:color="auto" w:fill="CCECFF"/>
          </w:tcPr>
          <w:p>
            <w:pPr>
              <w:spacing w:after="0"/>
              <w:rPr>
                <w:sz w:val="13"/>
                <w:szCs w:val="13"/>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38,299,077</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30,274,595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26,730,074</w:t>
            </w:r>
          </w:p>
        </w:tc>
        <w:tc>
          <w:tcPr>
            <w:tcW w:w="100" w:type="dxa"/>
            <w:vAlign w:val="bottom"/>
          </w:tcPr>
          <w:p>
            <w:pPr>
              <w:spacing w:after="0"/>
              <w:rPr>
                <w:sz w:val="14"/>
                <w:szCs w:val="14"/>
                <w:color w:val="auto"/>
              </w:rPr>
            </w:pPr>
          </w:p>
        </w:tc>
      </w:tr>
      <w:tr>
        <w:trPr>
          <w:trHeight w:val="162"/>
        </w:trPr>
        <w:tc>
          <w:tcPr>
            <w:tcW w:w="540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122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0.87</w:t>
            </w:r>
          </w:p>
        </w:tc>
        <w:tc>
          <w:tcPr>
            <w:tcW w:w="60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7"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As of September 30, 2018 and 2017, the cost of investments for federal income tax purposes was $1,003.6 million and $710.9 million, respectively, resulting in a gross unrealized appreciation of $14.4 million and $8.7 million, respectively, and depreciation of $17.5 million and $9.1 million,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300" w:type="dxa"/>
            <w:vAlign w:val="bottom"/>
            <w:tcBorders>
              <w:bottom w:val="single" w:sz="8" w:color="CCECFF"/>
            </w:tcBorders>
          </w:tcPr>
          <w:p>
            <w:pPr>
              <w:spacing w:after="0"/>
              <w:rPr>
                <w:sz w:val="13"/>
                <w:szCs w:val="13"/>
                <w:color w:val="auto"/>
              </w:rPr>
            </w:pPr>
          </w:p>
        </w:tc>
        <w:tc>
          <w:tcPr>
            <w:tcW w:w="23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3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 paid-in capital</w:t>
            </w:r>
          </w:p>
        </w:tc>
        <w:tc>
          <w:tcPr>
            <w:tcW w:w="23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(256,194)</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(308,435)</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(Decrease) increase in accumulated net realized gain</w:t>
            </w: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(106,509)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255,274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4300" w:type="dxa"/>
            <w:vAlign w:val="bottom"/>
            <w:shd w:val="clear" w:color="auto" w:fill="CCECFF"/>
          </w:tcPr>
          <w:p>
            <w:pPr>
              <w:spacing w:after="0"/>
              <w:rPr>
                <w:sz w:val="20"/>
                <w:szCs w:val="20"/>
                <w:color w:val="auto"/>
              </w:rPr>
            </w:pPr>
            <w:r>
              <w:rPr>
                <w:rFonts w:ascii="Arial" w:cs="Arial" w:eastAsia="Arial" w:hAnsi="Arial"/>
                <w:sz w:val="14"/>
                <w:szCs w:val="14"/>
                <w:color w:val="auto"/>
              </w:rPr>
              <w:t>Increase in undistributed net investment income</w:t>
            </w:r>
          </w:p>
        </w:tc>
        <w:tc>
          <w:tcPr>
            <w:tcW w:w="23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106,509</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308,435</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6"/>
        </w:trPr>
        <w:tc>
          <w:tcPr>
            <w:tcW w:w="4300" w:type="dxa"/>
            <w:vAlign w:val="bottom"/>
          </w:tcPr>
          <w:p>
            <w:pPr>
              <w:spacing w:after="0"/>
              <w:rPr>
                <w:sz w:val="24"/>
                <w:szCs w:val="24"/>
                <w:color w:val="auto"/>
              </w:rPr>
            </w:pPr>
          </w:p>
        </w:tc>
        <w:tc>
          <w:tcPr>
            <w:tcW w:w="2360" w:type="dxa"/>
            <w:vAlign w:val="bottom"/>
          </w:tcPr>
          <w:p>
            <w:pPr>
              <w:jc w:val="right"/>
              <w:ind w:right="888"/>
              <w:spacing w:after="0"/>
              <w:rPr>
                <w:sz w:val="20"/>
                <w:szCs w:val="20"/>
                <w:color w:val="auto"/>
              </w:rPr>
            </w:pPr>
            <w:r>
              <w:rPr>
                <w:rFonts w:ascii="Arial" w:cs="Arial" w:eastAsia="Arial" w:hAnsi="Arial"/>
                <w:sz w:val="14"/>
                <w:szCs w:val="14"/>
                <w:color w:val="auto"/>
              </w:rPr>
              <w:t>71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30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ind w:left="44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3"/>
        </w:trPr>
        <w:tc>
          <w:tcPr>
            <w:tcW w:w="6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6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r>
      <w:tr>
        <w:trPr>
          <w:trHeight w:val="156"/>
        </w:trPr>
        <w:tc>
          <w:tcPr>
            <w:tcW w:w="66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in net assets resulting from operations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33,490,222</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33,488,663</w:t>
            </w:r>
          </w:p>
        </w:tc>
        <w:tc>
          <w:tcPr>
            <w:tcW w:w="100" w:type="dxa"/>
            <w:vAlign w:val="bottom"/>
            <w:shd w:val="clear" w:color="auto" w:fill="CCECFF"/>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2,327,118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(5,410,903)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1,376,788</w:t>
            </w:r>
          </w:p>
        </w:tc>
        <w:tc>
          <w:tcPr>
            <w:tcW w:w="100" w:type="dxa"/>
            <w:vAlign w:val="bottom"/>
          </w:tcPr>
          <w:p>
            <w:pPr>
              <w:spacing w:after="0"/>
              <w:rPr>
                <w:sz w:val="14"/>
                <w:szCs w:val="14"/>
                <w:color w:val="auto"/>
              </w:rPr>
            </w:pP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 investments and debt</w:t>
            </w: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(4,853,251)</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2,530,986</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(7,529,291)</w:t>
            </w: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8,448,942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956,942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642,719</w:t>
            </w:r>
          </w:p>
        </w:tc>
        <w:tc>
          <w:tcPr>
            <w:tcW w:w="100" w:type="dxa"/>
            <w:vAlign w:val="bottom"/>
          </w:tcPr>
          <w:p>
            <w:pPr>
              <w:spacing w:after="0"/>
              <w:rPr>
                <w:sz w:val="14"/>
                <w:szCs w:val="14"/>
                <w:color w:val="auto"/>
              </w:rPr>
            </w:pP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804,113</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666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40,217,144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34,702,305</w:t>
            </w: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27,978,879</w:t>
            </w:r>
          </w:p>
        </w:tc>
        <w:tc>
          <w:tcPr>
            <w:tcW w:w="100" w:type="dxa"/>
            <w:vAlign w:val="bottom"/>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3"/>
        </w:trPr>
        <w:tc>
          <w:tcPr>
            <w:tcW w:w="8520" w:type="dxa"/>
            <w:vAlign w:val="bottom"/>
            <w:gridSpan w:val="6"/>
          </w:tcPr>
          <w:p>
            <w:pPr>
              <w:ind w:left="440"/>
              <w:spacing w:after="0"/>
              <w:rPr>
                <w:sz w:val="20"/>
                <w:szCs w:val="20"/>
                <w:color w:val="auto"/>
              </w:rPr>
            </w:pPr>
            <w:r>
              <w:rPr>
                <w:rFonts w:ascii="Arial" w:cs="Arial" w:eastAsia="Arial" w:hAnsi="Arial"/>
                <w:sz w:val="14"/>
                <w:szCs w:val="14"/>
                <w:color w:val="auto"/>
                <w:w w:val="95"/>
              </w:rPr>
              <w:t>The components of undistributed taxable income on a tax basis and reconciliation to accumulated surplus on a book basis are as follows: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As of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48"/>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ordinary income – tax basis</w:t>
            </w:r>
          </w:p>
        </w:tc>
        <w:tc>
          <w:tcPr>
            <w:tcW w:w="13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12,020,827</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13,882,332</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10,097,684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(Realized loss carried forward)/Undistributed long-term capital gain</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(2,381,225)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808,615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(1,121,514)</w:t>
            </w:r>
          </w:p>
        </w:tc>
        <w:tc>
          <w:tcPr>
            <w:tcW w:w="0" w:type="dxa"/>
            <w:vAlign w:val="bottom"/>
          </w:tcPr>
          <w:p>
            <w:pPr>
              <w:spacing w:after="0"/>
              <w:rPr>
                <w:sz w:val="1"/>
                <w:szCs w:val="1"/>
                <w:color w:val="auto"/>
              </w:rPr>
            </w:pPr>
          </w:p>
        </w:tc>
      </w:tr>
      <w:tr>
        <w:trPr>
          <w:trHeight w:val="162"/>
        </w:trPr>
        <w:tc>
          <w:tcPr>
            <w:tcW w:w="536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1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(17,124,281)</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(7,237,913)</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(5,793,312)</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Net unrealized appreciation (depreciation) of investments and debt</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3,825,139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(1,028,112)</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1,502,874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accumulated deficit – book basis</w:t>
            </w:r>
          </w:p>
        </w:tc>
        <w:tc>
          <w:tcPr>
            <w:tcW w:w="13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(3,659,540)</w:t>
            </w: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6,424,922</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4,685,732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3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36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48"/>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 (including short-term gains, if any)</w:t>
            </w:r>
          </w:p>
        </w:tc>
        <w:tc>
          <w:tcPr>
            <w:tcW w:w="13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42,766,069</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34,842,284</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30,472,284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Long-term capital gain</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808,615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3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13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43,574,684</w:t>
            </w: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34,842,284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30,472,284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color w:val="auto"/>
              </w:rPr>
              <w:t>Total distributions per share based on weighted average shares</w:t>
            </w:r>
          </w:p>
        </w:tc>
        <w:tc>
          <w:tcPr>
            <w:tcW w:w="16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27"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2018 and 2017, cash and cash equivalents consisted of money market funds in the amounts of $72.2 million and $18.9 million at fair value,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14.10</w:t>
            </w:r>
          </w:p>
        </w:tc>
        <w:tc>
          <w:tcPr>
            <w:tcW w:w="32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14.06</w:t>
            </w:r>
          </w:p>
        </w:tc>
        <w:tc>
          <w:tcPr>
            <w:tcW w:w="2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13.95</w:t>
            </w:r>
          </w:p>
        </w:tc>
        <w:tc>
          <w:tcPr>
            <w:tcW w:w="2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14.40</w:t>
            </w:r>
          </w:p>
        </w:tc>
        <w:tc>
          <w:tcPr>
            <w:tcW w:w="3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0.81</w:t>
            </w:r>
          </w:p>
        </w:tc>
        <w:tc>
          <w:tcPr>
            <w:tcW w:w="3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(0.31)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3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0.77</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(1.03)</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(1.15)</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(1.13)</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(0.98)</w:t>
            </w: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62"/>
        </w:trPr>
        <w:tc>
          <w:tcPr>
            <w:tcW w:w="412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(0.11)</w:t>
            </w:r>
          </w:p>
        </w:tc>
        <w:tc>
          <w:tcPr>
            <w:tcW w:w="2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(0.18)</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55"/>
        </w:trPr>
        <w:tc>
          <w:tcPr>
            <w:tcW w:w="41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3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tcPr>
          <w:p>
            <w:pPr>
              <w:spacing w:after="0" w:line="157" w:lineRule="exact"/>
              <w:rPr>
                <w:sz w:val="20"/>
                <w:szCs w:val="20"/>
                <w:color w:val="auto"/>
              </w:rPr>
            </w:pPr>
            <w:r>
              <w:rPr>
                <w:rFonts w:ascii="Arial" w:cs="Arial" w:eastAsia="Arial" w:hAnsi="Arial"/>
                <w:sz w:val="14"/>
                <w:szCs w:val="14"/>
                <w:color w:val="auto"/>
              </w:rPr>
              <w:t>(Dilutive) effect of common stock issuance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20" w:type="dxa"/>
            <w:vAlign w:val="bottom"/>
          </w:tcPr>
          <w:p>
            <w:pPr>
              <w:ind w:left="140"/>
              <w:spacing w:after="0"/>
              <w:rPr>
                <w:sz w:val="20"/>
                <w:szCs w:val="20"/>
                <w:color w:val="auto"/>
              </w:rPr>
            </w:pPr>
            <w:r>
              <w:rPr>
                <w:rFonts w:ascii="Arial" w:cs="Arial" w:eastAsia="Arial" w:hAnsi="Arial"/>
                <w:sz w:val="14"/>
                <w:szCs w:val="14"/>
                <w:color w:val="auto"/>
              </w:rPr>
              <w:t xml:space="preserve">and acquisition of MCG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(0.06)</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1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year</w:t>
            </w: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13.82</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14.06</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13.95</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14.40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CFF"/>
            </w:tcBorders>
            <w:vMerge w:val="continue"/>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13.15</w:t>
            </w:r>
          </w:p>
        </w:tc>
        <w:tc>
          <w:tcPr>
            <w:tcW w:w="32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14.48</w:t>
            </w:r>
          </w:p>
        </w:tc>
        <w:tc>
          <w:tcPr>
            <w:tcW w:w="26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w:t>
            </w:r>
          </w:p>
        </w:tc>
        <w:tc>
          <w:tcPr>
            <w:tcW w:w="28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11.94</w:t>
            </w:r>
          </w:p>
        </w:tc>
        <w:tc>
          <w:tcPr>
            <w:tcW w:w="32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13.78</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1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4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(1.29)%</w:t>
            </w:r>
          </w:p>
        </w:tc>
        <w:tc>
          <w:tcPr>
            <w:tcW w:w="24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18.71%</w:t>
            </w:r>
          </w:p>
        </w:tc>
        <w:tc>
          <w:tcPr>
            <w:tcW w:w="26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21.77%</w:t>
            </w:r>
          </w:p>
        </w:tc>
        <w:tc>
          <w:tcPr>
            <w:tcW w:w="24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(6.01)%</w:t>
            </w:r>
          </w:p>
        </w:tc>
        <w:tc>
          <w:tcPr>
            <w:tcW w:w="26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year</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3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32,480,074</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26,730,074</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26,730,074</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14,898,056</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Ratios / Supplemental Data:</w:t>
            </w: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4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3.01%</w:t>
            </w:r>
          </w:p>
        </w:tc>
        <w:tc>
          <w:tcPr>
            <w:tcW w:w="2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4.13%</w:t>
            </w:r>
          </w:p>
        </w:tc>
        <w:tc>
          <w:tcPr>
            <w:tcW w:w="2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3.56%</w:t>
            </w:r>
          </w:p>
        </w:tc>
        <w:tc>
          <w:tcPr>
            <w:tcW w:w="24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3.01%</w:t>
            </w:r>
          </w:p>
        </w:tc>
        <w:tc>
          <w:tcPr>
            <w:tcW w:w="26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62"/>
        </w:trPr>
        <w:tc>
          <w:tcPr>
            <w:tcW w:w="4120" w:type="dxa"/>
            <w:vAlign w:val="bottom"/>
            <w:shd w:val="clear" w:color="auto" w:fill="CCECFF"/>
          </w:tcPr>
          <w:p>
            <w:pPr>
              <w:spacing w:after="0"/>
              <w:rPr>
                <w:sz w:val="20"/>
                <w:szCs w:val="20"/>
                <w:color w:val="auto"/>
              </w:rPr>
            </w:pPr>
            <w:r>
              <w:rPr>
                <w:rFonts w:ascii="Arial" w:cs="Arial" w:eastAsia="Arial" w:hAnsi="Arial"/>
                <w:sz w:val="14"/>
                <w:szCs w:val="14"/>
                <w:color w:val="auto"/>
              </w:rPr>
              <w:t>Ratio of debt related expenses to average net assets</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4.73%</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1.98%</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1.58%</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2.34%</w:t>
            </w: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7.74%</w:t>
            </w:r>
          </w:p>
        </w:tc>
        <w:tc>
          <w:tcPr>
            <w:tcW w:w="240" w:type="dxa"/>
            <w:vAlign w:val="bottom"/>
          </w:tcPr>
          <w:p>
            <w:pPr>
              <w:spacing w:after="0"/>
              <w:rPr>
                <w:sz w:val="13"/>
                <w:szCs w:val="13"/>
                <w:color w:val="auto"/>
              </w:rPr>
            </w:pPr>
          </w:p>
        </w:tc>
        <w:tc>
          <w:tcPr>
            <w:tcW w:w="11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6.11%</w:t>
            </w:r>
          </w:p>
        </w:tc>
        <w:tc>
          <w:tcPr>
            <w:tcW w:w="260" w:type="dxa"/>
            <w:vAlign w:val="bottom"/>
          </w:tcPr>
          <w:p>
            <w:pPr>
              <w:spacing w:after="0"/>
              <w:rPr>
                <w:sz w:val="13"/>
                <w:szCs w:val="13"/>
                <w:color w:val="auto"/>
              </w:rPr>
            </w:pPr>
          </w:p>
        </w:tc>
        <w:tc>
          <w:tcPr>
            <w:tcW w:w="11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5.14%</w:t>
            </w:r>
          </w:p>
        </w:tc>
        <w:tc>
          <w:tcPr>
            <w:tcW w:w="240" w:type="dxa"/>
            <w:vAlign w:val="bottom"/>
          </w:tcPr>
          <w:p>
            <w:pPr>
              <w:spacing w:after="0"/>
              <w:rPr>
                <w:sz w:val="13"/>
                <w:szCs w:val="13"/>
                <w:color w:val="auto"/>
              </w:rPr>
            </w:pPr>
          </w:p>
        </w:tc>
        <w:tc>
          <w:tcPr>
            <w:tcW w:w="12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5.35%</w:t>
            </w:r>
          </w:p>
        </w:tc>
        <w:tc>
          <w:tcPr>
            <w:tcW w:w="260" w:type="dxa"/>
            <w:vAlign w:val="bottom"/>
          </w:tcPr>
          <w:p>
            <w:pPr>
              <w:spacing w:after="0"/>
              <w:rPr>
                <w:sz w:val="13"/>
                <w:szCs w:val="13"/>
                <w:color w:val="auto"/>
              </w:rPr>
            </w:pP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62"/>
        </w:trPr>
        <w:tc>
          <w:tcPr>
            <w:tcW w:w="4120" w:type="dxa"/>
            <w:vAlign w:val="bottom"/>
            <w:shd w:val="clear" w:color="auto" w:fill="CCECFF"/>
          </w:tcPr>
          <w:p>
            <w:pPr>
              <w:spacing w:after="0"/>
              <w:rPr>
                <w:sz w:val="20"/>
                <w:szCs w:val="20"/>
                <w:color w:val="auto"/>
              </w:rPr>
            </w:pPr>
            <w:r>
              <w:rPr>
                <w:rFonts w:ascii="Arial" w:cs="Arial" w:eastAsia="Arial" w:hAnsi="Arial"/>
                <w:sz w:val="14"/>
                <w:szCs w:val="14"/>
                <w:color w:val="auto"/>
              </w:rPr>
              <w:t>Ratio of net investment income to average net assets</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5.81%</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7.85%</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7.42%</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7.43%</w:t>
            </w: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Net assets at end of year</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3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372,890,449</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214,527,710</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354,321,752</w:t>
            </w:r>
          </w:p>
        </w:tc>
        <w:tc>
          <w:tcPr>
            <w:tcW w:w="3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269,319,832</w:t>
            </w:r>
          </w:p>
        </w:tc>
        <w:tc>
          <w:tcPr>
            <w:tcW w:w="26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140,218,095</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123,924,384</w:t>
            </w:r>
          </w:p>
        </w:tc>
        <w:tc>
          <w:tcPr>
            <w:tcW w:w="3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147,599,452</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9.25</w:t>
            </w:r>
          </w:p>
        </w:tc>
        <w:tc>
          <w:tcPr>
            <w:tcW w:w="32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8.90</w:t>
            </w:r>
          </w:p>
        </w:tc>
        <w:tc>
          <w:tcPr>
            <w:tcW w:w="26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5.25</w:t>
            </w:r>
          </w:p>
        </w:tc>
        <w:tc>
          <w:tcPr>
            <w:tcW w:w="28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7.61</w:t>
            </w:r>
          </w:p>
        </w:tc>
        <w:tc>
          <w:tcPr>
            <w:tcW w:w="3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9.91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(5)</w:t>
            </w: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2,146</w:t>
            </w:r>
          </w:p>
        </w:tc>
        <w:tc>
          <w:tcPr>
            <w:tcW w:w="32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2,783</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2,618</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13,598</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2,460</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2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47.15%</w:t>
            </w:r>
          </w:p>
        </w:tc>
        <w:tc>
          <w:tcPr>
            <w:tcW w:w="2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59.70%</w:t>
            </w:r>
          </w:p>
        </w:tc>
        <w:tc>
          <w:tcPr>
            <w:tcW w:w="2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32.16%</w:t>
            </w:r>
          </w:p>
        </w:tc>
        <w:tc>
          <w:tcPr>
            <w:tcW w:w="2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51.02%</w:t>
            </w:r>
          </w:p>
        </w:tc>
        <w:tc>
          <w:tcPr>
            <w:tcW w:w="2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62.74%</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62"/>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right="420" w:hanging="372"/>
        <w:spacing w:after="0" w:line="221" w:lineRule="auto"/>
        <w:tabs>
          <w:tab w:leader="none" w:pos="380" w:val="left"/>
        </w:tabs>
        <w:numPr>
          <w:ilvl w:val="0"/>
          <w:numId w:val="62"/>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 which was terminated on November 22, 2017.</w:t>
      </w:r>
    </w:p>
    <w:p>
      <w:pPr>
        <w:ind w:left="380" w:hanging="372"/>
        <w:spacing w:after="0" w:line="221" w:lineRule="auto"/>
        <w:tabs>
          <w:tab w:leader="none" w:pos="380" w:val="left"/>
        </w:tabs>
        <w:numPr>
          <w:ilvl w:val="0"/>
          <w:numId w:val="62"/>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right="80" w:hanging="372"/>
        <w:spacing w:after="0" w:line="271" w:lineRule="auto"/>
        <w:tabs>
          <w:tab w:leader="none" w:pos="3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13455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100" w:firstLine="456"/>
        <w:spacing w:after="0" w:line="238" w:lineRule="auto"/>
        <w:rPr>
          <w:sz w:val="20"/>
          <w:szCs w:val="20"/>
          <w:color w:val="auto"/>
        </w:rPr>
      </w:pPr>
      <w:r>
        <w:rPr>
          <w:rFonts w:ascii="Arial" w:cs="Arial" w:eastAsia="Arial" w:hAnsi="Arial"/>
          <w:sz w:val="14"/>
          <w:szCs w:val="14"/>
          <w:color w:val="auto"/>
        </w:rPr>
        <w:t>The annualized weighted average cost of debt for the years ended September 30, 2018, 2017 and 2016, inclusive of the fee on the undrawn commitment of 0.375% on the Credit Facility, amendment costs and debt issuance costs, was 7.12%, 3.14% and 4.16%, respectively. As of September 30, 2018, in accordance with the 1940 Act, with certain limited exceptions, we are only allowed to borrow amounts such that we are in compliance with a 200% asset coverage ratio requirement after such borrowing.</w:t>
      </w:r>
    </w:p>
    <w:p>
      <w:pPr>
        <w:spacing w:after="0" w:line="115"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 disclosure requirements. As of September 30, 2018 and 2017, our asset coverage ratio, as computed in accordance with the 1940 Act, was 215% and 278%,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Funding I’s multi-currency Credit Facility with the Lenders was $405 million as of September 30, 2018, subject to satisfaction of certain conditions and the regulatory restrictions that the 1940 Act imposes on us as a BDC, has an interest rate spread above LIBOR of 200 basis points, a maturity date of November 2022 and a revolving period that ends in November 2020. As of September 30, 2018 and 2017, Funding I had $333.7 million and $253.8 million of outstanding borrowings under the Credit Facility, respectively. The Credit Facility had a weighted average interest rate of 4.25% and 3.18%, exclusive of the fee on undrawn commitments as of September 30, 2018 and 2017, respectively.</w:t>
      </w:r>
    </w:p>
    <w:p>
      <w:pPr>
        <w:spacing w:after="0" w:line="104"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2018, we were in compliance with the covenants relating to our Credit Facility.</w:t>
      </w:r>
    </w:p>
    <w:p>
      <w:pPr>
        <w:spacing w:after="0" w:line="10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jc w:val="both"/>
        <w:ind w:right="12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2018 and 2017, we had $79.4 million and $30.6 million, respectively, in commitments to fund investments. Additionally, as described in Note 4, the Company had unfunded commitments of up to $39.4 million and $44.6 million to PSSL as of September 30, 2018 and 2017, respectively, that may be contributed primarily for the purpose of funding new investments approved by the PSSL board of directors or investment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127" w:lineRule="exact"/>
        <w:rPr>
          <w:sz w:val="20"/>
          <w:szCs w:val="20"/>
          <w:color w:val="auto"/>
        </w:rPr>
      </w:pPr>
    </w:p>
    <w:p>
      <w:pPr>
        <w:ind w:right="40" w:firstLine="456"/>
        <w:spacing w:after="0" w:line="238" w:lineRule="auto"/>
        <w:rPr>
          <w:sz w:val="20"/>
          <w:szCs w:val="20"/>
          <w:color w:val="auto"/>
        </w:rPr>
      </w:pPr>
      <w:r>
        <w:rPr>
          <w:rFonts w:ascii="Arial" w:cs="Arial" w:eastAsia="Arial" w:hAnsi="Arial"/>
          <w:sz w:val="14"/>
          <w:szCs w:val="14"/>
          <w:color w:val="auto"/>
        </w:rPr>
        <w:t>Subsequent to September 30, 2018, we entered into an amendment and restatement of our Credit Facility to, among other things, (i) increase the size of the Credit Facility from $405 million to $520 million, (ii) extend the reinvestment period to October 30, 2021, (iii) extend the maturity date to October 30, 2023 and (iv) reduce the asset coverage ratio covenant from 200% to 150%. The interest rate of LIBOR plus 200 basis points remains unchanged.</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880" w:type="dxa"/>
            <w:vAlign w:val="bottom"/>
          </w:tcPr>
          <w:p>
            <w:pPr>
              <w:jc w:val="right"/>
              <w:ind w:right="408"/>
              <w:spacing w:after="0" w:line="155"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21,339</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19,529</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16,501</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14,836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11,669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11,835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9,400</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(1,940)</w:t>
            </w: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(656)</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(6,867)</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6,190</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3,859</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11,013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4,968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15,590</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1,919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0.40</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13.82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13.98</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13.15</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13.09</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18,454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15,191</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13,221</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12,631</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10,409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8,185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8,029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6,822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(746)</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10,851</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9,342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7,283</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8,849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13.94</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15,396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10,803</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11,346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8,756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8,155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6,830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7,265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5,086</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7,732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6,589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(4,829)</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(3,339)</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15,887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13,419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2,436</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14.06</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13.54</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11.70</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CFF"/>
          </w:tcPr>
          <w:p>
            <w:pPr>
              <w:spacing w:after="0"/>
              <w:rPr>
                <w:sz w:val="14"/>
                <w:szCs w:val="14"/>
                <w:color w:val="auto"/>
              </w:rPr>
            </w:pPr>
          </w:p>
        </w:tc>
      </w:tr>
    </w:tbl>
    <w:p>
      <w:pPr>
        <w:spacing w:after="0" w:line="143"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7" w:name="page78"/>
    <w:bookmarkEnd w:id="77"/>
    <w:p>
      <w:pPr>
        <w:spacing w:after="0"/>
        <w:tabs>
          <w:tab w:leader="none" w:pos="9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2018,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48 of this Report,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8" w:name="page79"/>
    <w:bookmarkEnd w:id="78"/>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27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2019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1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2019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2019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2019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2019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2019 Annual Meeting of Stockholders, to be filed with the SEC within 120 days following the end of our fiscal year.</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PART IV</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Index to Financial Statements — Refer to Item 8 starting on page 47.</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Financial Statement Schedules — None.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3.1</w:t>
            </w:r>
          </w:p>
        </w:tc>
        <w:tc>
          <w:tcPr>
            <w:tcW w:w="10380" w:type="dxa"/>
            <w:vAlign w:val="bottom"/>
            <w:gridSpan w:val="29"/>
          </w:tcPr>
          <w:p>
            <w:pPr>
              <w:spacing w:after="0"/>
              <w:rPr>
                <w:rFonts w:ascii="Arial" w:cs="Arial" w:eastAsia="Arial" w:hAnsi="Arial"/>
                <w:sz w:val="14"/>
                <w:szCs w:val="14"/>
                <w:color w:val="0000EE"/>
                <w:w w:val="93"/>
              </w:rPr>
            </w:pPr>
            <w:hyperlink r:id="rId127">
              <w:r>
                <w:rPr>
                  <w:rFonts w:ascii="Arial" w:cs="Arial" w:eastAsia="Arial" w:hAnsi="Arial"/>
                  <w:sz w:val="14"/>
                  <w:szCs w:val="14"/>
                  <w:color w:val="0000EE"/>
                  <w:w w:val="93"/>
                </w:rPr>
                <w:t>Articles of Amendment and Restatement of the Registrant (Incorporated by reference to the Registrant’s Pre-Effective Amendment No. 3 to the Registration Statement on Form N-</w:t>
              </w:r>
            </w:hyperlink>
          </w:p>
        </w:tc>
      </w:tr>
      <w:tr>
        <w:trPr>
          <w:trHeight w:val="128"/>
        </w:trPr>
        <w:tc>
          <w:tcPr>
            <w:tcW w:w="920" w:type="dxa"/>
            <w:vAlign w:val="bottom"/>
          </w:tcPr>
          <w:p>
            <w:pPr>
              <w:spacing w:after="0"/>
              <w:rPr>
                <w:sz w:val="11"/>
                <w:szCs w:val="11"/>
                <w:color w:val="auto"/>
              </w:rPr>
            </w:pPr>
          </w:p>
        </w:tc>
        <w:tc>
          <w:tcPr>
            <w:tcW w:w="10360" w:type="dxa"/>
            <w:vAlign w:val="bottom"/>
            <w:tcBorders>
              <w:top w:val="single" w:sz="8" w:color="0000EE"/>
            </w:tcBorders>
            <w:gridSpan w:val="28"/>
          </w:tcPr>
          <w:p>
            <w:pPr>
              <w:spacing w:after="0" w:line="129" w:lineRule="exact"/>
              <w:rPr>
                <w:rFonts w:ascii="Arial" w:cs="Arial" w:eastAsia="Arial" w:hAnsi="Arial"/>
                <w:sz w:val="14"/>
                <w:szCs w:val="14"/>
                <w:color w:val="0000EE"/>
              </w:rPr>
            </w:pPr>
            <w:hyperlink r:id="rId127">
              <w:r>
                <w:rPr>
                  <w:rFonts w:ascii="Arial" w:cs="Arial" w:eastAsia="Arial" w:hAnsi="Arial"/>
                  <w:sz w:val="14"/>
                  <w:szCs w:val="14"/>
                  <w:color w:val="0000EE"/>
                </w:rPr>
                <w:t>2 (File No. 333-170243), filed on March 29, 2011).</w:t>
              </w:r>
            </w:hyperlink>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3.2</w:t>
            </w:r>
          </w:p>
        </w:tc>
        <w:tc>
          <w:tcPr>
            <w:tcW w:w="10380" w:type="dxa"/>
            <w:vAlign w:val="bottom"/>
            <w:gridSpan w:val="29"/>
          </w:tcPr>
          <w:p>
            <w:pPr>
              <w:spacing w:after="0"/>
              <w:rPr>
                <w:rFonts w:ascii="Arial" w:cs="Arial" w:eastAsia="Arial" w:hAnsi="Arial"/>
                <w:sz w:val="14"/>
                <w:szCs w:val="14"/>
                <w:color w:val="0000EE"/>
              </w:rPr>
            </w:pPr>
            <w:hyperlink r:id="rId128">
              <w:r>
                <w:rPr>
                  <w:rFonts w:ascii="Arial" w:cs="Arial" w:eastAsia="Arial" w:hAnsi="Arial"/>
                  <w:sz w:val="14"/>
                  <w:szCs w:val="14"/>
                  <w:color w:val="0000EE"/>
                </w:rPr>
                <w:t>Amended and Restated Bylaws of the Registrant (Incorporated by reference to Exhibit 3.1 to the Registrant’s Current Report on Form 8-K (File No. 814-00891), filed on</w:t>
              </w:r>
            </w:hyperlink>
          </w:p>
        </w:tc>
      </w:tr>
      <w:tr>
        <w:trPr>
          <w:trHeight w:val="128"/>
        </w:trPr>
        <w:tc>
          <w:tcPr>
            <w:tcW w:w="92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0"/>
              </w:rPr>
            </w:pPr>
            <w:hyperlink r:id="rId128">
              <w:r>
                <w:rPr>
                  <w:rFonts w:ascii="Arial" w:cs="Arial" w:eastAsia="Arial" w:hAnsi="Arial"/>
                  <w:sz w:val="14"/>
                  <w:szCs w:val="14"/>
                  <w:color w:val="0000EE"/>
                  <w:w w:val="90"/>
                </w:rPr>
                <w:t>December 2, 2015).</w:t>
              </w:r>
            </w:hyperlink>
          </w:p>
        </w:tc>
        <w:tc>
          <w:tcPr>
            <w:tcW w:w="8600" w:type="dxa"/>
            <w:vAlign w:val="bottom"/>
            <w:tcBorders>
              <w:top w:val="single" w:sz="8" w:color="0000EE"/>
            </w:tcBorders>
            <w:gridSpan w:val="8"/>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4.1</w:t>
            </w:r>
          </w:p>
        </w:tc>
        <w:tc>
          <w:tcPr>
            <w:tcW w:w="10380" w:type="dxa"/>
            <w:vAlign w:val="bottom"/>
            <w:gridSpan w:val="29"/>
          </w:tcPr>
          <w:p>
            <w:pPr>
              <w:spacing w:after="0"/>
              <w:rPr>
                <w:rFonts w:ascii="Arial" w:cs="Arial" w:eastAsia="Arial" w:hAnsi="Arial"/>
                <w:sz w:val="14"/>
                <w:szCs w:val="14"/>
                <w:color w:val="0000EE"/>
                <w:w w:val="95"/>
              </w:rPr>
            </w:pPr>
            <w:hyperlink r:id="rId129">
              <w:r>
                <w:rPr>
                  <w:rFonts w:ascii="Arial" w:cs="Arial" w:eastAsia="Arial" w:hAnsi="Arial"/>
                  <w:sz w:val="14"/>
                  <w:szCs w:val="14"/>
                  <w:color w:val="0000EE"/>
                  <w:w w:val="95"/>
                </w:rPr>
                <w:t>Form of Share Certificate (Incorporated by reference to the Registrant’s Pre-Effective Amendment No. 5 to the Registration Statement on Form N-2 (File No. 333-170243), filed</w:t>
              </w:r>
            </w:hyperlink>
          </w:p>
        </w:tc>
      </w:tr>
      <w:tr>
        <w:trPr>
          <w:trHeight w:val="129"/>
        </w:trPr>
        <w:tc>
          <w:tcPr>
            <w:tcW w:w="920" w:type="dxa"/>
            <w:vAlign w:val="bottom"/>
          </w:tcPr>
          <w:p>
            <w:pPr>
              <w:spacing w:after="0"/>
              <w:rPr>
                <w:sz w:val="11"/>
                <w:szCs w:val="11"/>
                <w:color w:val="auto"/>
              </w:rPr>
            </w:pPr>
          </w:p>
        </w:tc>
        <w:tc>
          <w:tcPr>
            <w:tcW w:w="1020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r:id="rId129">
              <w:r>
                <w:rPr>
                  <w:rFonts w:ascii="Arial" w:cs="Arial" w:eastAsia="Arial" w:hAnsi="Arial"/>
                  <w:sz w:val="14"/>
                  <w:szCs w:val="14"/>
                  <w:color w:val="0000EE"/>
                </w:rPr>
                <w:t>on April 5, 2011).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10.1</w:t>
            </w:r>
          </w:p>
        </w:tc>
        <w:tc>
          <w:tcPr>
            <w:tcW w:w="10380" w:type="dxa"/>
            <w:vAlign w:val="bottom"/>
            <w:gridSpan w:val="29"/>
          </w:tcPr>
          <w:p>
            <w:pPr>
              <w:spacing w:after="0"/>
              <w:rPr>
                <w:rFonts w:ascii="Arial" w:cs="Arial" w:eastAsia="Arial" w:hAnsi="Arial"/>
                <w:sz w:val="14"/>
                <w:szCs w:val="14"/>
                <w:color w:val="0000EE"/>
                <w:w w:val="94"/>
              </w:rPr>
            </w:pPr>
            <w:hyperlink r:id="rId130">
              <w:r>
                <w:rPr>
                  <w:rFonts w:ascii="Arial" w:cs="Arial" w:eastAsia="Arial" w:hAnsi="Arial"/>
                  <w:sz w:val="14"/>
                  <w:szCs w:val="14"/>
                  <w:color w:val="0000EE"/>
                  <w:w w:val="94"/>
                </w:rPr>
                <w:t>Third Amended and Restated Revolving Credit and Security Agreement, dated as of May 22, 2015, among PennantPark Floating Rate Funding I, LLC, as borrower, PennantPark</w:t>
              </w:r>
            </w:hyperlink>
          </w:p>
        </w:tc>
      </w:tr>
      <w:tr>
        <w:trPr>
          <w:trHeight w:val="129"/>
        </w:trPr>
        <w:tc>
          <w:tcPr>
            <w:tcW w:w="920" w:type="dxa"/>
            <w:vAlign w:val="bottom"/>
          </w:tcPr>
          <w:p>
            <w:pPr>
              <w:spacing w:after="0"/>
              <w:rPr>
                <w:sz w:val="11"/>
                <w:szCs w:val="11"/>
                <w:color w:val="auto"/>
              </w:rPr>
            </w:pPr>
          </w:p>
        </w:tc>
        <w:tc>
          <w:tcPr>
            <w:tcW w:w="10260" w:type="dxa"/>
            <w:vAlign w:val="bottom"/>
            <w:tcBorders>
              <w:top w:val="single" w:sz="8" w:color="0000EE"/>
            </w:tcBorders>
            <w:gridSpan w:val="23"/>
          </w:tcPr>
          <w:p>
            <w:pPr>
              <w:spacing w:after="0" w:line="129" w:lineRule="exact"/>
              <w:rPr>
                <w:rFonts w:ascii="Arial" w:cs="Arial" w:eastAsia="Arial" w:hAnsi="Arial"/>
                <w:sz w:val="14"/>
                <w:szCs w:val="14"/>
                <w:color w:val="0000EE"/>
                <w:w w:val="94"/>
              </w:rPr>
            </w:pPr>
            <w:hyperlink r:id="rId130">
              <w:r>
                <w:rPr>
                  <w:rFonts w:ascii="Arial" w:cs="Arial" w:eastAsia="Arial" w:hAnsi="Arial"/>
                  <w:sz w:val="14"/>
                  <w:szCs w:val="14"/>
                  <w:color w:val="0000EE"/>
                  <w:w w:val="94"/>
                </w:rPr>
                <w:t>Investment Advisers, LLC, as collateral manager, the lenders from time to time parties thereto, SunTrust Bank, as administrative agent, and U.S. Bank National Association,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8"/>
        </w:trPr>
        <w:tc>
          <w:tcPr>
            <w:tcW w:w="920" w:type="dxa"/>
            <w:vAlign w:val="bottom"/>
          </w:tcPr>
          <w:p>
            <w:pPr>
              <w:spacing w:after="0"/>
              <w:rPr>
                <w:sz w:val="11"/>
                <w:szCs w:val="11"/>
                <w:color w:val="auto"/>
              </w:rPr>
            </w:pPr>
          </w:p>
        </w:tc>
        <w:tc>
          <w:tcPr>
            <w:tcW w:w="10100" w:type="dxa"/>
            <w:vAlign w:val="bottom"/>
            <w:tcBorders>
              <w:top w:val="single" w:sz="8" w:color="0000EE"/>
            </w:tcBorders>
            <w:gridSpan w:val="16"/>
          </w:tcPr>
          <w:p>
            <w:pPr>
              <w:spacing w:after="0" w:line="129" w:lineRule="exact"/>
              <w:rPr>
                <w:rFonts w:ascii="Arial" w:cs="Arial" w:eastAsia="Arial" w:hAnsi="Arial"/>
                <w:sz w:val="14"/>
                <w:szCs w:val="14"/>
                <w:color w:val="0000EE"/>
                <w:w w:val="94"/>
              </w:rPr>
            </w:pPr>
            <w:hyperlink r:id="rId130">
              <w:r>
                <w:rPr>
                  <w:rFonts w:ascii="Arial" w:cs="Arial" w:eastAsia="Arial" w:hAnsi="Arial"/>
                  <w:sz w:val="14"/>
                  <w:szCs w:val="14"/>
                  <w:color w:val="0000EE"/>
                  <w:w w:val="94"/>
                </w:rPr>
                <w:t>collateral agent, as backup collateral manager, and as custodian (Incorporated by reference to Exhibit 10.1 to the Registrant’s Quarterly Report on Form 10-Q (File No. 814-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192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3"/>
              </w:rPr>
            </w:pPr>
            <w:hyperlink r:id="rId130">
              <w:r>
                <w:rPr>
                  <w:rFonts w:ascii="Arial" w:cs="Arial" w:eastAsia="Arial" w:hAnsi="Arial"/>
                  <w:sz w:val="14"/>
                  <w:szCs w:val="14"/>
                  <w:color w:val="0000EE"/>
                  <w:w w:val="93"/>
                </w:rPr>
                <w:t>00891)</w:t>
              </w:r>
              <w:r>
                <w:rPr>
                  <w:rFonts w:ascii="Arial" w:cs="Arial" w:eastAsia="Arial" w:hAnsi="Arial"/>
                  <w:sz w:val="14"/>
                  <w:szCs w:val="14"/>
                  <w:u w:val="single" w:color="auto"/>
                  <w:color w:val="0000EE"/>
                  <w:w w:val="93"/>
                </w:rPr>
                <w:t>,</w:t>
              </w:r>
              <w:r>
                <w:rPr>
                  <w:rFonts w:ascii="Arial" w:cs="Arial" w:eastAsia="Arial" w:hAnsi="Arial"/>
                  <w:sz w:val="14"/>
                  <w:szCs w:val="14"/>
                  <w:color w:val="0000EE"/>
                  <w:w w:val="93"/>
                </w:rPr>
                <w:t xml:space="preserve"> filed on August 6, 2015).</w:t>
              </w:r>
            </w:hyperlink>
          </w:p>
        </w:tc>
        <w:tc>
          <w:tcPr>
            <w:tcW w:w="8000" w:type="dxa"/>
            <w:vAlign w:val="bottom"/>
            <w:tcBorders>
              <w:top w:val="single" w:sz="8" w:color="0000EE"/>
            </w:tcBorders>
            <w:gridSpan w:val="9"/>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10.2</w:t>
            </w:r>
          </w:p>
        </w:tc>
        <w:tc>
          <w:tcPr>
            <w:tcW w:w="10380" w:type="dxa"/>
            <w:vAlign w:val="bottom"/>
            <w:gridSpan w:val="29"/>
          </w:tcPr>
          <w:p>
            <w:pPr>
              <w:spacing w:after="0"/>
              <w:rPr>
                <w:rFonts w:ascii="Arial" w:cs="Arial" w:eastAsia="Arial" w:hAnsi="Arial"/>
                <w:sz w:val="14"/>
                <w:szCs w:val="14"/>
                <w:color w:val="0000EE"/>
                <w:w w:val="94"/>
              </w:rPr>
            </w:pPr>
            <w:hyperlink r:id="rId131">
              <w:r>
                <w:rPr>
                  <w:rFonts w:ascii="Arial" w:cs="Arial" w:eastAsia="Arial" w:hAnsi="Arial"/>
                  <w:sz w:val="14"/>
                  <w:szCs w:val="14"/>
                  <w:color w:val="0000EE"/>
                  <w:w w:val="94"/>
                </w:rPr>
                <w:t>First Amendment to Third Amended and Restated Revolving Credit and Security Agreement, dated as of August 26, 2015, among PennantPark Floating Rate Funding I, LLC, as</w:t>
              </w:r>
            </w:hyperlink>
          </w:p>
        </w:tc>
      </w:tr>
      <w:tr>
        <w:trPr>
          <w:trHeight w:val="129"/>
        </w:trPr>
        <w:tc>
          <w:tcPr>
            <w:tcW w:w="920" w:type="dxa"/>
            <w:vAlign w:val="bottom"/>
          </w:tcPr>
          <w:p>
            <w:pPr>
              <w:spacing w:after="0"/>
              <w:rPr>
                <w:sz w:val="11"/>
                <w:szCs w:val="11"/>
                <w:color w:val="auto"/>
              </w:rPr>
            </w:pPr>
          </w:p>
        </w:tc>
        <w:tc>
          <w:tcPr>
            <w:tcW w:w="10240" w:type="dxa"/>
            <w:vAlign w:val="bottom"/>
            <w:tcBorders>
              <w:top w:val="single" w:sz="8" w:color="0000EE"/>
            </w:tcBorders>
            <w:gridSpan w:val="22"/>
          </w:tcPr>
          <w:p>
            <w:pPr>
              <w:spacing w:after="0" w:line="129" w:lineRule="exact"/>
              <w:rPr>
                <w:rFonts w:ascii="Arial" w:cs="Arial" w:eastAsia="Arial" w:hAnsi="Arial"/>
                <w:sz w:val="14"/>
                <w:szCs w:val="14"/>
                <w:color w:val="0000EE"/>
                <w:w w:val="94"/>
              </w:rPr>
            </w:pPr>
            <w:hyperlink r:id="rId131">
              <w:r>
                <w:rPr>
                  <w:rFonts w:ascii="Arial" w:cs="Arial" w:eastAsia="Arial" w:hAnsi="Arial"/>
                  <w:sz w:val="14"/>
                  <w:szCs w:val="14"/>
                  <w:color w:val="0000EE"/>
                  <w:w w:val="94"/>
                </w:rPr>
                <w:t>borrower, PennantPark Investment Advisers, LLC, as collateral manager, the lenders from time to time parties thereto, SunTrust Bank, as administrative agent, and U.S. Bank</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8"/>
        </w:trPr>
        <w:tc>
          <w:tcPr>
            <w:tcW w:w="920" w:type="dxa"/>
            <w:vAlign w:val="bottom"/>
          </w:tcPr>
          <w:p>
            <w:pPr>
              <w:spacing w:after="0"/>
              <w:rPr>
                <w:sz w:val="11"/>
                <w:szCs w:val="11"/>
                <w:color w:val="auto"/>
              </w:rPr>
            </w:pPr>
          </w:p>
        </w:tc>
        <w:tc>
          <w:tcPr>
            <w:tcW w:w="10020" w:type="dxa"/>
            <w:vAlign w:val="bottom"/>
            <w:tcBorders>
              <w:top w:val="single" w:sz="8" w:color="0000EE"/>
            </w:tcBorders>
            <w:gridSpan w:val="15"/>
          </w:tcPr>
          <w:p>
            <w:pPr>
              <w:spacing w:after="0" w:line="129" w:lineRule="exact"/>
              <w:rPr>
                <w:rFonts w:ascii="Arial" w:cs="Arial" w:eastAsia="Arial" w:hAnsi="Arial"/>
                <w:sz w:val="14"/>
                <w:szCs w:val="14"/>
                <w:color w:val="0000EE"/>
                <w:w w:val="92"/>
              </w:rPr>
            </w:pPr>
            <w:hyperlink r:id="rId131">
              <w:r>
                <w:rPr>
                  <w:rFonts w:ascii="Arial" w:cs="Arial" w:eastAsia="Arial" w:hAnsi="Arial"/>
                  <w:sz w:val="14"/>
                  <w:szCs w:val="14"/>
                  <w:color w:val="0000EE"/>
                  <w:w w:val="92"/>
                </w:rPr>
                <w:t>National Association, as collateral agent, as backup collateral manager, and as custodian (Incorporated by reference to Exhibit 10.1 to the Registrant’s Annual Report on Form</w:t>
              </w:r>
            </w:hyperlink>
          </w:p>
        </w:tc>
        <w:tc>
          <w:tcPr>
            <w:tcW w:w="320" w:type="dxa"/>
            <w:vAlign w:val="bottom"/>
            <w:gridSpan w:val="12"/>
          </w:tcPr>
          <w:p>
            <w:pPr>
              <w:jc w:val="right"/>
              <w:ind w:right="80"/>
              <w:spacing w:after="0" w:line="129" w:lineRule="exact"/>
              <w:rPr>
                <w:rFonts w:ascii="Arial" w:cs="Arial" w:eastAsia="Arial" w:hAnsi="Arial"/>
                <w:sz w:val="14"/>
                <w:szCs w:val="14"/>
                <w:color w:val="0000EE"/>
              </w:rPr>
            </w:pPr>
            <w:hyperlink r:id="rId131">
              <w:r>
                <w:rPr>
                  <w:rFonts w:ascii="Arial" w:cs="Arial" w:eastAsia="Arial" w:hAnsi="Arial"/>
                  <w:sz w:val="14"/>
                  <w:szCs w:val="14"/>
                  <w:color w:val="0000EE"/>
                </w:rPr>
                <w:t>10-</w:t>
              </w:r>
            </w:hyperlink>
          </w:p>
        </w:tc>
        <w:tc>
          <w:tcPr>
            <w:tcW w:w="40" w:type="dxa"/>
            <w:vAlign w:val="bottom"/>
            <w:gridSpan w:val="2"/>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10320" w:type="dxa"/>
            <w:vAlign w:val="bottom"/>
            <w:tcBorders>
              <w:top w:val="single" w:sz="8" w:color="0000EE"/>
            </w:tcBorders>
            <w:gridSpan w:val="26"/>
          </w:tcPr>
          <w:p>
            <w:pPr>
              <w:spacing w:after="0" w:line="129" w:lineRule="exact"/>
              <w:rPr>
                <w:rFonts w:ascii="Arial" w:cs="Arial" w:eastAsia="Arial" w:hAnsi="Arial"/>
                <w:sz w:val="14"/>
                <w:szCs w:val="14"/>
                <w:color w:val="0000EE"/>
              </w:rPr>
            </w:pPr>
            <w:hyperlink r:id="rId131">
              <w:r>
                <w:rPr>
                  <w:rFonts w:ascii="Arial" w:cs="Arial" w:eastAsia="Arial" w:hAnsi="Arial"/>
                  <w:sz w:val="14"/>
                  <w:szCs w:val="14"/>
                  <w:color w:val="0000EE"/>
                </w:rPr>
                <w:t>K (File No. 814-00891), filed on November 12, 2015).</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10.3</w:t>
            </w:r>
          </w:p>
        </w:tc>
        <w:tc>
          <w:tcPr>
            <w:tcW w:w="10380" w:type="dxa"/>
            <w:vAlign w:val="bottom"/>
            <w:gridSpan w:val="29"/>
          </w:tcPr>
          <w:p>
            <w:pPr>
              <w:spacing w:after="0"/>
              <w:rPr>
                <w:rFonts w:ascii="Arial" w:cs="Arial" w:eastAsia="Arial" w:hAnsi="Arial"/>
                <w:sz w:val="14"/>
                <w:szCs w:val="14"/>
                <w:color w:val="0000EE"/>
                <w:w w:val="96"/>
              </w:rPr>
            </w:pPr>
            <w:hyperlink r:id="rId132">
              <w:r>
                <w:rPr>
                  <w:rFonts w:ascii="Arial" w:cs="Arial" w:eastAsia="Arial" w:hAnsi="Arial"/>
                  <w:sz w:val="14"/>
                  <w:szCs w:val="14"/>
                  <w:color w:val="0000EE"/>
                  <w:w w:val="96"/>
                </w:rPr>
                <w:t>Second Amendment to Third Amended and Restated Revolving Credit and Security Agreement, dated as of November 9, 2017, among PennantPark Floating Rate Funding I,</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10380" w:type="dxa"/>
            <w:vAlign w:val="bottom"/>
            <w:gridSpan w:val="29"/>
          </w:tcPr>
          <w:p>
            <w:pPr>
              <w:spacing w:after="0" w:line="129" w:lineRule="exact"/>
              <w:rPr>
                <w:rFonts w:ascii="Arial" w:cs="Arial" w:eastAsia="Arial" w:hAnsi="Arial"/>
                <w:sz w:val="14"/>
                <w:szCs w:val="14"/>
                <w:color w:val="0000EE"/>
                <w:w w:val="94"/>
              </w:rPr>
            </w:pPr>
            <w:hyperlink r:id="rId132">
              <w:r>
                <w:rPr>
                  <w:rFonts w:ascii="Arial" w:cs="Arial" w:eastAsia="Arial" w:hAnsi="Arial"/>
                  <w:sz w:val="14"/>
                  <w:szCs w:val="14"/>
                  <w:color w:val="0000EE"/>
                  <w:w w:val="94"/>
                </w:rPr>
                <w:t>LLC, as borrower, PennantPark Investment Advisers, LLC, as collateral manager, the lenders from time to time parties thereto, SunTrust Bank, as administrative agent, and U.S.</w:t>
              </w:r>
            </w:hyperlink>
          </w:p>
        </w:tc>
      </w:tr>
      <w:tr>
        <w:trPr>
          <w:trHeight w:val="128"/>
        </w:trPr>
        <w:tc>
          <w:tcPr>
            <w:tcW w:w="920" w:type="dxa"/>
            <w:vAlign w:val="bottom"/>
          </w:tcPr>
          <w:p>
            <w:pPr>
              <w:spacing w:after="0"/>
              <w:rPr>
                <w:sz w:val="11"/>
                <w:szCs w:val="11"/>
                <w:color w:val="auto"/>
              </w:rPr>
            </w:pPr>
          </w:p>
        </w:tc>
        <w:tc>
          <w:tcPr>
            <w:tcW w:w="10180" w:type="dxa"/>
            <w:vAlign w:val="bottom"/>
            <w:tcBorders>
              <w:top w:val="single" w:sz="8" w:color="0000EE"/>
            </w:tcBorders>
            <w:gridSpan w:val="19"/>
          </w:tcPr>
          <w:p>
            <w:pPr>
              <w:spacing w:after="0" w:line="129" w:lineRule="exact"/>
              <w:rPr>
                <w:rFonts w:ascii="Arial" w:cs="Arial" w:eastAsia="Arial" w:hAnsi="Arial"/>
                <w:sz w:val="14"/>
                <w:szCs w:val="14"/>
                <w:color w:val="0000EE"/>
                <w:w w:val="96"/>
              </w:rPr>
            </w:pPr>
            <w:hyperlink r:id="rId132">
              <w:r>
                <w:rPr>
                  <w:rFonts w:ascii="Arial" w:cs="Arial" w:eastAsia="Arial" w:hAnsi="Arial"/>
                  <w:sz w:val="14"/>
                  <w:szCs w:val="14"/>
                  <w:color w:val="0000EE"/>
                  <w:w w:val="96"/>
                </w:rPr>
                <w:t>Bank National Association, as collateral agent, as custodian, as collateral administrator and as backup collateral manager (Incorporated by reference to Exhibit 10.1 to the</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5380" w:type="dxa"/>
            <w:vAlign w:val="bottom"/>
            <w:tcBorders>
              <w:top w:val="single" w:sz="8" w:color="0000EE"/>
              <w:bottom w:val="single" w:sz="8" w:color="0000EE"/>
            </w:tcBorders>
            <w:gridSpan w:val="8"/>
          </w:tcPr>
          <w:p>
            <w:pPr>
              <w:spacing w:after="0" w:line="129" w:lineRule="exact"/>
              <w:rPr>
                <w:rFonts w:ascii="Arial" w:cs="Arial" w:eastAsia="Arial" w:hAnsi="Arial"/>
                <w:sz w:val="14"/>
                <w:szCs w:val="14"/>
                <w:color w:val="0000EE"/>
                <w:w w:val="94"/>
              </w:rPr>
            </w:pPr>
            <w:hyperlink r:id="rId132">
              <w:r>
                <w:rPr>
                  <w:rFonts w:ascii="Arial" w:cs="Arial" w:eastAsia="Arial" w:hAnsi="Arial"/>
                  <w:sz w:val="14"/>
                  <w:szCs w:val="14"/>
                  <w:color w:val="0000EE"/>
                  <w:w w:val="94"/>
                </w:rPr>
                <w:t>Registrant’s Current Report on Form 8-K (File No. 814-00891) filed on November 13, 2017).</w:t>
              </w:r>
            </w:hyperlink>
          </w:p>
        </w:tc>
        <w:tc>
          <w:tcPr>
            <w:tcW w:w="4400" w:type="dxa"/>
            <w:vAlign w:val="bottom"/>
            <w:tcBorders>
              <w:top w:val="single" w:sz="8" w:color="0000EE"/>
            </w:tcBorders>
            <w:gridSpan w:val="4"/>
          </w:tcPr>
          <w:p>
            <w:pPr>
              <w:spacing w:after="0"/>
              <w:rPr>
                <w:sz w:val="11"/>
                <w:szCs w:val="11"/>
                <w:color w:val="auto"/>
              </w:rPr>
            </w:pPr>
          </w:p>
        </w:tc>
        <w:tc>
          <w:tcPr>
            <w:tcW w:w="20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358"/>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10.4</w:t>
            </w:r>
          </w:p>
        </w:tc>
        <w:tc>
          <w:tcPr>
            <w:tcW w:w="10380" w:type="dxa"/>
            <w:vAlign w:val="bottom"/>
            <w:gridSpan w:val="29"/>
          </w:tcPr>
          <w:p>
            <w:pPr>
              <w:spacing w:after="0"/>
              <w:rPr>
                <w:rFonts w:ascii="Arial" w:cs="Arial" w:eastAsia="Arial" w:hAnsi="Arial"/>
                <w:sz w:val="14"/>
                <w:szCs w:val="14"/>
                <w:color w:val="0000EE"/>
                <w:w w:val="93"/>
              </w:rPr>
            </w:pPr>
            <w:hyperlink r:id="rId133">
              <w:r>
                <w:rPr>
                  <w:rFonts w:ascii="Arial" w:cs="Arial" w:eastAsia="Arial" w:hAnsi="Arial"/>
                  <w:sz w:val="14"/>
                  <w:szCs w:val="14"/>
                  <w:color w:val="0000EE"/>
                  <w:w w:val="93"/>
                </w:rPr>
                <w:t>Purchase and Contribution Agreement, dated as of June 23, 2011, among PennantPark Floating Rate Capital Ltd., as the seller, and PennantPark Floating Rate Funding I, LLC, as</w:t>
              </w:r>
            </w:hyperlink>
          </w:p>
        </w:tc>
      </w:tr>
      <w:tr>
        <w:trPr>
          <w:trHeight w:val="128"/>
        </w:trPr>
        <w:tc>
          <w:tcPr>
            <w:tcW w:w="920" w:type="dxa"/>
            <w:vAlign w:val="bottom"/>
          </w:tcPr>
          <w:p>
            <w:pPr>
              <w:spacing w:after="0"/>
              <w:rPr>
                <w:sz w:val="11"/>
                <w:szCs w:val="11"/>
                <w:color w:val="auto"/>
              </w:rPr>
            </w:pPr>
          </w:p>
        </w:tc>
        <w:tc>
          <w:tcPr>
            <w:tcW w:w="10300" w:type="dxa"/>
            <w:vAlign w:val="bottom"/>
            <w:tcBorders>
              <w:top w:val="single" w:sz="8" w:color="0000EE"/>
            </w:tcBorders>
            <w:gridSpan w:val="25"/>
          </w:tcPr>
          <w:p>
            <w:pPr>
              <w:spacing w:after="0" w:line="129" w:lineRule="exact"/>
              <w:rPr>
                <w:rFonts w:ascii="Arial" w:cs="Arial" w:eastAsia="Arial" w:hAnsi="Arial"/>
                <w:sz w:val="14"/>
                <w:szCs w:val="14"/>
                <w:color w:val="0000EE"/>
              </w:rPr>
            </w:pPr>
            <w:hyperlink r:id="rId133">
              <w:r>
                <w:rPr>
                  <w:rFonts w:ascii="Arial" w:cs="Arial" w:eastAsia="Arial" w:hAnsi="Arial"/>
                  <w:sz w:val="14"/>
                  <w:szCs w:val="14"/>
                  <w:color w:val="0000EE"/>
                </w:rPr>
                <w:t>the buyer (Incorporated by reference to Exhibit 10.2 to the Registrant’s Current Report on Form 8-K, filed on June 29, 2011).</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49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10.5</w:t>
            </w:r>
          </w:p>
        </w:tc>
        <w:tc>
          <w:tcPr>
            <w:tcW w:w="10380" w:type="dxa"/>
            <w:vAlign w:val="bottom"/>
            <w:gridSpan w:val="29"/>
          </w:tcPr>
          <w:p>
            <w:pPr>
              <w:spacing w:after="0"/>
              <w:rPr>
                <w:rFonts w:ascii="Arial" w:cs="Arial" w:eastAsia="Arial" w:hAnsi="Arial"/>
                <w:sz w:val="14"/>
                <w:szCs w:val="14"/>
                <w:color w:val="0000EE"/>
                <w:w w:val="93"/>
              </w:rPr>
            </w:pPr>
            <w:hyperlink r:id="rId134">
              <w:r>
                <w:rPr>
                  <w:rFonts w:ascii="Arial" w:cs="Arial" w:eastAsia="Arial" w:hAnsi="Arial"/>
                  <w:sz w:val="14"/>
                  <w:szCs w:val="14"/>
                  <w:color w:val="0000EE"/>
                  <w:w w:val="93"/>
                </w:rPr>
                <w:t>First Amendment to Purchase and Contribution Agreement, dated as of January 16, 2018, between PennantPark Floating Rate Capital Ltd., as the seller, and PennantPark Floating</w:t>
              </w:r>
            </w:hyperlink>
          </w:p>
        </w:tc>
      </w:tr>
      <w:tr>
        <w:trPr>
          <w:trHeight w:val="176"/>
        </w:trPr>
        <w:tc>
          <w:tcPr>
            <w:tcW w:w="920" w:type="dxa"/>
            <w:vAlign w:val="bottom"/>
          </w:tcPr>
          <w:p>
            <w:pPr>
              <w:spacing w:after="0"/>
              <w:rPr>
                <w:sz w:val="15"/>
                <w:szCs w:val="15"/>
                <w:color w:val="auto"/>
              </w:rPr>
            </w:pPr>
          </w:p>
        </w:tc>
        <w:tc>
          <w:tcPr>
            <w:tcW w:w="10340" w:type="dxa"/>
            <w:vAlign w:val="bottom"/>
            <w:tcBorders>
              <w:top w:val="single" w:sz="8" w:color="0000EE"/>
            </w:tcBorders>
            <w:gridSpan w:val="27"/>
          </w:tcPr>
          <w:p>
            <w:pPr>
              <w:spacing w:after="0"/>
              <w:rPr>
                <w:rFonts w:ascii="Arial" w:cs="Arial" w:eastAsia="Arial" w:hAnsi="Arial"/>
                <w:sz w:val="14"/>
                <w:szCs w:val="14"/>
                <w:color w:val="0000EE"/>
                <w:w w:val="94"/>
              </w:rPr>
            </w:pPr>
            <w:hyperlink r:id="rId134">
              <w:r>
                <w:rPr>
                  <w:rFonts w:ascii="Arial" w:cs="Arial" w:eastAsia="Arial" w:hAnsi="Arial"/>
                  <w:sz w:val="14"/>
                  <w:szCs w:val="14"/>
                  <w:u w:val="single" w:color="auto"/>
                  <w:color w:val="0000EE"/>
                  <w:w w:val="94"/>
                </w:rPr>
                <w:t>Rate Funding I, LLC, as the buyer (Incorporated by reference to Exhibit 10.4 to the Registrant’s Quarterly Report on Form 10-Q (File No. 814-00891), filed on February 8, 2018)</w:t>
              </w:r>
              <w:r>
                <w:rPr>
                  <w:rFonts w:ascii="Arial" w:cs="Arial" w:eastAsia="Arial" w:hAnsi="Arial"/>
                  <w:sz w:val="14"/>
                  <w:szCs w:val="14"/>
                  <w:color w:val="0000EE"/>
                  <w:w w:val="94"/>
                </w:rPr>
                <w:t>.</w:t>
              </w:r>
            </w:hyperlink>
          </w:p>
        </w:tc>
        <w:tc>
          <w:tcPr>
            <w:tcW w:w="40" w:type="dxa"/>
            <w:vAlign w:val="bottom"/>
            <w:gridSpan w:val="2"/>
          </w:tcPr>
          <w:p>
            <w:pPr>
              <w:spacing w:after="0"/>
              <w:rPr>
                <w:sz w:val="15"/>
                <w:szCs w:val="15"/>
                <w:color w:val="auto"/>
              </w:rPr>
            </w:pPr>
          </w:p>
        </w:tc>
      </w:tr>
      <w:tr>
        <w:trPr>
          <w:trHeight w:val="331"/>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10.6</w:t>
            </w:r>
          </w:p>
        </w:tc>
        <w:tc>
          <w:tcPr>
            <w:tcW w:w="10380" w:type="dxa"/>
            <w:vAlign w:val="bottom"/>
            <w:gridSpan w:val="29"/>
          </w:tcPr>
          <w:p>
            <w:pPr>
              <w:spacing w:after="0"/>
              <w:rPr>
                <w:rFonts w:ascii="Arial" w:cs="Arial" w:eastAsia="Arial" w:hAnsi="Arial"/>
                <w:sz w:val="14"/>
                <w:szCs w:val="14"/>
                <w:color w:val="0000EE"/>
                <w:w w:val="96"/>
              </w:rPr>
            </w:pPr>
            <w:hyperlink r:id="rId127">
              <w:r>
                <w:rPr>
                  <w:rFonts w:ascii="Arial" w:cs="Arial" w:eastAsia="Arial" w:hAnsi="Arial"/>
                  <w:sz w:val="14"/>
                  <w:szCs w:val="14"/>
                  <w:color w:val="0000EE"/>
                  <w:w w:val="96"/>
                </w:rPr>
                <w:t>Form of Administration Agreement between the Registrant and PennantPark Investment Administration, LLC (Incorporated by reference to Exhibit 99(k)(2) to the Registrant’s</w:t>
              </w:r>
            </w:hyperlink>
          </w:p>
        </w:tc>
      </w:tr>
      <w:tr>
        <w:trPr>
          <w:trHeight w:val="128"/>
        </w:trPr>
        <w:tc>
          <w:tcPr>
            <w:tcW w:w="920" w:type="dxa"/>
            <w:vAlign w:val="bottom"/>
          </w:tcPr>
          <w:p>
            <w:pPr>
              <w:spacing w:after="0"/>
              <w:rPr>
                <w:sz w:val="11"/>
                <w:szCs w:val="11"/>
                <w:color w:val="auto"/>
              </w:rPr>
            </w:pPr>
          </w:p>
        </w:tc>
        <w:tc>
          <w:tcPr>
            <w:tcW w:w="7240" w:type="dxa"/>
            <w:vAlign w:val="bottom"/>
            <w:tcBorders>
              <w:top w:val="single" w:sz="8" w:color="0000EE"/>
              <w:bottom w:val="single" w:sz="8" w:color="0000EE"/>
            </w:tcBorders>
            <w:gridSpan w:val="10"/>
          </w:tcPr>
          <w:p>
            <w:pPr>
              <w:spacing w:after="0" w:line="129" w:lineRule="exact"/>
              <w:rPr>
                <w:rFonts w:ascii="Arial" w:cs="Arial" w:eastAsia="Arial" w:hAnsi="Arial"/>
                <w:sz w:val="14"/>
                <w:szCs w:val="14"/>
                <w:color w:val="0000EE"/>
                <w:w w:val="94"/>
              </w:rPr>
            </w:pPr>
            <w:hyperlink r:id="rId127">
              <w:r>
                <w:rPr>
                  <w:rFonts w:ascii="Arial" w:cs="Arial" w:eastAsia="Arial" w:hAnsi="Arial"/>
                  <w:sz w:val="14"/>
                  <w:szCs w:val="14"/>
                  <w:color w:val="0000EE"/>
                  <w:w w:val="94"/>
                </w:rPr>
                <w:t>Pre-Effective Amendment No. 3 to the Registration Statement on Form N-2 (File No. 333-170243), filed on March 29, 2011).</w:t>
              </w:r>
            </w:hyperlink>
          </w:p>
        </w:tc>
        <w:tc>
          <w:tcPr>
            <w:tcW w:w="2880" w:type="dxa"/>
            <w:vAlign w:val="bottom"/>
            <w:tcBorders>
              <w:top w:val="single" w:sz="8" w:color="0000EE"/>
            </w:tcBorders>
            <w:gridSpan w:val="7"/>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10.7</w:t>
            </w:r>
          </w:p>
        </w:tc>
        <w:tc>
          <w:tcPr>
            <w:tcW w:w="10380" w:type="dxa"/>
            <w:vAlign w:val="bottom"/>
            <w:gridSpan w:val="29"/>
          </w:tcPr>
          <w:p>
            <w:pPr>
              <w:spacing w:after="0"/>
              <w:rPr>
                <w:rFonts w:ascii="Arial" w:cs="Arial" w:eastAsia="Arial" w:hAnsi="Arial"/>
                <w:sz w:val="14"/>
                <w:szCs w:val="14"/>
                <w:color w:val="0000EE"/>
                <w:w w:val="95"/>
              </w:rPr>
            </w:pPr>
            <w:hyperlink r:id="rId135">
              <w:r>
                <w:rPr>
                  <w:rFonts w:ascii="Arial" w:cs="Arial" w:eastAsia="Arial" w:hAnsi="Arial"/>
                  <w:sz w:val="14"/>
                  <w:szCs w:val="14"/>
                  <w:color w:val="0000EE"/>
                  <w:w w:val="95"/>
                </w:rPr>
                <w:t>Dividend Reinvestment Plan (Incorporated by reference to Exhibit 99(e) to the Registrant’s Pre-Effective Amendment No. 3 to the Registration Statement on Form N-2 (File No.</w:t>
              </w:r>
            </w:hyperlink>
          </w:p>
        </w:tc>
      </w:tr>
      <w:tr>
        <w:trPr>
          <w:trHeight w:val="128"/>
        </w:trPr>
        <w:tc>
          <w:tcPr>
            <w:tcW w:w="920" w:type="dxa"/>
            <w:vAlign w:val="bottom"/>
          </w:tcPr>
          <w:p>
            <w:pPr>
              <w:spacing w:after="0"/>
              <w:rPr>
                <w:sz w:val="11"/>
                <w:szCs w:val="11"/>
                <w:color w:val="auto"/>
              </w:rPr>
            </w:pPr>
          </w:p>
        </w:tc>
        <w:tc>
          <w:tcPr>
            <w:tcW w:w="1022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r:id="rId135">
              <w:r>
                <w:rPr>
                  <w:rFonts w:ascii="Arial" w:cs="Arial" w:eastAsia="Arial" w:hAnsi="Arial"/>
                  <w:sz w:val="14"/>
                  <w:szCs w:val="14"/>
                  <w:color w:val="0000EE"/>
                </w:rPr>
                <w:t>333-170243), filed on March 29, 2011).</w:t>
              </w:r>
            </w:hyperlink>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10.8</w:t>
            </w:r>
          </w:p>
        </w:tc>
        <w:tc>
          <w:tcPr>
            <w:tcW w:w="10380" w:type="dxa"/>
            <w:vAlign w:val="bottom"/>
            <w:gridSpan w:val="29"/>
          </w:tcPr>
          <w:p>
            <w:pPr>
              <w:spacing w:after="0"/>
              <w:rPr>
                <w:rFonts w:ascii="Arial" w:cs="Arial" w:eastAsia="Arial" w:hAnsi="Arial"/>
                <w:sz w:val="14"/>
                <w:szCs w:val="14"/>
                <w:color w:val="0000EE"/>
                <w:w w:val="95"/>
              </w:rPr>
            </w:pPr>
            <w:hyperlink r:id="rId136">
              <w:r>
                <w:rPr>
                  <w:rFonts w:ascii="Arial" w:cs="Arial" w:eastAsia="Arial" w:hAnsi="Arial"/>
                  <w:sz w:val="14"/>
                  <w:szCs w:val="14"/>
                  <w:color w:val="0000EE"/>
                  <w:w w:val="95"/>
                </w:rPr>
                <w:t>Second Amended and Restated Investment Advisory Agreement, dated as of February 2, 2016, between PennantPark Floating Rate Capital Ltd. and PennantPark Investment</w:t>
              </w:r>
            </w:hyperlink>
          </w:p>
        </w:tc>
      </w:tr>
      <w:tr>
        <w:trPr>
          <w:trHeight w:val="176"/>
        </w:trPr>
        <w:tc>
          <w:tcPr>
            <w:tcW w:w="920" w:type="dxa"/>
            <w:vAlign w:val="bottom"/>
          </w:tcPr>
          <w:p>
            <w:pPr>
              <w:spacing w:after="0"/>
              <w:rPr>
                <w:sz w:val="15"/>
                <w:szCs w:val="15"/>
                <w:color w:val="auto"/>
              </w:rPr>
            </w:pPr>
          </w:p>
        </w:tc>
        <w:tc>
          <w:tcPr>
            <w:tcW w:w="9980" w:type="dxa"/>
            <w:vAlign w:val="bottom"/>
            <w:tcBorders>
              <w:top w:val="single" w:sz="8" w:color="0000EE"/>
            </w:tcBorders>
            <w:gridSpan w:val="14"/>
          </w:tcPr>
          <w:p>
            <w:pPr>
              <w:spacing w:after="0"/>
              <w:rPr>
                <w:rFonts w:ascii="Arial" w:cs="Arial" w:eastAsia="Arial" w:hAnsi="Arial"/>
                <w:sz w:val="14"/>
                <w:szCs w:val="14"/>
                <w:u w:val="single" w:color="auto"/>
                <w:color w:val="0000EE"/>
              </w:rPr>
            </w:pPr>
            <w:hyperlink r:id="rId136">
              <w:r>
                <w:rPr>
                  <w:rFonts w:ascii="Arial" w:cs="Arial" w:eastAsia="Arial" w:hAnsi="Arial"/>
                  <w:sz w:val="14"/>
                  <w:szCs w:val="14"/>
                  <w:u w:val="single" w:color="auto"/>
                  <w:color w:val="0000EE"/>
                </w:rPr>
                <w:t>Advisers, LLC (Incorporated by reference to the Registrant’s Quarterly Report on Form 10-Q (File No. 814-00891), filed on February 4, 2016).</w:t>
              </w:r>
            </w:hyperlink>
          </w:p>
        </w:tc>
        <w:tc>
          <w:tcPr>
            <w:tcW w:w="160" w:type="dxa"/>
            <w:vAlign w:val="bottom"/>
            <w:gridSpan w:val="4"/>
          </w:tcPr>
          <w:p>
            <w:pPr>
              <w:spacing w:after="0"/>
              <w:rPr>
                <w:sz w:val="15"/>
                <w:szCs w:val="15"/>
                <w:color w:val="auto"/>
              </w:rPr>
            </w:pPr>
          </w:p>
        </w:tc>
        <w:tc>
          <w:tcPr>
            <w:tcW w:w="140" w:type="dxa"/>
            <w:vAlign w:val="bottom"/>
            <w:gridSpan w:val="6"/>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50"/>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10.9</w:t>
            </w:r>
          </w:p>
        </w:tc>
        <w:tc>
          <w:tcPr>
            <w:tcW w:w="10380" w:type="dxa"/>
            <w:vAlign w:val="bottom"/>
            <w:gridSpan w:val="29"/>
          </w:tcPr>
          <w:p>
            <w:pPr>
              <w:spacing w:after="0"/>
              <w:rPr>
                <w:rFonts w:ascii="Arial" w:cs="Arial" w:eastAsia="Arial" w:hAnsi="Arial"/>
                <w:sz w:val="14"/>
                <w:szCs w:val="14"/>
                <w:color w:val="0000EE"/>
                <w:w w:val="95"/>
              </w:rPr>
            </w:pPr>
            <w:hyperlink r:id="rId137">
              <w:r>
                <w:rPr>
                  <w:rFonts w:ascii="Arial" w:cs="Arial" w:eastAsia="Arial" w:hAnsi="Arial"/>
                  <w:sz w:val="14"/>
                  <w:szCs w:val="14"/>
                  <w:color w:val="0000EE"/>
                  <w:w w:val="95"/>
                </w:rPr>
                <w:t>Limited Liability Company Agreement of PennantPark Senior Secured Loan Fund I LLC, dated as of May 4, 2017, by and between PennantPark Floating Rate Capital Ltd. and</w:t>
              </w:r>
            </w:hyperlink>
          </w:p>
        </w:tc>
      </w:tr>
      <w:tr>
        <w:trPr>
          <w:trHeight w:val="128"/>
        </w:trPr>
        <w:tc>
          <w:tcPr>
            <w:tcW w:w="920" w:type="dxa"/>
            <w:vAlign w:val="bottom"/>
          </w:tcPr>
          <w:p>
            <w:pPr>
              <w:spacing w:after="0"/>
              <w:rPr>
                <w:sz w:val="11"/>
                <w:szCs w:val="11"/>
                <w:color w:val="auto"/>
              </w:rPr>
            </w:pPr>
          </w:p>
        </w:tc>
        <w:tc>
          <w:tcPr>
            <w:tcW w:w="10140" w:type="dxa"/>
            <w:vAlign w:val="bottom"/>
            <w:tcBorders>
              <w:top w:val="single" w:sz="8" w:color="0000EE"/>
            </w:tcBorders>
            <w:gridSpan w:val="18"/>
          </w:tcPr>
          <w:p>
            <w:pPr>
              <w:spacing w:after="0" w:line="129" w:lineRule="exact"/>
              <w:rPr>
                <w:rFonts w:ascii="Arial" w:cs="Arial" w:eastAsia="Arial" w:hAnsi="Arial"/>
                <w:sz w:val="14"/>
                <w:szCs w:val="14"/>
                <w:color w:val="0000EE"/>
                <w:w w:val="95"/>
              </w:rPr>
            </w:pPr>
            <w:hyperlink r:id="rId137">
              <w:r>
                <w:rPr>
                  <w:rFonts w:ascii="Arial" w:cs="Arial" w:eastAsia="Arial" w:hAnsi="Arial"/>
                  <w:sz w:val="14"/>
                  <w:szCs w:val="14"/>
                  <w:color w:val="0000EE"/>
                  <w:w w:val="95"/>
                </w:rPr>
                <w:t>Trinity Universal Insurance Company (Incorporated by reference to Exhibit 10.1 to the Registrant’s Quarterly Report on Form 10-Q (File No. 814-00891), filed on August 8,</w:t>
              </w:r>
            </w:hyperlink>
          </w:p>
        </w:tc>
        <w:tc>
          <w:tcPr>
            <w:tcW w:w="140" w:type="dxa"/>
            <w:vAlign w:val="bottom"/>
            <w:gridSpan w:val="6"/>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36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5"/>
              </w:rPr>
            </w:pPr>
            <w:hyperlink r:id="rId137">
              <w:r>
                <w:rPr>
                  <w:rFonts w:ascii="Arial" w:cs="Arial" w:eastAsia="Arial" w:hAnsi="Arial"/>
                  <w:sz w:val="14"/>
                  <w:szCs w:val="14"/>
                  <w:color w:val="0000EE"/>
                  <w:w w:val="85"/>
                </w:rPr>
                <w:t>2017).</w:t>
              </w:r>
            </w:hyperlink>
          </w:p>
        </w:tc>
        <w:tc>
          <w:tcPr>
            <w:tcW w:w="6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4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5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920" w:type="dxa"/>
            <w:vAlign w:val="bottom"/>
          </w:tcPr>
          <w:p>
            <w:pPr>
              <w:jc w:val="right"/>
              <w:ind w:right="508"/>
              <w:spacing w:after="0"/>
              <w:rPr>
                <w:sz w:val="20"/>
                <w:szCs w:val="20"/>
                <w:color w:val="auto"/>
              </w:rPr>
            </w:pPr>
            <w:r>
              <w:rPr>
                <w:rFonts w:ascii="Arial" w:cs="Arial" w:eastAsia="Arial" w:hAnsi="Arial"/>
                <w:sz w:val="14"/>
                <w:szCs w:val="14"/>
                <w:color w:val="auto"/>
                <w:w w:val="91"/>
              </w:rPr>
              <w:t>10.10</w:t>
            </w:r>
          </w:p>
        </w:tc>
        <w:tc>
          <w:tcPr>
            <w:tcW w:w="10380" w:type="dxa"/>
            <w:vAlign w:val="bottom"/>
            <w:gridSpan w:val="29"/>
          </w:tcPr>
          <w:p>
            <w:pPr>
              <w:spacing w:after="0"/>
              <w:rPr>
                <w:rFonts w:ascii="Arial" w:cs="Arial" w:eastAsia="Arial" w:hAnsi="Arial"/>
                <w:sz w:val="14"/>
                <w:szCs w:val="14"/>
                <w:color w:val="0000EE"/>
                <w:w w:val="94"/>
              </w:rPr>
            </w:pPr>
            <w:hyperlink r:id="rId138">
              <w:r>
                <w:rPr>
                  <w:rFonts w:ascii="Arial" w:cs="Arial" w:eastAsia="Arial" w:hAnsi="Arial"/>
                  <w:sz w:val="14"/>
                  <w:szCs w:val="14"/>
                  <w:color w:val="0000EE"/>
                  <w:w w:val="94"/>
                </w:rPr>
                <w:t>Indemnification Agreement, dated as of November 15, 2016, between PennantPark Floating Rate Capital Ltd. and each of the directors and officers listed on Schedule A attached</w:t>
              </w:r>
            </w:hyperlink>
          </w:p>
        </w:tc>
      </w:tr>
      <w:tr>
        <w:trPr>
          <w:trHeight w:val="176"/>
        </w:trPr>
        <w:tc>
          <w:tcPr>
            <w:tcW w:w="920" w:type="dxa"/>
            <w:vAlign w:val="bottom"/>
          </w:tcPr>
          <w:p>
            <w:pPr>
              <w:spacing w:after="0"/>
              <w:rPr>
                <w:sz w:val="15"/>
                <w:szCs w:val="15"/>
                <w:color w:val="auto"/>
              </w:rPr>
            </w:pPr>
          </w:p>
        </w:tc>
        <w:tc>
          <w:tcPr>
            <w:tcW w:w="10280" w:type="dxa"/>
            <w:vAlign w:val="bottom"/>
            <w:tcBorders>
              <w:top w:val="single" w:sz="8" w:color="0000EE"/>
            </w:tcBorders>
            <w:gridSpan w:val="24"/>
          </w:tcPr>
          <w:p>
            <w:pPr>
              <w:spacing w:after="0"/>
              <w:rPr>
                <w:rFonts w:ascii="Arial" w:cs="Arial" w:eastAsia="Arial" w:hAnsi="Arial"/>
                <w:sz w:val="14"/>
                <w:szCs w:val="14"/>
                <w:u w:val="single" w:color="auto"/>
                <w:color w:val="0000EE"/>
              </w:rPr>
            </w:pPr>
            <w:hyperlink r:id="rId138">
              <w:r>
                <w:rPr>
                  <w:rFonts w:ascii="Arial" w:cs="Arial" w:eastAsia="Arial" w:hAnsi="Arial"/>
                  <w:sz w:val="14"/>
                  <w:szCs w:val="14"/>
                  <w:u w:val="single" w:color="auto"/>
                  <w:color w:val="0000EE"/>
                </w:rPr>
                <w:t>thereto (Incorporated by reference to Exhibit 10.6 to the Registrant’s Annual Report on Form 10-K (File No. 814-00891) filed on November 22, 2016).</w:t>
              </w:r>
            </w:hyperlink>
          </w:p>
        </w:tc>
        <w:tc>
          <w:tcPr>
            <w:tcW w:w="100" w:type="dxa"/>
            <w:vAlign w:val="bottom"/>
            <w:gridSpan w:val="5"/>
          </w:tcPr>
          <w:p>
            <w:pPr>
              <w:spacing w:after="0"/>
              <w:rPr>
                <w:sz w:val="15"/>
                <w:szCs w:val="15"/>
                <w:color w:val="auto"/>
              </w:rPr>
            </w:pPr>
          </w:p>
        </w:tc>
      </w:tr>
    </w:tbl>
    <w:p>
      <w:pPr>
        <w:spacing w:after="0" w:line="96" w:lineRule="exact"/>
        <w:rPr>
          <w:sz w:val="20"/>
          <w:szCs w:val="20"/>
          <w:color w:val="auto"/>
        </w:rPr>
      </w:pPr>
    </w:p>
    <w:p>
      <w:pPr>
        <w:ind w:left="920" w:hanging="912"/>
        <w:spacing w:after="0"/>
        <w:tabs>
          <w:tab w:leader="none" w:pos="920" w:val="left"/>
        </w:tabs>
        <w:numPr>
          <w:ilvl w:val="0"/>
          <w:numId w:val="65"/>
        </w:numPr>
        <w:rPr>
          <w:rFonts w:ascii="Arial" w:cs="Arial" w:eastAsia="Arial" w:hAnsi="Arial"/>
          <w:sz w:val="14"/>
          <w:szCs w:val="14"/>
          <w:color w:val="0000EE"/>
        </w:rPr>
      </w:pPr>
      <w:hyperlink w:anchor="page73">
        <w:r>
          <w:rPr>
            <w:rFonts w:ascii="Arial" w:cs="Arial" w:eastAsia="Arial" w:hAnsi="Arial"/>
            <w:sz w:val="14"/>
            <w:szCs w:val="14"/>
            <w:u w:val="single" w:color="auto"/>
            <w:color w:val="0000EE"/>
          </w:rPr>
          <w:t>Computation of Per Share Earnings (included in the notes to the audited financial statements contained in this Report)</w:t>
        </w:r>
        <w:r>
          <w:rPr>
            <w:rFonts w:ascii="Arial" w:cs="Arial" w:eastAsia="Arial" w:hAnsi="Arial"/>
            <w:sz w:val="14"/>
            <w:szCs w:val="14"/>
            <w:color w:val="0000EE"/>
          </w:rPr>
          <w:t>.</w:t>
        </w:r>
      </w:hyperlink>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4"/>
                <w:szCs w:val="14"/>
                <w:color w:val="auto"/>
              </w:rPr>
              <w:t>14.1*</w:t>
            </w:r>
          </w:p>
        </w:tc>
        <w:tc>
          <w:tcPr>
            <w:tcW w:w="9420" w:type="dxa"/>
            <w:vAlign w:val="bottom"/>
          </w:tcPr>
          <w:p>
            <w:pPr>
              <w:ind w:left="300"/>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Joint Code of Ethics of the Registrant.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21.1*</w:t>
            </w:r>
          </w:p>
        </w:tc>
        <w:tc>
          <w:tcPr>
            <w:tcW w:w="9420" w:type="dxa"/>
            <w:vAlign w:val="bottom"/>
          </w:tcPr>
          <w:p>
            <w:pPr>
              <w:ind w:left="300"/>
              <w:spacing w:after="0"/>
              <w:rPr>
                <w:rFonts w:ascii="Arial" w:cs="Arial" w:eastAsia="Arial" w:hAnsi="Arial"/>
                <w:sz w:val="14"/>
                <w:szCs w:val="14"/>
                <w:color w:val="0000EE"/>
              </w:rPr>
            </w:pPr>
            <w:hyperlink w:anchor="page88">
              <w:r>
                <w:rPr>
                  <w:rFonts w:ascii="Arial" w:cs="Arial" w:eastAsia="Arial" w:hAnsi="Arial"/>
                  <w:sz w:val="14"/>
                  <w:szCs w:val="14"/>
                  <w:u w:val="single" w:color="auto"/>
                  <w:color w:val="0000EE"/>
                </w:rPr>
                <w:t>Subsidiaries of the Registrant</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31.1*</w:t>
            </w:r>
          </w:p>
        </w:tc>
        <w:tc>
          <w:tcPr>
            <w:tcW w:w="9420" w:type="dxa"/>
            <w:vAlign w:val="bottom"/>
          </w:tcPr>
          <w:p>
            <w:pPr>
              <w:ind w:left="300"/>
              <w:spacing w:after="0"/>
              <w:rPr>
                <w:rFonts w:ascii="Arial" w:cs="Arial" w:eastAsia="Arial" w:hAnsi="Arial"/>
                <w:sz w:val="14"/>
                <w:szCs w:val="14"/>
                <w:u w:val="single" w:color="auto"/>
                <w:color w:val="0000EE"/>
              </w:rPr>
            </w:pPr>
            <w:hyperlink w:anchor="page89">
              <w:r>
                <w:rPr>
                  <w:rFonts w:ascii="Arial" w:cs="Arial" w:eastAsia="Arial" w:hAnsi="Arial"/>
                  <w:sz w:val="14"/>
                  <w:szCs w:val="14"/>
                  <w:u w:val="single" w:color="auto"/>
                  <w:color w:val="0000EE"/>
                </w:rPr>
                <w:t>Certification of Chief Executive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31.2*</w:t>
            </w:r>
          </w:p>
        </w:tc>
        <w:tc>
          <w:tcPr>
            <w:tcW w:w="9420" w:type="dxa"/>
            <w:vAlign w:val="bottom"/>
          </w:tcPr>
          <w:p>
            <w:pPr>
              <w:ind w:left="300"/>
              <w:spacing w:after="0"/>
              <w:rPr>
                <w:rFonts w:ascii="Arial" w:cs="Arial" w:eastAsia="Arial" w:hAnsi="Arial"/>
                <w:sz w:val="14"/>
                <w:szCs w:val="14"/>
                <w:u w:val="single" w:color="auto"/>
                <w:color w:val="0000EE"/>
              </w:rPr>
            </w:pPr>
            <w:hyperlink w:anchor="page90">
              <w:r>
                <w:rPr>
                  <w:rFonts w:ascii="Arial" w:cs="Arial" w:eastAsia="Arial" w:hAnsi="Arial"/>
                  <w:sz w:val="14"/>
                  <w:szCs w:val="14"/>
                  <w:u w:val="single" w:color="auto"/>
                  <w:color w:val="0000EE"/>
                </w:rPr>
                <w:t>Certification of Chief Financial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32.1*</w:t>
            </w:r>
          </w:p>
        </w:tc>
        <w:tc>
          <w:tcPr>
            <w:tcW w:w="9420" w:type="dxa"/>
            <w:vAlign w:val="bottom"/>
          </w:tcPr>
          <w:p>
            <w:pPr>
              <w:ind w:left="300"/>
              <w:spacing w:after="0"/>
              <w:rPr>
                <w:rFonts w:ascii="Arial" w:cs="Arial" w:eastAsia="Arial" w:hAnsi="Arial"/>
                <w:sz w:val="14"/>
                <w:szCs w:val="14"/>
                <w:u w:val="single" w:color="auto"/>
                <w:color w:val="0000EE"/>
              </w:rPr>
            </w:pPr>
            <w:hyperlink w:anchor="page91">
              <w:r>
                <w:rPr>
                  <w:rFonts w:ascii="Arial" w:cs="Arial" w:eastAsia="Arial" w:hAnsi="Arial"/>
                  <w:sz w:val="14"/>
                  <w:szCs w:val="14"/>
                  <w:u w:val="single" w:color="auto"/>
                  <w:color w:val="0000EE"/>
                </w:rPr>
                <w:t>Certification of Chief Executive Officer pursuant to section 906 of the Sarbanes-Oxley Act of 2002.</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32.2*</w:t>
            </w:r>
          </w:p>
        </w:tc>
        <w:tc>
          <w:tcPr>
            <w:tcW w:w="9420" w:type="dxa"/>
            <w:vAlign w:val="bottom"/>
          </w:tcPr>
          <w:p>
            <w:pPr>
              <w:ind w:left="300"/>
              <w:spacing w:after="0"/>
              <w:rPr>
                <w:rFonts w:ascii="Arial" w:cs="Arial" w:eastAsia="Arial" w:hAnsi="Arial"/>
                <w:sz w:val="14"/>
                <w:szCs w:val="14"/>
                <w:color w:val="0000EE"/>
              </w:rPr>
            </w:pPr>
            <w:hyperlink w:anchor="page92">
              <w:r>
                <w:rPr>
                  <w:rFonts w:ascii="Arial" w:cs="Arial" w:eastAsia="Arial" w:hAnsi="Arial"/>
                  <w:sz w:val="14"/>
                  <w:szCs w:val="14"/>
                  <w:u w:val="single" w:color="auto"/>
                  <w:color w:val="0000EE"/>
                </w:rPr>
                <w:t>Certification of Chief Financial Officer pursuant to section 906 of the Sarbanes-Oxley Act of 2002</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99.1</w:t>
            </w:r>
          </w:p>
        </w:tc>
        <w:tc>
          <w:tcPr>
            <w:tcW w:w="9420" w:type="dxa"/>
            <w:vAlign w:val="bottom"/>
          </w:tcPr>
          <w:p>
            <w:pPr>
              <w:ind w:left="300"/>
              <w:spacing w:after="0"/>
              <w:rPr>
                <w:rFonts w:ascii="Arial" w:cs="Arial" w:eastAsia="Arial" w:hAnsi="Arial"/>
                <w:sz w:val="14"/>
                <w:szCs w:val="14"/>
                <w:color w:val="0000EE"/>
                <w:w w:val="94"/>
              </w:rPr>
            </w:pPr>
            <w:hyperlink r:id="rId139">
              <w:r>
                <w:rPr>
                  <w:rFonts w:ascii="Arial" w:cs="Arial" w:eastAsia="Arial" w:hAnsi="Arial"/>
                  <w:sz w:val="14"/>
                  <w:szCs w:val="14"/>
                  <w:u w:val="single" w:color="auto"/>
                  <w:color w:val="0000EE"/>
                  <w:w w:val="94"/>
                </w:rPr>
                <w:t>Privacy Policy of the Registrant. (Incorporated by reference to the Registrant’s Annual Report on Form 10-K (File No. 814-00891), filed November 17, 2011)</w:t>
              </w:r>
              <w:r>
                <w:rPr>
                  <w:rFonts w:ascii="Arial" w:cs="Arial" w:eastAsia="Arial" w:hAnsi="Arial"/>
                  <w:sz w:val="14"/>
                  <w:szCs w:val="14"/>
                  <w:color w:val="0000EE"/>
                  <w:w w:val="94"/>
                </w:rPr>
                <w:t>.</w:t>
              </w:r>
            </w:hyperlink>
          </w:p>
        </w:tc>
      </w:tr>
    </w:tbl>
    <w:p>
      <w:pPr>
        <w:spacing w:after="0" w:line="128"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14,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68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8"/>
        </w:trPr>
        <w:tc>
          <w:tcPr>
            <w:tcW w:w="6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68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1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57"/>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22"/>
                <w:szCs w:val="22"/>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Chief Executive Officer and Chairman of the Board of Directors</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14, 2018</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6"/>
                <w:szCs w:val="16"/>
                <w:color w:val="auto"/>
              </w:rPr>
            </w:pPr>
          </w:p>
        </w:tc>
      </w:tr>
      <w:tr>
        <w:trPr>
          <w:trHeight w:val="22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AVIV EFRAT</w:t>
            </w:r>
          </w:p>
        </w:tc>
        <w:tc>
          <w:tcPr>
            <w:tcW w:w="120" w:type="dxa"/>
            <w:vAlign w:val="bottom"/>
          </w:tcPr>
          <w:p>
            <w:pPr>
              <w:spacing w:after="0"/>
              <w:rPr>
                <w:sz w:val="19"/>
                <w:szCs w:val="19"/>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14, 2018</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6"/>
                <w:szCs w:val="16"/>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14, 2018</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14, 2018</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14, 2018</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14, 2018</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639"/>
        </w:trPr>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40" w:type="dxa"/>
            <w:vAlign w:val="bottom"/>
            <w:gridSpan w:val="2"/>
          </w:tcPr>
          <w:p>
            <w:pPr>
              <w:jc w:val="right"/>
              <w:ind w:right="25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41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40" w:lineRule="exact"/>
        <w:rPr>
          <w:sz w:val="20"/>
          <w:szCs w:val="20"/>
          <w:color w:val="auto"/>
        </w:rPr>
      </w:pPr>
    </w:p>
    <w:p>
      <w:pPr>
        <w:ind w:right="20" w:firstLine="496"/>
        <w:spacing w:after="0" w:line="248" w:lineRule="auto"/>
        <w:rPr>
          <w:sz w:val="20"/>
          <w:szCs w:val="20"/>
          <w:color w:val="auto"/>
        </w:rPr>
      </w:pPr>
      <w:r>
        <w:rPr>
          <w:rFonts w:ascii="Arial" w:cs="Arial" w:eastAsia="Arial" w:hAnsi="Arial"/>
          <w:sz w:val="13"/>
          <w:szCs w:val="13"/>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13" w:lineRule="exact"/>
        <w:rPr>
          <w:sz w:val="20"/>
          <w:szCs w:val="20"/>
          <w:color w:val="auto"/>
        </w:rPr>
      </w:pPr>
    </w:p>
    <w:p>
      <w:pPr>
        <w:ind w:right="200" w:firstLine="496"/>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96" w:lineRule="exact"/>
        <w:rPr>
          <w:sz w:val="20"/>
          <w:szCs w:val="20"/>
          <w:color w:val="auto"/>
        </w:rPr>
      </w:pPr>
    </w:p>
    <w:p>
      <w:pPr>
        <w:ind w:right="260" w:firstLine="496"/>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Covered Personnel must read and retain this Code.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27" w:lineRule="exact"/>
        <w:rPr>
          <w:sz w:val="20"/>
          <w:szCs w:val="20"/>
          <w:color w:val="auto"/>
        </w:rPr>
      </w:pPr>
    </w:p>
    <w:p>
      <w:pPr>
        <w:ind w:left="980" w:hanging="486"/>
        <w:spacing w:after="0"/>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36" w:lineRule="exact"/>
        <w:rPr>
          <w:rFonts w:ascii="Arial" w:cs="Arial" w:eastAsia="Arial" w:hAnsi="Arial"/>
          <w:sz w:val="14"/>
          <w:szCs w:val="14"/>
          <w:color w:val="auto"/>
        </w:rPr>
      </w:pPr>
    </w:p>
    <w:p>
      <w:pPr>
        <w:ind w:left="980" w:right="40" w:hanging="486"/>
        <w:spacing w:after="0" w:line="231" w:lineRule="auto"/>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16" w:lineRule="exact"/>
        <w:rPr>
          <w:rFonts w:ascii="Arial" w:cs="Arial" w:eastAsia="Arial" w:hAnsi="Arial"/>
          <w:sz w:val="14"/>
          <w:szCs w:val="14"/>
          <w:color w:val="auto"/>
        </w:rPr>
      </w:pPr>
    </w:p>
    <w:p>
      <w:pPr>
        <w:ind w:left="980" w:right="340" w:hanging="486"/>
        <w:spacing w:after="0" w:line="253" w:lineRule="auto"/>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36" w:lineRule="exact"/>
        <w:rPr>
          <w:rFonts w:ascii="Arial" w:cs="Arial" w:eastAsia="Arial" w:hAnsi="Arial"/>
          <w:sz w:val="14"/>
          <w:szCs w:val="14"/>
          <w:color w:val="auto"/>
        </w:rPr>
      </w:pPr>
    </w:p>
    <w:p>
      <w:pPr>
        <w:ind w:left="980" w:hanging="486"/>
        <w:spacing w:after="0" w:line="248" w:lineRule="auto"/>
        <w:tabs>
          <w:tab w:leader="none" w:pos="9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2" w:lineRule="exact"/>
        <w:rPr>
          <w:rFonts w:ascii="Arial" w:cs="Arial" w:eastAsia="Arial" w:hAnsi="Arial"/>
          <w:sz w:val="13"/>
          <w:szCs w:val="13"/>
          <w:color w:val="auto"/>
        </w:rPr>
      </w:pPr>
    </w:p>
    <w:p>
      <w:pPr>
        <w:ind w:left="1000" w:right="2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18" w:lineRule="exact"/>
        <w:rPr>
          <w:rFonts w:ascii="Arial" w:cs="Arial" w:eastAsia="Arial" w:hAnsi="Arial"/>
          <w:sz w:val="13"/>
          <w:szCs w:val="13"/>
          <w:color w:val="auto"/>
        </w:rPr>
      </w:pPr>
    </w:p>
    <w:p>
      <w:pPr>
        <w:ind w:left="980" w:hanging="486"/>
        <w:spacing w:after="0"/>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2" w:name="page83"/>
    <w:bookmarkEnd w:id="82"/>
    <w:p>
      <w:pPr>
        <w:ind w:left="980" w:right="100" w:hanging="486"/>
        <w:spacing w:after="0" w:line="253" w:lineRule="auto"/>
        <w:tabs>
          <w:tab w:leader="none" w:pos="9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“Security Held or to be Acquired” by the Corporation means: (i) any Covered Security which, within the most recent 15 days: (A) is or has been held by the Corporation; or</w:t>
      </w:r>
    </w:p>
    <w:p>
      <w:pPr>
        <w:spacing w:after="0" w:line="11" w:lineRule="exact"/>
        <w:rPr>
          <w:rFonts w:ascii="Arial" w:cs="Arial" w:eastAsia="Arial" w:hAnsi="Arial"/>
          <w:sz w:val="13"/>
          <w:szCs w:val="13"/>
          <w:color w:val="auto"/>
        </w:rPr>
      </w:pPr>
    </w:p>
    <w:p>
      <w:pPr>
        <w:ind w:left="980" w:right="20"/>
        <w:spacing w:after="0" w:line="237" w:lineRule="auto"/>
        <w:tabs>
          <w:tab w:leader="none" w:pos="1208" w:val="left"/>
        </w:tabs>
        <w:numPr>
          <w:ilvl w:val="1"/>
          <w:numId w:val="68"/>
        </w:numPr>
        <w:rPr>
          <w:rFonts w:ascii="Arial" w:cs="Arial" w:eastAsia="Arial" w:hAnsi="Arial"/>
          <w:sz w:val="14"/>
          <w:szCs w:val="14"/>
          <w:color w:val="auto"/>
        </w:rPr>
      </w:pPr>
      <w:r>
        <w:rPr>
          <w:rFonts w:ascii="Arial" w:cs="Arial" w:eastAsia="Arial" w:hAnsi="Arial"/>
          <w:sz w:val="14"/>
          <w:szCs w:val="14"/>
          <w:color w:val="auto"/>
        </w:rPr>
        <w:t>is being or has been considered by the Corporation or the Adviser for purchase by the Corporation; and (ii) any option to purchase or sell, and any security convertible into or exchangeable for, a Covered Security described in Section II (K)(i).</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27" w:lineRule="exact"/>
        <w:rPr>
          <w:sz w:val="20"/>
          <w:szCs w:val="20"/>
          <w:color w:val="auto"/>
        </w:rPr>
      </w:pPr>
    </w:p>
    <w:p>
      <w:pPr>
        <w:ind w:firstLine="496"/>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15" w:lineRule="exact"/>
        <w:rPr>
          <w:sz w:val="20"/>
          <w:szCs w:val="20"/>
          <w:color w:val="auto"/>
        </w:rPr>
      </w:pPr>
    </w:p>
    <w:p>
      <w:pPr>
        <w:ind w:right="520" w:firstLine="496"/>
        <w:spacing w:after="0" w:line="296" w:lineRule="auto"/>
        <w:rPr>
          <w:sz w:val="20"/>
          <w:szCs w:val="20"/>
          <w:color w:val="auto"/>
        </w:rPr>
      </w:pPr>
      <w:r>
        <w:rPr>
          <w:rFonts w:ascii="Arial" w:cs="Arial" w:eastAsia="Arial" w:hAnsi="Arial"/>
          <w:sz w:val="12"/>
          <w:szCs w:val="1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83" w:lineRule="exact"/>
        <w:rPr>
          <w:sz w:val="20"/>
          <w:szCs w:val="20"/>
          <w:color w:val="auto"/>
        </w:rPr>
      </w:pPr>
    </w:p>
    <w:p>
      <w:pPr>
        <w:ind w:left="980" w:hanging="48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3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36"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-1270</wp:posOffset>
            </wp:positionV>
            <wp:extent cx="2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120" w:lineRule="exact"/>
        <w:rPr>
          <w:sz w:val="20"/>
          <w:szCs w:val="20"/>
          <w:color w:val="auto"/>
        </w:rPr>
      </w:pPr>
    </w:p>
    <w:p>
      <w:pPr>
        <w:ind w:right="200" w:firstLine="496"/>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36" w:lineRule="exact"/>
        <w:rPr>
          <w:sz w:val="20"/>
          <w:szCs w:val="20"/>
          <w:color w:val="auto"/>
        </w:rPr>
      </w:pPr>
    </w:p>
    <w:p>
      <w:pPr>
        <w:ind w:right="20" w:firstLine="496"/>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09" w:lineRule="exact"/>
        <w:rPr>
          <w:sz w:val="20"/>
          <w:szCs w:val="20"/>
          <w:color w:val="auto"/>
        </w:rPr>
      </w:pPr>
    </w:p>
    <w:p>
      <w:pPr>
        <w:ind w:right="100" w:firstLine="496"/>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40" w:lineRule="exact"/>
        <w:rPr>
          <w:sz w:val="20"/>
          <w:szCs w:val="20"/>
          <w:color w:val="auto"/>
        </w:rPr>
      </w:pPr>
    </w:p>
    <w:p>
      <w:pPr>
        <w:ind w:left="980" w:right="60" w:hanging="486"/>
        <w:spacing w:after="0" w:line="251" w:lineRule="auto"/>
        <w:tabs>
          <w:tab w:leader="none" w:pos="9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9" w:lineRule="exact"/>
        <w:rPr>
          <w:rFonts w:ascii="Arial" w:cs="Arial" w:eastAsia="Arial" w:hAnsi="Arial"/>
          <w:sz w:val="13"/>
          <w:szCs w:val="13"/>
          <w:color w:val="auto"/>
        </w:rPr>
      </w:pPr>
    </w:p>
    <w:p>
      <w:pPr>
        <w:ind w:left="980" w:right="40" w:hanging="486"/>
        <w:spacing w:after="0" w:line="238" w:lineRule="auto"/>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15" w:lineRule="exact"/>
        <w:rPr>
          <w:rFonts w:ascii="Arial" w:cs="Arial" w:eastAsia="Arial" w:hAnsi="Arial"/>
          <w:sz w:val="14"/>
          <w:szCs w:val="14"/>
          <w:color w:val="auto"/>
        </w:rPr>
      </w:pPr>
    </w:p>
    <w:p>
      <w:pPr>
        <w:jc w:val="both"/>
        <w:ind w:left="980" w:hanging="486"/>
        <w:spacing w:after="0" w:line="233" w:lineRule="auto"/>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27" w:lineRule="exact"/>
        <w:rPr>
          <w:sz w:val="20"/>
          <w:szCs w:val="20"/>
          <w:color w:val="auto"/>
        </w:rPr>
      </w:pPr>
    </w:p>
    <w:p>
      <w:pPr>
        <w:ind w:left="980" w:hanging="486"/>
        <w:spacing w:after="0"/>
        <w:tabs>
          <w:tab w:leader="none" w:pos="9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36" w:lineRule="exact"/>
        <w:rPr>
          <w:sz w:val="20"/>
          <w:szCs w:val="20"/>
          <w:color w:val="auto"/>
        </w:rPr>
      </w:pPr>
    </w:p>
    <w:p>
      <w:pPr>
        <w:ind w:firstLine="496"/>
        <w:spacing w:after="0" w:line="277" w:lineRule="auto"/>
        <w:rPr>
          <w:sz w:val="20"/>
          <w:szCs w:val="20"/>
          <w:color w:val="auto"/>
        </w:rPr>
      </w:pPr>
      <w:r>
        <w:rPr>
          <w:rFonts w:ascii="Arial" w:cs="Arial" w:eastAsia="Arial" w:hAnsi="Arial"/>
          <w:sz w:val="12"/>
          <w:szCs w:val="1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95" w:lineRule="exact"/>
        <w:rPr>
          <w:sz w:val="20"/>
          <w:szCs w:val="20"/>
          <w:color w:val="auto"/>
        </w:rPr>
      </w:pPr>
    </w:p>
    <w:p>
      <w:pPr>
        <w:ind w:left="980" w:hanging="486"/>
        <w:spacing w:after="0"/>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136" w:lineRule="exact"/>
        <w:rPr>
          <w:sz w:val="20"/>
          <w:szCs w:val="20"/>
          <w:color w:val="auto"/>
        </w:rPr>
      </w:pPr>
    </w:p>
    <w:p>
      <w:pPr>
        <w:ind w:right="140" w:firstLine="496"/>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4" w:lineRule="exact"/>
        <w:rPr>
          <w:sz w:val="20"/>
          <w:szCs w:val="20"/>
          <w:color w:val="auto"/>
        </w:rPr>
      </w:pPr>
    </w:p>
    <w:p>
      <w:pPr>
        <w:ind w:right="200" w:firstLine="496"/>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93" w:lineRule="exact"/>
        <w:rPr>
          <w:sz w:val="20"/>
          <w:szCs w:val="20"/>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36" w:lineRule="exact"/>
        <w:rPr>
          <w:rFonts w:ascii="Arial" w:cs="Arial" w:eastAsia="Arial" w:hAnsi="Arial"/>
          <w:sz w:val="14"/>
          <w:szCs w:val="14"/>
          <w:color w:val="auto"/>
        </w:rPr>
      </w:pPr>
    </w:p>
    <w:p>
      <w:pPr>
        <w:ind w:left="980" w:right="40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36" w:lineRule="exact"/>
        <w:rPr>
          <w:sz w:val="20"/>
          <w:szCs w:val="20"/>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36" w:lineRule="exact"/>
        <w:rPr>
          <w:sz w:val="20"/>
          <w:szCs w:val="20"/>
          <w:color w:val="auto"/>
        </w:rPr>
      </w:pPr>
    </w:p>
    <w:p>
      <w:pPr>
        <w:ind w:right="440" w:firstLine="496"/>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09" w:lineRule="exact"/>
        <w:rPr>
          <w:sz w:val="20"/>
          <w:szCs w:val="20"/>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36" w:lineRule="exact"/>
        <w:rPr>
          <w:sz w:val="20"/>
          <w:szCs w:val="20"/>
          <w:color w:val="auto"/>
        </w:rPr>
      </w:pPr>
    </w:p>
    <w:p>
      <w:pPr>
        <w:ind w:right="240" w:firstLine="496"/>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06" w:lineRule="exact"/>
        <w:rPr>
          <w:sz w:val="20"/>
          <w:szCs w:val="20"/>
          <w:color w:val="auto"/>
        </w:rPr>
      </w:pPr>
    </w:p>
    <w:p>
      <w:pPr>
        <w:ind w:left="500" w:right="7780" w:hanging="6"/>
        <w:spacing w:after="0" w:line="504" w:lineRule="auto"/>
        <w:tabs>
          <w:tab w:leader="none" w:pos="976" w:val="left"/>
        </w:tabs>
        <w:numPr>
          <w:ilvl w:val="0"/>
          <w:numId w:val="76"/>
        </w:numPr>
        <w:rPr>
          <w:rFonts w:ascii="Arial" w:cs="Arial" w:eastAsia="Arial" w:hAnsi="Arial"/>
          <w:sz w:val="12"/>
          <w:szCs w:val="12"/>
          <w:color w:val="auto"/>
        </w:rPr>
      </w:pPr>
      <w:r>
        <w:rPr>
          <w:rFonts w:ascii="Arial" w:cs="Arial" w:eastAsia="Arial" w:hAnsi="Arial"/>
          <w:sz w:val="12"/>
          <w:szCs w:val="12"/>
          <w:color w:val="auto"/>
        </w:rPr>
        <w:t>Brokerage Accounts and Statements. Access Persons, except Independent Directors, shall:</w:t>
      </w:r>
    </w:p>
    <w:p>
      <w:pPr>
        <w:spacing w:after="0" w:line="1" w:lineRule="exact"/>
        <w:rPr>
          <w:sz w:val="20"/>
          <w:szCs w:val="20"/>
          <w:color w:val="auto"/>
        </w:rPr>
      </w:pPr>
    </w:p>
    <w:p>
      <w:pPr>
        <w:ind w:left="980" w:right="40" w:hanging="486"/>
        <w:spacing w:after="0" w:line="238" w:lineRule="auto"/>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36" w:lineRule="exact"/>
        <w:rPr>
          <w:sz w:val="20"/>
          <w:szCs w:val="20"/>
          <w:color w:val="auto"/>
        </w:rPr>
      </w:pPr>
    </w:p>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36" w:lineRule="exact"/>
        <w:rPr>
          <w:sz w:val="20"/>
          <w:szCs w:val="20"/>
          <w:color w:val="auto"/>
        </w:rPr>
      </w:pPr>
    </w:p>
    <w:p>
      <w:pPr>
        <w:ind w:right="20" w:firstLine="496"/>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06" w:lineRule="exact"/>
        <w:rPr>
          <w:sz w:val="20"/>
          <w:szCs w:val="20"/>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36" w:lineRule="exact"/>
        <w:rPr>
          <w:sz w:val="20"/>
          <w:szCs w:val="20"/>
          <w:color w:val="auto"/>
        </w:rPr>
      </w:pPr>
    </w:p>
    <w:p>
      <w:pPr>
        <w:jc w:val="both"/>
        <w:ind w:right="400" w:firstLine="496"/>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15" w:lineRule="exact"/>
        <w:rPr>
          <w:sz w:val="20"/>
          <w:szCs w:val="20"/>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23" w:lineRule="exact"/>
        <w:rPr>
          <w:sz w:val="20"/>
          <w:szCs w:val="20"/>
          <w:color w:val="auto"/>
        </w:rPr>
      </w:pPr>
    </w:p>
    <w:p>
      <w:pPr>
        <w:ind w:left="980" w:hanging="486"/>
        <w:spacing w:after="0"/>
        <w:tabs>
          <w:tab w:leader="none" w:pos="9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36" w:lineRule="exact"/>
        <w:rPr>
          <w:sz w:val="20"/>
          <w:szCs w:val="20"/>
          <w:color w:val="auto"/>
        </w:rPr>
      </w:pPr>
    </w:p>
    <w:p>
      <w:pPr>
        <w:ind w:right="400" w:firstLine="496"/>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4" w:name="page85"/>
    <w:bookmarkEnd w:id="84"/>
    <w:p>
      <w:pPr>
        <w:ind w:left="980" w:hanging="486"/>
        <w:spacing w:after="0"/>
        <w:tabs>
          <w:tab w:leader="none" w:pos="9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36" w:lineRule="exact"/>
        <w:rPr>
          <w:sz w:val="20"/>
          <w:szCs w:val="20"/>
          <w:color w:val="auto"/>
        </w:rPr>
      </w:pPr>
    </w:p>
    <w:p>
      <w:pPr>
        <w:jc w:val="both"/>
        <w:ind w:right="20" w:firstLine="496"/>
        <w:spacing w:after="0" w:line="283" w:lineRule="auto"/>
        <w:rPr>
          <w:sz w:val="20"/>
          <w:szCs w:val="20"/>
          <w:color w:val="auto"/>
        </w:rPr>
      </w:pPr>
      <w:r>
        <w:rPr>
          <w:rFonts w:ascii="Arial" w:cs="Arial" w:eastAsia="Arial" w:hAnsi="Arial"/>
          <w:sz w:val="12"/>
          <w:szCs w:val="12"/>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78" w:lineRule="exact"/>
        <w:rPr>
          <w:sz w:val="20"/>
          <w:szCs w:val="20"/>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Blind Trusts and other Third Party Managed Accounts.</w:t>
      </w:r>
    </w:p>
    <w:p>
      <w:pPr>
        <w:spacing w:after="0" w:line="136" w:lineRule="exact"/>
        <w:rPr>
          <w:sz w:val="20"/>
          <w:szCs w:val="20"/>
          <w:color w:val="auto"/>
        </w:rPr>
      </w:pPr>
    </w:p>
    <w:p>
      <w:pPr>
        <w:ind w:right="80" w:firstLine="496"/>
        <w:spacing w:after="0" w:line="247" w:lineRule="auto"/>
        <w:rPr>
          <w:sz w:val="20"/>
          <w:szCs w:val="20"/>
          <w:color w:val="auto"/>
        </w:rPr>
      </w:pPr>
      <w:r>
        <w:rPr>
          <w:rFonts w:ascii="Arial" w:cs="Arial" w:eastAsia="Arial" w:hAnsi="Arial"/>
          <w:sz w:val="13"/>
          <w:szCs w:val="13"/>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111" w:lineRule="exact"/>
        <w:rPr>
          <w:sz w:val="20"/>
          <w:szCs w:val="20"/>
          <w:color w:val="auto"/>
        </w:rPr>
      </w:pPr>
    </w:p>
    <w:p>
      <w:pPr>
        <w:ind w:right="40" w:firstLine="496"/>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16" w:lineRule="exact"/>
        <w:rPr>
          <w:sz w:val="20"/>
          <w:szCs w:val="20"/>
          <w:color w:val="auto"/>
        </w:rPr>
      </w:pPr>
    </w:p>
    <w:p>
      <w:pPr>
        <w:ind w:right="560" w:firstLine="496"/>
        <w:spacing w:after="0" w:line="335" w:lineRule="auto"/>
        <w:rPr>
          <w:sz w:val="20"/>
          <w:szCs w:val="20"/>
          <w:color w:val="auto"/>
        </w:rPr>
      </w:pPr>
      <w:r>
        <w:rPr>
          <w:rFonts w:ascii="Arial" w:cs="Arial" w:eastAsia="Arial" w:hAnsi="Arial"/>
          <w:sz w:val="12"/>
          <w:szCs w:val="12"/>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47" w:lineRule="exact"/>
        <w:rPr>
          <w:sz w:val="20"/>
          <w:szCs w:val="20"/>
          <w:color w:val="auto"/>
        </w:rPr>
      </w:pPr>
    </w:p>
    <w:p>
      <w:pPr>
        <w:ind w:left="980" w:hanging="486"/>
        <w:spacing w:after="0"/>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136" w:lineRule="exact"/>
        <w:rPr>
          <w:rFonts w:ascii="Arial" w:cs="Arial" w:eastAsia="Arial" w:hAnsi="Arial"/>
          <w:sz w:val="14"/>
          <w:szCs w:val="14"/>
          <w:color w:val="auto"/>
        </w:rPr>
      </w:pPr>
    </w:p>
    <w:p>
      <w:pPr>
        <w:ind w:left="980" w:right="120" w:hanging="486"/>
        <w:spacing w:after="0" w:line="253" w:lineRule="auto"/>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06" w:lineRule="exact"/>
        <w:rPr>
          <w:rFonts w:ascii="Arial" w:cs="Arial" w:eastAsia="Arial" w:hAnsi="Arial"/>
          <w:sz w:val="14"/>
          <w:szCs w:val="14"/>
          <w:color w:val="auto"/>
        </w:rPr>
      </w:pPr>
    </w:p>
    <w:p>
      <w:pPr>
        <w:ind w:left="980" w:right="300" w:hanging="486"/>
        <w:spacing w:after="0" w:line="253" w:lineRule="auto"/>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36" w:lineRule="exact"/>
        <w:rPr>
          <w:sz w:val="20"/>
          <w:szCs w:val="20"/>
          <w:color w:val="auto"/>
        </w:rPr>
      </w:pPr>
    </w:p>
    <w:p>
      <w:pPr>
        <w:ind w:right="40" w:firstLine="496"/>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40" w:lineRule="exact"/>
        <w:rPr>
          <w:sz w:val="20"/>
          <w:szCs w:val="20"/>
          <w:color w:val="auto"/>
        </w:rPr>
      </w:pPr>
    </w:p>
    <w:p>
      <w:pPr>
        <w:ind w:left="980" w:hanging="486"/>
        <w:spacing w:after="0"/>
        <w:tabs>
          <w:tab w:leader="none" w:pos="9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36" w:lineRule="exact"/>
        <w:rPr>
          <w:sz w:val="20"/>
          <w:szCs w:val="20"/>
          <w:color w:val="auto"/>
        </w:rPr>
      </w:pPr>
    </w:p>
    <w:p>
      <w:pPr>
        <w:jc w:val="both"/>
        <w:ind w:right="100" w:firstLine="496"/>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02" w:lineRule="exact"/>
        <w:rPr>
          <w:sz w:val="20"/>
          <w:szCs w:val="20"/>
          <w:color w:val="auto"/>
        </w:rPr>
      </w:pPr>
    </w:p>
    <w:p>
      <w:pPr>
        <w:ind w:left="980" w:hanging="486"/>
        <w:spacing w:after="0"/>
        <w:tabs>
          <w:tab w:leader="none" w:pos="9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36" w:lineRule="exact"/>
        <w:rPr>
          <w:sz w:val="20"/>
          <w:szCs w:val="20"/>
          <w:color w:val="auto"/>
        </w:rPr>
      </w:pPr>
    </w:p>
    <w:p>
      <w:pPr>
        <w:ind w:firstLine="496"/>
        <w:spacing w:after="0" w:line="335" w:lineRule="auto"/>
        <w:rPr>
          <w:sz w:val="20"/>
          <w:szCs w:val="20"/>
          <w:color w:val="auto"/>
        </w:rPr>
      </w:pPr>
      <w:r>
        <w:rPr>
          <w:rFonts w:ascii="Arial" w:cs="Arial" w:eastAsia="Arial" w:hAnsi="Arial"/>
          <w:sz w:val="12"/>
          <w:szCs w:val="1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60"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36" w:lineRule="exact"/>
        <w:rPr>
          <w:sz w:val="20"/>
          <w:szCs w:val="20"/>
          <w:color w:val="auto"/>
        </w:rPr>
      </w:pPr>
    </w:p>
    <w:p>
      <w:pPr>
        <w:ind w:right="120" w:firstLine="496"/>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27" w:lineRule="exact"/>
        <w:rPr>
          <w:sz w:val="20"/>
          <w:szCs w:val="20"/>
          <w:color w:val="auto"/>
        </w:rPr>
      </w:pPr>
    </w:p>
    <w:p>
      <w:pPr>
        <w:ind w:right="160" w:firstLine="496"/>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9" w:lineRule="exact"/>
        <w:rPr>
          <w:sz w:val="20"/>
          <w:szCs w:val="20"/>
          <w:color w:val="auto"/>
        </w:rPr>
      </w:pPr>
    </w:p>
    <w:p>
      <w:pPr>
        <w:jc w:val="both"/>
        <w:ind w:left="980" w:right="560" w:hanging="486"/>
        <w:spacing w:after="0" w:line="290" w:lineRule="auto"/>
        <w:tabs>
          <w:tab w:leader="none" w:pos="9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4" w:lineRule="exact"/>
        <w:rPr>
          <w:rFonts w:ascii="Arial" w:cs="Arial" w:eastAsia="Arial" w:hAnsi="Arial"/>
          <w:sz w:val="13"/>
          <w:szCs w:val="13"/>
          <w:color w:val="auto"/>
        </w:rPr>
      </w:pPr>
    </w:p>
    <w:p>
      <w:pPr>
        <w:ind w:left="980" w:right="100" w:hanging="486"/>
        <w:spacing w:after="0" w:line="247" w:lineRule="auto"/>
        <w:tabs>
          <w:tab w:leader="none" w:pos="9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11" w:lineRule="exact"/>
        <w:rPr>
          <w:rFonts w:ascii="Arial" w:cs="Arial" w:eastAsia="Arial" w:hAnsi="Arial"/>
          <w:sz w:val="13"/>
          <w:szCs w:val="13"/>
          <w:color w:val="auto"/>
        </w:rPr>
      </w:pPr>
    </w:p>
    <w:p>
      <w:pPr>
        <w:ind w:left="980" w:right="80" w:hanging="486"/>
        <w:spacing w:after="0" w:line="238" w:lineRule="auto"/>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115" w:lineRule="exact"/>
        <w:rPr>
          <w:rFonts w:ascii="Arial" w:cs="Arial" w:eastAsia="Arial" w:hAnsi="Arial"/>
          <w:sz w:val="14"/>
          <w:szCs w:val="14"/>
          <w:color w:val="auto"/>
        </w:rPr>
      </w:pPr>
    </w:p>
    <w:p>
      <w:pPr>
        <w:ind w:left="980" w:hanging="486"/>
        <w:spacing w:after="0" w:line="238" w:lineRule="auto"/>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15" w:lineRule="exact"/>
        <w:rPr>
          <w:rFonts w:ascii="Arial" w:cs="Arial" w:eastAsia="Arial" w:hAnsi="Arial"/>
          <w:sz w:val="14"/>
          <w:szCs w:val="14"/>
          <w:color w:val="auto"/>
        </w:rPr>
      </w:pPr>
    </w:p>
    <w:p>
      <w:pPr>
        <w:ind w:left="1480" w:hanging="487"/>
        <w:spacing w:after="0"/>
        <w:tabs>
          <w:tab w:leader="none" w:pos="14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36" w:lineRule="exact"/>
        <w:rPr>
          <w:sz w:val="20"/>
          <w:szCs w:val="20"/>
          <w:color w:val="auto"/>
        </w:rPr>
      </w:pPr>
    </w:p>
    <w:p>
      <w:pPr>
        <w:ind w:right="260" w:firstLine="496"/>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15" w:lineRule="exact"/>
        <w:rPr>
          <w:sz w:val="20"/>
          <w:szCs w:val="20"/>
          <w:color w:val="auto"/>
        </w:rPr>
      </w:pPr>
    </w:p>
    <w:p>
      <w:pPr>
        <w:jc w:val="both"/>
        <w:ind w:left="980" w:right="40" w:hanging="486"/>
        <w:spacing w:after="0" w:line="244" w:lineRule="auto"/>
        <w:tabs>
          <w:tab w:leader="none" w:pos="9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w:t>
      </w:r>
    </w:p>
    <w:p>
      <w:pPr>
        <w:spacing w:after="0" w:line="1" w:lineRule="exact"/>
        <w:rPr>
          <w:rFonts w:ascii="Arial" w:cs="Arial" w:eastAsia="Arial" w:hAnsi="Arial"/>
          <w:sz w:val="13"/>
          <w:szCs w:val="13"/>
          <w:color w:val="auto"/>
        </w:rPr>
      </w:pPr>
    </w:p>
    <w:p>
      <w:pPr>
        <w:ind w:left="980"/>
        <w:spacing w:after="0" w:line="229" w:lineRule="auto"/>
        <w:rPr>
          <w:rFonts w:ascii="Arial" w:cs="Arial" w:eastAsia="Arial" w:hAnsi="Arial"/>
          <w:sz w:val="13"/>
          <w:szCs w:val="13"/>
          <w:color w:val="auto"/>
        </w:rPr>
      </w:pPr>
      <w:r>
        <w:rPr>
          <w:rFonts w:ascii="Arial" w:cs="Arial" w:eastAsia="Arial" w:hAnsi="Arial"/>
          <w:sz w:val="14"/>
          <w:szCs w:val="14"/>
          <w:color w:val="auto"/>
        </w:rPr>
        <w:t>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16" w:lineRule="exact"/>
        <w:rPr>
          <w:rFonts w:ascii="Arial" w:cs="Arial" w:eastAsia="Arial" w:hAnsi="Arial"/>
          <w:sz w:val="13"/>
          <w:szCs w:val="13"/>
          <w:color w:val="auto"/>
        </w:rPr>
      </w:pPr>
    </w:p>
    <w:p>
      <w:pPr>
        <w:ind w:left="980" w:hanging="486"/>
        <w:spacing w:after="0" w:line="229"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27" w:lineRule="exact"/>
        <w:rPr>
          <w:sz w:val="20"/>
          <w:szCs w:val="20"/>
          <w:color w:val="auto"/>
        </w:rPr>
      </w:pPr>
    </w:p>
    <w:p>
      <w:pPr>
        <w:ind w:left="980" w:hanging="486"/>
        <w:spacing w:after="0"/>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36" w:lineRule="exact"/>
        <w:rPr>
          <w:sz w:val="20"/>
          <w:szCs w:val="20"/>
          <w:color w:val="auto"/>
        </w:rPr>
      </w:pPr>
    </w:p>
    <w:p>
      <w:pPr>
        <w:ind w:firstLine="496"/>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84" w:lineRule="exact"/>
        <w:rPr>
          <w:sz w:val="20"/>
          <w:szCs w:val="20"/>
          <w:color w:val="auto"/>
        </w:rPr>
      </w:pPr>
    </w:p>
    <w:p>
      <w:pPr>
        <w:ind w:left="980" w:hanging="486"/>
        <w:spacing w:after="0"/>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36" w:lineRule="exact"/>
        <w:rPr>
          <w:sz w:val="20"/>
          <w:szCs w:val="20"/>
          <w:color w:val="auto"/>
        </w:rPr>
      </w:pPr>
    </w:p>
    <w:p>
      <w:pPr>
        <w:jc w:val="both"/>
        <w:ind w:right="240" w:firstLine="496"/>
        <w:spacing w:after="0" w:line="296" w:lineRule="auto"/>
        <w:rPr>
          <w:sz w:val="20"/>
          <w:szCs w:val="20"/>
          <w:color w:val="auto"/>
        </w:rPr>
      </w:pPr>
      <w:r>
        <w:rPr>
          <w:rFonts w:ascii="Arial" w:cs="Arial" w:eastAsia="Arial" w:hAnsi="Arial"/>
          <w:sz w:val="12"/>
          <w:szCs w:val="12"/>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auto"/>
        </w:rPr>
        <w:t>Section X Sanctions</w:t>
      </w:r>
    </w:p>
    <w:p>
      <w:pPr>
        <w:spacing w:after="0" w:line="127" w:lineRule="exact"/>
        <w:rPr>
          <w:sz w:val="20"/>
          <w:szCs w:val="20"/>
          <w:color w:val="auto"/>
        </w:rPr>
      </w:pPr>
    </w:p>
    <w:p>
      <w:pPr>
        <w:ind w:firstLine="496"/>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40" w:lineRule="exact"/>
        <w:rPr>
          <w:sz w:val="20"/>
          <w:szCs w:val="20"/>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36" w:lineRule="exact"/>
        <w:rPr>
          <w:sz w:val="20"/>
          <w:szCs w:val="20"/>
          <w:color w:val="auto"/>
        </w:rPr>
      </w:pPr>
    </w:p>
    <w:p>
      <w:pPr>
        <w:ind w:left="980" w:right="80" w:hanging="486"/>
        <w:spacing w:after="0" w:line="238"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5"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06" w:lineRule="exact"/>
        <w:rPr>
          <w:rFonts w:ascii="Arial" w:cs="Arial" w:eastAsia="Arial" w:hAnsi="Arial"/>
          <w:sz w:val="14"/>
          <w:szCs w:val="14"/>
          <w:color w:val="auto"/>
        </w:rPr>
      </w:pPr>
    </w:p>
    <w:p>
      <w:pPr>
        <w:ind w:left="980" w:right="160" w:hanging="486"/>
        <w:spacing w:after="0" w:line="253"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106" w:lineRule="exact"/>
        <w:rPr>
          <w:rFonts w:ascii="Arial" w:cs="Arial" w:eastAsia="Arial" w:hAnsi="Arial"/>
          <w:sz w:val="14"/>
          <w:szCs w:val="14"/>
          <w:color w:val="auto"/>
        </w:rPr>
      </w:pPr>
    </w:p>
    <w:p>
      <w:pPr>
        <w:ind w:left="980" w:right="60" w:hanging="486"/>
        <w:spacing w:after="0" w:line="253"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sz w:val="20"/>
          <w:szCs w:val="20"/>
          <w:color w:val="auto"/>
        </w:rPr>
      </w:pPr>
    </w:p>
    <w:p>
      <w:pPr>
        <w:ind w:left="980" w:right="320" w:hanging="486"/>
        <w:spacing w:after="0" w:line="253"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06" w:lineRule="exact"/>
        <w:rPr>
          <w:sz w:val="20"/>
          <w:szCs w:val="20"/>
          <w:color w:val="auto"/>
        </w:rPr>
      </w:pPr>
    </w:p>
    <w:p>
      <w:pPr>
        <w:ind w:left="980" w:right="80" w:hanging="486"/>
        <w:spacing w:after="0" w:line="253"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0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106" w:lineRule="exact"/>
        <w:rPr>
          <w:rFonts w:ascii="Arial" w:cs="Arial" w:eastAsia="Arial" w:hAnsi="Arial"/>
          <w:sz w:val="14"/>
          <w:szCs w:val="14"/>
          <w:color w:val="auto"/>
        </w:rPr>
      </w:pPr>
    </w:p>
    <w:p>
      <w:pPr>
        <w:ind w:left="980" w:hanging="486"/>
        <w:spacing w:after="0" w:line="253"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360" w:hanging="486"/>
        <w:spacing w:after="0" w:line="253"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06" w:lineRule="exact"/>
        <w:rPr>
          <w:rFonts w:ascii="Arial" w:cs="Arial" w:eastAsia="Arial" w:hAnsi="Arial"/>
          <w:sz w:val="14"/>
          <w:szCs w:val="14"/>
          <w:color w:val="auto"/>
        </w:rPr>
      </w:pPr>
    </w:p>
    <w:p>
      <w:pPr>
        <w:ind w:left="980" w:right="120" w:hanging="486"/>
        <w:spacing w:after="0" w:line="253"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sz w:val="20"/>
          <w:szCs w:val="20"/>
          <w:color w:val="auto"/>
        </w:rPr>
      </w:pPr>
    </w:p>
    <w:p>
      <w:pPr>
        <w:ind w:left="980" w:hanging="486"/>
        <w:spacing w:after="0"/>
        <w:tabs>
          <w:tab w:leader="none" w:pos="9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700" w:firstLine="496"/>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9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ind w:left="1120"/>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4"/>
                <w:szCs w:val="24"/>
                <w:color w:val="auto"/>
              </w:rPr>
            </w:pPr>
          </w:p>
        </w:tc>
        <w:tc>
          <w:tcPr>
            <w:tcW w:w="7240" w:type="dxa"/>
            <w:vAlign w:val="bottom"/>
            <w:gridSpan w:val="4"/>
          </w:tcPr>
          <w:p>
            <w:pPr>
              <w:ind w:left="72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25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5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Voting Securities</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auto"/>
            </w:tcBorders>
            <w:vMerge w:val="continue"/>
          </w:tcPr>
          <w:p>
            <w:pPr>
              <w:spacing w:after="0"/>
              <w:rPr>
                <w:sz w:val="14"/>
                <w:szCs w:val="14"/>
                <w:color w:val="auto"/>
              </w:rPr>
            </w:pPr>
          </w:p>
        </w:tc>
        <w:tc>
          <w:tcPr>
            <w:tcW w:w="510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 Percentage</w:t>
            </w:r>
          </w:p>
        </w:tc>
        <w:tc>
          <w:tcPr>
            <w:tcW w:w="3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PennantPark Floating Rate Funding I, LLC (Delaware)</w:t>
            </w:r>
          </w:p>
        </w:tc>
        <w:tc>
          <w:tcPr>
            <w:tcW w:w="5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20" w:type="dxa"/>
            <w:vAlign w:val="bottom"/>
            <w:gridSpan w:val="2"/>
            <w:shd w:val="clear" w:color="auto" w:fill="CCECFF"/>
          </w:tcPr>
          <w:p>
            <w:pPr>
              <w:ind w:left="148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PFLT Funding II, LLC (Delaware)</w:t>
            </w:r>
          </w:p>
        </w:tc>
        <w:tc>
          <w:tcPr>
            <w:tcW w:w="7240" w:type="dxa"/>
            <w:vAlign w:val="bottom"/>
            <w:gridSpan w:val="4"/>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00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PFLT Investment Holdings, LLC (Delaware)</w:t>
            </w:r>
          </w:p>
        </w:tc>
        <w:tc>
          <w:tcPr>
            <w:tcW w:w="7240" w:type="dxa"/>
            <w:vAlign w:val="bottom"/>
            <w:gridSpan w:val="4"/>
            <w:shd w:val="clear" w:color="auto" w:fill="CCECFF"/>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GMC Television Broadcasting Holdings, Inc. (Delaware)</w:t>
            </w:r>
          </w:p>
        </w:tc>
        <w:tc>
          <w:tcPr>
            <w:tcW w:w="7240" w:type="dxa"/>
            <w:vAlign w:val="bottom"/>
            <w:gridSpan w:val="4"/>
          </w:tcPr>
          <w:p>
            <w:pPr>
              <w:ind w:left="6700"/>
              <w:spacing w:after="0" w:line="149" w:lineRule="exact"/>
              <w:rPr>
                <w:sz w:val="20"/>
                <w:szCs w:val="20"/>
                <w:color w:val="auto"/>
              </w:rPr>
            </w:pPr>
            <w:r>
              <w:rPr>
                <w:rFonts w:ascii="Arial" w:cs="Arial" w:eastAsia="Arial" w:hAnsi="Arial"/>
                <w:sz w:val="14"/>
                <w:szCs w:val="14"/>
                <w:color w:val="auto"/>
                <w:w w:val="95"/>
              </w:rPr>
              <w:t xml:space="preserve">100% </w:t>
            </w: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00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GMC Television Broadcasting, LLC (Delaware)</w:t>
            </w:r>
          </w:p>
        </w:tc>
        <w:tc>
          <w:tcPr>
            <w:tcW w:w="7240" w:type="dxa"/>
            <w:vAlign w:val="bottom"/>
            <w:gridSpan w:val="4"/>
            <w:shd w:val="clear" w:color="auto" w:fill="CCECFF"/>
          </w:tcPr>
          <w:p>
            <w:pPr>
              <w:ind w:left="6700"/>
              <w:spacing w:after="0" w:line="149" w:lineRule="exact"/>
              <w:rPr>
                <w:sz w:val="20"/>
                <w:szCs w:val="20"/>
                <w:color w:val="auto"/>
              </w:rPr>
            </w:pPr>
            <w:r>
              <w:rPr>
                <w:rFonts w:ascii="Arial" w:cs="Arial" w:eastAsia="Arial" w:hAnsi="Arial"/>
                <w:sz w:val="14"/>
                <w:szCs w:val="14"/>
                <w:color w:val="auto"/>
                <w:w w:val="95"/>
              </w:rPr>
              <w:t xml:space="preserve">100% </w:t>
            </w: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Solutions Capital G.P., LLC (Delaware)</w:t>
            </w:r>
          </w:p>
        </w:tc>
        <w:tc>
          <w:tcPr>
            <w:tcW w:w="7240" w:type="dxa"/>
            <w:vAlign w:val="bottom"/>
            <w:gridSpan w:val="4"/>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Solutions Capital I, L.P. (Delaware)</w:t>
            </w:r>
          </w:p>
        </w:tc>
        <w:tc>
          <w:tcPr>
            <w:tcW w:w="7240" w:type="dxa"/>
            <w:vAlign w:val="bottom"/>
            <w:gridSpan w:val="4"/>
            <w:shd w:val="clear" w:color="auto" w:fill="CCECFF"/>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144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10"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12"/>
          <w:szCs w:val="12"/>
          <w:color w:val="auto"/>
        </w:rPr>
      </w:pPr>
      <w:r>
        <w:rPr>
          <w:rFonts w:ascii="Arial" w:cs="Arial" w:eastAsia="Arial" w:hAnsi="Arial"/>
          <w:sz w:val="14"/>
          <w:szCs w:val="14"/>
          <w:color w:val="auto"/>
        </w:rPr>
        <w:t>The entity is directly owned by PFLT Funding II, LLC, which is wholly-owned by us.</w:t>
      </w:r>
    </w:p>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9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9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9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9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9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14,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9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9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9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9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9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9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9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14,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2018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(the “Report”), I, Arthur H. Penn, as Chief Executive Officer of the Registrant hereby certify, to the best of my knowledge that:</w:t>
      </w:r>
    </w:p>
    <w:p>
      <w:pPr>
        <w:spacing w:after="0" w:line="136" w:lineRule="exact"/>
        <w:rPr>
          <w:sz w:val="20"/>
          <w:szCs w:val="20"/>
          <w:color w:val="auto"/>
        </w:rPr>
      </w:pPr>
    </w:p>
    <w:p>
      <w:pPr>
        <w:ind w:left="460" w:hanging="204"/>
        <w:spacing w:after="0"/>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14, 2018</w:t>
            </w:r>
          </w:p>
        </w:tc>
      </w:tr>
    </w:tbl>
    <w:p>
      <w:pPr>
        <w:sectPr>
          <w:pgSz w:w="11900" w:h="16838" w:orient="portrait"/>
          <w:cols w:equalWidth="0" w:num="1">
            <w:col w:w="11240"/>
          </w:cols>
          <w:pgMar w:left="320" w:top="26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2018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(the “Report”), I, Aviv Efrat, as Chief Financial Officer of the Registrant hereby certify, to the best of my knowledge that:</w:t>
      </w:r>
    </w:p>
    <w:p>
      <w:pPr>
        <w:spacing w:after="0" w:line="124" w:lineRule="exact"/>
        <w:rPr>
          <w:sz w:val="20"/>
          <w:szCs w:val="20"/>
          <w:color w:val="auto"/>
        </w:rPr>
      </w:pPr>
    </w:p>
    <w:p>
      <w:pPr>
        <w:ind w:left="460" w:hanging="204"/>
        <w:spacing w:after="0"/>
        <w:tabs>
          <w:tab w:leader="none" w:pos="4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14, 2018</w:t>
            </w:r>
          </w:p>
        </w:tc>
      </w:tr>
    </w:tbl>
    <w:p>
      <w:pPr>
        <w:spacing w:after="0" w:line="1" w:lineRule="exact"/>
        <w:rPr>
          <w:sz w:val="20"/>
          <w:szCs w:val="20"/>
          <w:color w:val="auto"/>
        </w:rPr>
      </w:pPr>
    </w:p>
    <w:sectPr>
      <w:pgSz w:w="11900" w:h="16838" w:orient="portrait"/>
      <w:cols w:equalWidth="0" w:num="1">
        <w:col w:w="11240"/>
      </w:cols>
      <w:pgMar w:left="320" w:top="2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lowerLetter"/>
      <w:start w:val="1"/>
    </w:lvl>
  </w:abstractNum>
  <w:abstractNum w:abstractNumId="4">
    <w:nsid w:val="70C6A529"/>
    <w:multiLevelType w:val="hybridMultilevel"/>
    <w:lvl w:ilvl="0">
      <w:lvlJc w:val="left"/>
      <w:lvlText w:val="%1)"/>
      <w:numFmt w:val="lowerLetter"/>
      <w:start w:val="2"/>
    </w:lvl>
  </w:abstractNum>
  <w:abstractNum w:abstractNumId="5">
    <w:nsid w:val="520EEDD1"/>
    <w:multiLevelType w:val="hybridMultilevel"/>
    <w:lvl w:ilvl="0">
      <w:lvlJc w:val="left"/>
      <w:lvlText w:val="•"/>
      <w:numFmt w:val="bullet"/>
      <w:start w:val="1"/>
    </w:lvl>
    <w:lvl w:ilvl="1">
      <w:lvlJc w:val="left"/>
      <w:lvlText w:val="%2)"/>
      <w:numFmt w:val="lowerLetter"/>
      <w:start w:val="3"/>
    </w:lvl>
  </w:abstractNum>
  <w:abstractNum w:abstractNumId="6">
    <w:nsid w:val="374A3FE6"/>
    <w:multiLevelType w:val="hybridMultilevel"/>
    <w:lvl w:ilvl="0">
      <w:lvlJc w:val="left"/>
      <w:lvlText w:val="%1)"/>
      <w:numFmt w:val="lowerLetter"/>
      <w:start w:val="4"/>
    </w:lvl>
  </w:abstractNum>
  <w:abstractNum w:abstractNumId="7">
    <w:nsid w:val="4F4EF005"/>
    <w:multiLevelType w:val="hybridMultilevel"/>
    <w:lvl w:ilvl="0">
      <w:lvlJc w:val="left"/>
      <w:lvlText w:val="%1)"/>
      <w:numFmt w:val="lowerLetter"/>
      <w:start w:val="1"/>
    </w:lvl>
  </w:abstractNum>
  <w:abstractNum w:abstractNumId="8">
    <w:nsid w:val="23F9C13C"/>
    <w:multiLevelType w:val="hybridMultilevel"/>
    <w:lvl w:ilvl="0">
      <w:lvlJc w:val="left"/>
      <w:lvlText w:val="%1)"/>
      <w:numFmt w:val="lowerLetter"/>
      <w:start w:val="2"/>
    </w:lvl>
  </w:abstractNum>
  <w:abstractNum w:abstractNumId="9">
    <w:nsid w:val="649BB77C"/>
    <w:multiLevelType w:val="hybridMultilevel"/>
    <w:lvl w:ilvl="0">
      <w:lvlJc w:val="left"/>
      <w:lvlText w:val="%1)"/>
      <w:numFmt w:val="lowerLetter"/>
      <w:start w:val="3"/>
    </w:lvl>
  </w:abstractNum>
  <w:abstractNum w:abstractNumId="10">
    <w:nsid w:val="275AC794"/>
    <w:multiLevelType w:val="hybridMultilevel"/>
    <w:lvl w:ilvl="0">
      <w:lvlJc w:val="left"/>
      <w:lvlText w:val="%1)"/>
      <w:numFmt w:val="lowerLetter"/>
      <w:start w:val="4"/>
    </w:lvl>
  </w:abstractNum>
  <w:abstractNum w:abstractNumId="11">
    <w:nsid w:val="39386575"/>
    <w:multiLevelType w:val="hybridMultilevel"/>
    <w:lvl w:ilvl="0">
      <w:lvlJc w:val="left"/>
      <w:lvlText w:val="%1)"/>
      <w:numFmt w:val="lowerLetter"/>
      <w:start w:val="5"/>
    </w:lvl>
  </w:abstractNum>
  <w:abstractNum w:abstractNumId="12">
    <w:nsid w:val="1CF10FD8"/>
    <w:multiLevelType w:val="hybridMultilevel"/>
    <w:lvl w:ilvl="0">
      <w:lvlJc w:val="left"/>
      <w:lvlText w:val="%1)"/>
      <w:numFmt w:val="lowerLetter"/>
      <w:start w:val="6"/>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decimal"/>
      <w:start w:val="4"/>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lvl w:ilvl="1">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lvl w:ilvl="1">
      <w:lvlJc w:val="left"/>
      <w:lvlText w:val="%2)"/>
      <w:numFmt w:val="decimal"/>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1."/>
      <w:numFmt w:val="decimal"/>
      <w:start w:val="3"/>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decimal"/>
      <w:start w:val="4"/>
    </w:lvl>
  </w:abstractNum>
  <w:abstractNum w:abstractNumId="53">
    <w:nsid w:val="42963E5A"/>
    <w:multiLevelType w:val="hybridMultilevel"/>
    <w:lvl w:ilvl="0">
      <w:lvlJc w:val="left"/>
      <w:lvlText w:val="(%1)"/>
      <w:numFmt w:val="lowerLetter"/>
      <w:start w:val="5"/>
    </w:lvl>
    <w:lvl w:ilvl="1">
      <w:lvlJc w:val="left"/>
      <w:lvlText w:val="%2."/>
      <w:numFmt w:val="decimal"/>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1"/>
      <w:numFmt w:val="decimal"/>
      <w:start w:val="1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upperLetter"/>
      <w:start w:val="1"/>
    </w:lvl>
  </w:abstractNum>
  <w:abstractNum w:abstractNumId="67">
    <w:nsid w:val="7FB7E0AA"/>
    <w:multiLevelType w:val="hybridMultilevel"/>
    <w:lvl w:ilvl="0">
      <w:lvlJc w:val="left"/>
      <w:lvlText w:val="(%1)"/>
      <w:numFmt w:val="upperLetter"/>
      <w:start w:val="10"/>
    </w:lvl>
    <w:lvl w:ilvl="1">
      <w:lvlJc w:val="left"/>
      <w:lvlText w:val="(%2)"/>
      <w:numFmt w:val="upperLetter"/>
      <w:start w:val="2"/>
    </w:lvl>
  </w:abstractNum>
  <w:abstractNum w:abstractNumId="68">
    <w:nsid w:val="6EB5BD4"/>
    <w:multiLevelType w:val="hybridMultilevel"/>
    <w:lvl w:ilvl="0">
      <w:lvlJc w:val="left"/>
      <w:lvlText w:val="(%1)"/>
      <w:numFmt w:val="lowerRoman"/>
      <w:start w:val="1"/>
    </w:lvl>
  </w:abstractNum>
  <w:abstractNum w:abstractNumId="69">
    <w:nsid w:val="6F6DD9AC"/>
    <w:multiLevelType w:val="hybridMultilevel"/>
    <w:lvl w:ilvl="0">
      <w:lvlJc w:val="left"/>
      <w:lvlText w:val="(%1)"/>
      <w:numFmt w:val="upperLetter"/>
      <w:start w:val="1"/>
    </w:lvl>
  </w:abstractNum>
  <w:abstractNum w:abstractNumId="70">
    <w:nsid w:val="94211F2"/>
    <w:multiLevelType w:val="hybridMultilevel"/>
    <w:lvl w:ilvl="0">
      <w:lvlJc w:val="left"/>
      <w:lvlText w:val="(%1)"/>
      <w:numFmt w:val="upperLetter"/>
      <w:start w:val="1"/>
    </w:lvl>
  </w:abstractNum>
  <w:abstractNum w:abstractNumId="71">
    <w:nsid w:val="885E1B"/>
    <w:multiLevelType w:val="hybridMultilevel"/>
    <w:lvl w:ilvl="0">
      <w:lvlJc w:val="left"/>
      <w:lvlText w:val="(%1)"/>
      <w:numFmt w:val="upperLetter"/>
      <w:start w:val="2"/>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1)"/>
      <w:numFmt w:val="upperLetter"/>
      <w:start w:val="3"/>
    </w:lvl>
  </w:abstractNum>
  <w:abstractNum w:abstractNumId="74">
    <w:nsid w:val="1716703B"/>
    <w:multiLevelType w:val="hybridMultilevel"/>
    <w:lvl w:ilvl="0">
      <w:lvlJc w:val="left"/>
      <w:lvlText w:val="(%1)"/>
      <w:numFmt w:val="upperLetter"/>
      <w:start w:val="4"/>
    </w:lvl>
  </w:abstractNum>
  <w:abstractNum w:abstractNumId="75">
    <w:nsid w:val="14E17E33"/>
    <w:multiLevelType w:val="hybridMultilevel"/>
    <w:lvl w:ilvl="0">
      <w:lvlJc w:val="left"/>
      <w:lvlText w:val="(%1)"/>
      <w:numFmt w:val="upperLetter"/>
      <w:start w:val="5"/>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upperLetter"/>
      <w:start w:val="6"/>
    </w:lvl>
  </w:abstractNum>
  <w:abstractNum w:abstractNumId="78">
    <w:nsid w:val="68EBC550"/>
    <w:multiLevelType w:val="hybridMultilevel"/>
    <w:lvl w:ilvl="0">
      <w:lvlJc w:val="left"/>
      <w:lvlText w:val="(%1)"/>
      <w:numFmt w:val="upperLetter"/>
      <w:start w:val="7"/>
    </w:lvl>
  </w:abstractNum>
  <w:abstractNum w:abstractNumId="79">
    <w:nsid w:val="2DF6D648"/>
    <w:multiLevelType w:val="hybridMultilevel"/>
    <w:lvl w:ilvl="0">
      <w:lvlJc w:val="left"/>
      <w:lvlText w:val="(%1)"/>
      <w:numFmt w:val="upperLetter"/>
      <w:start w:val="8"/>
    </w:lvl>
  </w:abstractNum>
  <w:abstractNum w:abstractNumId="80">
    <w:nsid w:val="46B7D447"/>
    <w:multiLevelType w:val="hybridMultilevel"/>
    <w:lvl w:ilvl="0">
      <w:lvlJc w:val="left"/>
      <w:lvlText w:val="(%1)"/>
      <w:numFmt w:val="upperLetter"/>
      <w:start w:val="9"/>
    </w:lvl>
  </w:abstractNum>
  <w:abstractNum w:abstractNumId="81">
    <w:nsid w:val="4A2AC315"/>
    <w:multiLevelType w:val="hybridMultilevel"/>
    <w:lvl w:ilvl="0">
      <w:lvlJc w:val="left"/>
      <w:lvlText w:val="(%1)"/>
      <w:numFmt w:val="upperLetter"/>
      <w:start w:val="10"/>
    </w:lvl>
  </w:abstractNum>
  <w:abstractNum w:abstractNumId="82">
    <w:nsid w:val="39EE015C"/>
    <w:multiLevelType w:val="hybridMultilevel"/>
    <w:lvl w:ilvl="0">
      <w:lvlJc w:val="left"/>
      <w:lvlText w:val="(%1)"/>
      <w:numFmt w:val="upperLetter"/>
      <w:start w:val="1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upperLetter"/>
      <w:start w:val="1"/>
    </w:lvl>
  </w:abstractNum>
  <w:abstractNum w:abstractNumId="85">
    <w:nsid w:val="43F18422"/>
    <w:multiLevelType w:val="hybridMultilevel"/>
    <w:lvl w:ilvl="0">
      <w:lvlJc w:val="left"/>
      <w:lvlText w:val="(%1)"/>
      <w:numFmt w:val="upperLetter"/>
      <w:start w:val="2"/>
    </w:lvl>
  </w:abstractNum>
  <w:abstractNum w:abstractNumId="86">
    <w:nsid w:val="60EF0119"/>
    <w:multiLevelType w:val="hybridMultilevel"/>
    <w:lvl w:ilvl="0">
      <w:lvlJc w:val="left"/>
      <w:lvlText w:val="(%1)"/>
      <w:numFmt w:val="upperLetter"/>
      <w:start w:val="3"/>
    </w:lvl>
  </w:abstractNum>
  <w:abstractNum w:abstractNumId="87">
    <w:nsid w:val="26F324BA"/>
    <w:multiLevelType w:val="hybridMultilevel"/>
    <w:lvl w:ilvl="0">
      <w:lvlJc w:val="left"/>
      <w:lvlText w:val="(%1)"/>
      <w:numFmt w:val="upperLetter"/>
      <w:start w:val="1"/>
    </w:lvl>
    <w:lvl w:ilvl="1">
      <w:lvlJc w:val="left"/>
      <w:lvlText w:val="(%2)"/>
      <w:numFmt w:val="decimal"/>
      <w:start w:val="1"/>
    </w:lvl>
  </w:abstractNum>
  <w:abstractNum w:abstractNumId="88">
    <w:nsid w:val="7F01579B"/>
    <w:multiLevelType w:val="hybridMultilevel"/>
    <w:lvl w:ilvl="0">
      <w:lvlJc w:val="left"/>
      <w:lvlText w:val="(%1)"/>
      <w:numFmt w:val="upperLetter"/>
      <w:start w:val="5"/>
    </w:lvl>
  </w:abstractNum>
  <w:abstractNum w:abstractNumId="89">
    <w:nsid w:val="49DA307D"/>
    <w:multiLevelType w:val="hybridMultilevel"/>
    <w:lvl w:ilvl="0">
      <w:lvlJc w:val="left"/>
      <w:lvlText w:val="(%1)"/>
      <w:numFmt w:val="upperLetter"/>
      <w:start w:val="1"/>
    </w:lvl>
  </w:abstractNum>
  <w:abstractNum w:abstractNumId="90">
    <w:nsid w:val="7055A5F5"/>
    <w:multiLevelType w:val="hybridMultilevel"/>
    <w:lvl w:ilvl="0">
      <w:lvlJc w:val="left"/>
      <w:lvlText w:val="(%1)"/>
      <w:numFmt w:val="upperLetter"/>
      <w:start w:val="2"/>
    </w:lvl>
  </w:abstractNum>
  <w:abstractNum w:abstractNumId="91">
    <w:nsid w:val="5FB8370B"/>
    <w:multiLevelType w:val="hybridMultilevel"/>
    <w:lvl w:ilvl="0">
      <w:lvlJc w:val="left"/>
      <w:lvlText w:val="(%1)"/>
      <w:numFmt w:val="upperLetter"/>
      <w:start w:val="1"/>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1)"/>
      <w:numFmt w:val="upperLetter"/>
      <w:start w:val="3"/>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upperLetter"/>
      <w:start w:val="4"/>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27" Type="http://schemas.openxmlformats.org/officeDocument/2006/relationships/hyperlink" Target="http://www.sec.gov/Archives/edgar/data/1504619/000119312511080862/dn2a.htm" TargetMode="External"/><Relationship Id="rId128" Type="http://schemas.openxmlformats.org/officeDocument/2006/relationships/hyperlink" Target="http://www.sec.gov/Archives/edgar/data/1504619/000119312515393212/d59576dex31.htm" TargetMode="External"/><Relationship Id="rId129" Type="http://schemas.openxmlformats.org/officeDocument/2006/relationships/hyperlink" Target="http://www.sec.gov/Archives/edgar/data/1504619/000119312511088977/dn2a.htm" TargetMode="External"/><Relationship Id="rId130" Type="http://schemas.openxmlformats.org/officeDocument/2006/relationships/hyperlink" Target="http://www.sec.gov/Archives/edgar/data/1504619/000119312515280967/d64764dex101.htm" TargetMode="External"/><Relationship Id="rId131" Type="http://schemas.openxmlformats.org/officeDocument/2006/relationships/hyperlink" Target="http://www.sec.gov/Archives/edgar/data/1504619/000119312515375637/d37034dex101.htm" TargetMode="External"/><Relationship Id="rId132" Type="http://schemas.openxmlformats.org/officeDocument/2006/relationships/hyperlink" Target="http://www.sec.gov/Archives/edgar/data/1504619/000119312517340875/d474680dex101.htm" TargetMode="External"/><Relationship Id="rId133" Type="http://schemas.openxmlformats.org/officeDocument/2006/relationships/hyperlink" Target="http://www.sec.gov/Archives/edgar/data/1504619/000150461911000006/exhibit102purchaseandcontr.htm" TargetMode="External"/><Relationship Id="rId134" Type="http://schemas.openxmlformats.org/officeDocument/2006/relationships/hyperlink" Target="http://www.sec.gov/Archives/edgar/data/1504619/000156459018001680/pflt-ex104_47.htm" TargetMode="External"/><Relationship Id="rId135" Type="http://schemas.openxmlformats.org/officeDocument/2006/relationships/hyperlink" Target="http://www.sec.gov/Archives/edgar/data/1504619/000119312511080862/dex99e.htm" TargetMode="External"/><Relationship Id="rId136" Type="http://schemas.openxmlformats.org/officeDocument/2006/relationships/hyperlink" Target="http://www.sec.gov/Archives/edgar/data/1504619/000119312516450643/d38254dex101.htm" TargetMode="External"/><Relationship Id="rId137" Type="http://schemas.openxmlformats.org/officeDocument/2006/relationships/hyperlink" Target="http://www.sec.gov/Archives/edgar/data/1504619/000156459017016504/pflt-ex101_78.htm" TargetMode="External"/><Relationship Id="rId138" Type="http://schemas.openxmlformats.org/officeDocument/2006/relationships/hyperlink" Target="http://www.sec.gov/Archives/edgar/data/1504619/000119312516775064/d290892dex106.htm" TargetMode="External"/><Relationship Id="rId139"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2020-05-05T12:08:13Z</dcterms:created>
  <dcterms:modified xsi:type="dcterms:W3CDTF">2020-05-05T12:08:13Z</dcterms:modified>
</cp:coreProperties>
</file>