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08,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60"/>
        <w:spacing w:after="0"/>
        <w:rPr>
          <w:sz w:val="20"/>
          <w:szCs w:val="20"/>
          <w:color w:val="auto"/>
        </w:rPr>
      </w:pPr>
      <w:r>
        <w:rPr>
          <w:rFonts w:ascii="Arial" w:cs="Arial" w:eastAsia="Arial" w:hAnsi="Arial"/>
          <w:sz w:val="22"/>
          <w:szCs w:val="22"/>
          <w:color w:val="auto"/>
        </w:rPr>
        <w:t>On August 8, 2013, PennantPark Floating Rate Capital Ltd. issued a press release announcing its financial results for its third fiscal quarter ended June 30, 2013.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08, 2013</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08,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2013</w:t>
      </w:r>
    </w:p>
    <w:p>
      <w:pPr>
        <w:spacing w:after="0" w:line="21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NEW YORK, NY -- (Marketwired - August 08, 2013) - PennantPark Floating Rate Capital Ltd. (NASDAQ: PFLT) announced today financial results for its third fiscal quarter ended June 30, 2013.</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June 30, 2013</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250.5</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7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144.1</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$85.6)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0.263</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46.4</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1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1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1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9, 2013</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August 9, 2013 to discuss its financial results. All interested parties are welcome to participate. You can access the conference call by dialing (888) 378-0320 approximately 5-10 minutes prior to the call. International callers should dial (719)</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22"/>
          <w:szCs w:val="22"/>
          <w:color w:val="auto"/>
        </w:rPr>
        <w:t>457-2083. All callers should reference PennantPark Floating Rate Capital Ltd. An archived replay of the call will be available through August 23, 2013 by calling (888) 203-1112. International callers please dial (719) 457-0820. For all phone replays, please reference conference ID #8870172.</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As of June 30, 2013, our portfolio totaled $250.5 million and consisted of $228.5 million of senior secured loans, $13.2 million of second lien secured debt and $8.8 million of subordinated debt, preferred and common equity investments. Our debt portfolio consisted of 91% variable-rate investments (including 88% with a London Interbank Offered Rate, or LIBOR, or prime floor) and 9% fixed-rate investments. Overall, the portfolio had unrealized depreciation of $3.0 million. Our overall portfolio consisted of 78 companies with an average investment size of $3.2 million, had a weighted average yield on debt investments of 8.1%, and was invested 91% in senior secured loans, 5% in second lien secured debt and 4% in subordinated debt, preferred and common equity investments.</w:t>
      </w:r>
    </w:p>
    <w:p>
      <w:pPr>
        <w:spacing w:after="0" w:line="191"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91"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For the three months ended June 30, 2013, we invested $114.3 million in 26 new and five existing portfolio companies with a weighted average yield on debt investments of 7.5%. Sales and repayments of investments for the three months ended June 30, 2013 totaled $46.4 million. For the nine months ended June 30, 2013, we invested $198.3 million in 54 new and 11 existing portfolio companies with a weighted average yield on debt investments of 8.0%. Sales and repayments of investments for the nine months ended June 30, 2013 totaled $120.7 million.</w:t>
      </w:r>
    </w:p>
    <w:p>
      <w:pPr>
        <w:spacing w:after="0" w:line="178"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For the three months ended June 30, 2012, we invested $27.7 million in 11 new and two existing portfolio companies with a weighted average yield on debt investments of 9.3%. Sales and repayments of investments for the three months ended June 30, 2012 totaled $15.4 million. For the nine months ended June 30, 2012, we invested $99.9 million in 36 new and four existing portfolio companies with a weighted average yield on debt investments of 9.2%. Sales and repayments of investments for the nine months ended June 30, 2012 totaled $57.0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1" w:right="339" w:bottom="0" w:gutter="0" w:footer="0" w:header="0"/>
        </w:sectPr>
      </w:pPr>
    </w:p>
    <w:bookmarkStart w:id="3" w:name="page4"/>
    <w:bookmarkEnd w:id="3"/>
    <w:p>
      <w:pPr>
        <w:ind w:right="2140"/>
        <w:spacing w:after="0" w:line="435" w:lineRule="auto"/>
        <w:rPr>
          <w:sz w:val="20"/>
          <w:szCs w:val="20"/>
          <w:color w:val="auto"/>
        </w:rPr>
      </w:pPr>
      <w:r>
        <w:rPr>
          <w:rFonts w:ascii="Arial" w:cs="Arial" w:eastAsia="Arial" w:hAnsi="Arial"/>
          <w:sz w:val="22"/>
          <w:szCs w:val="22"/>
          <w:color w:val="auto"/>
        </w:rPr>
        <w:t xml:space="preserve">Set forth below are the results of operations for the three and nine months ended June 30, 2013 and 2012. </w:t>
      </w:r>
      <w:r>
        <w:rPr>
          <w:rFonts w:ascii="Arial" w:cs="Arial" w:eastAsia="Arial" w:hAnsi="Arial"/>
          <w:sz w:val="22"/>
          <w:szCs w:val="22"/>
          <w:b w:val="1"/>
          <w:bCs w:val="1"/>
          <w:color w:val="auto"/>
        </w:rPr>
        <w:t>Investment Income</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Investment income for the three and nine months ended June 30, 2013 was $4.7 million and $12.8 million, respectively, and was attributable to $3.9 million and $10.8 million from senior secured loans, $0.5 million and $1.0 million from second lien secured debt investments and $0.3 million and $1.0 million from subordinated debt investments, respectively. This compares to investment income for the three and nine months ended June 30, 2012, which was $3.2 million and $8.6 million, respectively, and was attributable to $2.7 million and $7.0 million from senior secured loans, $0.2 million and $0.8 million from second lien secured debt investments and $0.3 million and $0.5 million from subordinated debt investments, respectively. The increase in investment income compared with the same periods in the prior year is primarily the result of deploying our proceeds from our March 2013 equity offering.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Expenses for the three and nine months ended June 30, 2013 totaled $1.5 million and $5.8 million, respectively. Base management fee for the same periods totaled $0.5 million and $1.5 million, incentive fee totaled less than $0.1 million and $1.0 million, our senior secured revolving credit facility, or the Credit Facility, expenses totaled $0.4 million and $1.8 million (including $0.5 million of Credit Facility amendment expenses), general and administrative expenses totaled $0.5 million and $1.4 million and excise taxes were $0.1 million, respectively. This compares to expenses for the three and nine months ended June 30, 2012, which totaled $1.4 million and $3.8 million, respectively. Base management fee for the same periods in the prior year totaled $0.4 million and $1.1 million, incentive fee totaled $(0.1) million and $0.1 million, Credit Facility expenses totaled $0.7 million and $1.3 million (including $0.3 million of non-recurring expenses) and general and administrative expenses totaled $0.4 million and $1.4 million, respectively. The increase in management fee, incentive fee and Credit Facility expenses was due to the growth of our portfolio and expanding our borrowing capacity under our Credit Facility.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Net investment income totaled $3.2 million and $7.0 million, or $0.31 and $0.86 per share, for the three and nine months ended June 30, 2013, respectively. Net investment income totaled $1.8 million and $4.8 million, or $0.27 and $0.70 per share, for the three and nine months ended June 30, 2012, respectively. The increase in net investment income was due to a larger portfolio and higher yielding assets offset by higher Credit Facility expenses and management and incentive fees.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Sales and repayments of investments for the three and nine months ended June 30, 2013 totaled $46.4 million and $120.7 million and realized gains totaled $1.7 million and $3.2 million, respectively. Sales and repayments of investments for the three and nine months ended June 30, 2012 totaled $15.4 million and $57.0 million and realized gains totaled $0.2 million and $0.6 million, respectively. The increase in realized gains was driven by a higher volume of sales and early repayments than the comparable periods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For the three and nine months ended June 30, 2013, we reported unrealized depreciation on investments of $3.3 million and $3.2 million, respectively. For the three and nine months ended June 30, 2012, we reported unrealized (depreciation) appreciation on investments of $(1.7) million and $2.4 million, respectively. As of June 30, 2013 and September 30, 2012, net unrealized (depreciation) appreciation on investments totaled $(3.0) million and $0.3 million, respectively. The decrease in unrealized appreciation for current periods compared to prior periods was the result of the reversal of unrealized gains upon exiting our investments and changes in market values.</w:t>
      </w:r>
    </w:p>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For the three and nine months ended June 30, 2013, our long-term Credit Facility had a change in unrealized appreciation of zero and $0.4 million, respectively. For the three and nine months ended June 30, 2012, our long-term Credit Facility had a change in unrealized depreciation of less than $0.1 million and $0.3 million, respectively. As of June 30,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Net increase in net assets resulting from operations totaled $1.6 million and $6.5 million, or $0.15 and $0.81 per share, respectively, for the three and nine months ended June 30, 2013. This compares to a net increase in net assets resulting from operations which totaled $0.4 million and $8.0 million, or $0.06 and $1.17 per share, respectively, for the three and nine months ended June 30, 2012. The decrease in net assets resulting from operations compared to last year was due to changes in the market values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w:t>
      </w:r>
    </w:p>
    <w:p>
      <w:pPr>
        <w:sectPr>
          <w:pgSz w:w="11900" w:h="16838" w:orient="portrait"/>
          <w:cols w:equalWidth="0" w:num="1">
            <w:col w:w="11240"/>
          </w:cols>
          <w:pgMar w:left="320" w:top="118" w:right="339" w:bottom="0" w:gutter="0" w:footer="0" w:header="0"/>
        </w:sectPr>
      </w:pPr>
    </w:p>
    <w:bookmarkStart w:id="4" w:name="page5"/>
    <w:bookmarkEnd w:id="4"/>
    <w:p>
      <w:pPr>
        <w:ind w:right="640"/>
        <w:spacing w:after="0" w:line="251" w:lineRule="auto"/>
        <w:rPr>
          <w:sz w:val="20"/>
          <w:szCs w:val="20"/>
          <w:color w:val="auto"/>
        </w:rPr>
      </w:pPr>
      <w:r>
        <w:rPr>
          <w:rFonts w:ascii="Arial" w:cs="Arial" w:eastAsia="Arial" w:hAnsi="Arial"/>
          <w:sz w:val="22"/>
          <w:szCs w:val="22"/>
          <w:color w:val="auto"/>
        </w:rPr>
        <w:t>Facility, the rotation of our portfolio and proceeds from public and private offerings of securities to finance our investment objectives.</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In March 2013, we completed a follow-on public offering, including the underwriters' exercise of the overallotment option, of 3,450,000 shares of common stock at a public offering price of $14.00 per share for gross proceeds of $48.3 million and net proceeds of $47.9 million after offering expenses. Our Investment Adviser paid the entire sales load of $1.4 million in connection with this offering.</w:t>
      </w:r>
    </w:p>
    <w:p>
      <w:pPr>
        <w:spacing w:after="0" w:line="185"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Funding I's Credit Facility with SunTrust Bank, or the Lender, is $125 million, subject to satisfaction of certain conditions and the regulatory restrictions that the Investment Company Act of 1940 imposes on us as a business development company, has an interest rate spread above LIBOR of 200 basis points, a maturity date of May 2018 and a revolving period to May 2016. As of June 30, 2013 and September 30, 2012, Funding I had $85.6 million and $75.5 million of outstanding borrowings under the Credit Facility, respectively, and carried an interest rate of 2.20% and 2.47%, respectively, excluding the 0.375% undrawn commitment fee.</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Our operating activities used cash of $47.1 million for the nine months ended June 30, 2013, and our financing activities provided cash of $50.2 million for the same period. Our operating activities used cash primarily for our investment activity that was offset by our financing activities, which provided cash primarily from a public offering and net repayments under the Credit Facility.</w:t>
      </w:r>
    </w:p>
    <w:p>
      <w:pPr>
        <w:spacing w:after="0" w:line="185"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Our operating activities used cash of $28.9 million for the nine months ended June 30, 2012, and our financing activities provided cash of $25.2 million for the same period. Our operating activities used cash primarily for our investment activity that was financed by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three and nine months ended June 30, 2013, we declared to stockholders distributions of $0.263 and $0.765 per share, for total distributions of $2.7 million and $6.1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460"/>
        <w:spacing w:after="0"/>
        <w:rPr>
          <w:sz w:val="20"/>
          <w:szCs w:val="20"/>
          <w:color w:val="auto"/>
        </w:rPr>
      </w:pPr>
      <w:r>
        <w:rPr>
          <w:rFonts w:ascii="Arial" w:cs="Arial" w:eastAsia="Arial" w:hAnsi="Arial"/>
          <w:sz w:val="22"/>
          <w:szCs w:val="22"/>
          <w:color w:val="auto"/>
        </w:rPr>
        <w:t>In connection with our July 16, 2013 public offering, we issued approximately 4.6 million shares (including underwriters' overallotment option) of common stock at a public offering price of $14.20 per share, raising approximately $65.2 million in gross proceeds.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39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June 30, 2013</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non-affiliated investments,</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 - $253,491,463 and</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$171,578,009, respectively)</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$ 250,514,412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$ 171,834,400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6,936,175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3,845,803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1,167,081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1,388,867</w:t>
            </w:r>
          </w:p>
        </w:tc>
      </w:tr>
      <w:tr>
        <w:trPr>
          <w:trHeight w:val="202"/>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4,234,177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986,278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397,108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311,313</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263,248,953</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178,366,661</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901,661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548,053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30,515,000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3,357,500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 $85,600,000</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$75,500,000, respectively)</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85,600,000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75,122,500</w:t>
            </w:r>
          </w:p>
        </w:tc>
      </w:tr>
      <w:tr>
        <w:trPr>
          <w:trHeight w:val="202"/>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150,135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161,550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548,779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424,747</w:t>
            </w:r>
          </w:p>
        </w:tc>
      </w:tr>
      <w:tr>
        <w:trPr>
          <w:trHeight w:val="202"/>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658,545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506,314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781,707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447,120</w:t>
            </w:r>
          </w:p>
        </w:tc>
      </w:tr>
      <w:tr>
        <w:trPr>
          <w:trHeight w:val="202"/>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sales load charges</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2,055,000</w:t>
            </w:r>
          </w:p>
        </w:tc>
      </w:tr>
    </w:tbl>
    <w:p>
      <w:pPr>
        <w:sectPr>
          <w:pgSz w:w="11900" w:h="16838" w:orient="portrait"/>
          <w:cols w:equalWidth="0" w:num="1">
            <w:col w:w="11240"/>
          </w:cols>
          <w:pgMar w:left="320" w:top="11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6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119,155,827</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82,622,784</w:t>
            </w:r>
          </w:p>
        </w:tc>
      </w:tr>
      <w:tr>
        <w:trPr>
          <w:trHeight w:val="203"/>
        </w:trPr>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10,304,692 and 6,850,667 shares</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issued and outstanding, respectively. Par</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value $0.001 per share and 100,000,000 shares</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10,305</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2"/>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Paid-in capital in excess of par value</w:t>
            </w: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143,146,743</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95,192,222</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(517,645)</w:t>
            </w:r>
          </w:p>
        </w:tc>
        <w:tc>
          <w:tcPr>
            <w:tcW w:w="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(1,313,000)</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4,430,774</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1,223,913</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 on</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(2,977,051)</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256,391</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 Facility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3"/>
        </w:trPr>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36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$ 144,093,126</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95,743,877</w:t>
            </w:r>
          </w:p>
        </w:tc>
      </w:tr>
      <w:tr>
        <w:trPr>
          <w:trHeight w:val="203"/>
        </w:trPr>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$ 263,248,953</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$ 178,366,661</w:t>
            </w:r>
          </w:p>
        </w:tc>
      </w:tr>
      <w:tr>
        <w:trPr>
          <w:trHeight w:val="203"/>
        </w:trPr>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asset value per share</w:t>
            </w:r>
          </w:p>
        </w:tc>
        <w:tc>
          <w:tcPr>
            <w:tcW w:w="13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13.98</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2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6860" w:type="dxa"/>
            <w:vAlign w:val="bottom"/>
            <w:gridSpan w:val="5"/>
          </w:tcPr>
          <w:p>
            <w:pPr>
              <w:jc w:val="center"/>
              <w:ind w:left="1192"/>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c>
          <w:tcPr>
            <w:tcW w:w="1160" w:type="dxa"/>
            <w:vAlign w:val="bottom"/>
          </w:tcPr>
          <w:p>
            <w:pPr>
              <w:spacing w:after="0"/>
              <w:rPr>
                <w:sz w:val="24"/>
                <w:szCs w:val="24"/>
                <w:color w:val="auto"/>
              </w:rPr>
            </w:pPr>
          </w:p>
        </w:tc>
      </w:tr>
      <w:tr>
        <w:trPr>
          <w:trHeight w:val="203"/>
        </w:trPr>
        <w:tc>
          <w:tcPr>
            <w:tcW w:w="6480" w:type="dxa"/>
            <w:vAlign w:val="bottom"/>
            <w:gridSpan w:val="4"/>
          </w:tcPr>
          <w:p>
            <w:pPr>
              <w:jc w:val="center"/>
              <w:ind w:left="15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700" w:type="dxa"/>
            <w:vAlign w:val="bottom"/>
          </w:tcPr>
          <w:p>
            <w:pPr>
              <w:spacing w:after="0"/>
              <w:rPr>
                <w:sz w:val="24"/>
                <w:szCs w:val="24"/>
                <w:color w:val="auto"/>
              </w:rPr>
            </w:pPr>
          </w:p>
        </w:tc>
        <w:tc>
          <w:tcPr>
            <w:tcW w:w="2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264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700" w:type="dxa"/>
            <w:vAlign w:val="bottom"/>
          </w:tcPr>
          <w:p>
            <w:pPr>
              <w:spacing w:after="0"/>
              <w:rPr>
                <w:sz w:val="17"/>
                <w:szCs w:val="17"/>
                <w:color w:val="auto"/>
              </w:rPr>
            </w:pPr>
          </w:p>
        </w:tc>
        <w:tc>
          <w:tcPr>
            <w:tcW w:w="268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c>
          <w:tcPr>
            <w:tcW w:w="26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700" w:type="dxa"/>
            <w:vAlign w:val="bottom"/>
          </w:tcPr>
          <w:p>
            <w:pPr>
              <w:spacing w:after="0"/>
              <w:rPr>
                <w:sz w:val="17"/>
                <w:szCs w:val="17"/>
                <w:color w:val="auto"/>
              </w:rPr>
            </w:pP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2013</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From non-controlled, non-</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$ 4,192,816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$ 3,120,180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$11,807,059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$ 8,387,545</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477,487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80,522</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965,794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223,915</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4,670,303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3,200,702</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12,772,853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8,611,460</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548,779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383,673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1,464,403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1,069,870</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incentive fee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37,709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(117,536)</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1,017,929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58,204</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Interest and expenses</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on the Credit</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Facility</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375,640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409,732</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1,342,103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1,031,208</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144,052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147,097</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452,876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435,056</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317,192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254,743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956,400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974,330</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excise tax expense</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amendment costs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1,423,372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1,077,709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5,233,711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3,568,668</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Excise tax</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29,355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96,768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amendment costs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276,500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276,500</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1,452,727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1,354,209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5,830,479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3,845,168</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Net investment income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3,217,576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1,846,493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6,942,374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4,766,292</w:t>
            </w:r>
          </w:p>
        </w:tc>
      </w:tr>
      <w:tr>
        <w:trPr>
          <w:trHeight w:val="203"/>
        </w:trPr>
        <w:tc>
          <w:tcPr>
            <w:tcW w:w="27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gain on</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gain on non-</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controlled, non-</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1,659,391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217,718</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3,206,861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623,605</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non-</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affiliated</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(3,309,840)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(1,709,804)</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(3,233,442)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2,355,750</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ind w:left="540"/>
        <w:spacing w:after="0"/>
        <w:rPr>
          <w:sz w:val="20"/>
          <w:szCs w:val="20"/>
          <w:color w:val="auto"/>
        </w:rPr>
      </w:pPr>
      <w:r>
        <w:rPr>
          <w:rFonts w:ascii="Courier New" w:cs="Courier New" w:eastAsia="Courier New" w:hAnsi="Courier New"/>
          <w:sz w:val="16"/>
          <w:szCs w:val="16"/>
          <w:color w:val="auto"/>
        </w:rPr>
        <w:t>(appreciation)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depreciation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3180" w:firstLine="1053"/>
        <w:spacing w:after="0" w:line="235" w:lineRule="auto"/>
        <w:rPr>
          <w:sz w:val="20"/>
          <w:szCs w:val="20"/>
          <w:color w:val="auto"/>
        </w:rPr>
      </w:pPr>
      <w:r>
        <w:rPr>
          <w:rFonts w:ascii="Courier New" w:cs="Courier New" w:eastAsia="Courier New" w:hAnsi="Courier New"/>
          <w:sz w:val="18"/>
          <w:szCs w:val="18"/>
          <w:color w:val="auto"/>
        </w:rPr>
        <w:t>- 33,000 (377,500) 272,000 ----------- ----------- ----------- -----------</w:t>
      </w:r>
    </w:p>
    <w:p>
      <w:pPr>
        <w:spacing w:after="0" w:line="1" w:lineRule="exact"/>
        <w:rPr>
          <w:sz w:val="20"/>
          <w:szCs w:val="20"/>
          <w:color w:val="auto"/>
        </w:rPr>
      </w:pPr>
    </w:p>
    <w:p>
      <w:pPr>
        <w:sectPr>
          <w:pgSz w:w="11900" w:h="16838" w:orient="portrait"/>
          <w:cols w:equalWidth="0" w:num="2">
            <w:col w:w="2020" w:space="720"/>
            <w:col w:w="8460"/>
          </w:cols>
          <w:pgMar w:left="320" w:top="142" w:right="379" w:bottom="1440" w:gutter="0" w:footer="0" w:header="0"/>
        </w:sectPr>
      </w:pPr>
    </w:p>
    <w:p>
      <w:pPr>
        <w:ind w:left="420"/>
        <w:spacing w:after="0"/>
        <w:rPr>
          <w:sz w:val="20"/>
          <w:szCs w:val="20"/>
          <w:color w:val="auto"/>
        </w:rPr>
      </w:pPr>
      <w:r>
        <w:rPr>
          <w:rFonts w:ascii="Courier New" w:cs="Courier New" w:eastAsia="Courier New" w:hAnsi="Courier New"/>
          <w:sz w:val="18"/>
          <w:szCs w:val="18"/>
          <w:color w:val="auto"/>
        </w:rPr>
        <w:t>Net change in</w:t>
      </w:r>
    </w:p>
    <w:p>
      <w:pPr>
        <w:ind w:left="540"/>
        <w:spacing w:after="0" w:line="238" w:lineRule="auto"/>
        <w:rPr>
          <w:sz w:val="20"/>
          <w:szCs w:val="20"/>
          <w:color w:val="auto"/>
        </w:rPr>
      </w:pPr>
      <w:r>
        <w:rPr>
          <w:rFonts w:ascii="Courier New" w:cs="Courier New" w:eastAsia="Courier New" w:hAnsi="Courier New"/>
          <w:sz w:val="18"/>
          <w:szCs w:val="18"/>
          <w:color w:val="auto"/>
        </w:rPr>
        <w:t>unrealized</w:t>
      </w:r>
    </w:p>
    <w:p>
      <w:pPr>
        <w:ind w:left="540"/>
        <w:spacing w:after="0" w:line="238" w:lineRule="auto"/>
        <w:rPr>
          <w:sz w:val="20"/>
          <w:szCs w:val="20"/>
          <w:color w:val="auto"/>
        </w:rPr>
      </w:pPr>
      <w:r>
        <w:rPr>
          <w:rFonts w:ascii="Courier New" w:cs="Courier New" w:eastAsia="Courier New" w:hAnsi="Courier New"/>
          <w:sz w:val="18"/>
          <w:szCs w:val="18"/>
          <w:color w:val="auto"/>
        </w:rPr>
        <w:t>(depreciation)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appreciation on</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investments and</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3180" w:firstLine="105"/>
        <w:spacing w:after="0" w:line="235" w:lineRule="auto"/>
        <w:rPr>
          <w:sz w:val="20"/>
          <w:szCs w:val="20"/>
          <w:color w:val="auto"/>
        </w:rPr>
      </w:pPr>
      <w:r>
        <w:rPr>
          <w:rFonts w:ascii="Courier New" w:cs="Courier New" w:eastAsia="Courier New" w:hAnsi="Courier New"/>
          <w:sz w:val="18"/>
          <w:szCs w:val="18"/>
          <w:color w:val="auto"/>
        </w:rPr>
        <w:t>(3,309,840) (1,676,804) (3,610,942) 2,627,750 ----------- ----------- ----------- -----------</w:t>
      </w:r>
    </w:p>
    <w:p>
      <w:pPr>
        <w:spacing w:after="0" w:line="1" w:lineRule="exact"/>
        <w:rPr>
          <w:sz w:val="20"/>
          <w:szCs w:val="20"/>
          <w:color w:val="auto"/>
        </w:rPr>
      </w:pPr>
    </w:p>
    <w:p>
      <w:pPr>
        <w:sectPr>
          <w:pgSz w:w="11900" w:h="16838" w:orient="portrait"/>
          <w:cols w:equalWidth="0" w:num="2">
            <w:col w:w="2120" w:space="620"/>
            <w:col w:w="8460"/>
          </w:cols>
          <w:pgMar w:left="320" w:top="142" w:right="379"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Net realized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unrealized (loss) gain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from investments and</w:t>
      </w:r>
    </w:p>
    <w:p>
      <w:pPr>
        <w:ind w:left="120"/>
        <w:spacing w:after="0" w:line="238" w:lineRule="auto"/>
        <w:rPr>
          <w:sz w:val="20"/>
          <w:szCs w:val="20"/>
          <w:color w:val="auto"/>
        </w:rPr>
      </w:pPr>
      <w:r>
        <w:rPr>
          <w:rFonts w:ascii="Courier New" w:cs="Courier New" w:eastAsia="Courier New" w:hAnsi="Courier New"/>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both"/>
        <w:ind w:right="3180" w:firstLine="105"/>
        <w:spacing w:after="0" w:line="235" w:lineRule="auto"/>
        <w:rPr>
          <w:sz w:val="20"/>
          <w:szCs w:val="20"/>
          <w:color w:val="auto"/>
        </w:rPr>
      </w:pPr>
      <w:r>
        <w:rPr>
          <w:rFonts w:ascii="Courier New" w:cs="Courier New" w:eastAsia="Courier New" w:hAnsi="Courier New"/>
          <w:sz w:val="18"/>
          <w:szCs w:val="18"/>
          <w:color w:val="auto"/>
        </w:rPr>
        <w:t>(1,650,449) (1,459,086) (404,081) 3,251,355 ----------- ----------- ----------- -----------</w:t>
      </w:r>
    </w:p>
    <w:p>
      <w:pPr>
        <w:spacing w:after="0" w:line="1" w:lineRule="exact"/>
        <w:rPr>
          <w:sz w:val="20"/>
          <w:szCs w:val="20"/>
          <w:color w:val="auto"/>
        </w:rPr>
      </w:pPr>
    </w:p>
    <w:p>
      <w:pPr>
        <w:sectPr>
          <w:pgSz w:w="11900" w:h="16838" w:orient="portrait"/>
          <w:cols w:equalWidth="0" w:num="2">
            <w:col w:w="2420" w:space="320"/>
            <w:col w:w="8460"/>
          </w:cols>
          <w:pgMar w:left="320" w:top="142" w:right="379"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Net increase in net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assets resulting from</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operations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3180"/>
        <w:spacing w:after="0" w:line="235" w:lineRule="auto"/>
        <w:rPr>
          <w:sz w:val="20"/>
          <w:szCs w:val="20"/>
          <w:color w:val="auto"/>
        </w:rPr>
      </w:pPr>
      <w:r>
        <w:rPr>
          <w:rFonts w:ascii="Courier New" w:cs="Courier New" w:eastAsia="Courier New" w:hAnsi="Courier New"/>
          <w:sz w:val="18"/>
          <w:szCs w:val="18"/>
          <w:color w:val="auto"/>
        </w:rPr>
        <w:t>$ 1,567,127 $ 387,407 $ 6,538,293 $ 8,017,647 =========== =========== =========== ===========</w:t>
      </w:r>
    </w:p>
    <w:p>
      <w:pPr>
        <w:spacing w:after="0" w:line="6" w:lineRule="exact"/>
        <w:rPr>
          <w:sz w:val="20"/>
          <w:szCs w:val="20"/>
          <w:color w:val="auto"/>
        </w:rPr>
      </w:pPr>
    </w:p>
    <w:p>
      <w:pPr>
        <w:sectPr>
          <w:pgSz w:w="11900" w:h="16838" w:orient="portrait"/>
          <w:cols w:equalWidth="0" w:num="2">
            <w:col w:w="2320" w:space="420"/>
            <w:col w:w="8460"/>
          </w:cols>
          <w:pgMar w:left="320" w:top="142" w:right="379" w:bottom="1440" w:gutter="0" w:footer="0" w:header="0"/>
          <w:type w:val="continuous"/>
        </w:sectPr>
      </w:pPr>
    </w:p>
    <w:p>
      <w:pPr>
        <w:jc w:val="both"/>
        <w:ind w:left="120" w:hanging="104"/>
        <w:spacing w:after="0" w:line="237" w:lineRule="auto"/>
        <w:rPr>
          <w:sz w:val="20"/>
          <w:szCs w:val="20"/>
          <w:color w:val="auto"/>
        </w:rPr>
      </w:pPr>
      <w:r>
        <w:rPr>
          <w:rFonts w:ascii="Courier New" w:cs="Courier New" w:eastAsia="Courier New" w:hAnsi="Courier New"/>
          <w:sz w:val="18"/>
          <w:szCs w:val="18"/>
          <w:color w:val="auto"/>
        </w:rPr>
        <w:t>Net increase in net assets resulting from operations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both"/>
        <w:ind w:right="3180"/>
        <w:spacing w:after="0" w:line="235" w:lineRule="auto"/>
        <w:rPr>
          <w:sz w:val="20"/>
          <w:szCs w:val="20"/>
          <w:color w:val="auto"/>
        </w:rPr>
      </w:pPr>
      <w:r>
        <w:rPr>
          <w:rFonts w:ascii="Courier New" w:cs="Courier New" w:eastAsia="Courier New" w:hAnsi="Courier New"/>
          <w:sz w:val="18"/>
          <w:szCs w:val="18"/>
          <w:color w:val="auto"/>
        </w:rPr>
        <w:t>$ 0.15 $ 0.06 $ 0.81 $ 1.17 ----------- ----------- ----------- -----------</w:t>
      </w:r>
    </w:p>
    <w:p>
      <w:pPr>
        <w:spacing w:after="0" w:line="6" w:lineRule="exact"/>
        <w:rPr>
          <w:sz w:val="20"/>
          <w:szCs w:val="20"/>
          <w:color w:val="auto"/>
        </w:rPr>
      </w:pPr>
    </w:p>
    <w:p>
      <w:pPr>
        <w:sectPr>
          <w:pgSz w:w="11900" w:h="16838" w:orient="portrait"/>
          <w:cols w:equalWidth="0" w:num="2">
            <w:col w:w="2320" w:space="420"/>
            <w:col w:w="8460"/>
          </w:cols>
          <w:pgMar w:left="320" w:top="142" w:right="37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investment income per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share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3180"/>
        <w:spacing w:after="0" w:line="235" w:lineRule="auto"/>
        <w:rPr>
          <w:sz w:val="20"/>
          <w:szCs w:val="20"/>
          <w:color w:val="auto"/>
        </w:rPr>
      </w:pPr>
      <w:r>
        <w:rPr>
          <w:rFonts w:ascii="Courier New" w:cs="Courier New" w:eastAsia="Courier New" w:hAnsi="Courier New"/>
          <w:sz w:val="18"/>
          <w:szCs w:val="18"/>
          <w:color w:val="auto"/>
        </w:rPr>
        <w:t>$ 0.31 $ 0.27 $ 0.86 $ 0.70 ----------- ----------- ----------- -----------</w:t>
      </w:r>
    </w:p>
    <w:p>
      <w:pPr>
        <w:spacing w:after="0" w:line="200" w:lineRule="exact"/>
        <w:rPr>
          <w:sz w:val="20"/>
          <w:szCs w:val="20"/>
          <w:color w:val="auto"/>
        </w:rPr>
      </w:pPr>
    </w:p>
    <w:p>
      <w:pPr>
        <w:sectPr>
          <w:pgSz w:w="11900" w:h="16838" w:orient="portrait"/>
          <w:cols w:equalWidth="0" w:num="2">
            <w:col w:w="2640" w:space="100"/>
            <w:col w:w="8460"/>
          </w:cols>
          <w:pgMar w:left="320" w:top="142" w:right="37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4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2020-05-05T12:04:15Z</dcterms:created>
  <dcterms:modified xsi:type="dcterms:W3CDTF">2020-05-05T12:04:15Z</dcterms:modified>
</cp:coreProperties>
</file>