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03,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0"/>
        <w:spacing w:after="0" w:line="274" w:lineRule="auto"/>
        <w:rPr>
          <w:sz w:val="20"/>
          <w:szCs w:val="20"/>
          <w:color w:val="auto"/>
        </w:rPr>
      </w:pPr>
      <w:r>
        <w:rPr>
          <w:rFonts w:ascii="Arial" w:cs="Arial" w:eastAsia="Arial" w:hAnsi="Arial"/>
          <w:sz w:val="21"/>
          <w:szCs w:val="21"/>
          <w:color w:val="auto"/>
        </w:rPr>
        <w:t>On May 3, 2012, PennantPark Floating Rate Capital Ltd. issued a press release announcing an increase in its monthly distribution. A copy of the press release is furnished as Exhibit 99.1 to this Form 8-K.</w:t>
      </w:r>
    </w:p>
    <w:p>
      <w:pPr>
        <w:spacing w:after="0" w:line="178"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03,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03, 2012</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03,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an Increase in Its Monthly Distribution to $0.08 per Share</w:t>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 - May 03, 2012) - PennantPark Floating Rate Capital Ltd. (the "Company") (NASDAQ: PFLT) announced today that it declares an increase in its monthly distribution for May 2012 to $0.08 per share, payable on June 1, 2012 to stockholders of record as of May 22,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2020-05-05T12:04:12Z</dcterms:created>
  <dcterms:modified xsi:type="dcterms:W3CDTF">2020-05-05T12:04:12Z</dcterms:modified>
</cp:coreProperties>
</file>