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18,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18, 2020, PennantPark Floating Rate Capital Ltd. issued a press release announcing its financial results for the fourth quarter and fiscal year ended September 30, 2020. A copy of the press release is furnished as Exhibit 99.1 to this report pursuant to Item 2.02 on Form 8-K and Regulation FD.</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Annual Report on Form 10-K for the fiscal year ended September 30, 2020, including “Item 7. Management's Discussion and Analysis of Financial Condition and Results of Operations – COVID-19 Developments” and “Item 1A. Risk Factors” therein.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Shell company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2" w:lineRule="exact"/>
        <w:rPr>
          <w:sz w:val="20"/>
          <w:szCs w:val="20"/>
          <w:color w:val="auto"/>
        </w:rPr>
      </w:pPr>
    </w:p>
    <w:p>
      <w:pPr>
        <w:ind w:left="20"/>
        <w:spacing w:after="0"/>
        <w:tabs>
          <w:tab w:leader="none" w:pos="5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November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November 18, 2020</w:t>
            </w:r>
          </w:p>
        </w:tc>
        <w:tc>
          <w:tcPr>
            <w:tcW w:w="490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2020</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NEW YORK, Nov. 18, 2020 (GLOBE NEWSWIRE) -- PennantPark Floating Rate Capital Ltd. (NASDAQ: PFLT) (TASE: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PFLT) announced today financial results for the fourth quarter and fiscal year ended September 30, 2020.</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September 30, 2020</w:t>
      </w:r>
    </w:p>
    <w:p>
      <w:pPr>
        <w:spacing w:after="0"/>
        <w:rPr>
          <w:sz w:val="20"/>
          <w:szCs w:val="20"/>
          <w:color w:val="auto"/>
        </w:rPr>
      </w:pPr>
      <w:r>
        <w:rPr>
          <w:rFonts w:ascii="Arial" w:cs="Arial" w:eastAsia="Arial" w:hAnsi="Arial"/>
          <w:sz w:val="22"/>
          <w:szCs w:val="22"/>
          <w:color w:val="auto"/>
        </w:rPr>
        <w:t>($ in millions, except per share amounts)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612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6120" w:type="dxa"/>
            <w:vAlign w:val="bottom"/>
          </w:tcPr>
          <w:p>
            <w:pPr>
              <w:ind w:left="260"/>
              <w:spacing w:after="0" w:line="319" w:lineRule="exact"/>
              <w:rPr>
                <w:sz w:val="20"/>
                <w:szCs w:val="20"/>
                <w:color w:val="auto"/>
              </w:rPr>
            </w:pPr>
            <w:r>
              <w:rPr>
                <w:rFonts w:ascii="Arial" w:cs="Arial" w:eastAsia="Arial" w:hAnsi="Arial"/>
                <w:sz w:val="22"/>
                <w:szCs w:val="22"/>
                <w:color w:val="auto"/>
              </w:rPr>
              <w:t xml:space="preserve">Investment portfolio </w:t>
            </w:r>
            <w:r>
              <w:rPr>
                <w:rFonts w:ascii="Arial" w:cs="Arial" w:eastAsia="Arial" w:hAnsi="Arial"/>
                <w:sz w:val="35"/>
                <w:szCs w:val="35"/>
                <w:color w:val="auto"/>
                <w:vertAlign w:val="superscript"/>
              </w:rPr>
              <w:t>(1)</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1,086.9</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PSSL investment portfolio</w:t>
            </w: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393.0</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Net assets</w:t>
            </w: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477.3</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GAAP net asset value per share</w:t>
            </w: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12.31</w:t>
            </w:r>
          </w:p>
        </w:tc>
        <w:tc>
          <w:tcPr>
            <w:tcW w:w="0" w:type="dxa"/>
            <w:vAlign w:val="bottom"/>
          </w:tcPr>
          <w:p>
            <w:pPr>
              <w:spacing w:after="0"/>
              <w:rPr>
                <w:sz w:val="1"/>
                <w:szCs w:val="1"/>
                <w:color w:val="auto"/>
              </w:rPr>
            </w:pPr>
          </w:p>
        </w:tc>
      </w:tr>
      <w:tr>
        <w:trPr>
          <w:trHeight w:val="274"/>
        </w:trPr>
        <w:tc>
          <w:tcPr>
            <w:tcW w:w="6120" w:type="dxa"/>
            <w:vAlign w:val="bottom"/>
          </w:tcPr>
          <w:p>
            <w:pPr>
              <w:ind w:left="260"/>
              <w:spacing w:after="0"/>
              <w:rPr>
                <w:sz w:val="20"/>
                <w:szCs w:val="20"/>
                <w:color w:val="auto"/>
              </w:rPr>
            </w:pPr>
            <w:r>
              <w:rPr>
                <w:rFonts w:ascii="Arial" w:cs="Arial" w:eastAsia="Arial" w:hAnsi="Arial"/>
                <w:sz w:val="22"/>
                <w:szCs w:val="22"/>
                <w:color w:val="auto"/>
              </w:rPr>
              <w:t>Increase in GAAP net asset value per share</w:t>
            </w: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327"/>
        </w:trPr>
        <w:tc>
          <w:tcPr>
            <w:tcW w:w="6120" w:type="dxa"/>
            <w:vAlign w:val="bottom"/>
          </w:tcPr>
          <w:p>
            <w:pPr>
              <w:ind w:left="260"/>
              <w:spacing w:after="0" w:line="326" w:lineRule="exact"/>
              <w:rPr>
                <w:sz w:val="20"/>
                <w:szCs w:val="20"/>
                <w:color w:val="auto"/>
              </w:rPr>
            </w:pPr>
            <w:r>
              <w:rPr>
                <w:rFonts w:ascii="Arial" w:cs="Arial" w:eastAsia="Arial" w:hAnsi="Arial"/>
                <w:sz w:val="22"/>
                <w:szCs w:val="22"/>
                <w:color w:val="auto"/>
              </w:rPr>
              <w:t xml:space="preserve">Adjusted net asset value per share </w:t>
            </w:r>
            <w:r>
              <w:rPr>
                <w:rFonts w:ascii="Arial" w:cs="Arial" w:eastAsia="Arial" w:hAnsi="Arial"/>
                <w:sz w:val="35"/>
                <w:szCs w:val="35"/>
                <w:color w:val="auto"/>
                <w:vertAlign w:val="superscript"/>
              </w:rPr>
              <w:t>(2)</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11.81</w:t>
            </w:r>
          </w:p>
        </w:tc>
        <w:tc>
          <w:tcPr>
            <w:tcW w:w="0" w:type="dxa"/>
            <w:vAlign w:val="bottom"/>
          </w:tcPr>
          <w:p>
            <w:pPr>
              <w:spacing w:after="0"/>
              <w:rPr>
                <w:sz w:val="1"/>
                <w:szCs w:val="1"/>
                <w:color w:val="auto"/>
              </w:rPr>
            </w:pPr>
          </w:p>
        </w:tc>
      </w:tr>
      <w:tr>
        <w:trPr>
          <w:trHeight w:val="471"/>
        </w:trPr>
        <w:tc>
          <w:tcPr>
            <w:tcW w:w="6120" w:type="dxa"/>
            <w:vAlign w:val="bottom"/>
          </w:tcPr>
          <w:p>
            <w:pPr>
              <w:ind w:left="260"/>
              <w:spacing w:after="0"/>
              <w:rPr>
                <w:sz w:val="20"/>
                <w:szCs w:val="20"/>
                <w:color w:val="auto"/>
              </w:rPr>
            </w:pPr>
            <w:r>
              <w:rPr>
                <w:rFonts w:ascii="Arial" w:cs="Arial" w:eastAsia="Arial" w:hAnsi="Arial"/>
                <w:sz w:val="22"/>
                <w:szCs w:val="22"/>
                <w:color w:val="auto"/>
              </w:rPr>
              <w:t xml:space="preserve">Increase in adjusted net asset value per share </w:t>
            </w:r>
            <w:r>
              <w:rPr>
                <w:rFonts w:ascii="Arial" w:cs="Arial" w:eastAsia="Arial" w:hAnsi="Arial"/>
                <w:sz w:val="35"/>
                <w:szCs w:val="35"/>
                <w:color w:val="auto"/>
                <w:vertAlign w:val="superscript"/>
              </w:rPr>
              <w:t>(2)</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386"/>
        </w:trPr>
        <w:tc>
          <w:tcPr>
            <w:tcW w:w="6120" w:type="dxa"/>
            <w:vAlign w:val="bottom"/>
          </w:tcPr>
          <w:p>
            <w:pPr>
              <w:ind w:left="260"/>
              <w:spacing w:after="0"/>
              <w:rPr>
                <w:sz w:val="20"/>
                <w:szCs w:val="20"/>
                <w:color w:val="auto"/>
              </w:rPr>
            </w:pPr>
            <w:r>
              <w:rPr>
                <w:rFonts w:ascii="Arial" w:cs="Arial" w:eastAsia="Arial" w:hAnsi="Arial"/>
                <w:sz w:val="22"/>
                <w:szCs w:val="22"/>
                <w:color w:val="auto"/>
              </w:rPr>
              <w:t>Credit Facility</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299.0</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2023 Notes</w:t>
            </w: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129.3</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2031 Asset-Backed Debt</w:t>
            </w: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224.9</w:t>
            </w:r>
          </w:p>
        </w:tc>
        <w:tc>
          <w:tcPr>
            <w:tcW w:w="0" w:type="dxa"/>
            <w:vAlign w:val="bottom"/>
          </w:tcPr>
          <w:p>
            <w:pPr>
              <w:spacing w:after="0"/>
              <w:rPr>
                <w:sz w:val="1"/>
                <w:szCs w:val="1"/>
                <w:color w:val="auto"/>
              </w:rPr>
            </w:pPr>
          </w:p>
        </w:tc>
      </w:tr>
      <w:tr>
        <w:trPr>
          <w:trHeight w:val="274"/>
        </w:trPr>
        <w:tc>
          <w:tcPr>
            <w:tcW w:w="6120" w:type="dxa"/>
            <w:vAlign w:val="bottom"/>
          </w:tcPr>
          <w:p>
            <w:pPr>
              <w:ind w:left="260"/>
              <w:spacing w:after="0"/>
              <w:rPr>
                <w:sz w:val="20"/>
                <w:szCs w:val="20"/>
                <w:color w:val="auto"/>
              </w:rPr>
            </w:pPr>
            <w:r>
              <w:rPr>
                <w:rFonts w:ascii="Arial" w:cs="Arial" w:eastAsia="Arial" w:hAnsi="Arial"/>
                <w:sz w:val="22"/>
                <w:szCs w:val="22"/>
                <w:color w:val="auto"/>
              </w:rPr>
              <w:t>Regulatory Debt to Equity</w:t>
            </w: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1.48x</w:t>
            </w:r>
          </w:p>
        </w:tc>
        <w:tc>
          <w:tcPr>
            <w:tcW w:w="0" w:type="dxa"/>
            <w:vAlign w:val="bottom"/>
          </w:tcPr>
          <w:p>
            <w:pPr>
              <w:spacing w:after="0"/>
              <w:rPr>
                <w:sz w:val="1"/>
                <w:szCs w:val="1"/>
                <w:color w:val="auto"/>
              </w:rPr>
            </w:pPr>
          </w:p>
        </w:tc>
      </w:tr>
      <w:tr>
        <w:trPr>
          <w:trHeight w:val="327"/>
        </w:trPr>
        <w:tc>
          <w:tcPr>
            <w:tcW w:w="6120" w:type="dxa"/>
            <w:vAlign w:val="bottom"/>
          </w:tcPr>
          <w:p>
            <w:pPr>
              <w:ind w:left="260"/>
              <w:spacing w:after="0" w:line="326" w:lineRule="exact"/>
              <w:rPr>
                <w:sz w:val="20"/>
                <w:szCs w:val="20"/>
                <w:color w:val="auto"/>
              </w:rPr>
            </w:pPr>
            <w:r>
              <w:rPr>
                <w:rFonts w:ascii="Arial" w:cs="Arial" w:eastAsia="Arial" w:hAnsi="Arial"/>
                <w:sz w:val="22"/>
                <w:szCs w:val="22"/>
                <w:color w:val="auto"/>
              </w:rPr>
              <w:t xml:space="preserve">Regulatory Net Debt to Equity </w:t>
            </w:r>
            <w:r>
              <w:rPr>
                <w:rFonts w:ascii="Arial" w:cs="Arial" w:eastAsia="Arial" w:hAnsi="Arial"/>
                <w:sz w:val="35"/>
                <w:szCs w:val="35"/>
                <w:color w:val="auto"/>
                <w:vertAlign w:val="superscript"/>
              </w:rPr>
              <w:t>(3)</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1.35x</w:t>
            </w:r>
          </w:p>
        </w:tc>
        <w:tc>
          <w:tcPr>
            <w:tcW w:w="0" w:type="dxa"/>
            <w:vAlign w:val="bottom"/>
          </w:tcPr>
          <w:p>
            <w:pPr>
              <w:spacing w:after="0"/>
              <w:rPr>
                <w:sz w:val="1"/>
                <w:szCs w:val="1"/>
                <w:color w:val="auto"/>
              </w:rPr>
            </w:pPr>
          </w:p>
        </w:tc>
      </w:tr>
      <w:tr>
        <w:trPr>
          <w:trHeight w:val="471"/>
        </w:trPr>
        <w:tc>
          <w:tcPr>
            <w:tcW w:w="6120" w:type="dxa"/>
            <w:vAlign w:val="bottom"/>
          </w:tcPr>
          <w:p>
            <w:pPr>
              <w:ind w:left="260"/>
              <w:spacing w:after="0"/>
              <w:rPr>
                <w:sz w:val="20"/>
                <w:szCs w:val="20"/>
                <w:color w:val="auto"/>
              </w:rPr>
            </w:pPr>
            <w:r>
              <w:rPr>
                <w:rFonts w:ascii="Arial" w:cs="Arial" w:eastAsia="Arial" w:hAnsi="Arial"/>
                <w:sz w:val="22"/>
                <w:szCs w:val="22"/>
                <w:color w:val="auto"/>
              </w:rPr>
              <w:t xml:space="preserve">GAAP Net Debt to Equity </w:t>
            </w:r>
            <w:r>
              <w:rPr>
                <w:rFonts w:ascii="Arial" w:cs="Arial" w:eastAsia="Arial" w:hAnsi="Arial"/>
                <w:sz w:val="35"/>
                <w:szCs w:val="35"/>
                <w:color w:val="auto"/>
                <w:vertAlign w:val="superscript"/>
              </w:rPr>
              <w:t>(4)</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72"/>
              <w:spacing w:after="0"/>
              <w:rPr>
                <w:sz w:val="20"/>
                <w:szCs w:val="20"/>
                <w:color w:val="auto"/>
              </w:rPr>
            </w:pPr>
            <w:r>
              <w:rPr>
                <w:rFonts w:ascii="Arial" w:cs="Arial" w:eastAsia="Arial" w:hAnsi="Arial"/>
                <w:sz w:val="22"/>
                <w:szCs w:val="22"/>
                <w:color w:val="auto"/>
              </w:rPr>
              <w:t>1.25x</w:t>
            </w:r>
          </w:p>
        </w:tc>
        <w:tc>
          <w:tcPr>
            <w:tcW w:w="0" w:type="dxa"/>
            <w:vAlign w:val="bottom"/>
          </w:tcPr>
          <w:p>
            <w:pPr>
              <w:spacing w:after="0"/>
              <w:rPr>
                <w:sz w:val="1"/>
                <w:szCs w:val="1"/>
                <w:color w:val="auto"/>
              </w:rPr>
            </w:pPr>
          </w:p>
        </w:tc>
      </w:tr>
      <w:tr>
        <w:trPr>
          <w:trHeight w:val="390"/>
        </w:trPr>
        <w:tc>
          <w:tcPr>
            <w:tcW w:w="612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908"/>
        </w:trPr>
        <w:tc>
          <w:tcPr>
            <w:tcW w:w="6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jc w:val="center"/>
              <w:ind w:right="52"/>
              <w:spacing w:after="0"/>
              <w:rPr>
                <w:sz w:val="20"/>
                <w:szCs w:val="20"/>
                <w:color w:val="auto"/>
              </w:rPr>
            </w:pPr>
            <w:r>
              <w:rPr>
                <w:rFonts w:ascii="Arial" w:cs="Arial" w:eastAsia="Arial" w:hAnsi="Arial"/>
                <w:sz w:val="22"/>
                <w:szCs w:val="22"/>
                <w:b w:val="1"/>
                <w:bCs w:val="1"/>
                <w:color w:val="auto"/>
                <w:w w:val="92"/>
              </w:rPr>
              <w:t>Quarter Ended</w:t>
            </w:r>
          </w:p>
        </w:tc>
        <w:tc>
          <w:tcPr>
            <w:tcW w:w="220" w:type="dxa"/>
            <w:vAlign w:val="bottom"/>
          </w:tcPr>
          <w:p>
            <w:pPr>
              <w:spacing w:after="0"/>
              <w:rPr>
                <w:sz w:val="24"/>
                <w:szCs w:val="24"/>
                <w:color w:val="auto"/>
              </w:rPr>
            </w:pPr>
          </w:p>
        </w:tc>
        <w:tc>
          <w:tcPr>
            <w:tcW w:w="1540" w:type="dxa"/>
            <w:vAlign w:val="bottom"/>
          </w:tcPr>
          <w:p>
            <w:pPr>
              <w:jc w:val="center"/>
              <w:ind w:right="32"/>
              <w:spacing w:after="0"/>
              <w:rPr>
                <w:sz w:val="20"/>
                <w:szCs w:val="20"/>
                <w:color w:val="auto"/>
              </w:rPr>
            </w:pPr>
            <w:r>
              <w:rPr>
                <w:rFonts w:ascii="Arial" w:cs="Arial" w:eastAsia="Arial" w:hAnsi="Arial"/>
                <w:sz w:val="22"/>
                <w:szCs w:val="22"/>
                <w:b w:val="1"/>
                <w:bCs w:val="1"/>
                <w:color w:val="auto"/>
                <w:w w:val="89"/>
              </w:rPr>
              <w:t>Year Ended</w:t>
            </w:r>
          </w:p>
        </w:tc>
        <w:tc>
          <w:tcPr>
            <w:tcW w:w="0" w:type="dxa"/>
            <w:vAlign w:val="bottom"/>
          </w:tcPr>
          <w:p>
            <w:pPr>
              <w:spacing w:after="0"/>
              <w:rPr>
                <w:sz w:val="1"/>
                <w:szCs w:val="1"/>
                <w:color w:val="auto"/>
              </w:rPr>
            </w:pPr>
          </w:p>
        </w:tc>
      </w:tr>
      <w:tr>
        <w:trPr>
          <w:trHeight w:val="243"/>
        </w:trPr>
        <w:tc>
          <w:tcPr>
            <w:tcW w:w="6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58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87"/>
              </w:rPr>
              <w:t>September 30,</w:t>
            </w:r>
          </w:p>
        </w:tc>
        <w:tc>
          <w:tcPr>
            <w:tcW w:w="220" w:type="dxa"/>
            <w:vAlign w:val="bottom"/>
          </w:tcPr>
          <w:p>
            <w:pPr>
              <w:spacing w:after="0"/>
              <w:rPr>
                <w:sz w:val="21"/>
                <w:szCs w:val="21"/>
                <w:color w:val="auto"/>
              </w:rPr>
            </w:pPr>
          </w:p>
        </w:tc>
        <w:tc>
          <w:tcPr>
            <w:tcW w:w="154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87"/>
              </w:rPr>
              <w:t>September 30,</w:t>
            </w:r>
          </w:p>
        </w:tc>
        <w:tc>
          <w:tcPr>
            <w:tcW w:w="0" w:type="dxa"/>
            <w:vAlign w:val="bottom"/>
          </w:tcPr>
          <w:p>
            <w:pPr>
              <w:spacing w:after="0"/>
              <w:rPr>
                <w:sz w:val="1"/>
                <w:szCs w:val="1"/>
                <w:color w:val="auto"/>
              </w:rPr>
            </w:pPr>
          </w:p>
        </w:tc>
      </w:tr>
      <w:tr>
        <w:trPr>
          <w:trHeight w:val="280"/>
        </w:trPr>
        <w:tc>
          <w:tcPr>
            <w:tcW w:w="6120" w:type="dxa"/>
            <w:vAlign w:val="bottom"/>
            <w:vMerge w:val="restart"/>
          </w:tcPr>
          <w:p>
            <w:pPr>
              <w:spacing w:after="0"/>
              <w:rPr>
                <w:sz w:val="20"/>
                <w:szCs w:val="20"/>
                <w:color w:val="auto"/>
              </w:rPr>
            </w:pPr>
            <w:r>
              <w:rPr>
                <w:rFonts w:ascii="Arial" w:cs="Arial" w:eastAsia="Arial" w:hAnsi="Arial"/>
                <w:sz w:val="22"/>
                <w:szCs w:val="22"/>
                <w:color w:val="auto"/>
              </w:rPr>
              <w:t>Operating Results:</w:t>
            </w:r>
          </w:p>
        </w:tc>
        <w:tc>
          <w:tcPr>
            <w:tcW w:w="1760" w:type="dxa"/>
            <w:vAlign w:val="bottom"/>
          </w:tcPr>
          <w:p>
            <w:pPr>
              <w:spacing w:after="0"/>
              <w:rPr>
                <w:sz w:val="24"/>
                <w:szCs w:val="24"/>
                <w:color w:val="auto"/>
              </w:rPr>
            </w:pPr>
          </w:p>
        </w:tc>
        <w:tc>
          <w:tcPr>
            <w:tcW w:w="1580" w:type="dxa"/>
            <w:vAlign w:val="bottom"/>
          </w:tcPr>
          <w:p>
            <w:pPr>
              <w:jc w:val="center"/>
              <w:ind w:right="32"/>
              <w:spacing w:after="0"/>
              <w:rPr>
                <w:sz w:val="20"/>
                <w:szCs w:val="20"/>
                <w:color w:val="auto"/>
              </w:rPr>
            </w:pPr>
            <w:r>
              <w:rPr>
                <w:rFonts w:ascii="Arial" w:cs="Arial" w:eastAsia="Arial" w:hAnsi="Arial"/>
                <w:sz w:val="22"/>
                <w:szCs w:val="22"/>
                <w:b w:val="1"/>
                <w:bCs w:val="1"/>
                <w:color w:val="auto"/>
                <w:w w:val="89"/>
              </w:rPr>
              <w:t>2020</w:t>
            </w:r>
          </w:p>
        </w:tc>
        <w:tc>
          <w:tcPr>
            <w:tcW w:w="220" w:type="dxa"/>
            <w:vAlign w:val="bottom"/>
          </w:tcPr>
          <w:p>
            <w:pPr>
              <w:spacing w:after="0"/>
              <w:rPr>
                <w:sz w:val="24"/>
                <w:szCs w:val="24"/>
                <w:color w:val="auto"/>
              </w:rPr>
            </w:pPr>
          </w:p>
        </w:tc>
        <w:tc>
          <w:tcPr>
            <w:tcW w:w="1540" w:type="dxa"/>
            <w:vAlign w:val="bottom"/>
          </w:tcPr>
          <w:p>
            <w:pPr>
              <w:jc w:val="center"/>
              <w:ind w:right="32"/>
              <w:spacing w:after="0"/>
              <w:rPr>
                <w:sz w:val="20"/>
                <w:szCs w:val="20"/>
                <w:color w:val="auto"/>
              </w:rPr>
            </w:pPr>
            <w:r>
              <w:rPr>
                <w:rFonts w:ascii="Arial" w:cs="Arial" w:eastAsia="Arial" w:hAnsi="Arial"/>
                <w:sz w:val="22"/>
                <w:szCs w:val="22"/>
                <w:b w:val="1"/>
                <w:bCs w:val="1"/>
                <w:color w:val="auto"/>
                <w:w w:val="89"/>
              </w:rPr>
              <w:t>2020</w:t>
            </w:r>
          </w:p>
        </w:tc>
        <w:tc>
          <w:tcPr>
            <w:tcW w:w="0" w:type="dxa"/>
            <w:vAlign w:val="bottom"/>
          </w:tcPr>
          <w:p>
            <w:pPr>
              <w:spacing w:after="0"/>
              <w:rPr>
                <w:sz w:val="1"/>
                <w:szCs w:val="1"/>
                <w:color w:val="auto"/>
              </w:rPr>
            </w:pPr>
          </w:p>
        </w:tc>
      </w:tr>
      <w:tr>
        <w:trPr>
          <w:trHeight w:val="266"/>
        </w:trPr>
        <w:tc>
          <w:tcPr>
            <w:tcW w:w="6120" w:type="dxa"/>
            <w:vAlign w:val="bottom"/>
            <w:vMerge w:val="continue"/>
          </w:tcPr>
          <w:p>
            <w:pPr>
              <w:spacing w:after="0"/>
              <w:rPr>
                <w:sz w:val="23"/>
                <w:szCs w:val="23"/>
                <w:color w:val="auto"/>
              </w:rPr>
            </w:pPr>
          </w:p>
        </w:tc>
        <w:tc>
          <w:tcPr>
            <w:tcW w:w="1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Net investment income</w:t>
            </w: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10.3</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43.4</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GAAP net investment income per share</w:t>
            </w: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0.27</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1.12</w:t>
            </w:r>
          </w:p>
        </w:tc>
        <w:tc>
          <w:tcPr>
            <w:tcW w:w="0" w:type="dxa"/>
            <w:vAlign w:val="bottom"/>
          </w:tcPr>
          <w:p>
            <w:pPr>
              <w:spacing w:after="0"/>
              <w:rPr>
                <w:sz w:val="1"/>
                <w:szCs w:val="1"/>
                <w:color w:val="auto"/>
              </w:rPr>
            </w:pPr>
          </w:p>
        </w:tc>
      </w:tr>
      <w:tr>
        <w:trPr>
          <w:trHeight w:val="274"/>
        </w:trPr>
        <w:tc>
          <w:tcPr>
            <w:tcW w:w="6120" w:type="dxa"/>
            <w:vAlign w:val="bottom"/>
          </w:tcPr>
          <w:p>
            <w:pPr>
              <w:ind w:left="260"/>
              <w:spacing w:after="0"/>
              <w:rPr>
                <w:sz w:val="20"/>
                <w:szCs w:val="20"/>
                <w:color w:val="auto"/>
              </w:rPr>
            </w:pPr>
            <w:r>
              <w:rPr>
                <w:rFonts w:ascii="Arial" w:cs="Arial" w:eastAsia="Arial" w:hAnsi="Arial"/>
                <w:sz w:val="22"/>
                <w:szCs w:val="22"/>
                <w:color w:val="auto"/>
              </w:rPr>
              <w:t>Distributions declared per share</w:t>
            </w: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0.285</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1.14</w:t>
            </w:r>
          </w:p>
        </w:tc>
        <w:tc>
          <w:tcPr>
            <w:tcW w:w="0" w:type="dxa"/>
            <w:vAlign w:val="bottom"/>
          </w:tcPr>
          <w:p>
            <w:pPr>
              <w:spacing w:after="0"/>
              <w:rPr>
                <w:sz w:val="1"/>
                <w:szCs w:val="1"/>
                <w:color w:val="auto"/>
              </w:rPr>
            </w:pPr>
          </w:p>
        </w:tc>
      </w:tr>
      <w:tr>
        <w:trPr>
          <w:trHeight w:val="536"/>
        </w:trPr>
        <w:tc>
          <w:tcPr>
            <w:tcW w:w="6120" w:type="dxa"/>
            <w:vAlign w:val="bottom"/>
          </w:tcPr>
          <w:p>
            <w:pPr>
              <w:spacing w:after="0"/>
              <w:rPr>
                <w:sz w:val="20"/>
                <w:szCs w:val="20"/>
                <w:color w:val="auto"/>
              </w:rPr>
            </w:pPr>
            <w:r>
              <w:rPr>
                <w:rFonts w:ascii="Arial" w:cs="Arial" w:eastAsia="Arial" w:hAnsi="Arial"/>
                <w:sz w:val="22"/>
                <w:szCs w:val="22"/>
                <w:color w:val="auto"/>
              </w:rPr>
              <w:t>Portfolio Activity:</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Purchases of investments</w:t>
            </w: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15.3</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436.7</w:t>
            </w:r>
          </w:p>
        </w:tc>
        <w:tc>
          <w:tcPr>
            <w:tcW w:w="0" w:type="dxa"/>
            <w:vAlign w:val="bottom"/>
          </w:tcPr>
          <w:p>
            <w:pPr>
              <w:spacing w:after="0"/>
              <w:rPr>
                <w:sz w:val="1"/>
                <w:szCs w:val="1"/>
                <w:color w:val="auto"/>
              </w:rPr>
            </w:pPr>
          </w:p>
        </w:tc>
      </w:tr>
      <w:tr>
        <w:trPr>
          <w:trHeight w:val="274"/>
        </w:trPr>
        <w:tc>
          <w:tcPr>
            <w:tcW w:w="6120" w:type="dxa"/>
            <w:vAlign w:val="bottom"/>
          </w:tcPr>
          <w:p>
            <w:pPr>
              <w:ind w:left="260"/>
              <w:spacing w:after="0"/>
              <w:rPr>
                <w:sz w:val="20"/>
                <w:szCs w:val="20"/>
                <w:color w:val="auto"/>
              </w:rPr>
            </w:pPr>
            <w:r>
              <w:rPr>
                <w:rFonts w:ascii="Arial" w:cs="Arial" w:eastAsia="Arial" w:hAnsi="Arial"/>
                <w:sz w:val="22"/>
                <w:szCs w:val="22"/>
                <w:color w:val="auto"/>
              </w:rPr>
              <w:t>Sales and repayments of investments</w:t>
            </w: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c>
          <w:tcPr>
            <w:tcW w:w="1580" w:type="dxa"/>
            <w:vAlign w:val="bottom"/>
          </w:tcPr>
          <w:p>
            <w:pPr>
              <w:jc w:val="right"/>
              <w:spacing w:after="0"/>
              <w:rPr>
                <w:sz w:val="20"/>
                <w:szCs w:val="20"/>
                <w:color w:val="auto"/>
              </w:rPr>
            </w:pPr>
            <w:r>
              <w:rPr>
                <w:rFonts w:ascii="Arial" w:cs="Arial" w:eastAsia="Arial" w:hAnsi="Arial"/>
                <w:sz w:val="22"/>
                <w:szCs w:val="22"/>
                <w:color w:val="auto"/>
              </w:rPr>
              <w:t>49.7</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540" w:type="dxa"/>
            <w:vAlign w:val="bottom"/>
          </w:tcPr>
          <w:p>
            <w:pPr>
              <w:jc w:val="right"/>
              <w:spacing w:after="0"/>
              <w:rPr>
                <w:sz w:val="20"/>
                <w:szCs w:val="20"/>
                <w:color w:val="auto"/>
              </w:rPr>
            </w:pPr>
            <w:r>
              <w:rPr>
                <w:rFonts w:ascii="Arial" w:cs="Arial" w:eastAsia="Arial" w:hAnsi="Arial"/>
                <w:sz w:val="22"/>
                <w:szCs w:val="22"/>
                <w:color w:val="auto"/>
              </w:rPr>
              <w:t>396.9</w:t>
            </w:r>
          </w:p>
        </w:tc>
        <w:tc>
          <w:tcPr>
            <w:tcW w:w="0" w:type="dxa"/>
            <w:vAlign w:val="bottom"/>
          </w:tcPr>
          <w:p>
            <w:pPr>
              <w:spacing w:after="0"/>
              <w:rPr>
                <w:sz w:val="1"/>
                <w:szCs w:val="1"/>
                <w:color w:val="auto"/>
              </w:rPr>
            </w:pPr>
          </w:p>
        </w:tc>
      </w:tr>
      <w:tr>
        <w:trPr>
          <w:trHeight w:val="536"/>
        </w:trPr>
        <w:tc>
          <w:tcPr>
            <w:tcW w:w="6120" w:type="dxa"/>
            <w:vAlign w:val="bottom"/>
          </w:tcPr>
          <w:p>
            <w:pPr>
              <w:ind w:left="260"/>
              <w:spacing w:after="0"/>
              <w:rPr>
                <w:sz w:val="20"/>
                <w:szCs w:val="20"/>
                <w:color w:val="auto"/>
              </w:rPr>
            </w:pPr>
            <w:r>
              <w:rPr>
                <w:rFonts w:ascii="Arial" w:cs="Arial" w:eastAsia="Arial" w:hAnsi="Arial"/>
                <w:sz w:val="22"/>
                <w:szCs w:val="22"/>
                <w:color w:val="auto"/>
              </w:rPr>
              <w:t>Number of new portfolio companies invested</w:t>
            </w:r>
          </w:p>
        </w:tc>
        <w:tc>
          <w:tcPr>
            <w:tcW w:w="17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70"/>
        </w:trPr>
        <w:tc>
          <w:tcPr>
            <w:tcW w:w="6120" w:type="dxa"/>
            <w:vAlign w:val="bottom"/>
          </w:tcPr>
          <w:p>
            <w:pPr>
              <w:ind w:left="260"/>
              <w:spacing w:after="0"/>
              <w:rPr>
                <w:sz w:val="20"/>
                <w:szCs w:val="20"/>
                <w:color w:val="auto"/>
              </w:rPr>
            </w:pPr>
            <w:r>
              <w:rPr>
                <w:rFonts w:ascii="Arial" w:cs="Arial" w:eastAsia="Arial" w:hAnsi="Arial"/>
                <w:sz w:val="22"/>
                <w:szCs w:val="22"/>
                <w:color w:val="auto"/>
              </w:rPr>
              <w:t>Number of existing portfolio companies invested</w:t>
            </w:r>
          </w:p>
        </w:tc>
        <w:tc>
          <w:tcPr>
            <w:tcW w:w="17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9</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95</w:t>
            </w:r>
          </w:p>
        </w:tc>
        <w:tc>
          <w:tcPr>
            <w:tcW w:w="0" w:type="dxa"/>
            <w:vAlign w:val="bottom"/>
          </w:tcPr>
          <w:p>
            <w:pPr>
              <w:spacing w:after="0"/>
              <w:rPr>
                <w:sz w:val="1"/>
                <w:szCs w:val="1"/>
                <w:color w:val="auto"/>
              </w:rPr>
            </w:pPr>
          </w:p>
        </w:tc>
      </w:tr>
      <w:tr>
        <w:trPr>
          <w:trHeight w:val="274"/>
        </w:trPr>
        <w:tc>
          <w:tcPr>
            <w:tcW w:w="6120" w:type="dxa"/>
            <w:vAlign w:val="bottom"/>
          </w:tcPr>
          <w:p>
            <w:pPr>
              <w:ind w:left="260"/>
              <w:spacing w:after="0"/>
              <w:rPr>
                <w:sz w:val="20"/>
                <w:szCs w:val="20"/>
                <w:color w:val="auto"/>
              </w:rPr>
            </w:pPr>
            <w:r>
              <w:rPr>
                <w:rFonts w:ascii="Arial" w:cs="Arial" w:eastAsia="Arial" w:hAnsi="Arial"/>
                <w:sz w:val="22"/>
                <w:szCs w:val="22"/>
                <w:color w:val="auto"/>
              </w:rPr>
              <w:t>Number of ending portfolio companies</w:t>
            </w:r>
          </w:p>
        </w:tc>
        <w:tc>
          <w:tcPr>
            <w:tcW w:w="17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22"/>
                <w:szCs w:val="22"/>
                <w:color w:val="auto"/>
              </w:rPr>
              <w:t>102</w:t>
            </w: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58" w:lineRule="exact"/>
        <w:rPr>
          <w:sz w:val="20"/>
          <w:szCs w:val="20"/>
          <w:color w:val="auto"/>
        </w:rPr>
      </w:pPr>
    </w:p>
    <w:p>
      <w:pPr>
        <w:ind w:left="320" w:right="20" w:hanging="299"/>
        <w:spacing w:after="0" w:line="245"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22"/>
          <w:szCs w:val="22"/>
          <w:color w:val="auto"/>
        </w:rPr>
        <w:t>Includes investments in PennantPark Senior Secured Loan Fund I LLC, or PSSL, an unconsolidated joint venture, totaling $165.3 million, at fair value.</w:t>
      </w:r>
    </w:p>
    <w:p>
      <w:pPr>
        <w:jc w:val="both"/>
        <w:ind w:left="320" w:right="20" w:hanging="299"/>
        <w:spacing w:after="0" w:line="234"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excluding the impact of the $19.5 million unrealized loss on our multi-currency senior secured revolving credit facility, as amended and restated, with Truist Bank (formerly SunTrust Bank) and other lenders, or the Credit Facility, and our 4.3% Series A notes due 2023, or the 2023 Notes. The presentation of this additional information is not meant to be considered in isolation or as a substitute for financial results prepared in accordance with GAAP.</w:t>
      </w:r>
    </w:p>
    <w:p>
      <w:pPr>
        <w:spacing w:after="0" w:line="5" w:lineRule="exact"/>
        <w:rPr>
          <w:rFonts w:ascii="Arial" w:cs="Arial" w:eastAsia="Arial" w:hAnsi="Arial"/>
          <w:sz w:val="18"/>
          <w:szCs w:val="18"/>
          <w:color w:val="auto"/>
        </w:rPr>
      </w:pPr>
    </w:p>
    <w:p>
      <w:pPr>
        <w:jc w:val="both"/>
        <w:ind w:left="320" w:right="20" w:hanging="299"/>
        <w:spacing w:after="0" w:line="323" w:lineRule="auto"/>
        <w:tabs>
          <w:tab w:leader="none" w:pos="320" w:val="left"/>
        </w:tabs>
        <w:numPr>
          <w:ilvl w:val="0"/>
          <w:numId w:val="2"/>
        </w:numPr>
        <w:rPr>
          <w:rFonts w:ascii="Arial" w:cs="Arial" w:eastAsia="Arial" w:hAnsi="Arial"/>
          <w:sz w:val="16"/>
          <w:szCs w:val="16"/>
          <w:color w:val="auto"/>
        </w:rPr>
      </w:pPr>
      <w:r>
        <w:rPr>
          <w:rFonts w:ascii="Arial" w:cs="Arial" w:eastAsia="Arial" w:hAnsi="Arial"/>
          <w:sz w:val="19"/>
          <w:szCs w:val="19"/>
          <w:color w:val="auto"/>
        </w:rPr>
        <w:t>This is a non-GAAP financial measure. The Company believes that this number provides useful information to investors and management because it reflects the Company’s financial performance net of $57.5 million of cash and equivalents. The</w:t>
      </w:r>
    </w:p>
    <w:p>
      <w:pPr>
        <w:sectPr>
          <w:pgSz w:w="11900" w:h="16838" w:orient="portrait"/>
          <w:cols w:equalWidth="0" w:num="1">
            <w:col w:w="11240"/>
          </w:cols>
          <w:pgMar w:left="320" w:top="112" w:right="339" w:bottom="0" w:gutter="0" w:footer="0" w:header="0"/>
        </w:sectPr>
      </w:pPr>
    </w:p>
    <w:bookmarkStart w:id="4" w:name="page5"/>
    <w:bookmarkEnd w:id="4"/>
    <w:p>
      <w:pPr>
        <w:ind w:left="320" w:right="20"/>
        <w:spacing w:after="0" w:line="245" w:lineRule="auto"/>
        <w:rPr>
          <w:sz w:val="20"/>
          <w:szCs w:val="20"/>
          <w:color w:val="auto"/>
        </w:rPr>
      </w:pPr>
      <w:r>
        <w:rPr>
          <w:rFonts w:ascii="Arial" w:cs="Arial" w:eastAsia="Arial" w:hAnsi="Arial"/>
          <w:sz w:val="22"/>
          <w:szCs w:val="22"/>
          <w:color w:val="auto"/>
        </w:rPr>
        <w:t>presentation of this additional information is not meant to be considered in isolation or as a substitute for financial results prepared in accordance with GAAP.</w:t>
      </w:r>
    </w:p>
    <w:p>
      <w:pPr>
        <w:spacing w:after="0" w:line="2" w:lineRule="exact"/>
        <w:rPr>
          <w:sz w:val="20"/>
          <w:szCs w:val="20"/>
          <w:color w:val="auto"/>
        </w:rPr>
      </w:pPr>
    </w:p>
    <w:p>
      <w:pPr>
        <w:jc w:val="both"/>
        <w:ind w:left="320" w:right="20" w:hanging="299"/>
        <w:spacing w:after="0" w:line="23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22"/>
          <w:szCs w:val="22"/>
          <w:color w:val="auto"/>
        </w:rPr>
        <w:t>This is a non-GAAP financial measure. The Company believes that this number provides useful information to investors and management because it reflects the Company’s financial performance including the impact of the $19.5 million unrealized loss on the Credit Facility and the 2023 Notes net of $57.5 million of cash and equivalents. The presentation of this additional information is not meant to be considered in isolation or as a substitute for financial results prepared in accordance with GAAP.</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EST ON NOVEMBER 19, 2020</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PennantPark Floating Rate Capital Ltd. (“we,” “our,” “us” or the “Company”) will host a conference call at 10:00 a.m. (Eastern Standard Time) on Thursday, November 19, 2020 to discuss its financial results. All interested parties are welcome to participate. You can access the conference call by dialing toll-free (888) 394-8218 approximately 5-10 minutes prior to the call. International callers should dial (323) 701-0225. All callers should reference conference ID #1987679 or PennantPark Floating Rate Capital Ltd. An archived replay of the call will be available through December 3, 2020 by calling toll-free (888) 203-1112. International callers please dial (719) 457-0820. For all phone replays, please reference conference ID #1987679.</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pleased with the strong performance of our portfolio over the last few quarters, despite challenging economic conditions,” said Arthur Penn, Chairman and CEO. “We believe that the combination of solid portfolio performance, several significant equity positions of high growth companies as well as continuing optimization of financing should bolster our NAV and Net Investment Income over time.”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of September 30, 2020, our portfolio totaled $1,086.9 million and consisted of $968.6 million of first lien secured debt (including $125.4 million in PSSL), $29.9 million of second lien secured debt and $88.4 million of preferred and common equity (including $39.9 million in PSSL). Our debt portfolio consisted of 99% variable-rate investments. As of September 30, 2020, we had three portfolio companies on non-accrual, representing 2.1% and 1.8% of our overall portfolio on a cost and fair value basis, respectively. Overall, the portfolio had net unrealized depreciation of $29.9 million. Our overall portfolio consisted of 102 companies with an average investment size of $10.7 million, had a weighted average yield on debt investments of 7.3%, and was invested 89% in first lien secured debt (including 12% in PSSL), 3% in second lien secured debt and 8% in preferred and common equity (including 4% in PSSL). As of September 30, 2020, 97% of the investments held by PSSL were first lien secured debt. For more information on how the COVID-19 pandemic has affected our business and results of operations, see our Annual Report on Form 10-K for the fiscal year ended September 30, 2020, including “Item 7. Management's Discussion and Analysis of Financial Condition and Results of Operations – COVID-19 Developments” and “Item 1A. Risk Factors” therein.</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2019, our portfolio totaled $1,081.7 million and consisted of $944.9 million of first lien secured debt (including $122.2 million in PSSL), $34.4 million of second lien secured debt and $102.4 million of preferred and common equity (including $50.0 million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 PSSL), 3% in second lien secured debt and 10% in preferred and common equity (including 5% in PSSL). As of September 30, 2019, 97% of the investments held by PSSL were first lien secured debt.</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three months ended September 30, 2020, we invested $15.3 million in one new and nine existing portfolio companies with a weighted average yield on debt investments of 7.8%. Sales and repayments of investments for the same period totaled $49.7 million. This compares to the three months ended September 30, 2019, in which we invested $140.6 million in six new and 23 existing portfolio companies with a weighted average yield on debt investments of 8.5%. Sales and repayments of investments for the same period totaled $127.1 million.</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2020, we invested $436.7 million in 19 new and 95 existing portfolio companies with a weighted average yield on debt investments of 8.0%. Sales and repayments of investments for the same period totaled $396.9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2019, we invested $640.1 million in 28 new and 83 existing portfolio companies with a weighted average yield on debt investments of 8.8%. Sales and repayments of investments for the same period totaled $527.3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Senior Secured Loan Fund I LLC</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September 30, 2020, PSSL’s portfolio totaled $393.0 million, consisted of 45 companies with an average investment size of $8.7 million and had a weighted average yield on debt investments of 6.8%. As of September 30, 2019, PSSL’s portfolio totaled $488.5 million, consisted of 45 companies with an average investment size of $10.9 million and had a weighted average yield on debt investments of 7.6%.</w:t>
      </w:r>
    </w:p>
    <w:p>
      <w:pPr>
        <w:sectPr>
          <w:pgSz w:w="11900" w:h="16838" w:orient="portrait"/>
          <w:cols w:equalWidth="0" w:num="1">
            <w:col w:w="11240"/>
          </w:cols>
          <w:pgMar w:left="320" w:top="118" w:right="339" w:bottom="99" w:gutter="0" w:footer="0" w:header="0"/>
        </w:sectPr>
      </w:pPr>
    </w:p>
    <w:bookmarkStart w:id="5" w:name="page6"/>
    <w:bookmarkEnd w:id="5"/>
    <w:p>
      <w:pPr>
        <w:jc w:val="both"/>
        <w:spacing w:after="0" w:line="236" w:lineRule="auto"/>
        <w:rPr>
          <w:sz w:val="20"/>
          <w:szCs w:val="20"/>
          <w:color w:val="auto"/>
        </w:rPr>
      </w:pPr>
      <w:r>
        <w:rPr>
          <w:rFonts w:ascii="Arial" w:cs="Arial" w:eastAsia="Arial" w:hAnsi="Arial"/>
          <w:sz w:val="22"/>
          <w:szCs w:val="22"/>
          <w:color w:val="auto"/>
        </w:rPr>
        <w:t>For the three months ended September 30, 2020, PSSL did not make any investments. PSSL’s sales and repayments of investments for the same period totaled $69.9 million. For the three months ended September 30, 2019, PSSL invested $52.6 million (including $31.8 million purchased from the Company) in five new and three existing portfolio companies with a weighted average yield on debt investments of 7.8%. PSSL’s sales and repayments of investments for the same period totaled $31.8 million.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2020, PSSL invested $87.1 million (of which $86.7 million was purchased from the Company) in 11 new and two existing portfolio companies with a weighted average yield on debt investments of 7.4%. PSSL’s sales and repayments of investments for the same period totaled $172.6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year ended September 30, 2019, PSSL invested $228.6 million (of which $89.6 million was purchased from the Company) in 16 new and 16 existing portfolio companies with a weighted average yield on debt investments of 8.1%. PSSL’s sales and repayments of investments for the same period totaled $159.9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Subsequent to September 30, 2020, our portfolio company, Cano Health, LLC (ITC Rumba, LLC), entered into a business combination agreement with Jaws Acquisition Corp (“JWS”), a special purpose acquisition vehicle, and other parties, subject to certain closing conditions, with an expected closing late first quarter or early second quarter 2021. Based on the closing stock price of JWS on November 13, 2020, our $2.3 million common stock fair valuation as of September 30, 2020 would increase to an estimated $9.0 million, which includes a combination of cash and stock, assuming the transaction closes based on the agreed terms. This would represent a net asset value increase of $0.17 per share, as of November 13, 2020. Our shares are owned by a limited partnership controlled by the financial sponsor and are subject to customary lock up restrictions. As a result, the fair value on December 31, 2020, may likely include an illiquidity discount not in the public trading values indicated above. There can be no assurance that the implied value of our equity interest will be representative of the value ultimately realized on our equity investment.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years ended September 30, 2020 and 2019.</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Investment income for the three months ended September 30, 2020 and 2019 was $21.8 million and $23.9 million, respectively, and was primarily attributable to $19.3 million and $22.1 million from first lien secured debt and $2.5 million and $1.8 million from other investments, respectively.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Investment income for the year ended September 30, 2020 was $95.5 million and was attributable to $86.8 million from first lien secured debt and $8.7 million from other investments. The increase in investment income over the prior year was primarily due to the growth of our portfolio, partially offset by a decline in LIBOR.</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Investment income for the year ended September 30, 2019 was $92.9 million and was attributable to $84.0 million from first lien secured debt and $8.9 million from other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Expenses for the three months ended September 30, 2020 and 2019 totaled $10.3 million and $12.5 million, respectively. Base management fee totaled $2.8 million and $2.7 million, incentive fee totaled $2.1 million and $2.5 million, debt related interest and expenses totaled $5.5 million and $6.3 million, general and administrative expenses totaled $1.0 million and $1.0 million and provision for taxes totaled $0.1 million and zero, respectively, for the same periods.</w:t>
      </w:r>
    </w:p>
    <w:p>
      <w:pPr>
        <w:spacing w:after="0" w:line="14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Expenses for the years ended September 30, 2020 and 2019 totaled $52.1 million and $47.5 million, respectively. Base management fee for the same periods totaled $11.4 million and $10.2 million, incentive fee totaled $9.3 million and $6.2 million (including zero on realized gains and $(1.4) million on net unrealized gains accrued but not payable), debt related interest and expenses totaled $27.1 million and $27.1 million (including $4.5 million in Credit Facility amendment fees), general and administrative expenses totaled $3.9 million and $4.0 million and provision for taxes totaled $0.4 million and zero, respectively, for the same periods. The increase in expenses compared to the prior year was primarily due to the growth of our portfolio which resulted in higher Management Fees in the current year.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Net investment income totaled $10.3 million, or $0.27 per share, and $11.4 million, or $0.29 per share, for the three months ended September 30, 2020 and 2019, respectively.</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investment income totaled $43.4 million, or $1.12 per share, and $45.5 million, or $1.17 per share, for the years ended September 30, 2020 and 2019, respectively. The decrease in net investment income compared to the prior year was primarily due to higher Management Fees due to growth of our portfolio, partially offset by higher investment income in the current year.</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ectPr>
          <w:pgSz w:w="11900" w:h="16838" w:orient="portrait"/>
          <w:cols w:equalWidth="0" w:num="1">
            <w:col w:w="11240"/>
          </w:cols>
          <w:pgMar w:left="320" w:top="118" w:right="339" w:bottom="0" w:gutter="0" w:footer="0" w:header="0"/>
        </w:sectPr>
      </w:pPr>
    </w:p>
    <w:bookmarkStart w:id="6" w:name="page7"/>
    <w:bookmarkEnd w:id="6"/>
    <w:p>
      <w:pPr>
        <w:jc w:val="both"/>
        <w:spacing w:after="0" w:line="329" w:lineRule="auto"/>
        <w:rPr>
          <w:sz w:val="20"/>
          <w:szCs w:val="20"/>
          <w:color w:val="auto"/>
        </w:rPr>
      </w:pPr>
      <w:r>
        <w:rPr>
          <w:rFonts w:ascii="Arial" w:cs="Arial" w:eastAsia="Arial" w:hAnsi="Arial"/>
          <w:sz w:val="19"/>
          <w:szCs w:val="19"/>
          <w:color w:val="auto"/>
        </w:rPr>
        <w:t>Sales and repayments of investments for the three months ended September 30, 2020 and 2019 totaled $49.7 million and $127.1 million, respectively. Net realized losses totaled $4.7 million and $15.0 million for the same periods, respectively.</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Sales and repayments of investments for the years ended September 30, 2020 and 2019 totaled $396.9 million and $527.3 million, respectively. Net realized losses totaled $12.7 million and $31.4 million for the same periods, respectively. The change in realized gains/losses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For the three months ended September 30, 2020 and 2019, we reported a net change in unrealized appreciation on investments of $19.9 million and $10.6 million, respectively. For the years ended September 30, 2020 and 2019, we reported net change in unrealized depreciation on investments of $26.5 million and $2.6 million, respectively. As of September 30, 2020 and 2019, our net unrealized depreciation on investments totaled $29.9 million and $3.5 million, respectively. The net change in unrealized appreciation/depreciation on our investments for the year ended September 30, 2020 compared to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our Annual Report on Form 10-K for the fiscal year ended September 30, 2020, including “Item 7. Management's Discussion and Analysis of Financial Condition and Results of Operations – COVID-19 Developments” and “Item 1A. Risk Factors” therein.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three months ended September 30, 2020 and 2019, our Credit Facility and 2023 Notes had a net change in unrealized depreciation of $8.6 million and $0.4 million, respectively. For the years ended September 30, 2020 and 2019, our Credit Facility and the 2023 Notes had a net change in unrealized depreciation (appreciation) of $14.2 million and less than $(0.1) million, respectively. As of September 30, 2020 and 2019, our net unrealized depreciation on our Credit Facility and the 2023 Notes totaled $18.8 million and $4.7 million, respectively. The net change in unrealized depreciation for the year ended September 30, 2020 compared to the prior year was primarily due to changes in the capital markets.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Net change in net assets resulting from operations totaled $17.0 million, or $0.44 per share, and $7.4 million, or $0.19 per share, for the three months ended September 30, 2020 and 2019, respectively.</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change in net assets resulting from operations totaled $18.4 million, or $0.47 per share, and $11.4 million, or $0.29 per share, for the years ended September 30, 2020 and 2019, respectively. The decrease in net assets from operations for the year ended September 30, 2020 compared to the prior year was primarily due to depreciation of the portfolio primarily driven by the market disruption caused by the COVID-19 pandemic and the uncertainty surrounding its continued adverse economic impact.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Annual Report on Form 10-K for the fiscal year ended September 30, 2020, including “Item 7. Management's Discussion and Analysis of Financial Condition and Results of Operations – COVID-19 Developments” and “Item 1A. Risk Factors” therein.</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annualized weighted average cost of debt for the years ended September 30, 2020 and 2019, inclusive of the fee on the undrawn commitment on the Credit Facility, amendment costs and debt issuance costs, was 3.7% and 5.3%, respectively (excluding amendment and debt issuance costs, such amounts are 3.7% and 4.4%, respectively). As of September 30, 2020 and 2019, we had $211.4 million and $254.7 million of unused borrowing capacity under our Credit Facility, respectively, subject to leverage and borrowing base restrictions.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As of September 30, 2020 and 2019, PennantPark Floating Rate Funding I, LLC, or Funding I, had $308.6 million and $265.3 million of outstanding borrowings under the Credit Facility, respectively. The Credit Facility had a weighted average interest rate of 2.2% and 4.1%, exclusive of the fee on undrawn commitments, as of September 30, 2020 and 2019, respectively.</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2020 and 2019, we had cash equivalents of $57.5 million and $63.3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operating activities used cash of $4.9 million for the year ended September 30, 2020, and our financing activities used cash of $0.9 million for the same period. Our operating activities used cash primarily for our investment activities and our financing activities used cash primarily for paying down our Credit Facility and paying distributions to stockholders.</w:t>
      </w:r>
    </w:p>
    <w:p>
      <w:pPr>
        <w:spacing w:after="0" w:line="134"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Our operating activities used cash of $121.4 million for the year ended September 30, 2019, and our financing activities provided cash of $111.7 million for the same period. Our operating activities used cash primarily for our investment activities and our</w:t>
      </w:r>
    </w:p>
    <w:p>
      <w:pPr>
        <w:sectPr>
          <w:pgSz w:w="11900" w:h="16838" w:orient="portrait"/>
          <w:cols w:equalWidth="0" w:num="1">
            <w:col w:w="11240"/>
          </w:cols>
          <w:pgMar w:left="320" w:top="118" w:right="339" w:bottom="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financing activities provided cash primarily from the issuance of 2031 Asset-Backed Debt.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During both years ended September 30, 2020 and 2019, we declared distributions of $1.14 per share for total distributions of $44.2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annual report on Form 10-K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9440" w:type="dxa"/>
            <w:vAlign w:val="bottom"/>
            <w:gridSpan w:val="4"/>
          </w:tcPr>
          <w:p>
            <w:pPr>
              <w:ind w:left="2040"/>
              <w:spacing w:after="0"/>
              <w:rPr>
                <w:sz w:val="20"/>
                <w:szCs w:val="20"/>
                <w:color w:val="auto"/>
              </w:rPr>
            </w:pPr>
            <w:r>
              <w:rPr>
                <w:rFonts w:ascii="Arial" w:cs="Arial" w:eastAsia="Arial" w:hAnsi="Arial"/>
                <w:sz w:val="22"/>
                <w:szCs w:val="22"/>
                <w:b w:val="1"/>
                <w:bCs w:val="1"/>
                <w:color w:val="auto"/>
              </w:rPr>
              <w:t>PENNANTPARK FLOATING RATE CAPITAL LTD. AND SUBSIDIARIES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9440" w:type="dxa"/>
            <w:vAlign w:val="bottom"/>
            <w:gridSpan w:val="4"/>
          </w:tcPr>
          <w:p>
            <w:pPr>
              <w:ind w:left="2420"/>
              <w:spacing w:after="0"/>
              <w:rPr>
                <w:sz w:val="20"/>
                <w:szCs w:val="20"/>
                <w:color w:val="auto"/>
              </w:rPr>
            </w:pPr>
            <w:r>
              <w:rPr>
                <w:rFonts w:ascii="Arial" w:cs="Arial" w:eastAsia="Arial" w:hAnsi="Arial"/>
                <w:sz w:val="22"/>
                <w:szCs w:val="22"/>
                <w:b w:val="1"/>
                <w:bCs w:val="1"/>
                <w:color w:val="auto"/>
              </w:rPr>
              <w:t>CONSOLIDATED STATEMENTS OF ASSETS AND LIABILITIES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5"/>
        </w:trPr>
        <w:tc>
          <w:tcPr>
            <w:tcW w:w="7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22"/>
                <w:szCs w:val="22"/>
                <w:b w:val="1"/>
                <w:bCs w:val="1"/>
                <w:color w:val="auto"/>
                <w:w w:val="87"/>
              </w:rPr>
              <w:t>September 30,</w:t>
            </w:r>
          </w:p>
        </w:tc>
        <w:tc>
          <w:tcPr>
            <w:tcW w:w="140" w:type="dxa"/>
            <w:vAlign w:val="bottom"/>
          </w:tcPr>
          <w:p>
            <w:pPr>
              <w:spacing w:after="0"/>
              <w:rPr>
                <w:sz w:val="24"/>
                <w:szCs w:val="2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22"/>
                <w:szCs w:val="22"/>
                <w:b w:val="1"/>
                <w:bCs w:val="1"/>
                <w:color w:val="auto"/>
                <w:w w:val="89"/>
              </w:rPr>
              <w:t>September 30,</w:t>
            </w:r>
          </w:p>
        </w:tc>
      </w:tr>
      <w:tr>
        <w:trPr>
          <w:trHeight w:val="280"/>
        </w:trPr>
        <w:tc>
          <w:tcPr>
            <w:tcW w:w="7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2020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9"/>
        </w:trPr>
        <w:tc>
          <w:tcPr>
            <w:tcW w:w="752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7520" w:type="dxa"/>
            <w:vAlign w:val="bottom"/>
          </w:tcPr>
          <w:p>
            <w:pPr>
              <w:ind w:left="260"/>
              <w:spacing w:after="0" w:line="243" w:lineRule="exact"/>
              <w:rPr>
                <w:sz w:val="20"/>
                <w:szCs w:val="20"/>
                <w:color w:val="auto"/>
              </w:rPr>
            </w:pPr>
            <w:r>
              <w:rPr>
                <w:rFonts w:ascii="Arial" w:cs="Arial" w:eastAsia="Arial" w:hAnsi="Arial"/>
                <w:sz w:val="22"/>
                <w:szCs w:val="22"/>
                <w:color w:val="auto"/>
                <w:w w:val="89"/>
              </w:rPr>
              <w:t>Non-controlled, non-affiliated investments (cost—$915,874,757 and $886,955,156,</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75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910,552,309</w:t>
            </w: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889,113,264</w:t>
            </w:r>
          </w:p>
        </w:tc>
        <w:tc>
          <w:tcPr>
            <w:tcW w:w="40" w:type="dxa"/>
            <w:vAlign w:val="bottom"/>
          </w:tcPr>
          <w:p>
            <w:pPr>
              <w:spacing w:after="0"/>
              <w:rPr>
                <w:sz w:val="23"/>
                <w:szCs w:val="23"/>
                <w:color w:val="auto"/>
              </w:rPr>
            </w:pPr>
          </w:p>
        </w:tc>
      </w:tr>
      <w:tr>
        <w:trPr>
          <w:trHeight w:val="243"/>
        </w:trPr>
        <w:tc>
          <w:tcPr>
            <w:tcW w:w="7520" w:type="dxa"/>
            <w:vAlign w:val="bottom"/>
          </w:tcPr>
          <w:p>
            <w:pPr>
              <w:ind w:left="260"/>
              <w:spacing w:after="0" w:line="243" w:lineRule="exact"/>
              <w:rPr>
                <w:sz w:val="20"/>
                <w:szCs w:val="20"/>
                <w:color w:val="auto"/>
              </w:rPr>
            </w:pPr>
            <w:r>
              <w:rPr>
                <w:rFonts w:ascii="Arial" w:cs="Arial" w:eastAsia="Arial" w:hAnsi="Arial"/>
                <w:sz w:val="22"/>
                <w:szCs w:val="22"/>
                <w:color w:val="auto"/>
                <w:w w:val="98"/>
              </w:rPr>
              <w:t>Non-controlled, affiliated investments (cost—$21,964,181 and $23,645,693,</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75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11,086,834</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20,430,565</w:t>
            </w:r>
          </w:p>
        </w:tc>
        <w:tc>
          <w:tcPr>
            <w:tcW w:w="40" w:type="dxa"/>
            <w:vAlign w:val="bottom"/>
          </w:tcPr>
          <w:p>
            <w:pPr>
              <w:spacing w:after="0"/>
              <w:rPr>
                <w:sz w:val="23"/>
                <w:szCs w:val="23"/>
                <w:color w:val="auto"/>
              </w:rPr>
            </w:pPr>
          </w:p>
        </w:tc>
      </w:tr>
      <w:tr>
        <w:trPr>
          <w:trHeight w:val="243"/>
        </w:trPr>
        <w:tc>
          <w:tcPr>
            <w:tcW w:w="752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(cost—$179,112,500 and $174,562,500,</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4"/>
        </w:trPr>
        <w:tc>
          <w:tcPr>
            <w:tcW w:w="752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165,289,324</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172,163,080</w:t>
            </w:r>
          </w:p>
        </w:tc>
        <w:tc>
          <w:tcPr>
            <w:tcW w:w="40" w:type="dxa"/>
            <w:vAlign w:val="bottom"/>
          </w:tcPr>
          <w:p>
            <w:pPr>
              <w:spacing w:after="0"/>
              <w:rPr>
                <w:sz w:val="23"/>
                <w:szCs w:val="23"/>
                <w:color w:val="auto"/>
              </w:rPr>
            </w:pPr>
          </w:p>
        </w:tc>
      </w:tr>
      <w:tr>
        <w:trPr>
          <w:trHeight w:val="259"/>
        </w:trPr>
        <w:tc>
          <w:tcPr>
            <w:tcW w:w="7520" w:type="dxa"/>
            <w:vAlign w:val="bottom"/>
          </w:tcPr>
          <w:p>
            <w:pPr>
              <w:ind w:left="260"/>
              <w:spacing w:after="0"/>
              <w:rPr>
                <w:sz w:val="20"/>
                <w:szCs w:val="20"/>
                <w:color w:val="auto"/>
              </w:rPr>
            </w:pPr>
            <w:r>
              <w:rPr>
                <w:rFonts w:ascii="Arial" w:cs="Arial" w:eastAsia="Arial" w:hAnsi="Arial"/>
                <w:sz w:val="22"/>
                <w:szCs w:val="22"/>
                <w:color w:val="auto"/>
                <w:w w:val="94"/>
              </w:rPr>
              <w:t>Total of investments (cost—$1,116,951,438 and $1,085,172,349 , respectively)</w:t>
            </w:r>
          </w:p>
        </w:tc>
        <w:tc>
          <w:tcPr>
            <w:tcW w:w="1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1,086,928,467</w:t>
            </w:r>
          </w:p>
        </w:tc>
        <w:tc>
          <w:tcPr>
            <w:tcW w:w="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1,081,706,909</w:t>
            </w:r>
          </w:p>
        </w:tc>
        <w:tc>
          <w:tcPr>
            <w:tcW w:w="40" w:type="dxa"/>
            <w:vAlign w:val="bottom"/>
          </w:tcPr>
          <w:p>
            <w:pPr>
              <w:spacing w:after="0"/>
              <w:rPr>
                <w:sz w:val="22"/>
                <w:szCs w:val="22"/>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w w:val="97"/>
              </w:rPr>
              <w:t>Cash and cash equivalents (cost—$57,534,421 and $63,367,237, respectively)</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57,511,928</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63,337,728</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Interest receivable</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3,673,502</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3,892,292</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2,997,546</w:t>
            </w:r>
          </w:p>
        </w:tc>
        <w:tc>
          <w:tcPr>
            <w:tcW w:w="40" w:type="dxa"/>
            <w:vAlign w:val="bottom"/>
          </w:tcPr>
          <w:p>
            <w:pPr>
              <w:spacing w:after="0"/>
              <w:rPr>
                <w:sz w:val="23"/>
                <w:szCs w:val="23"/>
                <w:color w:val="auto"/>
              </w:rPr>
            </w:pPr>
          </w:p>
        </w:tc>
      </w:tr>
      <w:tr>
        <w:trPr>
          <w:trHeight w:val="274"/>
        </w:trPr>
        <w:tc>
          <w:tcPr>
            <w:tcW w:w="752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173,318</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441,337</w:t>
            </w:r>
          </w:p>
        </w:tc>
        <w:tc>
          <w:tcPr>
            <w:tcW w:w="40" w:type="dxa"/>
            <w:vAlign w:val="bottom"/>
          </w:tcPr>
          <w:p>
            <w:pPr>
              <w:spacing w:after="0"/>
              <w:rPr>
                <w:sz w:val="23"/>
                <w:szCs w:val="23"/>
                <w:color w:val="auto"/>
              </w:rPr>
            </w:pPr>
          </w:p>
        </w:tc>
      </w:tr>
      <w:tr>
        <w:trPr>
          <w:trHeight w:val="267"/>
        </w:trPr>
        <w:tc>
          <w:tcPr>
            <w:tcW w:w="752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60" w:type="dxa"/>
            <w:vAlign w:val="bottom"/>
            <w:tcBorders>
              <w:top w:val="single" w:sz="8" w:color="auto"/>
            </w:tcBorders>
          </w:tcPr>
          <w:p>
            <w:pPr>
              <w:spacing w:after="0"/>
              <w:rPr>
                <w:sz w:val="23"/>
                <w:szCs w:val="23"/>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1,148,287,215</w:t>
            </w: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1,152,375,812</w:t>
            </w:r>
          </w:p>
        </w:tc>
        <w:tc>
          <w:tcPr>
            <w:tcW w:w="40" w:type="dxa"/>
            <w:vAlign w:val="bottom"/>
          </w:tcPr>
          <w:p>
            <w:pPr>
              <w:spacing w:after="0"/>
              <w:rPr>
                <w:sz w:val="23"/>
                <w:szCs w:val="23"/>
                <w:color w:val="auto"/>
              </w:rPr>
            </w:pPr>
          </w:p>
        </w:tc>
      </w:tr>
      <w:tr>
        <w:trPr>
          <w:trHeight w:val="256"/>
        </w:trPr>
        <w:tc>
          <w:tcPr>
            <w:tcW w:w="752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6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Distributions payable</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3,683,347</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3,683,347</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3,800,000</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12,033,794</w:t>
            </w:r>
          </w:p>
        </w:tc>
        <w:tc>
          <w:tcPr>
            <w:tcW w:w="40" w:type="dxa"/>
            <w:vAlign w:val="bottom"/>
          </w:tcPr>
          <w:p>
            <w:pPr>
              <w:spacing w:after="0"/>
              <w:rPr>
                <w:sz w:val="23"/>
                <w:szCs w:val="23"/>
                <w:color w:val="auto"/>
              </w:rPr>
            </w:pPr>
          </w:p>
        </w:tc>
      </w:tr>
      <w:tr>
        <w:trPr>
          <w:trHeight w:val="243"/>
        </w:trPr>
        <w:tc>
          <w:tcPr>
            <w:tcW w:w="7520" w:type="dxa"/>
            <w:vAlign w:val="bottom"/>
          </w:tcPr>
          <w:p>
            <w:pPr>
              <w:spacing w:after="0" w:line="243" w:lineRule="exact"/>
              <w:rPr>
                <w:sz w:val="20"/>
                <w:szCs w:val="20"/>
                <w:color w:val="auto"/>
              </w:rPr>
            </w:pPr>
            <w:r>
              <w:rPr>
                <w:rFonts w:ascii="Arial" w:cs="Arial" w:eastAsia="Arial" w:hAnsi="Arial"/>
                <w:sz w:val="22"/>
                <w:szCs w:val="22"/>
                <w:color w:val="auto"/>
              </w:rPr>
              <w:t>Credit Facility payable, at fair value (cost—$308,598,500 and $265,307,500,</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respectively)</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299,047,275</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263,988,583</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w w:val="89"/>
              </w:rPr>
              <w:t>2023 Notes payable, at fair value (par—$138,579,858 and $138,579,858, respectively)</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129,295,008</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135,240,084</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w w:val="92"/>
              </w:rPr>
              <w:t>2031 Asset-Backed Debt, net (par—$228,000,000 and $228,000,000, respectively)</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224,866,334</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224,321,845</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3,601,479</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3,275,481</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2,776,477</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2,728,019</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2,071,622</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2,532,205</w:t>
            </w:r>
          </w:p>
        </w:tc>
        <w:tc>
          <w:tcPr>
            <w:tcW w:w="40" w:type="dxa"/>
            <w:vAlign w:val="bottom"/>
          </w:tcPr>
          <w:p>
            <w:pPr>
              <w:spacing w:after="0"/>
              <w:rPr>
                <w:sz w:val="23"/>
                <w:szCs w:val="23"/>
                <w:color w:val="auto"/>
              </w:rPr>
            </w:pPr>
          </w:p>
        </w:tc>
      </w:tr>
      <w:tr>
        <w:trPr>
          <w:trHeight w:val="274"/>
        </w:trPr>
        <w:tc>
          <w:tcPr>
            <w:tcW w:w="752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1,875,281</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1,514,943</w:t>
            </w:r>
          </w:p>
        </w:tc>
        <w:tc>
          <w:tcPr>
            <w:tcW w:w="40" w:type="dxa"/>
            <w:vAlign w:val="bottom"/>
          </w:tcPr>
          <w:p>
            <w:pPr>
              <w:spacing w:after="0"/>
              <w:rPr>
                <w:sz w:val="23"/>
                <w:szCs w:val="23"/>
                <w:color w:val="auto"/>
              </w:rPr>
            </w:pPr>
          </w:p>
        </w:tc>
      </w:tr>
      <w:tr>
        <w:trPr>
          <w:trHeight w:val="267"/>
        </w:trPr>
        <w:tc>
          <w:tcPr>
            <w:tcW w:w="752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60" w:type="dxa"/>
            <w:vAlign w:val="bottom"/>
            <w:tcBorders>
              <w:top w:val="single" w:sz="8" w:color="auto"/>
            </w:tcBorders>
          </w:tcPr>
          <w:p>
            <w:pPr>
              <w:spacing w:after="0"/>
              <w:rPr>
                <w:sz w:val="23"/>
                <w:szCs w:val="23"/>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671,016,823</w:t>
            </w: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649,318,301</w:t>
            </w:r>
          </w:p>
        </w:tc>
        <w:tc>
          <w:tcPr>
            <w:tcW w:w="40" w:type="dxa"/>
            <w:vAlign w:val="bottom"/>
          </w:tcPr>
          <w:p>
            <w:pPr>
              <w:spacing w:after="0"/>
              <w:rPr>
                <w:sz w:val="23"/>
                <w:szCs w:val="23"/>
                <w:color w:val="auto"/>
              </w:rPr>
            </w:pPr>
          </w:p>
        </w:tc>
      </w:tr>
      <w:tr>
        <w:trPr>
          <w:trHeight w:val="250"/>
        </w:trPr>
        <w:tc>
          <w:tcPr>
            <w:tcW w:w="752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6"/>
        </w:trPr>
        <w:tc>
          <w:tcPr>
            <w:tcW w:w="752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7520" w:type="dxa"/>
            <w:vAlign w:val="bottom"/>
          </w:tcPr>
          <w:p>
            <w:pPr>
              <w:spacing w:after="0" w:line="243" w:lineRule="exact"/>
              <w:rPr>
                <w:sz w:val="20"/>
                <w:szCs w:val="20"/>
                <w:color w:val="auto"/>
              </w:rPr>
            </w:pPr>
            <w:r>
              <w:rPr>
                <w:rFonts w:ascii="Arial" w:cs="Arial" w:eastAsia="Arial" w:hAnsi="Arial"/>
                <w:sz w:val="22"/>
                <w:szCs w:val="22"/>
                <w:color w:val="auto"/>
              </w:rPr>
              <w:t>Common stock, 38,772,074 and 38,772,074 shares issued and outstanding,</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7520" w:type="dxa"/>
            <w:vAlign w:val="bottom"/>
          </w:tcPr>
          <w:p>
            <w:pPr>
              <w:spacing w:after="0" w:line="243" w:lineRule="exact"/>
              <w:rPr>
                <w:sz w:val="20"/>
                <w:szCs w:val="20"/>
                <w:color w:val="auto"/>
              </w:rPr>
            </w:pPr>
            <w:r>
              <w:rPr>
                <w:rFonts w:ascii="Arial" w:cs="Arial" w:eastAsia="Arial" w:hAnsi="Arial"/>
                <w:sz w:val="22"/>
                <w:szCs w:val="22"/>
                <w:color w:val="auto"/>
              </w:rPr>
              <w:t>respectively</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7520" w:type="dxa"/>
            <w:vAlign w:val="bottom"/>
          </w:tcPr>
          <w:p>
            <w:pPr>
              <w:ind w:left="220"/>
              <w:spacing w:after="0"/>
              <w:rPr>
                <w:sz w:val="20"/>
                <w:szCs w:val="20"/>
                <w:color w:val="auto"/>
              </w:rPr>
            </w:pPr>
            <w:r>
              <w:rPr>
                <w:rFonts w:ascii="Arial" w:cs="Arial" w:eastAsia="Arial" w:hAnsi="Arial"/>
                <w:sz w:val="22"/>
                <w:szCs w:val="22"/>
                <w:color w:val="auto"/>
              </w:rPr>
              <w:t>Par value $0.001 per share and 100,000,000 shares authorized</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38,772</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38,772</w:t>
            </w:r>
          </w:p>
        </w:tc>
        <w:tc>
          <w:tcPr>
            <w:tcW w:w="40" w:type="dxa"/>
            <w:vAlign w:val="bottom"/>
          </w:tcPr>
          <w:p>
            <w:pPr>
              <w:spacing w:after="0"/>
              <w:rPr>
                <w:sz w:val="23"/>
                <w:szCs w:val="23"/>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60" w:type="dxa"/>
            <w:vAlign w:val="bottom"/>
          </w:tcPr>
          <w:p>
            <w:pPr>
              <w:spacing w:after="0"/>
              <w:rPr>
                <w:sz w:val="23"/>
                <w:szCs w:val="2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22"/>
                <w:szCs w:val="22"/>
                <w:color w:val="auto"/>
              </w:rPr>
              <w:t>538,151,528</w:t>
            </w:r>
          </w:p>
        </w:tc>
        <w:tc>
          <w:tcPr>
            <w:tcW w:w="140" w:type="dxa"/>
            <w:vAlign w:val="bottom"/>
          </w:tcPr>
          <w:p>
            <w:pPr>
              <w:spacing w:after="0"/>
              <w:rPr>
                <w:sz w:val="23"/>
                <w:szCs w:val="23"/>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22"/>
                <w:szCs w:val="22"/>
                <w:color w:val="auto"/>
              </w:rPr>
              <w:t>538,632,828</w:t>
            </w:r>
          </w:p>
        </w:tc>
        <w:tc>
          <w:tcPr>
            <w:tcW w:w="40" w:type="dxa"/>
            <w:vAlign w:val="bottom"/>
          </w:tcPr>
          <w:p>
            <w:pPr>
              <w:spacing w:after="0"/>
              <w:rPr>
                <w:sz w:val="23"/>
                <w:szCs w:val="23"/>
                <w:color w:val="auto"/>
              </w:rPr>
            </w:pPr>
          </w:p>
        </w:tc>
      </w:tr>
      <w:tr>
        <w:trPr>
          <w:trHeight w:val="274"/>
        </w:trPr>
        <w:tc>
          <w:tcPr>
            <w:tcW w:w="7520" w:type="dxa"/>
            <w:vAlign w:val="bottom"/>
          </w:tcPr>
          <w:p>
            <w:pPr>
              <w:spacing w:after="0"/>
              <w:rPr>
                <w:sz w:val="20"/>
                <w:szCs w:val="20"/>
                <w:color w:val="auto"/>
              </w:rPr>
            </w:pPr>
            <w:r>
              <w:rPr>
                <w:rFonts w:ascii="Arial" w:cs="Arial" w:eastAsia="Arial" w:hAnsi="Arial"/>
                <w:sz w:val="22"/>
                <w:szCs w:val="22"/>
                <w:color w:val="auto"/>
              </w:rPr>
              <w:t>Distributable income</w:t>
            </w:r>
          </w:p>
        </w:tc>
        <w:tc>
          <w:tcPr>
            <w:tcW w:w="160" w:type="dxa"/>
            <w:vAlign w:val="bottom"/>
          </w:tcPr>
          <w:p>
            <w:pPr>
              <w:spacing w:after="0"/>
              <w:rPr>
                <w:sz w:val="23"/>
                <w:szCs w:val="23"/>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22"/>
                <w:szCs w:val="22"/>
                <w:color w:val="auto"/>
              </w:rPr>
              <w:t>(60,919,908)</w:t>
            </w:r>
          </w:p>
        </w:tc>
        <w:tc>
          <w:tcPr>
            <w:tcW w:w="14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Arial" w:cs="Arial" w:eastAsia="Arial" w:hAnsi="Arial"/>
                <w:sz w:val="22"/>
                <w:szCs w:val="22"/>
                <w:color w:val="auto"/>
              </w:rPr>
              <w:t>(35,614,089)</w:t>
            </w:r>
          </w:p>
        </w:tc>
      </w:tr>
      <w:tr>
        <w:trPr>
          <w:trHeight w:val="267"/>
        </w:trPr>
        <w:tc>
          <w:tcPr>
            <w:tcW w:w="752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477,270,392</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503,057,511</w:t>
            </w:r>
          </w:p>
        </w:tc>
        <w:tc>
          <w:tcPr>
            <w:tcW w:w="40" w:type="dxa"/>
            <w:vAlign w:val="bottom"/>
          </w:tcPr>
          <w:p>
            <w:pPr>
              <w:spacing w:after="0"/>
              <w:rPr>
                <w:sz w:val="23"/>
                <w:szCs w:val="23"/>
                <w:color w:val="auto"/>
              </w:rPr>
            </w:pPr>
          </w:p>
        </w:tc>
      </w:tr>
      <w:tr>
        <w:trPr>
          <w:trHeight w:val="263"/>
        </w:trPr>
        <w:tc>
          <w:tcPr>
            <w:tcW w:w="752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1,148,287,215</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1,152,375,812</w:t>
            </w:r>
          </w:p>
        </w:tc>
        <w:tc>
          <w:tcPr>
            <w:tcW w:w="40" w:type="dxa"/>
            <w:vAlign w:val="bottom"/>
          </w:tcPr>
          <w:p>
            <w:pPr>
              <w:spacing w:after="0"/>
              <w:rPr>
                <w:sz w:val="22"/>
                <w:szCs w:val="22"/>
                <w:color w:val="auto"/>
              </w:rPr>
            </w:pPr>
          </w:p>
        </w:tc>
      </w:tr>
      <w:tr>
        <w:trPr>
          <w:trHeight w:val="21"/>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752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12.31</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12.97</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40"/>
          </w:cols>
          <w:pgMar w:left="320" w:top="118" w:right="339" w:bottom="474"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9440" w:type="dxa"/>
            <w:vAlign w:val="bottom"/>
            <w:gridSpan w:val="8"/>
          </w:tcPr>
          <w:p>
            <w:pPr>
              <w:ind w:left="2040"/>
              <w:spacing w:after="0"/>
              <w:rPr>
                <w:sz w:val="20"/>
                <w:szCs w:val="20"/>
                <w:color w:val="auto"/>
              </w:rPr>
            </w:pPr>
            <w:r>
              <w:rPr>
                <w:rFonts w:ascii="Arial" w:cs="Arial" w:eastAsia="Arial" w:hAnsi="Arial"/>
                <w:sz w:val="22"/>
                <w:szCs w:val="22"/>
                <w:b w:val="1"/>
                <w:bCs w:val="1"/>
                <w:color w:val="auto"/>
              </w:rPr>
              <w:t>PENNANTPARK FLOATING RATE CAPITAL LTD. AND SUBSIDIARIES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60" w:type="dxa"/>
            <w:vAlign w:val="bottom"/>
            <w:gridSpan w:val="6"/>
          </w:tcPr>
          <w:p>
            <w:pPr>
              <w:ind w:left="3080"/>
              <w:spacing w:after="0"/>
              <w:rPr>
                <w:sz w:val="20"/>
                <w:szCs w:val="20"/>
                <w:color w:val="auto"/>
              </w:rPr>
            </w:pPr>
            <w:r>
              <w:rPr>
                <w:rFonts w:ascii="Arial" w:cs="Arial" w:eastAsia="Arial" w:hAnsi="Arial"/>
                <w:sz w:val="22"/>
                <w:szCs w:val="22"/>
                <w:b w:val="1"/>
                <w:bCs w:val="1"/>
                <w:color w:val="auto"/>
                <w:w w:val="97"/>
              </w:rPr>
              <w:t>CONSOLIDATED STATEMENTS OF OPERATIONS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22"/>
                <w:szCs w:val="22"/>
                <w:b w:val="1"/>
                <w:bCs w:val="1"/>
                <w:color w:val="auto"/>
              </w:rPr>
              <w:t>Years Ended September 30,</w:t>
            </w: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2020</w:t>
            </w:r>
          </w:p>
        </w:tc>
        <w:tc>
          <w:tcPr>
            <w:tcW w:w="2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w w:val="85"/>
              </w:rPr>
              <w:t>2019</w:t>
            </w:r>
          </w:p>
        </w:tc>
        <w:tc>
          <w:tcPr>
            <w:tcW w:w="2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22"/>
                <w:szCs w:val="22"/>
                <w:b w:val="1"/>
                <w:bCs w:val="1"/>
                <w:color w:val="auto"/>
              </w:rPr>
              <w:t>2018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80" w:type="dxa"/>
            <w:vAlign w:val="bottom"/>
            <w:gridSpan w:val="2"/>
          </w:tcPr>
          <w:p>
            <w:pPr>
              <w:jc w:val="right"/>
              <w:ind w:right="163"/>
              <w:spacing w:after="0"/>
              <w:rPr>
                <w:sz w:val="20"/>
                <w:szCs w:val="20"/>
                <w:color w:val="auto"/>
              </w:rPr>
            </w:pPr>
            <w:r>
              <w:rPr>
                <w:rFonts w:ascii="Arial" w:cs="Arial" w:eastAsia="Arial" w:hAnsi="Arial"/>
                <w:sz w:val="22"/>
                <w:szCs w:val="22"/>
                <w:color w:val="auto"/>
                <w:w w:val="81"/>
              </w:rPr>
              <w:t>$</w:t>
            </w:r>
          </w:p>
        </w:tc>
        <w:tc>
          <w:tcPr>
            <w:tcW w:w="1340" w:type="dxa"/>
            <w:vAlign w:val="bottom"/>
          </w:tcPr>
          <w:p>
            <w:pPr>
              <w:jc w:val="right"/>
              <w:spacing w:after="0"/>
              <w:rPr>
                <w:sz w:val="20"/>
                <w:szCs w:val="20"/>
                <w:color w:val="auto"/>
              </w:rPr>
            </w:pPr>
            <w:r>
              <w:rPr>
                <w:rFonts w:ascii="Arial" w:cs="Arial" w:eastAsia="Arial" w:hAnsi="Arial"/>
                <w:sz w:val="22"/>
                <w:szCs w:val="22"/>
                <w:color w:val="auto"/>
              </w:rPr>
              <w:t>73,250,887</w:t>
            </w:r>
          </w:p>
        </w:tc>
        <w:tc>
          <w:tcPr>
            <w:tcW w:w="220" w:type="dxa"/>
            <w:vAlign w:val="bottom"/>
          </w:tcPr>
          <w:p>
            <w:pPr>
              <w:spacing w:after="0"/>
              <w:rPr>
                <w:sz w:val="23"/>
                <w:szCs w:val="23"/>
                <w:color w:val="auto"/>
              </w:rPr>
            </w:pPr>
          </w:p>
        </w:tc>
        <w:tc>
          <w:tcPr>
            <w:tcW w:w="620" w:type="dxa"/>
            <w:vAlign w:val="bottom"/>
          </w:tcPr>
          <w:p>
            <w:pPr>
              <w:jc w:val="right"/>
              <w:ind w:right="392"/>
              <w:spacing w:after="0"/>
              <w:rPr>
                <w:sz w:val="20"/>
                <w:szCs w:val="20"/>
                <w:color w:val="auto"/>
              </w:rPr>
            </w:pPr>
            <w:r>
              <w:rPr>
                <w:rFonts w:ascii="Arial" w:cs="Arial" w:eastAsia="Arial" w:hAnsi="Arial"/>
                <w:sz w:val="22"/>
                <w:szCs w:val="22"/>
                <w:color w:val="auto"/>
                <w:w w:val="81"/>
              </w:rPr>
              <w:t>$</w:t>
            </w: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w w:val="94"/>
              </w:rPr>
              <w:t>69,319,954</w:t>
            </w:r>
          </w:p>
        </w:tc>
        <w:tc>
          <w:tcPr>
            <w:tcW w:w="400" w:type="dxa"/>
            <w:vAlign w:val="bottom"/>
          </w:tcPr>
          <w:p>
            <w:pPr>
              <w:jc w:val="right"/>
              <w:ind w:right="203"/>
              <w:spacing w:after="0"/>
              <w:rPr>
                <w:sz w:val="20"/>
                <w:szCs w:val="20"/>
                <w:color w:val="auto"/>
              </w:rPr>
            </w:pPr>
            <w:r>
              <w:rPr>
                <w:rFonts w:ascii="Arial" w:cs="Arial" w:eastAsia="Arial" w:hAnsi="Arial"/>
                <w:sz w:val="19"/>
                <w:szCs w:val="19"/>
                <w:color w:val="auto"/>
                <w:w w:val="75"/>
              </w:rPr>
              <w:t>$</w:t>
            </w: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62,469,275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3,565,134</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3,497,784</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2,244,895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882,934</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1,237,675</w:t>
            </w:r>
          </w:p>
        </w:tc>
        <w:tc>
          <w:tcPr>
            <w:tcW w:w="400" w:type="dxa"/>
            <w:vAlign w:val="bottom"/>
          </w:tcPr>
          <w:p>
            <w:pPr>
              <w:spacing w:after="0"/>
              <w:rPr>
                <w:sz w:val="23"/>
                <w:szCs w:val="23"/>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36,170</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127,734</w:t>
            </w:r>
          </w:p>
        </w:tc>
        <w:tc>
          <w:tcPr>
            <w:tcW w:w="400" w:type="dxa"/>
            <w:vAlign w:val="bottom"/>
          </w:tcPr>
          <w:p>
            <w:pPr>
              <w:spacing w:after="0"/>
              <w:rPr>
                <w:sz w:val="23"/>
                <w:szCs w:val="23"/>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11,801,245</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w w:val="94"/>
              </w:rPr>
              <w:t>12,464,035</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5,302,909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Dividend</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5,950,000</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6,300,000</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2,187,500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95,486,370</w:t>
            </w:r>
          </w:p>
        </w:tc>
        <w:tc>
          <w:tcPr>
            <w:tcW w:w="220" w:type="dxa"/>
            <w:vAlign w:val="bottom"/>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4"/>
              </w:rPr>
              <w:t>92,947,182</w:t>
            </w:r>
          </w:p>
        </w:tc>
        <w:tc>
          <w:tcPr>
            <w:tcW w:w="22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72,204,579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11,428,302</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w w:val="94"/>
              </w:rPr>
              <w:t>10,209,566</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8,351,653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9,300,311</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6,204,112</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2,399,249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27,108,452</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w w:val="94"/>
              </w:rPr>
              <w:t>22,540,098</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14,359,908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1,400,000</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1,550,000</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2,000,000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2,464,306</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2,464,306</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2,460,582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89"/>
              </w:rPr>
              <w:t>Expenses before amendment costs, debt issuance costs</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and provision for taxes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51,701,371</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w w:val="94"/>
              </w:rPr>
              <w:t>42,968,082</w:t>
            </w:r>
          </w:p>
        </w:tc>
        <w:tc>
          <w:tcPr>
            <w:tcW w:w="4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29,571,392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w w:val="95"/>
              </w:rPr>
              <w:t>Credit Facility amendment costs and debt issuance costs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4,517,292</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10,869,098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400,000</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800,000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2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52,101,371</w:t>
            </w:r>
          </w:p>
        </w:tc>
        <w:tc>
          <w:tcPr>
            <w:tcW w:w="220" w:type="dxa"/>
            <w:vAlign w:val="bottom"/>
          </w:tcPr>
          <w:p>
            <w:pPr>
              <w:spacing w:after="0"/>
              <w:rPr>
                <w:sz w:val="23"/>
                <w:szCs w:val="23"/>
                <w:color w:val="auto"/>
              </w:rPr>
            </w:pPr>
          </w:p>
        </w:tc>
        <w:tc>
          <w:tcPr>
            <w:tcW w:w="6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94"/>
              </w:rPr>
              <w:t>47,485,374</w:t>
            </w:r>
          </w:p>
        </w:tc>
        <w:tc>
          <w:tcPr>
            <w:tcW w:w="220" w:type="dxa"/>
            <w:vAlign w:val="bottom"/>
          </w:tcPr>
          <w:p>
            <w:pPr>
              <w:spacing w:after="0"/>
              <w:rPr>
                <w:sz w:val="23"/>
                <w:szCs w:val="23"/>
                <w:color w:val="auto"/>
              </w:rPr>
            </w:pPr>
          </w:p>
        </w:tc>
        <w:tc>
          <w:tcPr>
            <w:tcW w:w="400" w:type="dxa"/>
            <w:vAlign w:val="bottom"/>
            <w:tcBorders>
              <w:top w:val="single" w:sz="8" w:color="auto"/>
              <w:bottom w:val="single" w:sz="8" w:color="auto"/>
            </w:tcBorders>
          </w:tcPr>
          <w:p>
            <w:pPr>
              <w:spacing w:after="0"/>
              <w:rPr>
                <w:sz w:val="23"/>
                <w:szCs w:val="23"/>
                <w:color w:val="auto"/>
              </w:rPr>
            </w:pP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41,240,490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Net investment income</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43,384,999</w:t>
            </w: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45,461,808</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30,964,089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Arial" w:cs="Arial" w:eastAsia="Arial" w:hAnsi="Arial"/>
                <w:sz w:val="22"/>
                <w:szCs w:val="22"/>
                <w:b w:val="1"/>
                <w:bCs w:val="1"/>
                <w:color w:val="auto"/>
                <w:w w:val="87"/>
              </w:rPr>
              <w:t>Realized and unrealized (loss) gain on investments and debt:</w:t>
            </w:r>
          </w:p>
        </w:tc>
        <w:tc>
          <w:tcPr>
            <w:tcW w:w="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Net realized loss on:</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22"/>
                <w:szCs w:val="22"/>
                <w:color w:val="auto"/>
              </w:rPr>
              <w:t>(6,998,886)</w:t>
            </w:r>
          </w:p>
        </w:tc>
        <w:tc>
          <w:tcPr>
            <w:tcW w:w="62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22"/>
                <w:szCs w:val="22"/>
                <w:color w:val="auto"/>
                <w:w w:val="89"/>
              </w:rPr>
              <w:t>(18,802,365)</w:t>
            </w:r>
          </w:p>
        </w:tc>
        <w:tc>
          <w:tcPr>
            <w:tcW w:w="40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rPr>
              <w:t>(2,327,118)</w:t>
            </w: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22"/>
                <w:szCs w:val="22"/>
                <w:color w:val="auto"/>
              </w:rPr>
              <w:t>(5,683,145)</w:t>
            </w:r>
          </w:p>
        </w:tc>
        <w:tc>
          <w:tcPr>
            <w:tcW w:w="62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22"/>
                <w:szCs w:val="22"/>
                <w:color w:val="auto"/>
                <w:w w:val="89"/>
              </w:rPr>
              <w:t>(12,621,504)</w:t>
            </w:r>
          </w:p>
        </w:tc>
        <w:tc>
          <w:tcPr>
            <w:tcW w:w="400" w:type="dxa"/>
            <w:vAlign w:val="bottom"/>
          </w:tcPr>
          <w:p>
            <w:pPr>
              <w:spacing w:after="0"/>
              <w:rPr>
                <w:sz w:val="23"/>
                <w:szCs w:val="23"/>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9"/>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Net realized loss on investments</w:t>
            </w:r>
          </w:p>
        </w:tc>
        <w:tc>
          <w:tcPr>
            <w:tcW w:w="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(12,682,031)</w:t>
            </w:r>
          </w:p>
        </w:tc>
        <w:tc>
          <w:tcPr>
            <w:tcW w:w="2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83"/>
              </w:rPr>
              <w:t>(31,423,869)</w:t>
            </w:r>
          </w:p>
        </w:tc>
        <w:tc>
          <w:tcPr>
            <w:tcW w:w="2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(2,327,118)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22"/>
                <w:szCs w:val="22"/>
                <w:color w:val="auto"/>
              </w:rPr>
              <w:t>(7,390,333)</w:t>
            </w:r>
          </w:p>
        </w:tc>
        <w:tc>
          <w:tcPr>
            <w:tcW w:w="6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22"/>
                <w:szCs w:val="22"/>
                <w:color w:val="auto"/>
              </w:rPr>
              <w:t>2,640,050</w:t>
            </w:r>
          </w:p>
        </w:tc>
        <w:tc>
          <w:tcPr>
            <w:tcW w:w="40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22"/>
                <w:szCs w:val="22"/>
                <w:color w:val="auto"/>
              </w:rPr>
              <w:t>(3,857,170)</w:t>
            </w: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Arial" w:cs="Arial" w:eastAsia="Arial" w:hAnsi="Arial"/>
                <w:sz w:val="22"/>
                <w:szCs w:val="22"/>
                <w:color w:val="auto"/>
              </w:rPr>
              <w:t>Controlled and non-controlled, affiliated investments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22"/>
                <w:szCs w:val="22"/>
                <w:color w:val="auto"/>
              </w:rPr>
              <w:t>(19,076,975)</w:t>
            </w:r>
          </w:p>
        </w:tc>
        <w:tc>
          <w:tcPr>
            <w:tcW w:w="62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22"/>
                <w:szCs w:val="22"/>
                <w:color w:val="auto"/>
                <w:w w:val="99"/>
              </w:rPr>
              <w:t>(5,245,396)</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960,087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00" w:type="dxa"/>
            <w:vAlign w:val="bottom"/>
          </w:tcPr>
          <w:p>
            <w:pPr>
              <w:ind w:left="260"/>
              <w:spacing w:after="0"/>
              <w:rPr>
                <w:sz w:val="20"/>
                <w:szCs w:val="20"/>
                <w:color w:val="auto"/>
              </w:rPr>
            </w:pPr>
            <w:r>
              <w:rPr>
                <w:rFonts w:ascii="Arial" w:cs="Arial" w:eastAsia="Arial" w:hAnsi="Arial"/>
                <w:sz w:val="22"/>
                <w:szCs w:val="22"/>
                <w:color w:val="auto"/>
              </w:rPr>
              <w:t>Debt depreciation (appreciation)</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14,177,384</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22"/>
                <w:szCs w:val="22"/>
                <w:color w:val="auto"/>
              </w:rPr>
              <w:t>(16,487)</w:t>
            </w:r>
          </w:p>
        </w:tc>
        <w:tc>
          <w:tcPr>
            <w:tcW w:w="4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7,750,334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600" w:type="dxa"/>
            <w:vAlign w:val="bottom"/>
          </w:tcPr>
          <w:p>
            <w:pPr>
              <w:ind w:left="260"/>
              <w:spacing w:after="0" w:line="212" w:lineRule="exact"/>
              <w:rPr>
                <w:sz w:val="20"/>
                <w:szCs w:val="20"/>
                <w:color w:val="auto"/>
              </w:rPr>
            </w:pPr>
            <w:r>
              <w:rPr>
                <w:rFonts w:ascii="Arial" w:cs="Arial" w:eastAsia="Arial" w:hAnsi="Arial"/>
                <w:sz w:val="22"/>
                <w:szCs w:val="22"/>
                <w:b w:val="1"/>
                <w:bCs w:val="1"/>
                <w:color w:val="auto"/>
                <w:w w:val="91"/>
              </w:rPr>
              <w:t>Net change in unrealized (depreciation) appreciation on</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00" w:type="dxa"/>
            <w:vAlign w:val="bottom"/>
          </w:tcPr>
          <w:p>
            <w:pPr>
              <w:ind w:left="260"/>
              <w:spacing w:after="0"/>
              <w:rPr>
                <w:sz w:val="20"/>
                <w:szCs w:val="20"/>
                <w:color w:val="auto"/>
              </w:rPr>
            </w:pPr>
            <w:r>
              <w:rPr>
                <w:rFonts w:ascii="Arial" w:cs="Arial" w:eastAsia="Arial" w:hAnsi="Arial"/>
                <w:sz w:val="22"/>
                <w:szCs w:val="22"/>
                <w:b w:val="1"/>
                <w:bCs w:val="1"/>
                <w:color w:val="auto"/>
              </w:rPr>
              <w:t>investments and debt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22"/>
                <w:szCs w:val="22"/>
                <w:color w:val="auto"/>
              </w:rPr>
              <w:t>(12,289,924)</w:t>
            </w:r>
          </w:p>
        </w:tc>
        <w:tc>
          <w:tcPr>
            <w:tcW w:w="62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22"/>
                <w:szCs w:val="22"/>
                <w:color w:val="auto"/>
                <w:w w:val="99"/>
              </w:rPr>
              <w:t>(2,621,833)</w:t>
            </w:r>
          </w:p>
        </w:tc>
        <w:tc>
          <w:tcPr>
            <w:tcW w:w="4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4,853,251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600" w:type="dxa"/>
            <w:vAlign w:val="bottom"/>
          </w:tcPr>
          <w:p>
            <w:pPr>
              <w:spacing w:after="0" w:line="212" w:lineRule="exact"/>
              <w:rPr>
                <w:sz w:val="20"/>
                <w:szCs w:val="20"/>
                <w:color w:val="auto"/>
              </w:rPr>
            </w:pPr>
            <w:r>
              <w:rPr>
                <w:rFonts w:ascii="Arial" w:cs="Arial" w:eastAsia="Arial" w:hAnsi="Arial"/>
                <w:sz w:val="22"/>
                <w:szCs w:val="22"/>
                <w:b w:val="1"/>
                <w:bCs w:val="1"/>
                <w:color w:val="auto"/>
                <w:w w:val="87"/>
              </w:rPr>
              <w:t>Net realized and unrealized (loss) gain from investments and</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22"/>
                <w:szCs w:val="22"/>
                <w:color w:val="auto"/>
              </w:rPr>
              <w:t>(24,971,955)</w:t>
            </w:r>
          </w:p>
        </w:tc>
        <w:tc>
          <w:tcPr>
            <w:tcW w:w="62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22"/>
                <w:szCs w:val="22"/>
                <w:color w:val="auto"/>
                <w:w w:val="89"/>
              </w:rPr>
              <w:t>(34,045,702)</w:t>
            </w:r>
          </w:p>
        </w:tc>
        <w:tc>
          <w:tcPr>
            <w:tcW w:w="40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22"/>
                <w:szCs w:val="22"/>
                <w:color w:val="auto"/>
              </w:rPr>
              <w:t>2,526,133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20" w:type="dxa"/>
            <w:vAlign w:val="bottom"/>
          </w:tcPr>
          <w:p>
            <w:pPr>
              <w:spacing w:after="0"/>
              <w:rPr>
                <w:sz w:val="23"/>
                <w:szCs w:val="23"/>
                <w:color w:val="auto"/>
              </w:rPr>
            </w:pPr>
          </w:p>
        </w:tc>
        <w:tc>
          <w:tcPr>
            <w:tcW w:w="360" w:type="dxa"/>
            <w:vAlign w:val="bottom"/>
            <w:tcBorders>
              <w:top w:val="single" w:sz="8" w:color="auto"/>
            </w:tcBorders>
          </w:tcPr>
          <w:p>
            <w:pPr>
              <w:jc w:val="right"/>
              <w:ind w:right="163"/>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18,413,044</w:t>
            </w:r>
          </w:p>
        </w:tc>
        <w:tc>
          <w:tcPr>
            <w:tcW w:w="220" w:type="dxa"/>
            <w:vAlign w:val="bottom"/>
          </w:tcPr>
          <w:p>
            <w:pPr>
              <w:spacing w:after="0"/>
              <w:rPr>
                <w:sz w:val="23"/>
                <w:szCs w:val="23"/>
                <w:color w:val="auto"/>
              </w:rPr>
            </w:pPr>
          </w:p>
        </w:tc>
        <w:tc>
          <w:tcPr>
            <w:tcW w:w="620" w:type="dxa"/>
            <w:vAlign w:val="bottom"/>
            <w:tcBorders>
              <w:top w:val="single" w:sz="8" w:color="auto"/>
            </w:tcBorders>
          </w:tcPr>
          <w:p>
            <w:pPr>
              <w:jc w:val="right"/>
              <w:ind w:right="392"/>
              <w:spacing w:after="0"/>
              <w:rPr>
                <w:sz w:val="20"/>
                <w:szCs w:val="20"/>
                <w:color w:val="auto"/>
              </w:rPr>
            </w:pPr>
            <w:r>
              <w:rPr>
                <w:rFonts w:ascii="Arial" w:cs="Arial" w:eastAsia="Arial" w:hAnsi="Arial"/>
                <w:sz w:val="22"/>
                <w:szCs w:val="22"/>
                <w:color w:val="auto"/>
                <w:w w:val="8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4"/>
              </w:rPr>
              <w:t>11,416,106</w:t>
            </w:r>
          </w:p>
        </w:tc>
        <w:tc>
          <w:tcPr>
            <w:tcW w:w="220" w:type="dxa"/>
            <w:vAlign w:val="bottom"/>
          </w:tcPr>
          <w:p>
            <w:pPr>
              <w:spacing w:after="0"/>
              <w:rPr>
                <w:sz w:val="23"/>
                <w:szCs w:val="23"/>
                <w:color w:val="auto"/>
              </w:rPr>
            </w:pPr>
          </w:p>
        </w:tc>
        <w:tc>
          <w:tcPr>
            <w:tcW w:w="400" w:type="dxa"/>
            <w:vAlign w:val="bottom"/>
            <w:tcBorders>
              <w:top w:val="single" w:sz="8" w:color="auto"/>
            </w:tcBorders>
          </w:tcPr>
          <w:p>
            <w:pPr>
              <w:jc w:val="right"/>
              <w:ind w:right="203"/>
              <w:spacing w:after="0"/>
              <w:rPr>
                <w:sz w:val="20"/>
                <w:szCs w:val="20"/>
                <w:color w:val="auto"/>
              </w:rPr>
            </w:pPr>
            <w:r>
              <w:rPr>
                <w:rFonts w:ascii="Arial" w:cs="Arial" w:eastAsia="Arial" w:hAnsi="Arial"/>
                <w:sz w:val="19"/>
                <w:szCs w:val="19"/>
                <w:color w:val="auto"/>
                <w:w w:val="75"/>
              </w:rPr>
              <w:t>$</w:t>
            </w: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33,490,222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600" w:type="dxa"/>
            <w:vAlign w:val="bottom"/>
            <w:vMerge w:val="restart"/>
          </w:tcPr>
          <w:p>
            <w:pPr>
              <w:spacing w:after="0" w:line="242" w:lineRule="exact"/>
              <w:rPr>
                <w:sz w:val="20"/>
                <w:szCs w:val="20"/>
                <w:color w:val="auto"/>
              </w:rPr>
            </w:pPr>
            <w:r>
              <w:rPr>
                <w:rFonts w:ascii="Arial" w:cs="Arial" w:eastAsia="Arial" w:hAnsi="Arial"/>
                <w:sz w:val="22"/>
                <w:szCs w:val="22"/>
                <w:color w:val="auto"/>
                <w:w w:val="88"/>
              </w:rPr>
              <w:t>Net increase in net assets resulting from operations per common</w:t>
            </w: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600" w:type="dxa"/>
            <w:vAlign w:val="bottom"/>
            <w:vMerge w:val="continue"/>
          </w:tcPr>
          <w:p>
            <w:pPr>
              <w:spacing w:after="0"/>
              <w:rPr>
                <w:sz w:val="17"/>
                <w:szCs w:val="17"/>
                <w:color w:val="auto"/>
              </w:rPr>
            </w:pPr>
          </w:p>
        </w:tc>
        <w:tc>
          <w:tcPr>
            <w:tcW w:w="380" w:type="dxa"/>
            <w:vAlign w:val="bottom"/>
            <w:gridSpan w:val="2"/>
            <w:vMerge w:val="restart"/>
          </w:tcPr>
          <w:p>
            <w:pPr>
              <w:jc w:val="right"/>
              <w:ind w:right="163"/>
              <w:spacing w:after="0"/>
              <w:rPr>
                <w:sz w:val="20"/>
                <w:szCs w:val="20"/>
                <w:color w:val="auto"/>
              </w:rPr>
            </w:pPr>
            <w:r>
              <w:rPr>
                <w:rFonts w:ascii="Arial" w:cs="Arial" w:eastAsia="Arial" w:hAnsi="Arial"/>
                <w:sz w:val="22"/>
                <w:szCs w:val="22"/>
                <w:color w:val="auto"/>
                <w:w w:val="81"/>
              </w:rPr>
              <w:t>$</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0.47</w:t>
            </w:r>
          </w:p>
        </w:tc>
        <w:tc>
          <w:tcPr>
            <w:tcW w:w="220" w:type="dxa"/>
            <w:vAlign w:val="bottom"/>
          </w:tcPr>
          <w:p>
            <w:pPr>
              <w:spacing w:after="0"/>
              <w:rPr>
                <w:sz w:val="17"/>
                <w:szCs w:val="17"/>
                <w:color w:val="auto"/>
              </w:rPr>
            </w:pPr>
          </w:p>
        </w:tc>
        <w:tc>
          <w:tcPr>
            <w:tcW w:w="620" w:type="dxa"/>
            <w:vAlign w:val="bottom"/>
            <w:vMerge w:val="restart"/>
          </w:tcPr>
          <w:p>
            <w:pPr>
              <w:jc w:val="right"/>
              <w:ind w:right="392"/>
              <w:spacing w:after="0"/>
              <w:rPr>
                <w:sz w:val="20"/>
                <w:szCs w:val="20"/>
                <w:color w:val="auto"/>
              </w:rPr>
            </w:pPr>
            <w:r>
              <w:rPr>
                <w:rFonts w:ascii="Arial" w:cs="Arial" w:eastAsia="Arial" w:hAnsi="Arial"/>
                <w:sz w:val="22"/>
                <w:szCs w:val="22"/>
                <w:color w:val="auto"/>
                <w:w w:val="81"/>
              </w:rPr>
              <w:t>$</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22"/>
                <w:szCs w:val="22"/>
                <w:color w:val="auto"/>
              </w:rPr>
              <w:t>0.29</w:t>
            </w:r>
          </w:p>
        </w:tc>
        <w:tc>
          <w:tcPr>
            <w:tcW w:w="400" w:type="dxa"/>
            <w:vAlign w:val="bottom"/>
            <w:vMerge w:val="restart"/>
          </w:tcPr>
          <w:p>
            <w:pPr>
              <w:jc w:val="right"/>
              <w:ind w:right="203"/>
              <w:spacing w:after="0"/>
              <w:rPr>
                <w:sz w:val="20"/>
                <w:szCs w:val="20"/>
                <w:color w:val="auto"/>
              </w:rPr>
            </w:pPr>
            <w:r>
              <w:rPr>
                <w:rFonts w:ascii="Arial" w:cs="Arial" w:eastAsia="Arial" w:hAnsi="Arial"/>
                <w:sz w:val="19"/>
                <w:szCs w:val="19"/>
                <w:color w:val="auto"/>
                <w:w w:val="75"/>
              </w:rPr>
              <w:t>$</w:t>
            </w:r>
          </w:p>
        </w:tc>
        <w:tc>
          <w:tcPr>
            <w:tcW w:w="1300" w:type="dxa"/>
            <w:vAlign w:val="bottom"/>
            <w:gridSpan w:val="2"/>
            <w:vMerge w:val="restart"/>
          </w:tcPr>
          <w:p>
            <w:pPr>
              <w:jc w:val="right"/>
              <w:ind w:right="20"/>
              <w:spacing w:after="0"/>
              <w:rPr>
                <w:sz w:val="20"/>
                <w:szCs w:val="20"/>
                <w:color w:val="auto"/>
              </w:rPr>
            </w:pPr>
            <w:r>
              <w:rPr>
                <w:rFonts w:ascii="Arial" w:cs="Arial" w:eastAsia="Arial" w:hAnsi="Arial"/>
                <w:sz w:val="22"/>
                <w:szCs w:val="22"/>
                <w:color w:val="auto"/>
              </w:rPr>
              <w:t>0.87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600" w:type="dxa"/>
            <w:vAlign w:val="bottom"/>
          </w:tcPr>
          <w:p>
            <w:pPr>
              <w:spacing w:after="0" w:line="251" w:lineRule="exact"/>
              <w:rPr>
                <w:sz w:val="20"/>
                <w:szCs w:val="20"/>
                <w:color w:val="auto"/>
              </w:rPr>
            </w:pPr>
            <w:r>
              <w:rPr>
                <w:rFonts w:ascii="Arial" w:cs="Arial" w:eastAsia="Arial" w:hAnsi="Arial"/>
                <w:sz w:val="22"/>
                <w:szCs w:val="22"/>
                <w:color w:val="auto"/>
              </w:rPr>
              <w:t>share</w:t>
            </w:r>
          </w:p>
        </w:tc>
        <w:tc>
          <w:tcPr>
            <w:tcW w:w="380" w:type="dxa"/>
            <w:vAlign w:val="bottom"/>
            <w:gridSpan w:val="2"/>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400" w:type="dxa"/>
            <w:vAlign w:val="bottom"/>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1.12</w:t>
            </w:r>
          </w:p>
        </w:tc>
        <w:tc>
          <w:tcPr>
            <w:tcW w:w="2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22"/>
                <w:szCs w:val="22"/>
                <w:color w:val="auto"/>
                <w:w w:val="8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1.17</w:t>
            </w:r>
          </w:p>
        </w:tc>
        <w:tc>
          <w:tcPr>
            <w:tcW w:w="2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9"/>
                <w:szCs w:val="19"/>
                <w:color w:val="auto"/>
                <w:w w:val="7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0.81</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ectPr>
          <w:pgSz w:w="11900" w:h="16838" w:orient="portrait"/>
          <w:cols w:equalWidth="0" w:num="1">
            <w:col w:w="11240"/>
          </w:cols>
          <w:pgMar w:left="320" w:top="111" w:right="339" w:bottom="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FORWARD-LOOKING STATEMENTS</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Floating Rate Capital Ltd.</w:t>
      </w: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905-1000 </w:t>
      </w:r>
      <w:r>
        <w:rPr>
          <w:rFonts w:ascii="Arial" w:cs="Arial" w:eastAsia="Arial" w:hAnsi="Arial"/>
          <w:sz w:val="19"/>
          <w:szCs w:val="19"/>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2020-11-18T15:08:37Z</dcterms:created>
  <dcterms:modified xsi:type="dcterms:W3CDTF">2020-11-18T15:08:37Z</dcterms:modified>
</cp:coreProperties>
</file>