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2"/>
          <w:szCs w:val="12"/>
          <w:b w:val="1"/>
          <w:bCs w:val="1"/>
          <w:color w:val="auto"/>
        </w:rPr>
        <w:t>As filed with the Securities and Exchange Commission on December 15, 2022</w:t>
      </w:r>
    </w:p>
    <w:p>
      <w:pPr>
        <w:spacing w:after="0" w:line="23" w:lineRule="exact"/>
        <w:rPr>
          <w:sz w:val="24"/>
          <w:szCs w:val="24"/>
          <w:color w:val="auto"/>
        </w:rPr>
      </w:pPr>
    </w:p>
    <w:p>
      <w:pPr>
        <w:jc w:val="right"/>
        <w:ind w:right="279"/>
        <w:spacing w:after="0"/>
        <w:rPr>
          <w:sz w:val="20"/>
          <w:szCs w:val="20"/>
          <w:color w:val="auto"/>
        </w:rPr>
      </w:pPr>
      <w:r>
        <w:rPr>
          <w:rFonts w:ascii="Arial" w:cs="Arial" w:eastAsia="Arial" w:hAnsi="Arial"/>
          <w:sz w:val="12"/>
          <w:szCs w:val="12"/>
          <w:b w:val="1"/>
          <w:bCs w:val="1"/>
          <w:color w:val="auto"/>
        </w:rPr>
        <w:t>Securities Act Registration No. 333-</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Investment Company Act of 1940 File No.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443230</wp:posOffset>
            </wp:positionH>
            <wp:positionV relativeFrom="paragraph">
              <wp:posOffset>80645</wp:posOffset>
            </wp:positionV>
            <wp:extent cx="510286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02860" cy="6350"/>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113665</wp:posOffset>
            </wp:positionV>
            <wp:extent cx="510286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02860" cy="6350"/>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180340</wp:posOffset>
            </wp:positionV>
            <wp:extent cx="113284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2840" cy="635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186690</wp:posOffset>
            </wp:positionV>
            <wp:extent cx="113284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2840" cy="635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under</w:t>
      </w:r>
    </w:p>
    <w:p>
      <w:pPr>
        <w:spacing w:after="0" w:line="23" w:lineRule="exact"/>
        <w:rPr>
          <w:sz w:val="24"/>
          <w:szCs w:val="24"/>
          <w:color w:val="auto"/>
        </w:rPr>
      </w:pPr>
    </w:p>
    <w:p>
      <w:pPr>
        <w:ind w:left="3820"/>
        <w:spacing w:after="0" w:line="138" w:lineRule="exact"/>
        <w:tabs>
          <w:tab w:leader="none" w:pos="5420" w:val="left"/>
        </w:tabs>
        <w:rPr>
          <w:sz w:val="20"/>
          <w:szCs w:val="20"/>
          <w:color w:val="auto"/>
        </w:rPr>
      </w:pPr>
      <w:r>
        <w:rPr>
          <w:rFonts w:ascii="Arial" w:cs="Arial" w:eastAsia="Arial" w:hAnsi="Arial"/>
          <w:sz w:val="12"/>
          <w:szCs w:val="12"/>
          <w:b w:val="1"/>
          <w:bCs w:val="1"/>
          <w:color w:val="auto"/>
        </w:rPr>
        <w:t>the Securities Act Of 1933</w:t>
      </w:r>
      <w:r>
        <w:rPr>
          <w:sz w:val="20"/>
          <w:szCs w:val="20"/>
          <w:color w:val="auto"/>
        </w:rPr>
        <w:tab/>
      </w:r>
      <w:r>
        <w:rPr>
          <w:rFonts w:ascii="MS PGothic" w:cs="MS PGothic" w:eastAsia="MS PGothic" w:hAnsi="MS PGothic"/>
          <w:sz w:val="12"/>
          <w:szCs w:val="12"/>
          <w:color w:val="auto"/>
        </w:rPr>
        <w:t>☒</w:t>
      </w:r>
    </w:p>
    <w:p>
      <w:pPr>
        <w:spacing w:after="0" w:line="26" w:lineRule="exact"/>
        <w:rPr>
          <w:sz w:val="24"/>
          <w:szCs w:val="24"/>
          <w:color w:val="auto"/>
        </w:rPr>
      </w:pPr>
    </w:p>
    <w:p>
      <w:pPr>
        <w:ind w:left="3940"/>
        <w:spacing w:after="0" w:line="138" w:lineRule="exact"/>
        <w:rPr>
          <w:sz w:val="20"/>
          <w:szCs w:val="20"/>
          <w:color w:val="auto"/>
        </w:rPr>
      </w:pPr>
      <w:r>
        <w:rPr>
          <w:rFonts w:ascii="Arial" w:cs="Arial" w:eastAsia="Arial" w:hAnsi="Arial"/>
          <w:sz w:val="12"/>
          <w:szCs w:val="12"/>
          <w:b w:val="1"/>
          <w:bCs w:val="1"/>
          <w:color w:val="auto"/>
        </w:rPr>
        <w:t xml:space="preserve">Post-Effective Amendment  </w:t>
      </w:r>
      <w:r>
        <w:rPr>
          <w:rFonts w:ascii="MS PGothic" w:cs="MS PGothic" w:eastAsia="MS PGothic" w:hAnsi="MS PGothic"/>
          <w:sz w:val="12"/>
          <w:szCs w:val="12"/>
          <w:color w:val="auto"/>
        </w:rPr>
        <w:t>☐</w:t>
      </w:r>
    </w:p>
    <w:p>
      <w:pPr>
        <w:spacing w:after="0" w:line="18" w:lineRule="exact"/>
        <w:rPr>
          <w:sz w:val="24"/>
          <w:szCs w:val="24"/>
          <w:color w:val="auto"/>
        </w:rPr>
      </w:pPr>
    </w:p>
    <w:p>
      <w:pPr>
        <w:ind w:left="3980"/>
        <w:spacing w:after="0" w:line="138" w:lineRule="exact"/>
        <w:rPr>
          <w:sz w:val="20"/>
          <w:szCs w:val="20"/>
          <w:color w:val="auto"/>
        </w:rPr>
      </w:pPr>
      <w:r>
        <w:rPr>
          <w:rFonts w:ascii="Arial" w:cs="Arial" w:eastAsia="Arial" w:hAnsi="Arial"/>
          <w:sz w:val="12"/>
          <w:szCs w:val="12"/>
          <w:b w:val="1"/>
          <w:bCs w:val="1"/>
          <w:color w:val="auto"/>
        </w:rPr>
        <w:t xml:space="preserve">Pre-Effective Amendment  </w:t>
      </w:r>
      <w:r>
        <w:rPr>
          <w:rFonts w:ascii="MS PGothic" w:cs="MS PGothic" w:eastAsia="MS PGothic" w:hAnsi="MS PGothic"/>
          <w:sz w:val="12"/>
          <w:szCs w:val="12"/>
          <w:color w:val="auto"/>
        </w:rPr>
        <w:t>☐</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PennantPark Floating Rate Capital Ltd.</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180340</wp:posOffset>
            </wp:positionV>
            <wp:extent cx="113284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2840" cy="6350"/>
                    </a:xfrm>
                    <a:prstGeom prst="rect">
                      <a:avLst/>
                    </a:prstGeom>
                    <a:noFill/>
                  </pic:spPr>
                </pic:pic>
              </a:graphicData>
            </a:graphic>
          </wp:anchor>
        </w:drawing>
      </w: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1691 Michigan Avenue</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Miami, Florida 33139</w:t>
      </w:r>
    </w:p>
    <w:p>
      <w:pPr>
        <w:jc w:val="center"/>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59" w:lineRule="exact"/>
        <w:rPr>
          <w:sz w:val="24"/>
          <w:szCs w:val="24"/>
          <w:color w:val="auto"/>
        </w:rPr>
      </w:pPr>
    </w:p>
    <w:p>
      <w:pPr>
        <w:ind w:left="4160"/>
        <w:spacing w:after="0"/>
        <w:rPr>
          <w:sz w:val="20"/>
          <w:szCs w:val="20"/>
          <w:color w:val="auto"/>
        </w:rPr>
      </w:pPr>
      <w:r>
        <w:rPr>
          <w:rFonts w:ascii="Arial" w:cs="Arial" w:eastAsia="Arial" w:hAnsi="Arial"/>
          <w:sz w:val="11"/>
          <w:szCs w:val="11"/>
          <w:b w:val="1"/>
          <w:bCs w:val="1"/>
          <w:color w:val="auto"/>
        </w:rPr>
        <w:t>(212) 905-1000</w:t>
      </w:r>
    </w:p>
    <w:p>
      <w:pPr>
        <w:spacing w:after="0" w:line="71" w:lineRule="exact"/>
        <w:rPr>
          <w:sz w:val="24"/>
          <w:szCs w:val="24"/>
          <w:color w:val="auto"/>
        </w:rPr>
      </w:pPr>
    </w:p>
    <w:p>
      <w:pPr>
        <w:ind w:left="3200"/>
        <w:spacing w:after="0"/>
        <w:rPr>
          <w:sz w:val="20"/>
          <w:szCs w:val="20"/>
          <w:color w:val="auto"/>
        </w:rPr>
      </w:pPr>
      <w:r>
        <w:rPr>
          <w:rFonts w:ascii="Arial" w:cs="Arial" w:eastAsia="Arial" w:hAnsi="Arial"/>
          <w:sz w:val="11"/>
          <w:szCs w:val="11"/>
          <w:b w:val="1"/>
          <w:bCs w:val="1"/>
          <w:color w:val="auto"/>
        </w:rPr>
        <w:t>(Registrant’s Telephone Number, Including Area Code)</w:t>
      </w:r>
    </w:p>
    <w:p>
      <w:pPr>
        <w:spacing w:after="0" w:line="70" w:lineRule="exact"/>
        <w:rPr>
          <w:sz w:val="24"/>
          <w:szCs w:val="24"/>
          <w:color w:val="auto"/>
        </w:rPr>
      </w:pPr>
    </w:p>
    <w:p>
      <w:pPr>
        <w:ind w:left="4140"/>
        <w:spacing w:after="0"/>
        <w:rPr>
          <w:sz w:val="20"/>
          <w:szCs w:val="20"/>
          <w:color w:val="auto"/>
        </w:rPr>
      </w:pPr>
      <w:r>
        <w:rPr>
          <w:rFonts w:ascii="Arial" w:cs="Arial" w:eastAsia="Arial" w:hAnsi="Arial"/>
          <w:sz w:val="11"/>
          <w:szCs w:val="11"/>
          <w:b w:val="1"/>
          <w:bCs w:val="1"/>
          <w:color w:val="auto"/>
        </w:rPr>
        <w:t>Arthur H. Penn</w:t>
      </w:r>
    </w:p>
    <w:p>
      <w:pPr>
        <w:jc w:val="center"/>
        <w:spacing w:after="0" w:line="216" w:lineRule="auto"/>
        <w:rPr>
          <w:sz w:val="20"/>
          <w:szCs w:val="20"/>
          <w:color w:val="auto"/>
        </w:rPr>
      </w:pPr>
      <w:r>
        <w:rPr>
          <w:rFonts w:ascii="Arial" w:cs="Arial" w:eastAsia="Arial" w:hAnsi="Arial"/>
          <w:sz w:val="11"/>
          <w:szCs w:val="11"/>
          <w:b w:val="1"/>
          <w:bCs w:val="1"/>
          <w:color w:val="auto"/>
        </w:rPr>
        <w:t>c/o PennantPark Floating Rate Capital Ltd.</w:t>
      </w:r>
    </w:p>
    <w:p>
      <w:pPr>
        <w:jc w:val="center"/>
        <w:spacing w:after="0" w:line="216" w:lineRule="auto"/>
        <w:rPr>
          <w:sz w:val="20"/>
          <w:szCs w:val="20"/>
          <w:color w:val="auto"/>
        </w:rPr>
      </w:pPr>
      <w:r>
        <w:rPr>
          <w:rFonts w:ascii="Arial" w:cs="Arial" w:eastAsia="Arial" w:hAnsi="Arial"/>
          <w:sz w:val="11"/>
          <w:szCs w:val="11"/>
          <w:b w:val="1"/>
          <w:bCs w:val="1"/>
          <w:color w:val="auto"/>
        </w:rPr>
        <w:t>1691 Michigan Avenue</w:t>
      </w:r>
    </w:p>
    <w:p>
      <w:pPr>
        <w:jc w:val="center"/>
        <w:spacing w:after="0" w:line="217" w:lineRule="auto"/>
        <w:rPr>
          <w:sz w:val="20"/>
          <w:szCs w:val="20"/>
          <w:color w:val="auto"/>
        </w:rPr>
      </w:pPr>
      <w:r>
        <w:rPr>
          <w:rFonts w:ascii="Arial" w:cs="Arial" w:eastAsia="Arial" w:hAnsi="Arial"/>
          <w:sz w:val="11"/>
          <w:szCs w:val="11"/>
          <w:b w:val="1"/>
          <w:bCs w:val="1"/>
          <w:color w:val="auto"/>
        </w:rPr>
        <w:t>Miami, FL 33139</w:t>
      </w:r>
    </w:p>
    <w:p>
      <w:pPr>
        <w:jc w:val="center"/>
        <w:spacing w:after="0"/>
        <w:rPr>
          <w:sz w:val="20"/>
          <w:szCs w:val="20"/>
          <w:color w:val="auto"/>
        </w:rPr>
      </w:pPr>
      <w:r>
        <w:rPr>
          <w:rFonts w:ascii="Arial" w:cs="Arial" w:eastAsia="Arial" w:hAnsi="Arial"/>
          <w:sz w:val="11"/>
          <w:szCs w:val="11"/>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48260</wp:posOffset>
            </wp:positionV>
            <wp:extent cx="113284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2840" cy="6350"/>
                    </a:xfrm>
                    <a:prstGeom prst="rect">
                      <a:avLst/>
                    </a:prstGeom>
                    <a:noFill/>
                  </pic:spPr>
                </pic:pic>
              </a:graphicData>
            </a:graphic>
          </wp:anchor>
        </w:drawing>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1"/>
          <w:szCs w:val="11"/>
          <w:b w:val="1"/>
          <w:bCs w:val="1"/>
          <w:i w:val="1"/>
          <w:iCs w:val="1"/>
          <w:color w:val="auto"/>
        </w:rPr>
        <w:t>Copies to:</w:t>
      </w:r>
    </w:p>
    <w:p>
      <w:pPr>
        <w:jc w:val="center"/>
        <w:spacing w:after="0" w:line="216" w:lineRule="auto"/>
        <w:rPr>
          <w:sz w:val="20"/>
          <w:szCs w:val="20"/>
          <w:color w:val="auto"/>
        </w:rPr>
      </w:pPr>
      <w:r>
        <w:rPr>
          <w:rFonts w:ascii="Arial" w:cs="Arial" w:eastAsia="Arial" w:hAnsi="Arial"/>
          <w:sz w:val="11"/>
          <w:szCs w:val="11"/>
          <w:b w:val="1"/>
          <w:bCs w:val="1"/>
          <w:color w:val="auto"/>
        </w:rPr>
        <w:t>Thomas Friedmann</w:t>
      </w:r>
    </w:p>
    <w:p>
      <w:pPr>
        <w:jc w:val="center"/>
        <w:spacing w:after="0" w:line="216" w:lineRule="auto"/>
        <w:rPr>
          <w:sz w:val="20"/>
          <w:szCs w:val="20"/>
          <w:color w:val="auto"/>
        </w:rPr>
      </w:pPr>
      <w:r>
        <w:rPr>
          <w:rFonts w:ascii="Arial" w:cs="Arial" w:eastAsia="Arial" w:hAnsi="Arial"/>
          <w:sz w:val="11"/>
          <w:szCs w:val="11"/>
          <w:b w:val="1"/>
          <w:bCs w:val="1"/>
          <w:color w:val="auto"/>
        </w:rPr>
        <w:t>Stephen Pratt</w:t>
      </w:r>
    </w:p>
    <w:p>
      <w:pPr>
        <w:jc w:val="center"/>
        <w:spacing w:after="0" w:line="217" w:lineRule="auto"/>
        <w:rPr>
          <w:sz w:val="20"/>
          <w:szCs w:val="20"/>
          <w:color w:val="auto"/>
        </w:rPr>
      </w:pPr>
      <w:r>
        <w:rPr>
          <w:rFonts w:ascii="Arial" w:cs="Arial" w:eastAsia="Arial" w:hAnsi="Arial"/>
          <w:sz w:val="11"/>
          <w:szCs w:val="11"/>
          <w:b w:val="1"/>
          <w:bCs w:val="1"/>
          <w:color w:val="auto"/>
        </w:rPr>
        <w:t>Dechert LLP</w:t>
      </w:r>
    </w:p>
    <w:p>
      <w:pPr>
        <w:jc w:val="center"/>
        <w:spacing w:after="0" w:line="216" w:lineRule="auto"/>
        <w:rPr>
          <w:sz w:val="20"/>
          <w:szCs w:val="20"/>
          <w:color w:val="auto"/>
        </w:rPr>
      </w:pPr>
      <w:r>
        <w:rPr>
          <w:rFonts w:ascii="Arial" w:cs="Arial" w:eastAsia="Arial" w:hAnsi="Arial"/>
          <w:sz w:val="11"/>
          <w:szCs w:val="11"/>
          <w:b w:val="1"/>
          <w:bCs w:val="1"/>
          <w:color w:val="auto"/>
        </w:rPr>
        <w:t>One International Place</w:t>
      </w:r>
    </w:p>
    <w:p>
      <w:pPr>
        <w:jc w:val="center"/>
        <w:spacing w:after="0" w:line="217" w:lineRule="auto"/>
        <w:rPr>
          <w:sz w:val="20"/>
          <w:szCs w:val="20"/>
          <w:color w:val="auto"/>
        </w:rPr>
      </w:pPr>
      <w:r>
        <w:rPr>
          <w:rFonts w:ascii="Arial" w:cs="Arial" w:eastAsia="Arial" w:hAnsi="Arial"/>
          <w:sz w:val="11"/>
          <w:szCs w:val="11"/>
          <w:b w:val="1"/>
          <w:bCs w:val="1"/>
          <w:color w:val="auto"/>
        </w:rPr>
        <w:t>40th Floor</w:t>
      </w:r>
    </w:p>
    <w:p>
      <w:pPr>
        <w:jc w:val="center"/>
        <w:spacing w:after="0" w:line="216" w:lineRule="auto"/>
        <w:rPr>
          <w:sz w:val="20"/>
          <w:szCs w:val="20"/>
          <w:color w:val="auto"/>
        </w:rPr>
      </w:pPr>
      <w:r>
        <w:rPr>
          <w:rFonts w:ascii="Arial" w:cs="Arial" w:eastAsia="Arial" w:hAnsi="Arial"/>
          <w:sz w:val="11"/>
          <w:szCs w:val="11"/>
          <w:b w:val="1"/>
          <w:bCs w:val="1"/>
          <w:color w:val="auto"/>
        </w:rPr>
        <w:t>100 Oliver Street</w:t>
      </w:r>
    </w:p>
    <w:p>
      <w:pPr>
        <w:jc w:val="center"/>
        <w:spacing w:after="0"/>
        <w:rPr>
          <w:sz w:val="20"/>
          <w:szCs w:val="20"/>
          <w:color w:val="auto"/>
        </w:rPr>
      </w:pPr>
      <w:r>
        <w:rPr>
          <w:rFonts w:ascii="Arial" w:cs="Arial" w:eastAsia="Arial" w:hAnsi="Arial"/>
          <w:sz w:val="11"/>
          <w:szCs w:val="11"/>
          <w:b w:val="1"/>
          <w:bCs w:val="1"/>
          <w:color w:val="auto"/>
        </w:rPr>
        <w:t>Boston, MA 02110</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APPROXIMATE DATE OF PROPOSED PUBLIC OFFERING:</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180975</wp:posOffset>
            </wp:positionV>
            <wp:extent cx="113284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32840" cy="6350"/>
                    </a:xfrm>
                    <a:prstGeom prst="rect">
                      <a:avLst/>
                    </a:prstGeom>
                    <a:noFill/>
                  </pic:spPr>
                </pic:pic>
              </a:graphicData>
            </a:graphic>
          </wp:anchor>
        </w:drawing>
      </w:r>
    </w:p>
    <w:p>
      <w:pPr>
        <w:spacing w:after="0" w:line="355" w:lineRule="exact"/>
        <w:rPr>
          <w:sz w:val="24"/>
          <w:szCs w:val="24"/>
          <w:color w:val="auto"/>
        </w:rPr>
      </w:pPr>
    </w:p>
    <w:p>
      <w:pPr>
        <w:ind w:left="400" w:hanging="127"/>
        <w:spacing w:after="0"/>
        <w:tabs>
          <w:tab w:leader="none" w:pos="40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Check box if the only securities being registered on this Form are being offered pursuant to dividend or interest reinvestment plans.</w:t>
      </w:r>
    </w:p>
    <w:p>
      <w:pPr>
        <w:spacing w:after="0" w:line="91" w:lineRule="exact"/>
        <w:rPr>
          <w:sz w:val="24"/>
          <w:szCs w:val="24"/>
          <w:color w:val="auto"/>
        </w:rPr>
      </w:pPr>
    </w:p>
    <w:p>
      <w:pPr>
        <w:ind w:left="280" w:right="319" w:hanging="7"/>
        <w:spacing w:after="0" w:line="258" w:lineRule="auto"/>
        <w:tabs>
          <w:tab w:leader="none" w:pos="411" w:val="left"/>
        </w:tabs>
        <w:numPr>
          <w:ilvl w:val="0"/>
          <w:numId w:val="2"/>
        </w:numPr>
        <w:rPr>
          <w:rFonts w:ascii="MS PGothic" w:cs="MS PGothic" w:eastAsia="MS PGothic" w:hAnsi="MS PGothic"/>
          <w:sz w:val="11"/>
          <w:szCs w:val="11"/>
          <w:color w:val="auto"/>
        </w:rPr>
      </w:pPr>
      <w:r>
        <w:rPr>
          <w:rFonts w:ascii="Arial" w:cs="Arial" w:eastAsia="Arial" w:hAnsi="Arial"/>
          <w:sz w:val="11"/>
          <w:szCs w:val="11"/>
          <w:color w:val="auto"/>
        </w:rPr>
        <w:t>Check box if any securities being registered on this Form will be offered on a delayed or continuous basis in reliance on Rule 415 under the Securities Act of 1933 (“Securities Act”), other than securities offered in connection with a dividend reinvestment plan.</w:t>
      </w:r>
    </w:p>
    <w:p>
      <w:pPr>
        <w:spacing w:after="0" w:line="59" w:lineRule="exact"/>
        <w:rPr>
          <w:rFonts w:ascii="MS PGothic" w:cs="MS PGothic" w:eastAsia="MS PGothic" w:hAnsi="MS PGothic"/>
          <w:sz w:val="11"/>
          <w:szCs w:val="11"/>
          <w:color w:val="auto"/>
        </w:rPr>
      </w:pPr>
    </w:p>
    <w:p>
      <w:pPr>
        <w:ind w:left="400" w:hanging="127"/>
        <w:spacing w:after="0"/>
        <w:tabs>
          <w:tab w:leader="none" w:pos="400" w:val="left"/>
        </w:tabs>
        <w:numPr>
          <w:ilvl w:val="0"/>
          <w:numId w:val="2"/>
        </w:numPr>
        <w:rPr>
          <w:rFonts w:ascii="MS PGothic" w:cs="MS PGothic" w:eastAsia="MS PGothic" w:hAnsi="MS PGothic"/>
          <w:sz w:val="11"/>
          <w:szCs w:val="11"/>
          <w:color w:val="auto"/>
        </w:rPr>
      </w:pPr>
      <w:r>
        <w:rPr>
          <w:rFonts w:ascii="Arial" w:cs="Arial" w:eastAsia="Arial" w:hAnsi="Arial"/>
          <w:sz w:val="11"/>
          <w:szCs w:val="11"/>
          <w:color w:val="auto"/>
        </w:rPr>
        <w:t>Check box if this Form is a registration statement pursuant to General Instruction A.2 or a post-effective amendment thereto.</w:t>
      </w:r>
    </w:p>
    <w:p>
      <w:pPr>
        <w:spacing w:after="0" w:line="91" w:lineRule="exact"/>
        <w:rPr>
          <w:sz w:val="24"/>
          <w:szCs w:val="24"/>
          <w:color w:val="auto"/>
        </w:rPr>
      </w:pPr>
    </w:p>
    <w:p>
      <w:pPr>
        <w:ind w:left="280" w:right="559" w:hanging="7"/>
        <w:spacing w:after="0" w:line="258" w:lineRule="auto"/>
        <w:tabs>
          <w:tab w:leader="none" w:pos="411" w:val="left"/>
        </w:tabs>
        <w:numPr>
          <w:ilvl w:val="0"/>
          <w:numId w:val="3"/>
        </w:numPr>
        <w:rPr>
          <w:rFonts w:ascii="MS PGothic" w:cs="MS PGothic" w:eastAsia="MS PGothic" w:hAnsi="MS PGothic"/>
          <w:sz w:val="11"/>
          <w:szCs w:val="11"/>
          <w:color w:val="auto"/>
        </w:rPr>
      </w:pPr>
      <w:r>
        <w:rPr>
          <w:rFonts w:ascii="Arial" w:cs="Arial" w:eastAsia="Arial" w:hAnsi="Arial"/>
          <w:sz w:val="11"/>
          <w:szCs w:val="11"/>
          <w:color w:val="auto"/>
        </w:rPr>
        <w:t>Check box if this Form is a registration statement pursuant to General Instruction B or a post-effective amendment thereto that will become effective upon filing with the Commission pursuant to Rule 462(e) under the Securities Act.</w:t>
      </w:r>
    </w:p>
    <w:p>
      <w:pPr>
        <w:spacing w:after="0" w:line="59" w:lineRule="exact"/>
        <w:rPr>
          <w:rFonts w:ascii="MS PGothic" w:cs="MS PGothic" w:eastAsia="MS PGothic" w:hAnsi="MS PGothic"/>
          <w:sz w:val="11"/>
          <w:szCs w:val="11"/>
          <w:color w:val="auto"/>
        </w:rPr>
      </w:pPr>
    </w:p>
    <w:p>
      <w:pPr>
        <w:ind w:left="280" w:right="459" w:hanging="7"/>
        <w:spacing w:after="0" w:line="258" w:lineRule="auto"/>
        <w:tabs>
          <w:tab w:leader="none" w:pos="411" w:val="left"/>
        </w:tabs>
        <w:numPr>
          <w:ilvl w:val="0"/>
          <w:numId w:val="3"/>
        </w:numPr>
        <w:rPr>
          <w:rFonts w:ascii="MS PGothic" w:cs="MS PGothic" w:eastAsia="MS PGothic" w:hAnsi="MS PGothic"/>
          <w:sz w:val="11"/>
          <w:szCs w:val="11"/>
          <w:color w:val="auto"/>
        </w:rPr>
      </w:pPr>
      <w:r>
        <w:rPr>
          <w:rFonts w:ascii="Arial" w:cs="Arial" w:eastAsia="Arial" w:hAnsi="Arial"/>
          <w:sz w:val="11"/>
          <w:szCs w:val="11"/>
          <w:color w:val="auto"/>
        </w:rPr>
        <w:t>Check box if this Form is a post-effective amendment to a registration statement filed pursuant to General Instruction B to register additional securities or additional classes of securities pursuant to Rule 413(b) under the Securities Act.</w:t>
      </w:r>
    </w:p>
    <w:p>
      <w:pPr>
        <w:spacing w:after="0" w:line="46" w:lineRule="exact"/>
        <w:rPr>
          <w:sz w:val="24"/>
          <w:szCs w:val="24"/>
          <w:color w:val="auto"/>
        </w:rPr>
      </w:pPr>
    </w:p>
    <w:p>
      <w:pPr>
        <w:ind w:left="280"/>
        <w:spacing w:after="0"/>
        <w:rPr>
          <w:sz w:val="20"/>
          <w:szCs w:val="20"/>
          <w:color w:val="auto"/>
        </w:rPr>
      </w:pPr>
      <w:r>
        <w:rPr>
          <w:rFonts w:ascii="Arial" w:cs="Arial" w:eastAsia="Arial" w:hAnsi="Arial"/>
          <w:sz w:val="11"/>
          <w:szCs w:val="11"/>
          <w:b w:val="1"/>
          <w:bCs w:val="1"/>
          <w:color w:val="auto"/>
        </w:rPr>
        <w:t>It is proposed that this filing will become effective (check appropriate box):</w:t>
      </w:r>
    </w:p>
    <w:p>
      <w:pPr>
        <w:spacing w:after="0" w:line="85" w:lineRule="exact"/>
        <w:rPr>
          <w:sz w:val="24"/>
          <w:szCs w:val="24"/>
          <w:color w:val="auto"/>
        </w:rPr>
      </w:pPr>
    </w:p>
    <w:p>
      <w:pPr>
        <w:ind w:left="400" w:hanging="127"/>
        <w:spacing w:after="0"/>
        <w:tabs>
          <w:tab w:leader="none" w:pos="400" w:val="left"/>
        </w:tabs>
        <w:numPr>
          <w:ilvl w:val="0"/>
          <w:numId w:val="4"/>
        </w:numPr>
        <w:rPr>
          <w:rFonts w:ascii="MS PGothic" w:cs="MS PGothic" w:eastAsia="MS PGothic" w:hAnsi="MS PGothic"/>
          <w:sz w:val="11"/>
          <w:szCs w:val="11"/>
          <w:color w:val="auto"/>
        </w:rPr>
      </w:pPr>
      <w:r>
        <w:rPr>
          <w:rFonts w:ascii="Arial" w:cs="Arial" w:eastAsia="Arial" w:hAnsi="Arial"/>
          <w:sz w:val="11"/>
          <w:szCs w:val="11"/>
          <w:color w:val="auto"/>
        </w:rPr>
        <w:t>when declared effective pursuant to Section 8(c) of the Securities Act.</w:t>
      </w:r>
    </w:p>
    <w:p>
      <w:pPr>
        <w:spacing w:after="0" w:line="77" w:lineRule="exact"/>
        <w:rPr>
          <w:sz w:val="24"/>
          <w:szCs w:val="24"/>
          <w:color w:val="auto"/>
        </w:rPr>
      </w:pPr>
    </w:p>
    <w:p>
      <w:pPr>
        <w:ind w:left="280"/>
        <w:spacing w:after="0"/>
        <w:rPr>
          <w:sz w:val="20"/>
          <w:szCs w:val="20"/>
          <w:color w:val="auto"/>
        </w:rPr>
      </w:pPr>
      <w:r>
        <w:rPr>
          <w:rFonts w:ascii="Arial" w:cs="Arial" w:eastAsia="Arial" w:hAnsi="Arial"/>
          <w:sz w:val="11"/>
          <w:szCs w:val="11"/>
          <w:b w:val="1"/>
          <w:bCs w:val="1"/>
          <w:color w:val="auto"/>
        </w:rPr>
        <w:t>If appropriate, check the following box:</w:t>
      </w:r>
    </w:p>
    <w:p>
      <w:pPr>
        <w:spacing w:after="0" w:line="85" w:lineRule="exact"/>
        <w:rPr>
          <w:sz w:val="24"/>
          <w:szCs w:val="24"/>
          <w:color w:val="auto"/>
        </w:rPr>
      </w:pPr>
    </w:p>
    <w:p>
      <w:pPr>
        <w:ind w:left="400" w:hanging="127"/>
        <w:spacing w:after="0"/>
        <w:tabs>
          <w:tab w:leader="none" w:pos="400" w:val="left"/>
        </w:tabs>
        <w:numPr>
          <w:ilvl w:val="0"/>
          <w:numId w:val="5"/>
        </w:numPr>
        <w:rPr>
          <w:rFonts w:ascii="MS PGothic" w:cs="MS PGothic" w:eastAsia="MS PGothic" w:hAnsi="MS PGothic"/>
          <w:sz w:val="11"/>
          <w:szCs w:val="11"/>
          <w:color w:val="auto"/>
        </w:rPr>
      </w:pPr>
      <w:r>
        <w:rPr>
          <w:rFonts w:ascii="Arial" w:cs="Arial" w:eastAsia="Arial" w:hAnsi="Arial"/>
          <w:sz w:val="11"/>
          <w:szCs w:val="11"/>
          <w:color w:val="auto"/>
        </w:rPr>
        <w:t>This post-effective amendment designates a new effective date for a previously filed post-effective amendment registration statement.</w:t>
      </w:r>
    </w:p>
    <w:p>
      <w:pPr>
        <w:spacing w:after="0" w:line="91" w:lineRule="exact"/>
        <w:rPr>
          <w:rFonts w:ascii="MS PGothic" w:cs="MS PGothic" w:eastAsia="MS PGothic" w:hAnsi="MS PGothic"/>
          <w:sz w:val="11"/>
          <w:szCs w:val="11"/>
          <w:color w:val="auto"/>
        </w:rPr>
      </w:pPr>
    </w:p>
    <w:p>
      <w:pPr>
        <w:ind w:left="400" w:hanging="127"/>
        <w:spacing w:after="0"/>
        <w:tabs>
          <w:tab w:leader="none" w:pos="400" w:val="left"/>
        </w:tabs>
        <w:numPr>
          <w:ilvl w:val="0"/>
          <w:numId w:val="5"/>
        </w:numPr>
        <w:rPr>
          <w:rFonts w:ascii="MS PGothic" w:cs="MS PGothic" w:eastAsia="MS PGothic" w:hAnsi="MS PGothic"/>
          <w:sz w:val="10"/>
          <w:szCs w:val="10"/>
          <w:color w:val="auto"/>
        </w:rPr>
      </w:pPr>
      <w:r>
        <w:rPr>
          <w:rFonts w:ascii="Arial" w:cs="Arial" w:eastAsia="Arial" w:hAnsi="Arial"/>
          <w:sz w:val="10"/>
          <w:szCs w:val="10"/>
          <w:color w:val="auto"/>
        </w:rPr>
        <w:t>This Form is filed to register additional securities for an offering pursuant to Rule 462(b) under the Securities Act, and the Securities Act registration statement number of the earlier</w:t>
      </w:r>
    </w:p>
    <w:p>
      <w:pPr>
        <w:spacing w:after="0" w:line="17" w:lineRule="exact"/>
        <w:rPr>
          <w:sz w:val="24"/>
          <w:szCs w:val="24"/>
          <w:color w:val="auto"/>
        </w:rPr>
      </w:pPr>
    </w:p>
    <w:p>
      <w:pPr>
        <w:ind w:left="280"/>
        <w:spacing w:after="0"/>
        <w:tabs>
          <w:tab w:leader="none" w:pos="3040" w:val="left"/>
        </w:tabs>
        <w:rPr>
          <w:sz w:val="20"/>
          <w:szCs w:val="20"/>
          <w:color w:val="auto"/>
        </w:rPr>
      </w:pPr>
      <w:r>
        <w:rPr>
          <w:rFonts w:ascii="Arial" w:cs="Arial" w:eastAsia="Arial" w:hAnsi="Arial"/>
          <w:sz w:val="11"/>
          <w:szCs w:val="11"/>
          <w:color w:val="auto"/>
        </w:rPr>
        <w:t>effective registration statement for the same offering is:</w:t>
      </w:r>
      <w:r>
        <w:rPr>
          <w:sz w:val="20"/>
          <w:szCs w:val="20"/>
          <w:color w:val="auto"/>
        </w:rPr>
        <w:tab/>
      </w:r>
      <w:r>
        <w:rPr>
          <w:rFonts w:ascii="Arial" w:cs="Arial" w:eastAsia="Arial" w:hAnsi="Arial"/>
          <w:sz w:val="7"/>
          <w:szCs w:val="7"/>
          <w:color w:val="auto"/>
        </w:rPr>
        <w:t>.</w:t>
      </w:r>
    </w:p>
    <w:p>
      <w:pPr>
        <w:spacing w:after="0" w:line="73" w:lineRule="exact"/>
        <w:rPr>
          <w:sz w:val="24"/>
          <w:szCs w:val="24"/>
          <w:color w:val="auto"/>
        </w:rPr>
      </w:pPr>
    </w:p>
    <w:p>
      <w:pPr>
        <w:ind w:left="400" w:hanging="127"/>
        <w:spacing w:after="0"/>
        <w:tabs>
          <w:tab w:leader="none" w:pos="400" w:val="left"/>
        </w:tabs>
        <w:numPr>
          <w:ilvl w:val="0"/>
          <w:numId w:val="6"/>
        </w:numPr>
        <w:rPr>
          <w:rFonts w:ascii="MS PGothic" w:cs="MS PGothic" w:eastAsia="MS PGothic" w:hAnsi="MS PGothic"/>
          <w:sz w:val="10"/>
          <w:szCs w:val="10"/>
          <w:color w:val="auto"/>
        </w:rPr>
      </w:pPr>
      <w:r>
        <w:rPr>
          <w:rFonts w:ascii="Arial" w:cs="Arial" w:eastAsia="Arial" w:hAnsi="Arial"/>
          <w:sz w:val="10"/>
          <w:szCs w:val="10"/>
          <w:color w:val="auto"/>
        </w:rPr>
        <w:t>This Form is a post-effective amendment filed pursuant to Rule 462(c) under the Securities Act, and the Securities Act registration statement number of the earlier effective registration</w:t>
      </w:r>
    </w:p>
    <w:p>
      <w:pPr>
        <w:spacing w:after="0" w:line="17" w:lineRule="exact"/>
        <w:rPr>
          <w:sz w:val="24"/>
          <w:szCs w:val="24"/>
          <w:color w:val="auto"/>
        </w:rPr>
      </w:pPr>
    </w:p>
    <w:p>
      <w:pPr>
        <w:ind w:left="280"/>
        <w:spacing w:after="0"/>
        <w:tabs>
          <w:tab w:leader="none" w:pos="2100" w:val="left"/>
        </w:tabs>
        <w:rPr>
          <w:sz w:val="20"/>
          <w:szCs w:val="20"/>
          <w:color w:val="auto"/>
        </w:rPr>
      </w:pPr>
      <w:r>
        <w:rPr>
          <w:rFonts w:ascii="Arial" w:cs="Arial" w:eastAsia="Arial" w:hAnsi="Arial"/>
          <w:sz w:val="11"/>
          <w:szCs w:val="11"/>
          <w:color w:val="auto"/>
        </w:rPr>
        <w:t>statement for the same offering is:</w:t>
      </w:r>
      <w:r>
        <w:rPr>
          <w:sz w:val="20"/>
          <w:szCs w:val="20"/>
          <w:color w:val="auto"/>
        </w:rPr>
        <w:tab/>
      </w:r>
      <w:r>
        <w:rPr>
          <w:rFonts w:ascii="Arial" w:cs="Arial" w:eastAsia="Arial" w:hAnsi="Arial"/>
          <w:sz w:val="7"/>
          <w:szCs w:val="7"/>
          <w:color w:val="auto"/>
        </w:rPr>
        <w:t>.</w:t>
      </w:r>
    </w:p>
    <w:p>
      <w:pPr>
        <w:spacing w:after="0" w:line="73" w:lineRule="exact"/>
        <w:rPr>
          <w:sz w:val="24"/>
          <w:szCs w:val="24"/>
          <w:color w:val="auto"/>
        </w:rPr>
      </w:pPr>
    </w:p>
    <w:p>
      <w:pPr>
        <w:ind w:left="400" w:hanging="127"/>
        <w:spacing w:after="0"/>
        <w:tabs>
          <w:tab w:leader="none" w:pos="400" w:val="left"/>
        </w:tabs>
        <w:numPr>
          <w:ilvl w:val="0"/>
          <w:numId w:val="7"/>
        </w:numPr>
        <w:rPr>
          <w:rFonts w:ascii="MS PGothic" w:cs="MS PGothic" w:eastAsia="MS PGothic" w:hAnsi="MS PGothic"/>
          <w:sz w:val="10"/>
          <w:szCs w:val="10"/>
          <w:color w:val="auto"/>
        </w:rPr>
      </w:pPr>
      <w:r>
        <w:rPr>
          <w:rFonts w:ascii="Arial" w:cs="Arial" w:eastAsia="Arial" w:hAnsi="Arial"/>
          <w:sz w:val="10"/>
          <w:szCs w:val="10"/>
          <w:color w:val="auto"/>
        </w:rPr>
        <w:t>This Form is a post-effective amendment filed pursuant to Rule 462(d) under the Securities Act, and the Securities Act registration statement number of the earlier effective registration</w:t>
      </w:r>
    </w:p>
    <w:p>
      <w:pPr>
        <w:spacing w:after="0" w:line="17" w:lineRule="exact"/>
        <w:rPr>
          <w:sz w:val="24"/>
          <w:szCs w:val="24"/>
          <w:color w:val="auto"/>
        </w:rPr>
      </w:pPr>
    </w:p>
    <w:p>
      <w:pPr>
        <w:ind w:left="280"/>
        <w:spacing w:after="0"/>
        <w:tabs>
          <w:tab w:leader="none" w:pos="2100" w:val="left"/>
        </w:tabs>
        <w:rPr>
          <w:sz w:val="20"/>
          <w:szCs w:val="20"/>
          <w:color w:val="auto"/>
        </w:rPr>
      </w:pPr>
      <w:r>
        <w:rPr>
          <w:rFonts w:ascii="Arial" w:cs="Arial" w:eastAsia="Arial" w:hAnsi="Arial"/>
          <w:sz w:val="11"/>
          <w:szCs w:val="11"/>
          <w:color w:val="auto"/>
        </w:rPr>
        <w:t>statement for the same offering is:</w:t>
      </w:r>
      <w:r>
        <w:rPr>
          <w:sz w:val="20"/>
          <w:szCs w:val="20"/>
          <w:color w:val="auto"/>
        </w:rPr>
        <w:tab/>
      </w:r>
      <w:r>
        <w:rPr>
          <w:rFonts w:ascii="Arial" w:cs="Arial" w:eastAsia="Arial" w:hAnsi="Arial"/>
          <w:sz w:val="7"/>
          <w:szCs w:val="7"/>
          <w:color w:val="auto"/>
        </w:rPr>
        <w:t>.</w:t>
      </w:r>
    </w:p>
    <w:p>
      <w:pPr>
        <w:spacing w:after="0" w:line="59" w:lineRule="exact"/>
        <w:rPr>
          <w:sz w:val="24"/>
          <w:szCs w:val="24"/>
          <w:color w:val="auto"/>
        </w:rPr>
      </w:pPr>
    </w:p>
    <w:p>
      <w:pPr>
        <w:ind w:left="280"/>
        <w:spacing w:after="0"/>
        <w:rPr>
          <w:sz w:val="20"/>
          <w:szCs w:val="20"/>
          <w:color w:val="auto"/>
        </w:rPr>
      </w:pPr>
      <w:r>
        <w:rPr>
          <w:rFonts w:ascii="Arial" w:cs="Arial" w:eastAsia="Arial" w:hAnsi="Arial"/>
          <w:sz w:val="11"/>
          <w:szCs w:val="11"/>
          <w:b w:val="1"/>
          <w:bCs w:val="1"/>
          <w:color w:val="auto"/>
        </w:rPr>
        <w:t>Check each box that appropriately characterizes the Registrant:</w:t>
      </w:r>
    </w:p>
    <w:p>
      <w:pPr>
        <w:spacing w:after="0" w:line="85" w:lineRule="exact"/>
        <w:rPr>
          <w:sz w:val="24"/>
          <w:szCs w:val="24"/>
          <w:color w:val="auto"/>
        </w:rPr>
      </w:pPr>
    </w:p>
    <w:p>
      <w:pPr>
        <w:ind w:left="400" w:hanging="127"/>
        <w:spacing w:after="0"/>
        <w:tabs>
          <w:tab w:leader="none" w:pos="400" w:val="left"/>
        </w:tabs>
        <w:numPr>
          <w:ilvl w:val="0"/>
          <w:numId w:val="8"/>
        </w:numPr>
        <w:rPr>
          <w:rFonts w:ascii="MS PGothic" w:cs="MS PGothic" w:eastAsia="MS PGothic" w:hAnsi="MS PGothic"/>
          <w:sz w:val="11"/>
          <w:szCs w:val="11"/>
          <w:color w:val="auto"/>
        </w:rPr>
      </w:pPr>
      <w:r>
        <w:rPr>
          <w:rFonts w:ascii="Arial" w:cs="Arial" w:eastAsia="Arial" w:hAnsi="Arial"/>
          <w:sz w:val="11"/>
          <w:szCs w:val="11"/>
          <w:color w:val="auto"/>
        </w:rPr>
        <w:t>Registered Closed-End Fund (closed-end company that is registered under the Investment Company Act of 1940 (“Investment Company Act”)).</w:t>
      </w:r>
    </w:p>
    <w:p>
      <w:pPr>
        <w:spacing w:after="0" w:line="91" w:lineRule="exact"/>
        <w:rPr>
          <w:sz w:val="24"/>
          <w:szCs w:val="24"/>
          <w:color w:val="auto"/>
        </w:rPr>
      </w:pPr>
    </w:p>
    <w:p>
      <w:pPr>
        <w:ind w:left="400" w:hanging="127"/>
        <w:spacing w:after="0"/>
        <w:tabs>
          <w:tab w:leader="none" w:pos="400" w:val="left"/>
        </w:tabs>
        <w:numPr>
          <w:ilvl w:val="0"/>
          <w:numId w:val="9"/>
        </w:numPr>
        <w:rPr>
          <w:rFonts w:ascii="MS PGothic" w:cs="MS PGothic" w:eastAsia="MS PGothic" w:hAnsi="MS PGothic"/>
          <w:sz w:val="10"/>
          <w:szCs w:val="10"/>
          <w:color w:val="auto"/>
        </w:rPr>
      </w:pPr>
      <w:r>
        <w:rPr>
          <w:rFonts w:ascii="Arial" w:cs="Arial" w:eastAsia="Arial" w:hAnsi="Arial"/>
          <w:sz w:val="10"/>
          <w:szCs w:val="10"/>
          <w:color w:val="auto"/>
        </w:rPr>
        <w:t>Business Development Company (closed-end company that intends or has elected to be regulated as a business development company under the Investment Company Act).</w:t>
      </w:r>
    </w:p>
    <w:p>
      <w:pPr>
        <w:spacing w:after="0" w:line="103" w:lineRule="exact"/>
        <w:rPr>
          <w:sz w:val="24"/>
          <w:szCs w:val="24"/>
          <w:color w:val="auto"/>
        </w:rPr>
      </w:pPr>
    </w:p>
    <w:p>
      <w:pPr>
        <w:ind w:left="400" w:hanging="127"/>
        <w:spacing w:after="0"/>
        <w:tabs>
          <w:tab w:leader="none" w:pos="400" w:val="left"/>
        </w:tabs>
        <w:numPr>
          <w:ilvl w:val="0"/>
          <w:numId w:val="10"/>
        </w:numPr>
        <w:rPr>
          <w:rFonts w:ascii="MS PGothic" w:cs="MS PGothic" w:eastAsia="MS PGothic" w:hAnsi="MS PGothic"/>
          <w:sz w:val="10"/>
          <w:szCs w:val="10"/>
          <w:color w:val="auto"/>
        </w:rPr>
      </w:pPr>
      <w:r>
        <w:rPr>
          <w:rFonts w:ascii="Arial" w:cs="Arial" w:eastAsia="Arial" w:hAnsi="Arial"/>
          <w:sz w:val="10"/>
          <w:szCs w:val="10"/>
          <w:color w:val="auto"/>
        </w:rPr>
        <w:t>Interval Fund (Registered Closed-End Fund or a Business Development Company that makes periodic repurchase offers under Rule 23c-3 under the Investment Company Act).</w:t>
      </w:r>
    </w:p>
    <w:p>
      <w:pPr>
        <w:spacing w:after="0" w:line="103" w:lineRule="exact"/>
        <w:rPr>
          <w:sz w:val="24"/>
          <w:szCs w:val="24"/>
          <w:color w:val="auto"/>
        </w:rPr>
      </w:pPr>
    </w:p>
    <w:p>
      <w:pPr>
        <w:ind w:left="400" w:hanging="127"/>
        <w:spacing w:after="0"/>
        <w:tabs>
          <w:tab w:leader="none" w:pos="400" w:val="left"/>
        </w:tabs>
        <w:numPr>
          <w:ilvl w:val="0"/>
          <w:numId w:val="11"/>
        </w:numPr>
        <w:rPr>
          <w:rFonts w:ascii="MS PGothic" w:cs="MS PGothic" w:eastAsia="MS PGothic" w:hAnsi="MS PGothic"/>
          <w:sz w:val="11"/>
          <w:szCs w:val="11"/>
          <w:color w:val="auto"/>
        </w:rPr>
      </w:pPr>
      <w:r>
        <w:rPr>
          <w:rFonts w:ascii="Arial" w:cs="Arial" w:eastAsia="Arial" w:hAnsi="Arial"/>
          <w:sz w:val="11"/>
          <w:szCs w:val="11"/>
          <w:color w:val="auto"/>
        </w:rPr>
        <w:t>A.2 Qualified (qualified to register securities pursuant to General Instruction A.2 of this Form).</w:t>
      </w:r>
    </w:p>
    <w:p>
      <w:pPr>
        <w:spacing w:after="0" w:line="91" w:lineRule="exact"/>
        <w:rPr>
          <w:sz w:val="24"/>
          <w:szCs w:val="24"/>
          <w:color w:val="auto"/>
        </w:rPr>
      </w:pPr>
    </w:p>
    <w:p>
      <w:pPr>
        <w:ind w:left="400" w:hanging="127"/>
        <w:spacing w:after="0"/>
        <w:tabs>
          <w:tab w:leader="none" w:pos="400" w:val="left"/>
        </w:tabs>
        <w:numPr>
          <w:ilvl w:val="0"/>
          <w:numId w:val="12"/>
        </w:numPr>
        <w:rPr>
          <w:rFonts w:ascii="MS PGothic" w:cs="MS PGothic" w:eastAsia="MS PGothic" w:hAnsi="MS PGothic"/>
          <w:sz w:val="11"/>
          <w:szCs w:val="11"/>
          <w:color w:val="auto"/>
        </w:rPr>
      </w:pPr>
      <w:r>
        <w:rPr>
          <w:rFonts w:ascii="Arial" w:cs="Arial" w:eastAsia="Arial" w:hAnsi="Arial"/>
          <w:sz w:val="11"/>
          <w:szCs w:val="11"/>
          <w:color w:val="auto"/>
        </w:rPr>
        <w:t>Well-Known Seasoned Issuer (as defined by Rule 405 under the Securities Act).</w:t>
      </w:r>
    </w:p>
    <w:p>
      <w:pPr>
        <w:spacing w:after="0" w:line="91" w:lineRule="exact"/>
        <w:rPr>
          <w:rFonts w:ascii="MS PGothic" w:cs="MS PGothic" w:eastAsia="MS PGothic" w:hAnsi="MS PGothic"/>
          <w:sz w:val="11"/>
          <w:szCs w:val="11"/>
          <w:color w:val="auto"/>
        </w:rPr>
      </w:pPr>
    </w:p>
    <w:p>
      <w:pPr>
        <w:ind w:left="400" w:hanging="127"/>
        <w:spacing w:after="0"/>
        <w:tabs>
          <w:tab w:leader="none" w:pos="400" w:val="left"/>
        </w:tabs>
        <w:numPr>
          <w:ilvl w:val="0"/>
          <w:numId w:val="12"/>
        </w:numPr>
        <w:rPr>
          <w:rFonts w:ascii="MS PGothic" w:cs="MS PGothic" w:eastAsia="MS PGothic" w:hAnsi="MS PGothic"/>
          <w:sz w:val="11"/>
          <w:szCs w:val="11"/>
          <w:color w:val="auto"/>
        </w:rPr>
      </w:pPr>
      <w:r>
        <w:rPr>
          <w:rFonts w:ascii="Arial" w:cs="Arial" w:eastAsia="Arial" w:hAnsi="Arial"/>
          <w:sz w:val="11"/>
          <w:szCs w:val="11"/>
          <w:color w:val="auto"/>
        </w:rPr>
        <w:t>Emerging Growth Company (as defined by Rule 12b-2 under the Securities Exchange Act of 1934 (“Exchange Act”).</w:t>
      </w:r>
    </w:p>
    <w:p>
      <w:pPr>
        <w:spacing w:after="0" w:line="91" w:lineRule="exact"/>
        <w:rPr>
          <w:rFonts w:ascii="MS PGothic" w:cs="MS PGothic" w:eastAsia="MS PGothic" w:hAnsi="MS PGothic"/>
          <w:sz w:val="11"/>
          <w:szCs w:val="11"/>
          <w:color w:val="auto"/>
        </w:rPr>
      </w:pPr>
    </w:p>
    <w:p>
      <w:pPr>
        <w:ind w:left="280" w:right="319" w:hanging="7"/>
        <w:spacing w:after="0" w:line="258" w:lineRule="auto"/>
        <w:tabs>
          <w:tab w:leader="none" w:pos="411" w:val="left"/>
        </w:tabs>
        <w:numPr>
          <w:ilvl w:val="0"/>
          <w:numId w:val="12"/>
        </w:numPr>
        <w:rPr>
          <w:rFonts w:ascii="MS PGothic" w:cs="MS PGothic" w:eastAsia="MS PGothic" w:hAnsi="MS PGothic"/>
          <w:sz w:val="11"/>
          <w:szCs w:val="11"/>
          <w:color w:val="auto"/>
        </w:rPr>
      </w:pPr>
      <w:r>
        <w:rPr>
          <w:rFonts w:ascii="Arial" w:cs="Arial" w:eastAsia="Arial" w:hAnsi="Arial"/>
          <w:sz w:val="11"/>
          <w:szCs w:val="11"/>
          <w:color w:val="auto"/>
        </w:rPr>
        <w:t>If an Emerging Growth Company, indicate by check mark if the Registrant has elected not to use the extended transition period for complying with any new or revised financial accounting standards provided pursuant to Section 7(a)(2)(B) of Securities Act.</w:t>
      </w:r>
    </w:p>
    <w:p>
      <w:pPr>
        <w:spacing w:after="0" w:line="59" w:lineRule="exact"/>
        <w:rPr>
          <w:rFonts w:ascii="MS PGothic" w:cs="MS PGothic" w:eastAsia="MS PGothic" w:hAnsi="MS PGothic"/>
          <w:sz w:val="11"/>
          <w:szCs w:val="11"/>
          <w:color w:val="auto"/>
        </w:rPr>
      </w:pPr>
    </w:p>
    <w:p>
      <w:pPr>
        <w:ind w:left="400" w:hanging="127"/>
        <w:spacing w:after="0"/>
        <w:tabs>
          <w:tab w:leader="none" w:pos="400" w:val="left"/>
        </w:tabs>
        <w:numPr>
          <w:ilvl w:val="0"/>
          <w:numId w:val="12"/>
        </w:numPr>
        <w:rPr>
          <w:rFonts w:ascii="MS PGothic" w:cs="MS PGothic" w:eastAsia="MS PGothic" w:hAnsi="MS PGothic"/>
          <w:sz w:val="11"/>
          <w:szCs w:val="11"/>
          <w:color w:val="auto"/>
        </w:rPr>
      </w:pPr>
      <w:r>
        <w:rPr>
          <w:rFonts w:ascii="Arial" w:cs="Arial" w:eastAsia="Arial" w:hAnsi="Arial"/>
          <w:sz w:val="11"/>
          <w:szCs w:val="11"/>
          <w:color w:val="auto"/>
        </w:rPr>
        <w:t>New Registrant (registered or regulated under the Investment Company Act for less than 12 calendar months preceding this filing).</w:t>
      </w:r>
    </w:p>
    <w:p>
      <w:pPr>
        <w:spacing w:after="0" w:line="77" w:lineRule="exact"/>
        <w:rPr>
          <w:sz w:val="24"/>
          <w:szCs w:val="24"/>
          <w:color w:val="auto"/>
        </w:rPr>
      </w:pPr>
    </w:p>
    <w:p>
      <w:pPr>
        <w:ind w:left="280" w:right="379"/>
        <w:spacing w:after="0" w:line="266" w:lineRule="auto"/>
        <w:rPr>
          <w:sz w:val="20"/>
          <w:szCs w:val="20"/>
          <w:color w:val="auto"/>
        </w:rPr>
      </w:pPr>
      <w:r>
        <w:rPr>
          <w:rFonts w:ascii="Arial" w:cs="Arial" w:eastAsia="Arial" w:hAnsi="Arial"/>
          <w:sz w:val="10"/>
          <w:szCs w:val="10"/>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dates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173355</wp:posOffset>
            </wp:positionH>
            <wp:positionV relativeFrom="paragraph">
              <wp:posOffset>51435</wp:posOffset>
            </wp:positionV>
            <wp:extent cx="537337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73370" cy="6350"/>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84455</wp:posOffset>
            </wp:positionV>
            <wp:extent cx="537337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73370" cy="6350"/>
                    </a:xfrm>
                    <a:prstGeom prst="rect">
                      <a:avLst/>
                    </a:prstGeom>
                    <a:noFill/>
                  </pic:spPr>
                </pic:pic>
              </a:graphicData>
            </a:graphic>
          </wp:anchor>
        </w:drawing>
      </w:r>
    </w:p>
    <w:p>
      <w:pPr>
        <w:sectPr>
          <w:pgSz w:w="11900" w:h="16838" w:orient="portrait"/>
          <w:cols w:equalWidth="0" w:num="1">
            <w:col w:w="9019"/>
          </w:cols>
          <w:pgMar w:left="1440" w:top="212" w:right="1440" w:bottom="1440" w:gutter="0" w:footer="0" w:header="0"/>
        </w:sectPr>
      </w:pPr>
    </w:p>
    <w:bookmarkStart w:id="1" w:name="page2"/>
    <w:bookmarkEnd w:id="1"/>
    <w:p>
      <w:pPr>
        <w:jc w:val="both"/>
        <w:ind w:left="280" w:right="399"/>
        <w:spacing w:after="0" w:line="290" w:lineRule="auto"/>
        <w:rPr>
          <w:sz w:val="20"/>
          <w:szCs w:val="20"/>
          <w:color w:val="auto"/>
        </w:rPr>
      </w:pPr>
      <w:r>
        <w:rPr>
          <w:rFonts w:ascii="Arial" w:cs="Arial" w:eastAsia="Arial" w:hAnsi="Arial"/>
          <w:sz w:val="13"/>
          <w:szCs w:val="13"/>
          <w:b w:val="1"/>
          <w:bCs w:val="1"/>
          <w:color w:val="FF4338"/>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2805" cy="45720"/>
                    </a:xfrm>
                    <a:prstGeom prst="rect">
                      <a:avLst/>
                    </a:prstGeom>
                    <a:noFill/>
                  </pic:spPr>
                </pic:pic>
              </a:graphicData>
            </a:graphic>
          </wp:anchor>
        </w:drawing>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and sale is not permitted.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FF4338"/>
        </w:rPr>
        <w:t>Subject to Completion</w:t>
      </w:r>
    </w:p>
    <w:p>
      <w:pPr>
        <w:spacing w:after="0" w:line="77" w:lineRule="exact"/>
        <w:rPr>
          <w:sz w:val="20"/>
          <w:szCs w:val="20"/>
          <w:color w:val="auto"/>
        </w:rPr>
      </w:pPr>
    </w:p>
    <w:p>
      <w:pPr>
        <w:ind w:left="620"/>
        <w:spacing w:after="0"/>
        <w:rPr>
          <w:sz w:val="20"/>
          <w:szCs w:val="20"/>
          <w:color w:val="auto"/>
        </w:rPr>
      </w:pPr>
      <w:r>
        <w:rPr>
          <w:rFonts w:ascii="Arial" w:cs="Arial" w:eastAsia="Arial" w:hAnsi="Arial"/>
          <w:sz w:val="14"/>
          <w:szCs w:val="14"/>
          <w:color w:val="auto"/>
        </w:rPr>
        <w:t>PRELIMINARY PROSPECTUS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2082800</wp:posOffset>
            </wp:positionH>
            <wp:positionV relativeFrom="paragraph">
              <wp:posOffset>71755</wp:posOffset>
            </wp:positionV>
            <wp:extent cx="1560830" cy="3752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60830" cy="37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Common Stock</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Preferred Stock</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Warrants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Subscription Rights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Debt Securities</w:t>
      </w:r>
    </w:p>
    <w:p>
      <w:pPr>
        <w:spacing w:after="0" w:line="92" w:lineRule="exact"/>
        <w:rPr>
          <w:sz w:val="20"/>
          <w:szCs w:val="20"/>
          <w:color w:val="auto"/>
        </w:rPr>
      </w:pPr>
    </w:p>
    <w:p>
      <w:pPr>
        <w:ind w:left="280" w:right="379" w:firstLine="338"/>
        <w:spacing w:after="0" w:line="268" w:lineRule="auto"/>
        <w:rPr>
          <w:sz w:val="20"/>
          <w:szCs w:val="20"/>
          <w:color w:val="auto"/>
        </w:rPr>
      </w:pPr>
      <w:r>
        <w:rPr>
          <w:rFonts w:ascii="Arial" w:cs="Arial" w:eastAsia="Arial" w:hAnsi="Arial"/>
          <w:sz w:val="14"/>
          <w:szCs w:val="14"/>
          <w:color w:val="auto"/>
        </w:rPr>
        <w:t>PennantPark Floating Rate Capital Ltd. is a closed-end, externally managed, non-diversified investment company that has elected to be treated as a business development company under the Investment Company Act of 1940, as amended.</w:t>
      </w:r>
    </w:p>
    <w:p>
      <w:pPr>
        <w:spacing w:after="0" w:line="55" w:lineRule="exact"/>
        <w:rPr>
          <w:sz w:val="20"/>
          <w:szCs w:val="20"/>
          <w:color w:val="auto"/>
        </w:rPr>
      </w:pPr>
    </w:p>
    <w:p>
      <w:pPr>
        <w:ind w:left="280" w:right="299" w:firstLine="338"/>
        <w:spacing w:after="0" w:line="252" w:lineRule="auto"/>
        <w:rPr>
          <w:sz w:val="20"/>
          <w:szCs w:val="20"/>
          <w:color w:val="auto"/>
        </w:rPr>
      </w:pPr>
      <w:r>
        <w:rPr>
          <w:rFonts w:ascii="Arial" w:cs="Arial" w:eastAsia="Arial" w:hAnsi="Arial"/>
          <w:sz w:val="14"/>
          <w:szCs w:val="14"/>
          <w:color w:val="auto"/>
        </w:rPr>
        <w:t>Our investment objectives are to generate both current income and capital appreciation while seeking to preserve capital by investing primarily in loans bearing a variable-rate of interest, or Floating Rate Loans, and other investments made to U.S. middle-market companies. Floating Rate Loans or variable-rate investments pay interest at variable-rates, which are determined periodically, on the basis of a floating base lending rate such as the London Interbank Offered Rate, or LIBOR, or the Secured Overnight Financing Rate, or SOFR, with or without a floor, plus a fixed spread. We can offer no assurances that we will achieve our investment objectives.</w:t>
      </w:r>
    </w:p>
    <w:p>
      <w:pPr>
        <w:spacing w:after="0" w:line="67" w:lineRule="exact"/>
        <w:rPr>
          <w:sz w:val="20"/>
          <w:szCs w:val="20"/>
          <w:color w:val="auto"/>
        </w:rPr>
      </w:pPr>
    </w:p>
    <w:p>
      <w:pPr>
        <w:ind w:left="280" w:right="439" w:firstLine="338"/>
        <w:spacing w:after="0" w:line="268" w:lineRule="auto"/>
        <w:rPr>
          <w:sz w:val="20"/>
          <w:szCs w:val="20"/>
          <w:color w:val="auto"/>
        </w:rPr>
      </w:pPr>
      <w:r>
        <w:rPr>
          <w:rFonts w:ascii="Arial" w:cs="Arial" w:eastAsia="Arial" w:hAnsi="Arial"/>
          <w:sz w:val="14"/>
          <w:szCs w:val="14"/>
          <w:color w:val="auto"/>
        </w:rPr>
        <w:t>We are managed by PennantPark Investment Advisers, LLC. PennantPark Investment Administration, LLC provides the administrative services necessary for us to operate.</w:t>
      </w:r>
    </w:p>
    <w:p>
      <w:pPr>
        <w:spacing w:after="0" w:line="55" w:lineRule="exact"/>
        <w:rPr>
          <w:sz w:val="20"/>
          <w:szCs w:val="20"/>
          <w:color w:val="auto"/>
        </w:rPr>
      </w:pPr>
    </w:p>
    <w:p>
      <w:pPr>
        <w:ind w:left="280" w:right="419" w:firstLine="338"/>
        <w:spacing w:after="0" w:line="270" w:lineRule="auto"/>
        <w:rPr>
          <w:sz w:val="20"/>
          <w:szCs w:val="20"/>
          <w:color w:val="auto"/>
        </w:rPr>
      </w:pPr>
      <w:r>
        <w:rPr>
          <w:rFonts w:ascii="Arial" w:cs="Arial" w:eastAsia="Arial" w:hAnsi="Arial"/>
          <w:sz w:val="13"/>
          <w:szCs w:val="13"/>
          <w:color w:val="auto"/>
        </w:rPr>
        <w:t>We may offer, from time to time, in one or more offerings or series, together or separately, up to $500,000,000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or NAV,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w:t>
      </w:r>
      <w:r>
        <w:rPr>
          <w:rFonts w:ascii="Arial" w:cs="Arial" w:eastAsia="Arial" w:hAnsi="Arial"/>
          <w:sz w:val="13"/>
          <w:szCs w:val="13"/>
          <w:u w:val="single" w:color="auto"/>
          <w:color w:val="0000EE"/>
        </w:rPr>
        <w:t>Risk Factors</w:t>
      </w:r>
      <w:r>
        <w:rPr>
          <w:rFonts w:ascii="Arial" w:cs="Arial" w:eastAsia="Arial" w:hAnsi="Arial"/>
          <w:sz w:val="13"/>
          <w:szCs w:val="13"/>
          <w:color w:val="auto"/>
        </w:rPr>
        <w:t>” on page 10 and “</w:t>
      </w:r>
      <w:r>
        <w:rPr>
          <w:rFonts w:ascii="Arial" w:cs="Arial" w:eastAsia="Arial" w:hAnsi="Arial"/>
          <w:sz w:val="13"/>
          <w:szCs w:val="13"/>
          <w:u w:val="single" w:color="auto"/>
          <w:color w:val="0000EE"/>
        </w:rPr>
        <w:t>Sales of Common Stock Below Net Asset</w:t>
      </w:r>
      <w:r>
        <w:rPr>
          <w:rFonts w:ascii="Arial" w:cs="Arial" w:eastAsia="Arial" w:hAnsi="Arial"/>
          <w:sz w:val="13"/>
          <w:szCs w:val="13"/>
          <w:color w:val="auto"/>
        </w:rPr>
        <w:t xml:space="preserve"> </w:t>
      </w:r>
      <w:r>
        <w:rPr>
          <w:rFonts w:ascii="Arial" w:cs="Arial" w:eastAsia="Arial" w:hAnsi="Arial"/>
          <w:sz w:val="13"/>
          <w:szCs w:val="13"/>
          <w:u w:val="single" w:color="auto"/>
          <w:color w:val="0000EE"/>
        </w:rPr>
        <w:t>Value</w:t>
      </w:r>
      <w:r>
        <w:rPr>
          <w:rFonts w:ascii="Arial" w:cs="Arial" w:eastAsia="Arial" w:hAnsi="Arial"/>
          <w:sz w:val="13"/>
          <w:szCs w:val="13"/>
          <w:color w:val="000000"/>
        </w:rPr>
        <w:t>” on page 12 of this prospectus for more information.</w:t>
      </w:r>
    </w:p>
    <w:p>
      <w:pPr>
        <w:spacing w:after="0" w:line="58" w:lineRule="exact"/>
        <w:rPr>
          <w:sz w:val="20"/>
          <w:szCs w:val="20"/>
          <w:color w:val="auto"/>
        </w:rPr>
      </w:pPr>
    </w:p>
    <w:p>
      <w:pPr>
        <w:ind w:left="280" w:right="479" w:firstLine="338"/>
        <w:spacing w:after="0" w:line="286" w:lineRule="auto"/>
        <w:rPr>
          <w:sz w:val="20"/>
          <w:szCs w:val="20"/>
          <w:color w:val="auto"/>
        </w:rPr>
      </w:pPr>
      <w:r>
        <w:rPr>
          <w:rFonts w:ascii="Arial" w:cs="Arial" w:eastAsia="Arial" w:hAnsi="Arial"/>
          <w:sz w:val="13"/>
          <w:szCs w:val="13"/>
          <w:color w:val="auto"/>
        </w:rPr>
        <w:t>Our common stock is traded on The New York Stock Exchange and the Tel Aviv Stock Exchange, or TASE, under the symbol “PFLT.” Prior to April 14, 2022, our common stock was traded on The Nasdaq Global Select Market under the same symbol. The last reported closing price for our common stock on September 30, 2022 was $9.60 per share, and our NAV on September 30, 2022 was $11.62 per share.</w:t>
      </w:r>
    </w:p>
    <w:p>
      <w:pPr>
        <w:sectPr>
          <w:pgSz w:w="11900" w:h="16838" w:orient="portrait"/>
          <w:cols w:equalWidth="0" w:num="1">
            <w:col w:w="9019"/>
          </w:cols>
          <w:pgMar w:left="1440" w:top="260" w:right="1440" w:bottom="1440" w:gutter="0" w:footer="0" w:header="0"/>
        </w:sectPr>
      </w:pPr>
    </w:p>
    <w:bookmarkStart w:id="2" w:name="page3"/>
    <w:bookmarkEnd w:id="2"/>
    <w:p>
      <w:pPr>
        <w:ind w:left="280" w:right="339" w:firstLine="338"/>
        <w:spacing w:after="0" w:line="29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2805" cy="45720"/>
                    </a:xfrm>
                    <a:prstGeom prst="rect">
                      <a:avLst/>
                    </a:prstGeom>
                    <a:noFill/>
                  </pic:spPr>
                </pic:pic>
              </a:graphicData>
            </a:graphic>
          </wp:anchor>
        </w:drawing>
        <w:t xml:space="preserve">This prospectus and any accompanying prospectus supplement contain important information you should know before investing in our securities. We may also authorize one or more free writing prospectuses to be provided to you in connection with offerings. The prospectus supplement and any free writing prospectus may also add, update, or change information contained in this prospectus. Please read this prospectus, the applicable prospectus supplement, and any free writing prospectus, and the documents incorporated by reference,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1691 Michigan Avenue, Miami, Florida 33139, by calling us collect at (212) 905-1000 or by visiting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i w:val="1"/>
          <w:iCs w:val="1"/>
          <w:color w:val="auto"/>
        </w:rPr>
        <w:t>.</w:t>
      </w:r>
      <w:r>
        <w:rPr>
          <w:rFonts w:ascii="Arial" w:cs="Arial" w:eastAsia="Arial" w:hAnsi="Arial"/>
          <w:sz w:val="12"/>
          <w:szCs w:val="12"/>
          <w:color w:val="auto"/>
        </w:rPr>
        <w:t xml:space="preserve"> The information on our website is not incorporated by reference into this prospectus. The SEC also maintains a website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34925</wp:posOffset>
            </wp:positionV>
            <wp:extent cx="537337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73370" cy="6350"/>
                    </a:xfrm>
                    <a:prstGeom prst="rect">
                      <a:avLst/>
                    </a:prstGeom>
                    <a:noFill/>
                  </pic:spPr>
                </pic:pic>
              </a:graphicData>
            </a:graphic>
          </wp:anchor>
        </w:drawing>
      </w:r>
    </w:p>
    <w:p>
      <w:pPr>
        <w:spacing w:after="0" w:line="113" w:lineRule="exact"/>
        <w:rPr>
          <w:sz w:val="20"/>
          <w:szCs w:val="20"/>
          <w:color w:val="auto"/>
        </w:rPr>
      </w:pPr>
    </w:p>
    <w:p>
      <w:pPr>
        <w:ind w:left="280" w:right="339" w:firstLine="338"/>
        <w:spacing w:after="0" w:line="360" w:lineRule="auto"/>
        <w:rPr>
          <w:sz w:val="20"/>
          <w:szCs w:val="20"/>
          <w:color w:val="auto"/>
        </w:rPr>
      </w:pPr>
      <w:r>
        <w:rPr>
          <w:rFonts w:ascii="Arial" w:cs="Arial" w:eastAsia="Arial" w:hAnsi="Arial"/>
          <w:sz w:val="12"/>
          <w:szCs w:val="12"/>
          <w:b w:val="1"/>
          <w:bCs w:val="1"/>
          <w:color w:val="auto"/>
        </w:rPr>
        <w:t>Investing in our securities involves a high degree of risk, including the risk of the use of leverage. Before buying any of our securities, you should read the discussion of the material risks of investing in us in “</w:t>
      </w:r>
      <w:r>
        <w:rPr>
          <w:rFonts w:ascii="Arial" w:cs="Arial" w:eastAsia="Arial" w:hAnsi="Arial"/>
          <w:sz w:val="12"/>
          <w:szCs w:val="12"/>
          <w:b w:val="1"/>
          <w:bCs w:val="1"/>
          <w:u w:val="single" w:color="auto"/>
          <w:color w:val="0000EE"/>
        </w:rPr>
        <w:t>Risk Factors</w:t>
      </w:r>
      <w:r>
        <w:rPr>
          <w:rFonts w:ascii="Arial" w:cs="Arial" w:eastAsia="Arial" w:hAnsi="Arial"/>
          <w:sz w:val="12"/>
          <w:szCs w:val="12"/>
          <w:b w:val="1"/>
          <w:bCs w:val="1"/>
          <w:color w:val="auto"/>
        </w:rPr>
        <w:t>” beginning on page 10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3175</wp:posOffset>
            </wp:positionV>
            <wp:extent cx="537337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73370" cy="6350"/>
                    </a:xfrm>
                    <a:prstGeom prst="rect">
                      <a:avLst/>
                    </a:prstGeom>
                    <a:noFill/>
                  </pic:spPr>
                </pic:pic>
              </a:graphicData>
            </a:graphic>
          </wp:anchor>
        </w:drawing>
      </w:r>
    </w:p>
    <w:p>
      <w:pPr>
        <w:spacing w:after="0" w:line="64" w:lineRule="exact"/>
        <w:rPr>
          <w:sz w:val="20"/>
          <w:szCs w:val="20"/>
          <w:color w:val="auto"/>
        </w:rPr>
      </w:pPr>
    </w:p>
    <w:p>
      <w:pPr>
        <w:ind w:left="280" w:right="459" w:firstLine="338"/>
        <w:spacing w:after="0" w:line="274" w:lineRule="auto"/>
        <w:rPr>
          <w:sz w:val="20"/>
          <w:szCs w:val="20"/>
          <w:color w:val="auto"/>
        </w:rPr>
      </w:pPr>
      <w:r>
        <w:rPr>
          <w:rFonts w:ascii="Arial" w:cs="Arial" w:eastAsia="Arial" w:hAnsi="Arial"/>
          <w:sz w:val="14"/>
          <w:szCs w:val="14"/>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39370</wp:posOffset>
            </wp:positionV>
            <wp:extent cx="537337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73370" cy="6350"/>
                    </a:xfrm>
                    <a:prstGeom prst="rect">
                      <a:avLst/>
                    </a:prstGeom>
                    <a:noFill/>
                  </pic:spPr>
                </pic:pic>
              </a:graphicData>
            </a:graphic>
          </wp:anchor>
        </w:drawing>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This prospectus may not be used to consummate sales of securities unless accompanied by a prospectus supplement.</w:t>
      </w:r>
    </w:p>
    <w:p>
      <w:pPr>
        <w:spacing w:after="0" w:line="88" w:lineRule="exact"/>
        <w:rPr>
          <w:sz w:val="20"/>
          <w:szCs w:val="20"/>
          <w:color w:val="auto"/>
        </w:rPr>
      </w:pPr>
    </w:p>
    <w:p>
      <w:pPr>
        <w:ind w:left="3420"/>
        <w:spacing w:after="0"/>
        <w:tabs>
          <w:tab w:leader="none" w:pos="5220" w:val="left"/>
        </w:tabs>
        <w:rPr>
          <w:sz w:val="20"/>
          <w:szCs w:val="20"/>
          <w:color w:val="auto"/>
        </w:rPr>
      </w:pPr>
      <w:r>
        <w:rPr>
          <w:rFonts w:ascii="Arial" w:cs="Arial" w:eastAsia="Arial" w:hAnsi="Arial"/>
          <w:sz w:val="14"/>
          <w:szCs w:val="14"/>
          <w:b w:val="1"/>
          <w:bCs w:val="1"/>
          <w:color w:val="auto"/>
        </w:rPr>
        <w:t>Prospectus dated December</w:t>
      </w:r>
      <w:r>
        <w:rPr>
          <w:sz w:val="20"/>
          <w:szCs w:val="20"/>
          <w:color w:val="auto"/>
        </w:rPr>
        <w:tab/>
      </w:r>
      <w:r>
        <w:rPr>
          <w:rFonts w:ascii="Arial" w:cs="Arial" w:eastAsia="Arial" w:hAnsi="Arial"/>
          <w:sz w:val="12"/>
          <w:szCs w:val="12"/>
          <w:b w:val="1"/>
          <w:bCs w:val="1"/>
          <w:color w:val="auto"/>
        </w:rPr>
        <w:t>, 2022</w:t>
      </w:r>
    </w:p>
    <w:p>
      <w:pPr>
        <w:sectPr>
          <w:pgSz w:w="11900" w:h="16838" w:orient="portrait"/>
          <w:cols w:equalWidth="0" w:num="1">
            <w:col w:w="9019"/>
          </w:cols>
          <w:pgMar w:left="1440" w:top="264" w:right="1440" w:bottom="1440" w:gutter="0" w:footer="0" w:header="0"/>
        </w:sectPr>
      </w:pPr>
    </w:p>
    <w:bookmarkStart w:id="3" w:name="page4"/>
    <w:bookmarkEnd w:id="3"/>
    <w:p>
      <w:pPr>
        <w:ind w:left="280" w:right="279" w:firstLine="338"/>
        <w:spacing w:after="0" w:line="29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2805" cy="45720"/>
                    </a:xfrm>
                    <a:prstGeom prst="rect">
                      <a:avLst/>
                    </a:prstGeom>
                    <a:noFill/>
                  </pic:spPr>
                </pic:pic>
              </a:graphicData>
            </a:graphic>
          </wp:anchor>
        </w:drawing>
        <w:t>You should rely only on the information contained in this prospectus, any accompanying prospectus supplement, any free writing prospectus and the documents incorporated by reference in this prospectus and any applicable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or free writing prospectuses.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or free writing prospectus is accurate only as of the date of this prospectus or such prospectus supplement or free writing prospectus. We will update these documents to reflect material changes only as required by law. Our business, financial condition, results of operations and prospects may have changed since then.</w:t>
      </w:r>
    </w:p>
    <w:p>
      <w:pPr>
        <w:spacing w:after="0" w:line="289" w:lineRule="exact"/>
        <w:rPr>
          <w:sz w:val="20"/>
          <w:szCs w:val="20"/>
          <w:color w:val="auto"/>
        </w:rPr>
      </w:pPr>
    </w:p>
    <w:tbl>
      <w:tblPr>
        <w:tblLayout w:type="fixed"/>
        <w:tblInd w:w="280" w:type="dxa"/>
        <w:tblCellMar>
          <w:top w:w="0" w:type="dxa"/>
          <w:left w:w="0" w:type="dxa"/>
          <w:bottom w:w="0" w:type="dxa"/>
          <w:right w:w="0" w:type="dxa"/>
        </w:tblCellMar>
      </w:tblPr>
      <w:tr>
        <w:trPr>
          <w:trHeight w:val="179"/>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740" w:type="dxa"/>
            <w:vAlign w:val="bottom"/>
            <w:gridSpan w:val="5"/>
          </w:tcPr>
          <w:p>
            <w:pPr>
              <w:ind w:left="40"/>
              <w:spacing w:after="0"/>
              <w:rPr>
                <w:sz w:val="20"/>
                <w:szCs w:val="20"/>
                <w:color w:val="auto"/>
              </w:rPr>
            </w:pPr>
            <w:r>
              <w:rPr>
                <w:rFonts w:ascii="Arial" w:cs="Arial" w:eastAsia="Arial" w:hAnsi="Arial"/>
                <w:sz w:val="14"/>
                <w:szCs w:val="14"/>
                <w:b w:val="1"/>
                <w:bCs w:val="1"/>
                <w:color w:val="auto"/>
              </w:rPr>
              <w:t>TABLE OF CONTENTS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1600" w:type="dxa"/>
            <w:vAlign w:val="bottom"/>
            <w:gridSpan w:val="7"/>
            <w:vMerge w:val="restart"/>
          </w:tcPr>
          <w:p>
            <w:pPr>
              <w:spacing w:after="0"/>
              <w:rPr>
                <w:sz w:val="20"/>
                <w:szCs w:val="20"/>
                <w:color w:val="auto"/>
              </w:rPr>
            </w:pPr>
            <w:r>
              <w:rPr>
                <w:rFonts w:ascii="Arial" w:cs="Arial" w:eastAsia="Arial" w:hAnsi="Arial"/>
                <w:sz w:val="14"/>
                <w:szCs w:val="14"/>
                <w:color w:val="0000EE"/>
                <w:w w:val="91"/>
              </w:rPr>
              <w:t>PROSPECTUS SUMMARY</w:t>
            </w:r>
          </w:p>
        </w:tc>
        <w:tc>
          <w:tcPr>
            <w:tcW w:w="6580" w:type="dxa"/>
            <w:vAlign w:val="bottom"/>
            <w:gridSpan w:val="17"/>
            <w:vMerge w:val="restart"/>
          </w:tcPr>
          <w:p>
            <w:pPr>
              <w:spacing w:after="0"/>
              <w:rPr>
                <w:sz w:val="24"/>
                <w:szCs w:val="24"/>
                <w:color w:val="auto"/>
              </w:rPr>
            </w:pPr>
          </w:p>
        </w:tc>
        <w:tc>
          <w:tcPr>
            <w:tcW w:w="260" w:type="dxa"/>
            <w:vAlign w:val="bottom"/>
            <w:gridSpan w:val="2"/>
          </w:tcPr>
          <w:p>
            <w:pPr>
              <w:spacing w:after="0"/>
              <w:rPr>
                <w:sz w:val="20"/>
                <w:szCs w:val="20"/>
                <w:color w:val="auto"/>
              </w:rPr>
            </w:pPr>
            <w:r>
              <w:rPr>
                <w:rFonts w:ascii="Arial" w:cs="Arial" w:eastAsia="Arial" w:hAnsi="Arial"/>
                <w:sz w:val="11"/>
                <w:szCs w:val="11"/>
                <w:b w:val="1"/>
                <w:bCs w:val="1"/>
                <w:color w:val="auto"/>
                <w:w w:val="91"/>
              </w:rPr>
              <w:t>Page</w:t>
            </w:r>
          </w:p>
        </w:tc>
        <w:tc>
          <w:tcPr>
            <w:tcW w:w="0" w:type="dxa"/>
            <w:vAlign w:val="bottom"/>
          </w:tcPr>
          <w:p>
            <w:pPr>
              <w:spacing w:after="0"/>
              <w:rPr>
                <w:sz w:val="1"/>
                <w:szCs w:val="1"/>
                <w:color w:val="auto"/>
              </w:rPr>
            </w:pPr>
          </w:p>
        </w:tc>
      </w:tr>
      <w:tr>
        <w:trPr>
          <w:trHeight w:val="120"/>
        </w:trPr>
        <w:tc>
          <w:tcPr>
            <w:tcW w:w="1600" w:type="dxa"/>
            <w:vAlign w:val="bottom"/>
            <w:tcBorders>
              <w:bottom w:val="single" w:sz="8" w:color="0000EE"/>
            </w:tcBorders>
            <w:gridSpan w:val="7"/>
            <w:vMerge w:val="continue"/>
          </w:tcPr>
          <w:p>
            <w:pPr>
              <w:spacing w:after="0"/>
              <w:rPr>
                <w:sz w:val="9"/>
                <w:szCs w:val="9"/>
                <w:color w:val="auto"/>
              </w:rPr>
            </w:pPr>
          </w:p>
        </w:tc>
        <w:tc>
          <w:tcPr>
            <w:tcW w:w="6580" w:type="dxa"/>
            <w:vAlign w:val="bottom"/>
            <w:gridSpan w:val="17"/>
            <w:vMerge w:val="continue"/>
          </w:tcPr>
          <w:p>
            <w:pPr>
              <w:spacing w:after="0"/>
              <w:rPr>
                <w:sz w:val="9"/>
                <w:szCs w:val="9"/>
                <w:color w:val="auto"/>
              </w:rPr>
            </w:pPr>
          </w:p>
        </w:tc>
        <w:tc>
          <w:tcPr>
            <w:tcW w:w="24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2"/>
                <w:szCs w:val="12"/>
                <w:color w:val="auto"/>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8180" w:type="dxa"/>
            <w:vAlign w:val="bottom"/>
            <w:gridSpan w:val="24"/>
          </w:tcPr>
          <w:p>
            <w:pPr>
              <w:spacing w:after="0" w:line="156" w:lineRule="exact"/>
              <w:rPr>
                <w:sz w:val="20"/>
                <w:szCs w:val="20"/>
                <w:color w:val="auto"/>
              </w:rPr>
            </w:pPr>
            <w:r>
              <w:rPr>
                <w:rFonts w:ascii="Arial" w:cs="Arial" w:eastAsia="Arial" w:hAnsi="Arial"/>
                <w:sz w:val="14"/>
                <w:szCs w:val="14"/>
                <w:color w:val="0000EE"/>
              </w:rPr>
              <w:t>FEES AND EXPENSES</w:t>
            </w:r>
          </w:p>
        </w:tc>
        <w:tc>
          <w:tcPr>
            <w:tcW w:w="260" w:type="dxa"/>
            <w:vAlign w:val="bottom"/>
            <w:gridSpan w:val="2"/>
          </w:tcPr>
          <w:p>
            <w:pPr>
              <w:jc w:val="right"/>
              <w:ind w:right="20"/>
              <w:spacing w:after="0" w:line="156"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
        </w:trPr>
        <w:tc>
          <w:tcPr>
            <w:tcW w:w="9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180" w:type="dxa"/>
            <w:vAlign w:val="bottom"/>
            <w:gridSpan w:val="24"/>
          </w:tcPr>
          <w:p>
            <w:pPr>
              <w:spacing w:after="0" w:line="146" w:lineRule="exact"/>
              <w:rPr>
                <w:sz w:val="20"/>
                <w:szCs w:val="20"/>
                <w:color w:val="auto"/>
              </w:rPr>
            </w:pPr>
            <w:r>
              <w:rPr>
                <w:rFonts w:ascii="Arial" w:cs="Arial" w:eastAsia="Arial" w:hAnsi="Arial"/>
                <w:sz w:val="14"/>
                <w:szCs w:val="14"/>
                <w:color w:val="0000EE"/>
              </w:rPr>
              <w:t>FINANCIAL HIGHLIGHTS</w:t>
            </w:r>
          </w:p>
        </w:tc>
        <w:tc>
          <w:tcPr>
            <w:tcW w:w="260" w:type="dxa"/>
            <w:vAlign w:val="bottom"/>
            <w:gridSpan w:val="2"/>
          </w:tcPr>
          <w:p>
            <w:pPr>
              <w:jc w:val="right"/>
              <w:ind w:right="20"/>
              <w:spacing w:after="0" w:line="146"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6"/>
        </w:trPr>
        <w:tc>
          <w:tcPr>
            <w:tcW w:w="960" w:type="dxa"/>
            <w:vAlign w:val="bottom"/>
            <w:tcBorders>
              <w:top w:val="single" w:sz="8" w:color="0000EE"/>
              <w:bottom w:val="single" w:sz="8" w:color="0000EE"/>
            </w:tcBorders>
          </w:tcPr>
          <w:p>
            <w:pPr>
              <w:spacing w:after="0" w:line="146" w:lineRule="exact"/>
              <w:rPr>
                <w:sz w:val="20"/>
                <w:szCs w:val="20"/>
                <w:color w:val="auto"/>
              </w:rPr>
            </w:pPr>
            <w:r>
              <w:rPr>
                <w:rFonts w:ascii="Arial" w:cs="Arial" w:eastAsia="Arial" w:hAnsi="Arial"/>
                <w:sz w:val="14"/>
                <w:szCs w:val="14"/>
                <w:color w:val="0000EE"/>
                <w:w w:val="90"/>
              </w:rPr>
              <w:t>RISK FACTORS</w:t>
            </w:r>
          </w:p>
        </w:tc>
        <w:tc>
          <w:tcPr>
            <w:tcW w:w="640" w:type="dxa"/>
            <w:vAlign w:val="bottom"/>
            <w:tcBorders>
              <w:top w:val="single" w:sz="8" w:color="0000EE"/>
            </w:tcBorders>
            <w:gridSpan w:val="6"/>
          </w:tcPr>
          <w:p>
            <w:pPr>
              <w:spacing w:after="0"/>
              <w:rPr>
                <w:sz w:val="12"/>
                <w:szCs w:val="12"/>
                <w:color w:val="auto"/>
              </w:rPr>
            </w:pPr>
          </w:p>
        </w:tc>
        <w:tc>
          <w:tcPr>
            <w:tcW w:w="6580" w:type="dxa"/>
            <w:vAlign w:val="bottom"/>
            <w:gridSpan w:val="17"/>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6"/>
        </w:trPr>
        <w:tc>
          <w:tcPr>
            <w:tcW w:w="8180" w:type="dxa"/>
            <w:vAlign w:val="bottom"/>
            <w:gridSpan w:val="24"/>
          </w:tcPr>
          <w:p>
            <w:pPr>
              <w:spacing w:after="0" w:line="146" w:lineRule="exact"/>
              <w:rPr>
                <w:sz w:val="20"/>
                <w:szCs w:val="20"/>
                <w:color w:val="auto"/>
              </w:rPr>
            </w:pPr>
            <w:r>
              <w:rPr>
                <w:rFonts w:ascii="Arial" w:cs="Arial" w:eastAsia="Arial" w:hAnsi="Arial"/>
                <w:sz w:val="14"/>
                <w:szCs w:val="14"/>
                <w:color w:val="0000EE"/>
              </w:rPr>
              <w:t>FORWARD-LOOKING STATEMENTS</w:t>
            </w:r>
          </w:p>
        </w:tc>
        <w:tc>
          <w:tcPr>
            <w:tcW w:w="260" w:type="dxa"/>
            <w:vAlign w:val="bottom"/>
            <w:gridSpan w:val="2"/>
          </w:tcPr>
          <w:p>
            <w:pPr>
              <w:jc w:val="right"/>
              <w:ind w:right="20"/>
              <w:spacing w:after="0" w:line="146"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6"/>
        </w:trPr>
        <w:tc>
          <w:tcPr>
            <w:tcW w:w="2240" w:type="dxa"/>
            <w:vAlign w:val="bottom"/>
            <w:tcBorders>
              <w:top w:val="single" w:sz="8" w:color="0000EE"/>
            </w:tcBorders>
            <w:gridSpan w:val="12"/>
          </w:tcPr>
          <w:p>
            <w:pPr>
              <w:spacing w:after="0" w:line="146" w:lineRule="exact"/>
              <w:rPr>
                <w:sz w:val="20"/>
                <w:szCs w:val="20"/>
                <w:color w:val="auto"/>
              </w:rPr>
            </w:pPr>
            <w:r>
              <w:rPr>
                <w:rFonts w:ascii="Arial" w:cs="Arial" w:eastAsia="Arial" w:hAnsi="Arial"/>
                <w:sz w:val="14"/>
                <w:szCs w:val="14"/>
                <w:color w:val="0000EE"/>
              </w:rPr>
              <w:t>USE OF PROCEEDS</w:t>
            </w:r>
          </w:p>
        </w:tc>
        <w:tc>
          <w:tcPr>
            <w:tcW w:w="5940" w:type="dxa"/>
            <w:vAlign w:val="bottom"/>
            <w:gridSpan w:val="12"/>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360" w:type="dxa"/>
            <w:vAlign w:val="bottom"/>
            <w:tcBorders>
              <w:bottom w:val="single" w:sz="8" w:color="0000EE"/>
            </w:tcBorders>
            <w:gridSpan w:val="5"/>
          </w:tcPr>
          <w:p>
            <w:pPr>
              <w:spacing w:after="0" w:line="146" w:lineRule="exact"/>
              <w:rPr>
                <w:sz w:val="20"/>
                <w:szCs w:val="20"/>
                <w:color w:val="auto"/>
              </w:rPr>
            </w:pPr>
            <w:r>
              <w:rPr>
                <w:rFonts w:ascii="Arial" w:cs="Arial" w:eastAsia="Arial" w:hAnsi="Arial"/>
                <w:sz w:val="14"/>
                <w:szCs w:val="14"/>
                <w:color w:val="0000EE"/>
                <w:w w:val="93"/>
              </w:rPr>
              <w:t>SENIOR SECURITIES</w:t>
            </w:r>
          </w:p>
        </w:tc>
        <w:tc>
          <w:tcPr>
            <w:tcW w:w="6820" w:type="dxa"/>
            <w:vAlign w:val="bottom"/>
            <w:gridSpan w:val="19"/>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6"/>
        </w:trPr>
        <w:tc>
          <w:tcPr>
            <w:tcW w:w="8180" w:type="dxa"/>
            <w:vAlign w:val="bottom"/>
            <w:gridSpan w:val="24"/>
          </w:tcPr>
          <w:p>
            <w:pPr>
              <w:spacing w:after="0" w:line="146" w:lineRule="exact"/>
              <w:rPr>
                <w:sz w:val="20"/>
                <w:szCs w:val="20"/>
                <w:color w:val="auto"/>
              </w:rPr>
            </w:pPr>
            <w:r>
              <w:rPr>
                <w:rFonts w:ascii="Arial" w:cs="Arial" w:eastAsia="Arial" w:hAnsi="Arial"/>
                <w:sz w:val="14"/>
                <w:szCs w:val="14"/>
                <w:color w:val="0000EE"/>
              </w:rPr>
              <w:t>PRICE RANGE OF COMMON STOCK</w:t>
            </w:r>
          </w:p>
        </w:tc>
        <w:tc>
          <w:tcPr>
            <w:tcW w:w="260" w:type="dxa"/>
            <w:vAlign w:val="bottom"/>
            <w:gridSpan w:val="2"/>
          </w:tcPr>
          <w:p>
            <w:pPr>
              <w:jc w:val="right"/>
              <w:ind w:right="20"/>
              <w:spacing w:after="0" w:line="146"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560" w:type="dxa"/>
            <w:vAlign w:val="bottom"/>
            <w:tcBorders>
              <w:bottom w:val="single" w:sz="8" w:color="0000EE"/>
            </w:tcBorders>
            <w:gridSpan w:val="20"/>
          </w:tcPr>
          <w:p>
            <w:pPr>
              <w:spacing w:after="0" w:line="146" w:lineRule="exact"/>
              <w:rPr>
                <w:sz w:val="20"/>
                <w:szCs w:val="20"/>
                <w:color w:val="auto"/>
              </w:rPr>
            </w:pPr>
            <w:r>
              <w:rPr>
                <w:rFonts w:ascii="Arial" w:cs="Arial" w:eastAsia="Arial" w:hAnsi="Arial"/>
                <w:sz w:val="14"/>
                <w:szCs w:val="14"/>
                <w:color w:val="0000EE"/>
                <w:w w:val="94"/>
              </w:rPr>
              <w:t>SALES OF COMMON STOCK BELOW NET ASSET VALUE</w:t>
            </w:r>
          </w:p>
        </w:tc>
        <w:tc>
          <w:tcPr>
            <w:tcW w:w="4620" w:type="dxa"/>
            <w:vAlign w:val="bottom"/>
            <w:gridSpan w:val="4"/>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6"/>
        </w:trPr>
        <w:tc>
          <w:tcPr>
            <w:tcW w:w="1040" w:type="dxa"/>
            <w:vAlign w:val="bottom"/>
            <w:tcBorders>
              <w:bottom w:val="single" w:sz="8" w:color="0000EE"/>
            </w:tcBorders>
            <w:gridSpan w:val="2"/>
          </w:tcPr>
          <w:p>
            <w:pPr>
              <w:spacing w:after="0" w:line="146" w:lineRule="exact"/>
              <w:rPr>
                <w:sz w:val="20"/>
                <w:szCs w:val="20"/>
                <w:color w:val="auto"/>
              </w:rPr>
            </w:pPr>
            <w:r>
              <w:rPr>
                <w:rFonts w:ascii="Arial" w:cs="Arial" w:eastAsia="Arial" w:hAnsi="Arial"/>
                <w:sz w:val="14"/>
                <w:szCs w:val="14"/>
                <w:color w:val="0000EE"/>
                <w:w w:val="94"/>
              </w:rPr>
              <w:t>DISTRIBUTIONS</w:t>
            </w:r>
          </w:p>
        </w:tc>
        <w:tc>
          <w:tcPr>
            <w:tcW w:w="7140" w:type="dxa"/>
            <w:vAlign w:val="bottom"/>
            <w:gridSpan w:val="22"/>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6"/>
        </w:trPr>
        <w:tc>
          <w:tcPr>
            <w:tcW w:w="8180" w:type="dxa"/>
            <w:vAlign w:val="bottom"/>
            <w:gridSpan w:val="24"/>
          </w:tcPr>
          <w:p>
            <w:pPr>
              <w:spacing w:after="0" w:line="146" w:lineRule="exact"/>
              <w:rPr>
                <w:sz w:val="20"/>
                <w:szCs w:val="20"/>
                <w:color w:val="auto"/>
              </w:rPr>
            </w:pPr>
            <w:r>
              <w:rPr>
                <w:rFonts w:ascii="Arial" w:cs="Arial" w:eastAsia="Arial" w:hAnsi="Arial"/>
                <w:sz w:val="14"/>
                <w:szCs w:val="14"/>
                <w:color w:val="0000EE"/>
              </w:rPr>
              <w:t>PORTFOLIO COMPANIES</w:t>
            </w:r>
          </w:p>
        </w:tc>
        <w:tc>
          <w:tcPr>
            <w:tcW w:w="260" w:type="dxa"/>
            <w:vAlign w:val="bottom"/>
            <w:gridSpan w:val="2"/>
          </w:tcPr>
          <w:p>
            <w:pPr>
              <w:jc w:val="right"/>
              <w:ind w:right="20"/>
              <w:spacing w:after="0" w:line="146"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
        </w:trPr>
        <w:tc>
          <w:tcPr>
            <w:tcW w:w="112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780" w:type="dxa"/>
            <w:vAlign w:val="bottom"/>
            <w:tcBorders>
              <w:bottom w:val="single" w:sz="8" w:color="0000EE"/>
            </w:tcBorders>
            <w:gridSpan w:val="10"/>
          </w:tcPr>
          <w:p>
            <w:pPr>
              <w:spacing w:after="0" w:line="146" w:lineRule="exact"/>
              <w:rPr>
                <w:sz w:val="20"/>
                <w:szCs w:val="20"/>
                <w:color w:val="auto"/>
              </w:rPr>
            </w:pPr>
            <w:r>
              <w:rPr>
                <w:rFonts w:ascii="Arial" w:cs="Arial" w:eastAsia="Arial" w:hAnsi="Arial"/>
                <w:sz w:val="14"/>
                <w:szCs w:val="14"/>
                <w:color w:val="0000EE"/>
                <w:w w:val="95"/>
              </w:rPr>
              <w:t>PORTFOLIO MANAGEMENT</w:t>
            </w:r>
          </w:p>
        </w:tc>
        <w:tc>
          <w:tcPr>
            <w:tcW w:w="6400" w:type="dxa"/>
            <w:vAlign w:val="bottom"/>
            <w:gridSpan w:val="14"/>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6"/>
        </w:trPr>
        <w:tc>
          <w:tcPr>
            <w:tcW w:w="2580" w:type="dxa"/>
            <w:vAlign w:val="bottom"/>
            <w:tcBorders>
              <w:bottom w:val="single" w:sz="8" w:color="0000EE"/>
            </w:tcBorders>
            <w:gridSpan w:val="15"/>
          </w:tcPr>
          <w:p>
            <w:pPr>
              <w:spacing w:after="0" w:line="146" w:lineRule="exact"/>
              <w:rPr>
                <w:sz w:val="20"/>
                <w:szCs w:val="20"/>
                <w:color w:val="auto"/>
              </w:rPr>
            </w:pPr>
            <w:r>
              <w:rPr>
                <w:rFonts w:ascii="Arial" w:cs="Arial" w:eastAsia="Arial" w:hAnsi="Arial"/>
                <w:sz w:val="14"/>
                <w:szCs w:val="14"/>
                <w:color w:val="0000EE"/>
                <w:w w:val="94"/>
              </w:rPr>
              <w:t>DETERMINATION OF NET ASSET VALUE</w:t>
            </w:r>
          </w:p>
        </w:tc>
        <w:tc>
          <w:tcPr>
            <w:tcW w:w="5600" w:type="dxa"/>
            <w:vAlign w:val="bottom"/>
            <w:gridSpan w:val="9"/>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6"/>
        </w:trPr>
        <w:tc>
          <w:tcPr>
            <w:tcW w:w="8180" w:type="dxa"/>
            <w:vAlign w:val="bottom"/>
            <w:gridSpan w:val="24"/>
          </w:tcPr>
          <w:p>
            <w:pPr>
              <w:spacing w:after="0" w:line="146" w:lineRule="exact"/>
              <w:rPr>
                <w:sz w:val="20"/>
                <w:szCs w:val="20"/>
                <w:color w:val="auto"/>
              </w:rPr>
            </w:pPr>
            <w:r>
              <w:rPr>
                <w:rFonts w:ascii="Arial" w:cs="Arial" w:eastAsia="Arial" w:hAnsi="Arial"/>
                <w:sz w:val="14"/>
                <w:szCs w:val="14"/>
                <w:color w:val="0000EE"/>
              </w:rPr>
              <w:t>DESCRIPTION OF OUR CAPITAL STOCK</w:t>
            </w:r>
          </w:p>
        </w:tc>
        <w:tc>
          <w:tcPr>
            <w:tcW w:w="260" w:type="dxa"/>
            <w:vAlign w:val="bottom"/>
            <w:gridSpan w:val="2"/>
          </w:tcPr>
          <w:p>
            <w:pPr>
              <w:jc w:val="right"/>
              <w:ind w:right="20"/>
              <w:spacing w:after="0" w:line="146"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
        </w:trPr>
        <w:tc>
          <w:tcPr>
            <w:tcW w:w="112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740" w:type="dxa"/>
            <w:vAlign w:val="bottom"/>
            <w:tcBorders>
              <w:bottom w:val="single" w:sz="8" w:color="0000EE"/>
            </w:tcBorders>
            <w:gridSpan w:val="17"/>
          </w:tcPr>
          <w:p>
            <w:pPr>
              <w:spacing w:after="0" w:line="146" w:lineRule="exact"/>
              <w:rPr>
                <w:sz w:val="20"/>
                <w:szCs w:val="20"/>
                <w:color w:val="auto"/>
              </w:rPr>
            </w:pPr>
            <w:r>
              <w:rPr>
                <w:rFonts w:ascii="Arial" w:cs="Arial" w:eastAsia="Arial" w:hAnsi="Arial"/>
                <w:sz w:val="14"/>
                <w:szCs w:val="14"/>
                <w:color w:val="0000EE"/>
                <w:w w:val="91"/>
              </w:rPr>
              <w:t>DESCRIPTION OF OUR PREFERRED STOCK</w:t>
            </w:r>
          </w:p>
        </w:tc>
        <w:tc>
          <w:tcPr>
            <w:tcW w:w="5440" w:type="dxa"/>
            <w:vAlign w:val="bottom"/>
            <w:gridSpan w:val="7"/>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6"/>
        </w:trPr>
        <w:tc>
          <w:tcPr>
            <w:tcW w:w="8180" w:type="dxa"/>
            <w:vAlign w:val="bottom"/>
            <w:gridSpan w:val="24"/>
          </w:tcPr>
          <w:p>
            <w:pPr>
              <w:spacing w:after="0" w:line="146" w:lineRule="exact"/>
              <w:rPr>
                <w:sz w:val="20"/>
                <w:szCs w:val="20"/>
                <w:color w:val="auto"/>
              </w:rPr>
            </w:pPr>
            <w:r>
              <w:rPr>
                <w:rFonts w:ascii="Arial" w:cs="Arial" w:eastAsia="Arial" w:hAnsi="Arial"/>
                <w:sz w:val="14"/>
                <w:szCs w:val="14"/>
                <w:color w:val="0000EE"/>
              </w:rPr>
              <w:t>DESCRIPTION OF OUR WARRANTS</w:t>
            </w:r>
          </w:p>
        </w:tc>
        <w:tc>
          <w:tcPr>
            <w:tcW w:w="260" w:type="dxa"/>
            <w:vAlign w:val="bottom"/>
            <w:gridSpan w:val="2"/>
          </w:tcPr>
          <w:p>
            <w:pPr>
              <w:jc w:val="right"/>
              <w:ind w:right="20"/>
              <w:spacing w:after="0" w:line="146"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
        </w:trPr>
        <w:tc>
          <w:tcPr>
            <w:tcW w:w="112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180" w:type="dxa"/>
            <w:vAlign w:val="bottom"/>
            <w:gridSpan w:val="24"/>
          </w:tcPr>
          <w:p>
            <w:pPr>
              <w:spacing w:after="0" w:line="146" w:lineRule="exact"/>
              <w:rPr>
                <w:sz w:val="20"/>
                <w:szCs w:val="20"/>
                <w:color w:val="auto"/>
              </w:rPr>
            </w:pPr>
            <w:r>
              <w:rPr>
                <w:rFonts w:ascii="Arial" w:cs="Arial" w:eastAsia="Arial" w:hAnsi="Arial"/>
                <w:sz w:val="14"/>
                <w:szCs w:val="14"/>
                <w:color w:val="0000EE"/>
              </w:rPr>
              <w:t>DESCRIPTION OF OUR SUBSCRIPTION RIGHTS</w:t>
            </w:r>
          </w:p>
        </w:tc>
        <w:tc>
          <w:tcPr>
            <w:tcW w:w="260" w:type="dxa"/>
            <w:vAlign w:val="bottom"/>
            <w:gridSpan w:val="2"/>
          </w:tcPr>
          <w:p>
            <w:pPr>
              <w:jc w:val="right"/>
              <w:ind w:right="20"/>
              <w:spacing w:after="0" w:line="146"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6"/>
        </w:trPr>
        <w:tc>
          <w:tcPr>
            <w:tcW w:w="2980" w:type="dxa"/>
            <w:vAlign w:val="bottom"/>
            <w:tcBorders>
              <w:top w:val="single" w:sz="8" w:color="0000EE"/>
            </w:tcBorders>
            <w:gridSpan w:val="18"/>
          </w:tcPr>
          <w:p>
            <w:pPr>
              <w:spacing w:after="0" w:line="146" w:lineRule="exact"/>
              <w:rPr>
                <w:sz w:val="20"/>
                <w:szCs w:val="20"/>
                <w:color w:val="auto"/>
              </w:rPr>
            </w:pPr>
            <w:r>
              <w:rPr>
                <w:rFonts w:ascii="Arial" w:cs="Arial" w:eastAsia="Arial" w:hAnsi="Arial"/>
                <w:sz w:val="14"/>
                <w:szCs w:val="14"/>
                <w:color w:val="0000EE"/>
              </w:rPr>
              <w:t>DESCRIPTION OF OUR DEBT SECURITIES</w:t>
            </w:r>
          </w:p>
        </w:tc>
        <w:tc>
          <w:tcPr>
            <w:tcW w:w="5200" w:type="dxa"/>
            <w:vAlign w:val="bottom"/>
            <w:gridSpan w:val="6"/>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
        </w:trPr>
        <w:tc>
          <w:tcPr>
            <w:tcW w:w="112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440" w:type="dxa"/>
            <w:vAlign w:val="bottom"/>
            <w:tcBorders>
              <w:bottom w:val="single" w:sz="8" w:color="0000EE"/>
            </w:tcBorders>
            <w:gridSpan w:val="19"/>
          </w:tcPr>
          <w:p>
            <w:pPr>
              <w:spacing w:after="0" w:line="146" w:lineRule="exact"/>
              <w:rPr>
                <w:sz w:val="20"/>
                <w:szCs w:val="20"/>
                <w:color w:val="auto"/>
              </w:rPr>
            </w:pPr>
            <w:r>
              <w:rPr>
                <w:rFonts w:ascii="Arial" w:cs="Arial" w:eastAsia="Arial" w:hAnsi="Arial"/>
                <w:sz w:val="14"/>
                <w:szCs w:val="14"/>
                <w:color w:val="0000EE"/>
                <w:w w:val="94"/>
              </w:rPr>
              <w:t>BROKERAGE ALLOCATIONS AND OTHER PRACTICES</w:t>
            </w:r>
          </w:p>
        </w:tc>
        <w:tc>
          <w:tcPr>
            <w:tcW w:w="4740" w:type="dxa"/>
            <w:vAlign w:val="bottom"/>
            <w:gridSpan w:val="5"/>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6"/>
        </w:trPr>
        <w:tc>
          <w:tcPr>
            <w:tcW w:w="3740" w:type="dxa"/>
            <w:vAlign w:val="bottom"/>
            <w:tcBorders>
              <w:bottom w:val="single" w:sz="8" w:color="0000EE"/>
            </w:tcBorders>
            <w:gridSpan w:val="22"/>
          </w:tcPr>
          <w:p>
            <w:pPr>
              <w:spacing w:after="0" w:line="146" w:lineRule="exact"/>
              <w:rPr>
                <w:sz w:val="20"/>
                <w:szCs w:val="20"/>
                <w:color w:val="auto"/>
              </w:rPr>
            </w:pPr>
            <w:r>
              <w:rPr>
                <w:rFonts w:ascii="Arial" w:cs="Arial" w:eastAsia="Arial" w:hAnsi="Arial"/>
                <w:sz w:val="14"/>
                <w:szCs w:val="14"/>
                <w:color w:val="0000EE"/>
                <w:w w:val="95"/>
              </w:rPr>
              <w:t>MATERIAL U.S. FEDERAL INCOME TAX CONSIDERATIONS</w:t>
            </w:r>
          </w:p>
        </w:tc>
        <w:tc>
          <w:tcPr>
            <w:tcW w:w="4440" w:type="dxa"/>
            <w:vAlign w:val="bottom"/>
            <w:gridSpan w:val="2"/>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6"/>
        </w:trPr>
        <w:tc>
          <w:tcPr>
            <w:tcW w:w="8180" w:type="dxa"/>
            <w:vAlign w:val="bottom"/>
            <w:gridSpan w:val="24"/>
          </w:tcPr>
          <w:p>
            <w:pPr>
              <w:spacing w:after="0" w:line="146" w:lineRule="exact"/>
              <w:rPr>
                <w:sz w:val="20"/>
                <w:szCs w:val="20"/>
                <w:color w:val="auto"/>
              </w:rPr>
            </w:pPr>
            <w:r>
              <w:rPr>
                <w:rFonts w:ascii="Arial" w:cs="Arial" w:eastAsia="Arial" w:hAnsi="Arial"/>
                <w:sz w:val="14"/>
                <w:szCs w:val="14"/>
                <w:color w:val="0000EE"/>
              </w:rPr>
              <w:t>PLAN OF DISTRIBUTION</w:t>
            </w:r>
          </w:p>
        </w:tc>
        <w:tc>
          <w:tcPr>
            <w:tcW w:w="260" w:type="dxa"/>
            <w:vAlign w:val="bottom"/>
            <w:gridSpan w:val="2"/>
          </w:tcPr>
          <w:p>
            <w:pPr>
              <w:jc w:val="right"/>
              <w:ind w:right="20"/>
              <w:spacing w:after="0" w:line="146"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
        </w:trPr>
        <w:tc>
          <w:tcPr>
            <w:tcW w:w="112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60" w:type="dxa"/>
            <w:vAlign w:val="bottom"/>
            <w:gridSpan w:val="1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560" w:type="dxa"/>
            <w:vAlign w:val="bottom"/>
            <w:tcBorders>
              <w:bottom w:val="single" w:sz="8" w:color="0000EE"/>
            </w:tcBorders>
            <w:gridSpan w:val="23"/>
          </w:tcPr>
          <w:p>
            <w:pPr>
              <w:spacing w:after="0" w:line="146" w:lineRule="exact"/>
              <w:rPr>
                <w:sz w:val="20"/>
                <w:szCs w:val="20"/>
                <w:color w:val="auto"/>
              </w:rPr>
            </w:pPr>
            <w:r>
              <w:rPr>
                <w:rFonts w:ascii="Arial" w:cs="Arial" w:eastAsia="Arial" w:hAnsi="Arial"/>
                <w:sz w:val="14"/>
                <w:szCs w:val="14"/>
                <w:color w:val="0000EE"/>
                <w:w w:val="95"/>
              </w:rPr>
              <w:t>SUB-ADMINISTRATOR, CUSTODIAN, TRANSFER AGENT AND TRUSTEE</w:t>
            </w:r>
          </w:p>
        </w:tc>
        <w:tc>
          <w:tcPr>
            <w:tcW w:w="3620" w:type="dxa"/>
            <w:vAlign w:val="bottom"/>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6"/>
        </w:trPr>
        <w:tc>
          <w:tcPr>
            <w:tcW w:w="1120" w:type="dxa"/>
            <w:vAlign w:val="bottom"/>
            <w:tcBorders>
              <w:bottom w:val="single" w:sz="8" w:color="0000EE"/>
            </w:tcBorders>
            <w:gridSpan w:val="3"/>
          </w:tcPr>
          <w:p>
            <w:pPr>
              <w:spacing w:after="0" w:line="146" w:lineRule="exact"/>
              <w:rPr>
                <w:sz w:val="20"/>
                <w:szCs w:val="20"/>
                <w:color w:val="auto"/>
              </w:rPr>
            </w:pPr>
            <w:r>
              <w:rPr>
                <w:rFonts w:ascii="Arial" w:cs="Arial" w:eastAsia="Arial" w:hAnsi="Arial"/>
                <w:sz w:val="14"/>
                <w:szCs w:val="14"/>
                <w:color w:val="0000EE"/>
                <w:w w:val="94"/>
              </w:rPr>
              <w:t>LEGAL MATTERS</w:t>
            </w:r>
          </w:p>
        </w:tc>
        <w:tc>
          <w:tcPr>
            <w:tcW w:w="7060" w:type="dxa"/>
            <w:vAlign w:val="bottom"/>
            <w:gridSpan w:val="21"/>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6"/>
        </w:trPr>
        <w:tc>
          <w:tcPr>
            <w:tcW w:w="3680" w:type="dxa"/>
            <w:vAlign w:val="bottom"/>
            <w:tcBorders>
              <w:bottom w:val="single" w:sz="8" w:color="0000EE"/>
            </w:tcBorders>
            <w:gridSpan w:val="21"/>
          </w:tcPr>
          <w:p>
            <w:pPr>
              <w:spacing w:after="0" w:line="146" w:lineRule="exact"/>
              <w:rPr>
                <w:sz w:val="20"/>
                <w:szCs w:val="20"/>
                <w:color w:val="auto"/>
              </w:rPr>
            </w:pPr>
            <w:r>
              <w:rPr>
                <w:rFonts w:ascii="Arial" w:cs="Arial" w:eastAsia="Arial" w:hAnsi="Arial"/>
                <w:sz w:val="14"/>
                <w:szCs w:val="14"/>
                <w:color w:val="0000EE"/>
                <w:w w:val="94"/>
              </w:rPr>
              <w:t>INDEPENDENT REGISTERED PUBLIC ACCOUNTING FIRM</w:t>
            </w:r>
          </w:p>
        </w:tc>
        <w:tc>
          <w:tcPr>
            <w:tcW w:w="4500" w:type="dxa"/>
            <w:vAlign w:val="bottom"/>
            <w:gridSpan w:val="3"/>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6"/>
        </w:trPr>
        <w:tc>
          <w:tcPr>
            <w:tcW w:w="8180" w:type="dxa"/>
            <w:vAlign w:val="bottom"/>
            <w:gridSpan w:val="24"/>
          </w:tcPr>
          <w:p>
            <w:pPr>
              <w:spacing w:after="0" w:line="146" w:lineRule="exact"/>
              <w:rPr>
                <w:sz w:val="20"/>
                <w:szCs w:val="20"/>
                <w:color w:val="auto"/>
              </w:rPr>
            </w:pPr>
            <w:r>
              <w:rPr>
                <w:rFonts w:ascii="Arial" w:cs="Arial" w:eastAsia="Arial" w:hAnsi="Arial"/>
                <w:sz w:val="14"/>
                <w:szCs w:val="14"/>
                <w:color w:val="0000EE"/>
              </w:rPr>
              <w:t>INDEPENDENT AUDITORS</w:t>
            </w:r>
          </w:p>
        </w:tc>
        <w:tc>
          <w:tcPr>
            <w:tcW w:w="260" w:type="dxa"/>
            <w:vAlign w:val="bottom"/>
            <w:gridSpan w:val="2"/>
          </w:tcPr>
          <w:p>
            <w:pPr>
              <w:jc w:val="right"/>
              <w:ind w:right="20"/>
              <w:spacing w:after="0" w:line="146"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
        </w:trPr>
        <w:tc>
          <w:tcPr>
            <w:tcW w:w="1680" w:type="dxa"/>
            <w:vAlign w:val="bottom"/>
            <w:gridSpan w:val="8"/>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960" w:type="dxa"/>
            <w:vAlign w:val="bottom"/>
            <w:gridSpan w:val="1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220" w:type="dxa"/>
            <w:vAlign w:val="bottom"/>
            <w:tcBorders>
              <w:bottom w:val="single" w:sz="8" w:color="0000EE"/>
            </w:tcBorders>
            <w:gridSpan w:val="11"/>
          </w:tcPr>
          <w:p>
            <w:pPr>
              <w:spacing w:after="0" w:line="146" w:lineRule="exact"/>
              <w:rPr>
                <w:sz w:val="20"/>
                <w:szCs w:val="20"/>
                <w:color w:val="auto"/>
              </w:rPr>
            </w:pPr>
            <w:r>
              <w:rPr>
                <w:rFonts w:ascii="Arial" w:cs="Arial" w:eastAsia="Arial" w:hAnsi="Arial"/>
                <w:sz w:val="14"/>
                <w:szCs w:val="14"/>
                <w:color w:val="0000EE"/>
                <w:w w:val="94"/>
              </w:rPr>
              <w:t>INCORPORATION BY REFERENCE</w:t>
            </w:r>
          </w:p>
        </w:tc>
        <w:tc>
          <w:tcPr>
            <w:tcW w:w="5960" w:type="dxa"/>
            <w:vAlign w:val="bottom"/>
            <w:gridSpan w:val="13"/>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6"/>
        </w:trPr>
        <w:tc>
          <w:tcPr>
            <w:tcW w:w="1740" w:type="dxa"/>
            <w:vAlign w:val="bottom"/>
            <w:tcBorders>
              <w:bottom w:val="single" w:sz="8" w:color="0000EE"/>
            </w:tcBorders>
            <w:gridSpan w:val="9"/>
          </w:tcPr>
          <w:p>
            <w:pPr>
              <w:spacing w:after="0" w:line="146" w:lineRule="exact"/>
              <w:rPr>
                <w:sz w:val="20"/>
                <w:szCs w:val="20"/>
                <w:color w:val="auto"/>
              </w:rPr>
            </w:pPr>
            <w:r>
              <w:rPr>
                <w:rFonts w:ascii="Arial" w:cs="Arial" w:eastAsia="Arial" w:hAnsi="Arial"/>
                <w:sz w:val="14"/>
                <w:szCs w:val="14"/>
                <w:color w:val="0000EE"/>
                <w:w w:val="96"/>
              </w:rPr>
              <w:t>AVAILABLE INFORMATION</w:t>
            </w:r>
          </w:p>
        </w:tc>
        <w:tc>
          <w:tcPr>
            <w:tcW w:w="6440" w:type="dxa"/>
            <w:vAlign w:val="bottom"/>
            <w:gridSpan w:val="15"/>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bl>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9019"/>
          </w:cols>
          <w:pgMar w:left="1440" w:top="264"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2805" cy="45720"/>
                    </a:xfrm>
                    <a:prstGeom prst="rect">
                      <a:avLst/>
                    </a:prstGeom>
                    <a:noFill/>
                  </pic:spPr>
                </pic:pic>
              </a:graphicData>
            </a:graphic>
          </wp:anchor>
        </w:drawing>
        <w:t>ABOUT THIS PROSPECTUS</w:t>
      </w:r>
    </w:p>
    <w:p>
      <w:pPr>
        <w:spacing w:after="0" w:line="175" w:lineRule="exact"/>
        <w:rPr>
          <w:sz w:val="20"/>
          <w:szCs w:val="20"/>
          <w:color w:val="auto"/>
        </w:rPr>
      </w:pPr>
    </w:p>
    <w:p>
      <w:pPr>
        <w:ind w:left="280" w:right="279" w:firstLine="338"/>
        <w:spacing w:after="0" w:line="269" w:lineRule="auto"/>
        <w:rPr>
          <w:sz w:val="20"/>
          <w:szCs w:val="20"/>
          <w:color w:val="auto"/>
        </w:rPr>
      </w:pPr>
      <w:r>
        <w:rPr>
          <w:rFonts w:ascii="Arial" w:cs="Arial" w:eastAsia="Arial" w:hAnsi="Arial"/>
          <w:sz w:val="13"/>
          <w:szCs w:val="13"/>
          <w:color w:val="auto"/>
        </w:rPr>
        <w:t>This prospectus is part of a registration statement that we have filed with the SEC using the “shelf” registration process. Under the shelf registration process, we may offer from time to time up to $500,000,000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and any free writing prospectus, together with any exhibits and the additional information described in the sections titled “Incorporation By Reference” and “Available Information,” before you make an investment decision.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9019"/>
          </w:cols>
          <w:pgMar w:left="1440" w:top="260" w:right="144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480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2805" cy="4480560"/>
                    </a:xfrm>
                    <a:prstGeom prst="rect">
                      <a:avLst/>
                    </a:prstGeom>
                    <a:noFill/>
                  </pic:spPr>
                </pic:pic>
              </a:graphicData>
            </a:graphic>
          </wp:anchor>
        </w:drawing>
        <w:t>PROSPECTUS SUMMARY</w:t>
      </w:r>
    </w:p>
    <w:p>
      <w:pPr>
        <w:spacing w:after="0" w:line="175" w:lineRule="exact"/>
        <w:rPr>
          <w:sz w:val="20"/>
          <w:szCs w:val="20"/>
          <w:color w:val="auto"/>
        </w:rPr>
      </w:pPr>
    </w:p>
    <w:p>
      <w:pPr>
        <w:ind w:left="420" w:right="439" w:firstLine="327"/>
        <w:spacing w:after="0" w:line="268" w:lineRule="auto"/>
        <w:rPr>
          <w:sz w:val="20"/>
          <w:szCs w:val="20"/>
          <w:color w:val="auto"/>
        </w:rPr>
      </w:pPr>
      <w:r>
        <w:rPr>
          <w:rFonts w:ascii="Arial" w:cs="Arial" w:eastAsia="Arial" w:hAnsi="Arial"/>
          <w:sz w:val="13"/>
          <w:szCs w:val="13"/>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or free writing prospectus, except where the context suggests otherwise: the terms “we,” “us,” “our” and “Company”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“PennantPark Investment Administration” or “Administrator” refers to PennantPark Investment Administration, LLC; “2023 Notes” refers to our 4.3% Series A notes due 2023; “2026 Notes” refers to our 4.25% Notes due 2026; “Code” refers to the Internal Revenue Code of 1986, as amended; “RIC” refers to a regulated investment company under the Code; “1940 Act” refers to the Investment Company Act of 1940, as amended; “BDC” refers to a business development company under the 1940 Act; “Prior Credit Facility” refers to our multi-currency senior secured revolving credit facility, as amended and restated with Truist Bank (formerly SunTrust Bank) and other lenders, originally entered into on June 23, 2011 and terminated on August 12, 2021; “Credit Facility” refers to our multi-currency senior secured revolving credit facility, as amended from time to time, with Truist Bank and other lenders, or the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A-1 Senior Secured Floating Rate Notes due 2031 by the Securitization Issuers in connection with the Debt Securitization.</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General Business of PennantPark Floating Rate Capital Ltd.</w:t>
      </w:r>
    </w:p>
    <w:p>
      <w:pPr>
        <w:spacing w:after="0" w:line="92" w:lineRule="exact"/>
        <w:rPr>
          <w:sz w:val="20"/>
          <w:szCs w:val="20"/>
          <w:color w:val="auto"/>
        </w:rPr>
      </w:pPr>
    </w:p>
    <w:p>
      <w:pPr>
        <w:ind w:left="420" w:right="439" w:firstLine="327"/>
        <w:spacing w:after="0" w:line="307" w:lineRule="auto"/>
        <w:rPr>
          <w:sz w:val="20"/>
          <w:szCs w:val="20"/>
          <w:color w:val="auto"/>
        </w:rPr>
      </w:pPr>
      <w:r>
        <w:rPr>
          <w:rFonts w:ascii="Arial" w:cs="Arial" w:eastAsia="Arial" w:hAnsi="Arial"/>
          <w:sz w:val="13"/>
          <w:szCs w:val="13"/>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15" w:lineRule="exact"/>
        <w:rPr>
          <w:sz w:val="20"/>
          <w:szCs w:val="20"/>
          <w:color w:val="auto"/>
        </w:rPr>
      </w:pPr>
    </w:p>
    <w:p>
      <w:pPr>
        <w:ind w:left="420" w:right="679" w:firstLine="327"/>
        <w:spacing w:after="0" w:line="296" w:lineRule="auto"/>
        <w:rPr>
          <w:sz w:val="20"/>
          <w:szCs w:val="20"/>
          <w:color w:val="auto"/>
        </w:rPr>
      </w:pPr>
      <w:r>
        <w:rPr>
          <w:rFonts w:ascii="Arial" w:cs="Arial" w:eastAsia="Arial" w:hAnsi="Arial"/>
          <w:sz w:val="12"/>
          <w:szCs w:val="12"/>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w:t>
      </w:r>
    </w:p>
    <w:p>
      <w:pPr>
        <w:spacing w:after="0" w:line="1" w:lineRule="exact"/>
        <w:rPr>
          <w:sz w:val="20"/>
          <w:szCs w:val="20"/>
          <w:color w:val="auto"/>
        </w:rPr>
      </w:pPr>
    </w:p>
    <w:p>
      <w:pPr>
        <w:ind w:left="420" w:right="479"/>
        <w:spacing w:after="0" w:line="300" w:lineRule="auto"/>
        <w:rPr>
          <w:sz w:val="20"/>
          <w:szCs w:val="20"/>
          <w:color w:val="auto"/>
        </w:rPr>
      </w:pPr>
      <w:r>
        <w:rPr>
          <w:rFonts w:ascii="Arial" w:cs="Arial" w:eastAsia="Arial" w:hAnsi="Arial"/>
          <w:sz w:val="12"/>
          <w:szCs w:val="12"/>
          <w:color w:val="auto"/>
        </w:rPr>
        <w:t>$1 billion. Our investments are typically rated below 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405" w:right="1440" w:bottom="1440" w:gutter="0" w:footer="0" w:header="0"/>
        </w:sectPr>
      </w:pPr>
    </w:p>
    <w:bookmarkStart w:id="6" w:name="page7"/>
    <w:bookmarkEnd w:id="6"/>
    <w:p>
      <w:pPr>
        <w:ind w:left="420" w:right="1019"/>
        <w:spacing w:after="0" w:line="26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85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2805" cy="4585970"/>
                    </a:xfrm>
                    <a:prstGeom prst="rect">
                      <a:avLst/>
                    </a:prstGeom>
                    <a:noFill/>
                  </pic:spPr>
                </pic:pic>
              </a:graphicData>
            </a:graphic>
          </wp:anchor>
        </w:drawing>
        <w:t>investments may generally range in maturity from three to ten years and are made to U.S. and, to a limited extent, non-U.S. corporations, partnerships and other business entities which operate in various industries and geographical regions.</w:t>
      </w:r>
    </w:p>
    <w:p>
      <w:pPr>
        <w:spacing w:after="0" w:line="138" w:lineRule="exact"/>
        <w:rPr>
          <w:sz w:val="20"/>
          <w:szCs w:val="20"/>
          <w:color w:val="auto"/>
        </w:rPr>
      </w:pPr>
    </w:p>
    <w:p>
      <w:pPr>
        <w:ind w:left="420" w:right="499" w:firstLine="327"/>
        <w:spacing w:after="0" w:line="274" w:lineRule="auto"/>
        <w:rPr>
          <w:sz w:val="20"/>
          <w:szCs w:val="20"/>
          <w:color w:val="auto"/>
        </w:rPr>
      </w:pPr>
      <w:r>
        <w:rPr>
          <w:rFonts w:ascii="Arial" w:cs="Arial" w:eastAsia="Arial" w:hAnsi="Arial"/>
          <w:sz w:val="13"/>
          <w:szCs w:val="13"/>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37" w:lineRule="exact"/>
        <w:rPr>
          <w:sz w:val="20"/>
          <w:szCs w:val="20"/>
          <w:color w:val="auto"/>
        </w:rPr>
      </w:pPr>
    </w:p>
    <w:p>
      <w:pPr>
        <w:ind w:left="420" w:right="499" w:firstLine="327"/>
        <w:spacing w:after="0" w:line="254"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227"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Organization and Structure of PennantPark Floating Rate Capital Ltd.</w:t>
      </w:r>
    </w:p>
    <w:p>
      <w:pPr>
        <w:spacing w:after="0" w:line="92" w:lineRule="exact"/>
        <w:rPr>
          <w:sz w:val="20"/>
          <w:szCs w:val="20"/>
          <w:color w:val="auto"/>
        </w:rPr>
      </w:pPr>
    </w:p>
    <w:p>
      <w:pPr>
        <w:ind w:left="420" w:right="619" w:firstLine="327"/>
        <w:spacing w:after="0" w:line="257" w:lineRule="auto"/>
        <w:rPr>
          <w:sz w:val="20"/>
          <w:szCs w:val="20"/>
          <w:color w:val="auto"/>
        </w:rPr>
      </w:pPr>
      <w:r>
        <w:rPr>
          <w:rFonts w:ascii="Arial" w:cs="Arial" w:eastAsia="Arial" w:hAnsi="Arial"/>
          <w:sz w:val="14"/>
          <w:szCs w:val="14"/>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46" w:lineRule="exact"/>
        <w:rPr>
          <w:sz w:val="20"/>
          <w:szCs w:val="20"/>
          <w:color w:val="auto"/>
        </w:rPr>
      </w:pPr>
    </w:p>
    <w:p>
      <w:pPr>
        <w:ind w:left="420" w:right="479" w:firstLine="327"/>
        <w:spacing w:after="0" w:line="254" w:lineRule="auto"/>
        <w:rPr>
          <w:sz w:val="20"/>
          <w:szCs w:val="20"/>
          <w:color w:val="auto"/>
        </w:rPr>
      </w:pPr>
      <w:r>
        <w:rPr>
          <w:rFonts w:ascii="Arial" w:cs="Arial" w:eastAsia="Arial" w:hAnsi="Arial"/>
          <w:sz w:val="14"/>
          <w:szCs w:val="14"/>
          <w:color w:val="auto"/>
        </w:rPr>
        <w:t>Funding I, our wholly owned subsidiary and a special purpose entity, was organized in Delaware as a limited liability company in May 2011. We formed Funding I in order to establish the Prior Credit Facility. On August 12, 2021, we terminated the Prior Credit Facility, and Funding I, as borrower, entered into the Credit Facility, which provides the ability for Funding I to borrow up to $366 million (increased from $300 million in September 2022). The Credit Facility is secured by all of the assets of Funding I.</w:t>
      </w:r>
    </w:p>
    <w:p>
      <w:pPr>
        <w:spacing w:after="0" w:line="148" w:lineRule="exact"/>
        <w:rPr>
          <w:sz w:val="20"/>
          <w:szCs w:val="20"/>
          <w:color w:val="auto"/>
        </w:rPr>
      </w:pPr>
    </w:p>
    <w:p>
      <w:pPr>
        <w:ind w:left="420" w:right="459" w:firstLine="327"/>
        <w:spacing w:after="0" w:line="257" w:lineRule="auto"/>
        <w:rPr>
          <w:sz w:val="20"/>
          <w:szCs w:val="20"/>
          <w:color w:val="auto"/>
        </w:rPr>
      </w:pPr>
      <w:r>
        <w:rPr>
          <w:rFonts w:ascii="Arial" w:cs="Arial" w:eastAsia="Arial" w:hAnsi="Arial"/>
          <w:sz w:val="14"/>
          <w:szCs w:val="14"/>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w:t>
      </w:r>
    </w:p>
    <w:p>
      <w:pPr>
        <w:spacing w:after="0" w:line="146" w:lineRule="exact"/>
        <w:rPr>
          <w:sz w:val="20"/>
          <w:szCs w:val="20"/>
          <w:color w:val="auto"/>
        </w:rPr>
      </w:pPr>
    </w:p>
    <w:p>
      <w:pPr>
        <w:ind w:left="420" w:right="459" w:firstLine="327"/>
        <w:spacing w:after="0" w:line="268" w:lineRule="auto"/>
        <w:rPr>
          <w:sz w:val="20"/>
          <w:szCs w:val="20"/>
          <w:color w:val="auto"/>
        </w:rPr>
      </w:pPr>
      <w:r>
        <w:rPr>
          <w:rFonts w:ascii="Arial" w:cs="Arial" w:eastAsia="Arial" w:hAnsi="Arial"/>
          <w:sz w:val="14"/>
          <w:szCs w:val="14"/>
          <w:color w:val="auto"/>
        </w:rPr>
        <w:t>In April 2019, our wholly owned subsidiary, the Securitization Issuer, was incorporated in the Cayman Islands as an exempted company with limited liability. We formed the Securitization Issuer in order to complete the Debt Securitization.</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Our Investment Adviser and Administrator</w:t>
      </w:r>
    </w:p>
    <w:p>
      <w:pPr>
        <w:spacing w:after="0" w:line="92" w:lineRule="exact"/>
        <w:rPr>
          <w:sz w:val="20"/>
          <w:szCs w:val="20"/>
          <w:color w:val="auto"/>
        </w:rPr>
      </w:pPr>
    </w:p>
    <w:p>
      <w:pPr>
        <w:ind w:left="420" w:right="519" w:firstLine="327"/>
        <w:spacing w:after="0" w:line="274" w:lineRule="auto"/>
        <w:rPr>
          <w:sz w:val="20"/>
          <w:szCs w:val="20"/>
          <w:color w:val="auto"/>
        </w:rPr>
      </w:pPr>
      <w:r>
        <w:rPr>
          <w:rFonts w:ascii="Arial" w:cs="Arial" w:eastAsia="Arial" w:hAnsi="Arial"/>
          <w:sz w:val="13"/>
          <w:szCs w:val="13"/>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have resulted in a strong reputation with financial sponsors, management teams, investment bankers,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019"/>
          </w:cols>
          <w:pgMar w:left="1440" w:top="409" w:right="1440" w:bottom="1440" w:gutter="0" w:footer="0" w:header="0"/>
        </w:sectPr>
      </w:pPr>
    </w:p>
    <w:bookmarkStart w:id="7" w:name="page8"/>
    <w:bookmarkEnd w:id="7"/>
    <w:p>
      <w:pPr>
        <w:ind w:left="420" w:right="579"/>
        <w:spacing w:after="0" w:line="25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6716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2805" cy="4671695"/>
                    </a:xfrm>
                    <a:prstGeom prst="rect">
                      <a:avLst/>
                    </a:prstGeom>
                    <a:noFill/>
                  </pic:spPr>
                </pic:pic>
              </a:graphicData>
            </a:graphic>
          </wp:anchor>
        </w:drawing>
        <w:t>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through its managed funds $17.1 billion in 628 companies with more than 200 different financial sponsors through its managed funds, which includes investments by the Company totaling $5.0 billion in 451 companies.</w:t>
      </w:r>
    </w:p>
    <w:p>
      <w:pPr>
        <w:spacing w:after="0" w:line="150" w:lineRule="exact"/>
        <w:rPr>
          <w:sz w:val="20"/>
          <w:szCs w:val="20"/>
          <w:color w:val="auto"/>
        </w:rPr>
      </w:pPr>
    </w:p>
    <w:p>
      <w:pPr>
        <w:ind w:left="420" w:right="439" w:firstLine="327"/>
        <w:spacing w:after="0" w:line="272" w:lineRule="auto"/>
        <w:rPr>
          <w:sz w:val="20"/>
          <w:szCs w:val="20"/>
          <w:color w:val="auto"/>
        </w:rPr>
      </w:pPr>
      <w:r>
        <w:rPr>
          <w:rFonts w:ascii="Arial" w:cs="Arial" w:eastAsia="Arial" w:hAnsi="Arial"/>
          <w:sz w:val="13"/>
          <w:szCs w:val="13"/>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in our most recent Annual Report on Form 10-K for more information.</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Market Opportunity</w:t>
      </w:r>
    </w:p>
    <w:p>
      <w:pPr>
        <w:spacing w:after="0" w:line="92" w:lineRule="exact"/>
        <w:rPr>
          <w:sz w:val="20"/>
          <w:szCs w:val="20"/>
          <w:color w:val="auto"/>
        </w:rPr>
      </w:pPr>
    </w:p>
    <w:p>
      <w:pPr>
        <w:ind w:left="420" w:right="539" w:firstLine="327"/>
        <w:spacing w:after="0" w:line="268" w:lineRule="auto"/>
        <w:rPr>
          <w:sz w:val="20"/>
          <w:szCs w:val="20"/>
          <w:color w:val="auto"/>
        </w:rPr>
      </w:pPr>
      <w:r>
        <w:rPr>
          <w:rFonts w:ascii="Arial" w:cs="Arial" w:eastAsia="Arial" w:hAnsi="Arial"/>
          <w:sz w:val="14"/>
          <w:szCs w:val="14"/>
          <w:color w:val="auto"/>
        </w:rPr>
        <w:t>We believe that the limited amount of capital available to middle-market companies, coupled with the desire of these companies for flexible sources of capital, creates an attractive investment environment for us.</w:t>
      </w:r>
    </w:p>
    <w:p>
      <w:pPr>
        <w:spacing w:after="0" w:line="62" w:lineRule="exact"/>
        <w:rPr>
          <w:sz w:val="20"/>
          <w:szCs w:val="20"/>
          <w:color w:val="auto"/>
        </w:rPr>
      </w:pPr>
    </w:p>
    <w:p>
      <w:pPr>
        <w:ind w:left="720" w:right="479" w:hanging="234"/>
        <w:spacing w:after="0" w:line="260" w:lineRule="auto"/>
        <w:tabs>
          <w:tab w:leader="none" w:pos="720" w:val="left"/>
        </w:tabs>
        <w:numPr>
          <w:ilvl w:val="0"/>
          <w:numId w:val="13"/>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difficulty raising debt in private markets. </w:t>
      </w:r>
      <w:r>
        <w:rPr>
          <w:rFonts w:ascii="Arial" w:cs="Arial" w:eastAsia="Arial" w:hAnsi="Arial"/>
          <w:sz w:val="14"/>
          <w:szCs w:val="14"/>
          <w:color w:val="auto"/>
        </w:rPr>
        <w:t>From time to time, banks, finance</w:t>
      </w:r>
      <w:r>
        <w:rPr>
          <w:rFonts w:ascii="Arial" w:cs="Arial" w:eastAsia="Arial" w:hAnsi="Arial"/>
          <w:sz w:val="14"/>
          <w:szCs w:val="14"/>
          <w:b w:val="1"/>
          <w:bCs w:val="1"/>
          <w:color w:val="auto"/>
        </w:rPr>
        <w:t xml:space="preserve"> </w:t>
      </w:r>
      <w:r>
        <w:rPr>
          <w:rFonts w:ascii="Arial" w:cs="Arial" w:eastAsia="Arial" w:hAnsi="Arial"/>
          <w:sz w:val="14"/>
          <w:szCs w:val="14"/>
          <w:color w:val="auto"/>
        </w:rPr>
        <w:t>companies, hedge funds and collateralized loan obligation, or CLO, funds have withdrawn, and may again withdraw, capital from the middle-market, resulting in opportunities for alternative funding sources.</w:t>
      </w:r>
    </w:p>
    <w:p>
      <w:pPr>
        <w:spacing w:after="0" w:line="67" w:lineRule="exact"/>
        <w:rPr>
          <w:rFonts w:ascii="Arial" w:cs="Arial" w:eastAsia="Arial" w:hAnsi="Arial"/>
          <w:sz w:val="14"/>
          <w:szCs w:val="14"/>
          <w:color w:val="auto"/>
        </w:rPr>
      </w:pPr>
    </w:p>
    <w:p>
      <w:pPr>
        <w:jc w:val="both"/>
        <w:ind w:left="720" w:right="439" w:hanging="234"/>
        <w:spacing w:after="0" w:line="256" w:lineRule="auto"/>
        <w:tabs>
          <w:tab w:leader="none" w:pos="720" w:val="left"/>
        </w:tabs>
        <w:numPr>
          <w:ilvl w:val="0"/>
          <w:numId w:val="13"/>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difficulty in raising debt through the capital markets. </w:t>
      </w:r>
      <w:r>
        <w:rPr>
          <w:rFonts w:ascii="Arial" w:cs="Arial" w:eastAsia="Arial" w:hAnsi="Arial"/>
          <w:sz w:val="14"/>
          <w:szCs w:val="14"/>
          <w:color w:val="auto"/>
        </w:rPr>
        <w:t>Many middle-market companies</w:t>
      </w:r>
      <w:r>
        <w:rPr>
          <w:rFonts w:ascii="Arial" w:cs="Arial" w:eastAsia="Arial" w:hAnsi="Arial"/>
          <w:sz w:val="14"/>
          <w:szCs w:val="14"/>
          <w:b w:val="1"/>
          <w:bCs w:val="1"/>
          <w:color w:val="auto"/>
        </w:rPr>
        <w:t xml:space="preserve"> </w:t>
      </w:r>
      <w:r>
        <w:rPr>
          <w:rFonts w:ascii="Arial" w:cs="Arial" w:eastAsia="Arial" w:hAnsi="Arial"/>
          <w:sz w:val="14"/>
          <w:szCs w:val="14"/>
          <w:color w:val="auto"/>
        </w:rPr>
        <w:t>look to raise funds by issuing high-yield bonds and broadly syndicated loans.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70" w:lineRule="exact"/>
        <w:rPr>
          <w:rFonts w:ascii="Arial" w:cs="Arial" w:eastAsia="Arial" w:hAnsi="Arial"/>
          <w:sz w:val="14"/>
          <w:szCs w:val="14"/>
          <w:color w:val="auto"/>
        </w:rPr>
      </w:pPr>
    </w:p>
    <w:p>
      <w:pPr>
        <w:jc w:val="both"/>
        <w:ind w:left="720" w:right="619" w:hanging="234"/>
        <w:spacing w:after="0" w:line="290" w:lineRule="auto"/>
        <w:tabs>
          <w:tab w:leader="none" w:pos="720" w:val="left"/>
        </w:tabs>
        <w:numPr>
          <w:ilvl w:val="0"/>
          <w:numId w:val="13"/>
        </w:numPr>
        <w:rPr>
          <w:rFonts w:ascii="Arial" w:cs="Arial" w:eastAsia="Arial" w:hAnsi="Arial"/>
          <w:sz w:val="13"/>
          <w:szCs w:val="13"/>
          <w:color w:val="auto"/>
        </w:rPr>
      </w:pPr>
      <w:r>
        <w:rPr>
          <w:rFonts w:ascii="Arial" w:cs="Arial" w:eastAsia="Arial" w:hAnsi="Arial"/>
          <w:sz w:val="13"/>
          <w:szCs w:val="13"/>
          <w:b w:val="1"/>
          <w:bCs w:val="1"/>
          <w:color w:val="auto"/>
        </w:rPr>
        <w:t xml:space="preserve">We believe that credit market dislocation for middle-market companies improves the risk-reward on our investments. </w:t>
      </w:r>
      <w:r>
        <w:rPr>
          <w:rFonts w:ascii="Arial" w:cs="Arial" w:eastAsia="Arial" w:hAnsi="Arial"/>
          <w:sz w:val="13"/>
          <w:szCs w:val="13"/>
          <w:color w:val="auto"/>
        </w:rPr>
        <w:t>From time to</w:t>
      </w:r>
      <w:r>
        <w:rPr>
          <w:rFonts w:ascii="Arial" w:cs="Arial" w:eastAsia="Arial" w:hAnsi="Arial"/>
          <w:sz w:val="13"/>
          <w:szCs w:val="13"/>
          <w:b w:val="1"/>
          <w:bCs w:val="1"/>
          <w:color w:val="auto"/>
        </w:rPr>
        <w:t xml:space="preserve"> </w:t>
      </w:r>
      <w:r>
        <w:rPr>
          <w:rFonts w:ascii="Arial" w:cs="Arial" w:eastAsia="Arial" w:hAnsi="Arial"/>
          <w:sz w:val="13"/>
          <w:szCs w:val="13"/>
          <w:color w:val="auto"/>
        </w:rPr>
        <w:t>time, market participants have reduced lending to middle-market and non-investment grade borrowers. As a result, we believe there is less competition in our market, more conservative capital structures, higher yields and stronger covenants.</w:t>
      </w:r>
    </w:p>
    <w:p>
      <w:pPr>
        <w:spacing w:after="0" w:line="49" w:lineRule="exact"/>
        <w:rPr>
          <w:rFonts w:ascii="Arial" w:cs="Arial" w:eastAsia="Arial" w:hAnsi="Arial"/>
          <w:sz w:val="13"/>
          <w:szCs w:val="13"/>
          <w:color w:val="auto"/>
        </w:rPr>
      </w:pPr>
    </w:p>
    <w:p>
      <w:pPr>
        <w:ind w:left="720" w:right="439" w:hanging="234"/>
        <w:spacing w:after="0" w:line="282" w:lineRule="auto"/>
        <w:tabs>
          <w:tab w:leader="none" w:pos="720" w:val="left"/>
        </w:tabs>
        <w:numPr>
          <w:ilvl w:val="0"/>
          <w:numId w:val="13"/>
        </w:numPr>
        <w:rPr>
          <w:rFonts w:ascii="Arial" w:cs="Arial" w:eastAsia="Arial" w:hAnsi="Arial"/>
          <w:sz w:val="13"/>
          <w:szCs w:val="13"/>
          <w:color w:val="auto"/>
        </w:rPr>
      </w:pPr>
      <w:r>
        <w:rPr>
          <w:rFonts w:ascii="Arial" w:cs="Arial" w:eastAsia="Arial" w:hAnsi="Arial"/>
          <w:sz w:val="13"/>
          <w:szCs w:val="13"/>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3"/>
          <w:szCs w:val="13"/>
          <w:color w:val="auto"/>
        </w:rPr>
        <w:t>We expect that private equity firms will continue to be active investors in middle-market companies. These</w:t>
      </w:r>
      <w:r>
        <w:rPr>
          <w:rFonts w:ascii="Arial" w:cs="Arial" w:eastAsia="Arial" w:hAnsi="Arial"/>
          <w:sz w:val="13"/>
          <w:szCs w:val="13"/>
          <w:b w:val="1"/>
          <w:bCs w:val="1"/>
          <w:color w:val="auto"/>
        </w:rPr>
        <w:t xml:space="preserve"> </w:t>
      </w:r>
      <w:r>
        <w:rPr>
          <w:rFonts w:ascii="Arial" w:cs="Arial" w:eastAsia="Arial" w:hAnsi="Arial"/>
          <w:sz w:val="13"/>
          <w:szCs w:val="13"/>
          <w:color w:val="auto"/>
        </w:rPr>
        <w:t>private equity funds generally seek to leverage their investments by combining their capital with loans provided by other sources, and we believe that we are well-positioned to partner with such equity investors.</w:t>
      </w:r>
    </w:p>
    <w:p>
      <w:pPr>
        <w:spacing w:after="0" w:line="54" w:lineRule="exact"/>
        <w:rPr>
          <w:rFonts w:ascii="Arial" w:cs="Arial" w:eastAsia="Arial" w:hAnsi="Arial"/>
          <w:sz w:val="13"/>
          <w:szCs w:val="13"/>
          <w:color w:val="auto"/>
        </w:rPr>
      </w:pPr>
    </w:p>
    <w:p>
      <w:pPr>
        <w:ind w:left="720" w:right="499" w:hanging="234"/>
        <w:spacing w:after="0" w:line="252" w:lineRule="auto"/>
        <w:tabs>
          <w:tab w:leader="none" w:pos="720" w:val="left"/>
        </w:tabs>
        <w:numPr>
          <w:ilvl w:val="0"/>
          <w:numId w:val="13"/>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substantial supply of opportunities resulting from maturing loans that seek refinancing. </w:t>
      </w:r>
      <w:r>
        <w:rPr>
          <w:rFonts w:ascii="Arial" w:cs="Arial" w:eastAsia="Arial" w:hAnsi="Arial"/>
          <w:sz w:val="14"/>
          <w:szCs w:val="14"/>
          <w:color w:val="auto"/>
        </w:rPr>
        <w:t>A high volume of</w:t>
      </w:r>
      <w:r>
        <w:rPr>
          <w:rFonts w:ascii="Arial" w:cs="Arial" w:eastAsia="Arial" w:hAnsi="Arial"/>
          <w:sz w:val="14"/>
          <w:szCs w:val="14"/>
          <w:b w:val="1"/>
          <w:bCs w:val="1"/>
          <w:color w:val="auto"/>
        </w:rPr>
        <w:t xml:space="preserve"> </w:t>
      </w:r>
      <w:r>
        <w:rPr>
          <w:rFonts w:ascii="Arial" w:cs="Arial" w:eastAsia="Arial" w:hAnsi="Arial"/>
          <w:sz w:val="14"/>
          <w:szCs w:val="14"/>
          <w:color w:val="auto"/>
        </w:rPr>
        <w:t>financings will 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019"/>
          </w:cols>
          <w:pgMar w:left="1440" w:top="409" w:right="1440" w:bottom="1440" w:gutter="0" w:footer="0" w:header="0"/>
        </w:sectPr>
      </w:pPr>
    </w:p>
    <w:bookmarkStart w:id="8" w:name="page9"/>
    <w:bookmarkEnd w:id="8"/>
    <w:p>
      <w:pPr>
        <w:ind w:left="4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7440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2805" cy="4744085"/>
                    </a:xfrm>
                    <a:prstGeom prst="rect">
                      <a:avLst/>
                    </a:prstGeom>
                    <a:noFill/>
                  </pic:spPr>
                </pic:pic>
              </a:graphicData>
            </a:graphic>
          </wp:anchor>
        </w:drawing>
        <w:t>Use of Proceeds</w:t>
      </w:r>
    </w:p>
    <w:p>
      <w:pPr>
        <w:spacing w:after="0" w:line="92" w:lineRule="exact"/>
        <w:rPr>
          <w:sz w:val="20"/>
          <w:szCs w:val="20"/>
          <w:color w:val="auto"/>
        </w:rPr>
      </w:pPr>
    </w:p>
    <w:p>
      <w:pPr>
        <w:ind w:left="420" w:right="599" w:firstLine="327"/>
        <w:spacing w:after="0" w:line="254" w:lineRule="auto"/>
        <w:rPr>
          <w:sz w:val="20"/>
          <w:szCs w:val="20"/>
          <w:color w:val="auto"/>
        </w:rPr>
      </w:pPr>
      <w:r>
        <w:rPr>
          <w:rFonts w:ascii="Arial" w:cs="Arial" w:eastAsia="Arial" w:hAnsi="Arial"/>
          <w:sz w:val="14"/>
          <w:szCs w:val="14"/>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or free writing prospectus relating to an offering will more fully identify the use of the proceeds from such offering. See “Use of Proceeds” for more information.</w:t>
      </w:r>
    </w:p>
    <w:p>
      <w:pPr>
        <w:spacing w:after="0" w:line="227"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Distributions on Common Stock</w:t>
      </w:r>
    </w:p>
    <w:p>
      <w:pPr>
        <w:spacing w:after="0" w:line="92" w:lineRule="exact"/>
        <w:rPr>
          <w:sz w:val="20"/>
          <w:szCs w:val="20"/>
          <w:color w:val="auto"/>
        </w:rPr>
      </w:pPr>
    </w:p>
    <w:p>
      <w:pPr>
        <w:ind w:left="420" w:right="859" w:firstLine="327"/>
        <w:spacing w:after="0" w:line="268" w:lineRule="auto"/>
        <w:rPr>
          <w:sz w:val="20"/>
          <w:szCs w:val="20"/>
          <w:color w:val="auto"/>
        </w:rPr>
      </w:pPr>
      <w:r>
        <w:rPr>
          <w:rFonts w:ascii="Arial" w:cs="Arial" w:eastAsia="Arial" w:hAnsi="Arial"/>
          <w:sz w:val="14"/>
          <w:szCs w:val="14"/>
          <w:color w:val="auto"/>
        </w:rPr>
        <w:t>We intend to continue our monthly distributions to our stockholders. Our monthly distributions, if any, are determined by our board of directors. Distributions may include a return of capital. See “Distributions” for more information.</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Dividends on Preferred Stock</w:t>
      </w:r>
    </w:p>
    <w:p>
      <w:pPr>
        <w:spacing w:after="0" w:line="92" w:lineRule="exact"/>
        <w:rPr>
          <w:sz w:val="20"/>
          <w:szCs w:val="20"/>
          <w:color w:val="auto"/>
        </w:rPr>
      </w:pPr>
    </w:p>
    <w:p>
      <w:pPr>
        <w:ind w:left="420" w:right="419" w:firstLine="327"/>
        <w:spacing w:after="0" w:line="304" w:lineRule="auto"/>
        <w:rPr>
          <w:sz w:val="20"/>
          <w:szCs w:val="20"/>
          <w:color w:val="auto"/>
        </w:rPr>
      </w:pPr>
      <w:r>
        <w:rPr>
          <w:rFonts w:ascii="Arial" w:cs="Arial" w:eastAsia="Arial" w:hAnsi="Arial"/>
          <w:sz w:val="12"/>
          <w:szCs w:val="12"/>
          <w:color w:val="auto"/>
        </w:rPr>
        <w:t>We may issue preferred stock from time to time, although we have no immediate intention to do so. Any such preferred stock will be a senior security for purposes of the 1940 Act and, accordingly, subject to the 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200"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Plan of Distribution</w:t>
      </w:r>
    </w:p>
    <w:p>
      <w:pPr>
        <w:spacing w:after="0" w:line="92" w:lineRule="exact"/>
        <w:rPr>
          <w:sz w:val="20"/>
          <w:szCs w:val="20"/>
          <w:color w:val="auto"/>
        </w:rPr>
      </w:pPr>
    </w:p>
    <w:p>
      <w:pPr>
        <w:ind w:left="420" w:right="659" w:firstLine="327"/>
        <w:spacing w:after="0" w:line="268" w:lineRule="auto"/>
        <w:rPr>
          <w:sz w:val="20"/>
          <w:szCs w:val="20"/>
          <w:color w:val="auto"/>
        </w:rPr>
      </w:pPr>
      <w:r>
        <w:rPr>
          <w:rFonts w:ascii="Arial" w:cs="Arial" w:eastAsia="Arial" w:hAnsi="Arial"/>
          <w:sz w:val="14"/>
          <w:szCs w:val="14"/>
          <w:color w:val="auto"/>
        </w:rPr>
        <w:t>We may offer, from time to time, up to $500,000,000 of our securities, on terms to be determined at the time of each such offering and set forth in a supplement to this prospectus.</w:t>
      </w:r>
    </w:p>
    <w:p>
      <w:pPr>
        <w:spacing w:after="0" w:line="138" w:lineRule="exact"/>
        <w:rPr>
          <w:sz w:val="20"/>
          <w:szCs w:val="20"/>
          <w:color w:val="auto"/>
        </w:rPr>
      </w:pPr>
    </w:p>
    <w:p>
      <w:pPr>
        <w:ind w:left="420" w:right="439" w:firstLine="327"/>
        <w:spacing w:after="0" w:line="272" w:lineRule="auto"/>
        <w:rPr>
          <w:sz w:val="20"/>
          <w:szCs w:val="20"/>
          <w:color w:val="auto"/>
        </w:rPr>
      </w:pPr>
      <w:r>
        <w:rPr>
          <w:rFonts w:ascii="Arial" w:cs="Arial" w:eastAsia="Arial" w:hAnsi="Arial"/>
          <w:sz w:val="13"/>
          <w:szCs w:val="13"/>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w:t>
      </w:r>
    </w:p>
    <w:p>
      <w:pPr>
        <w:spacing w:after="0" w:line="138" w:lineRule="exact"/>
        <w:rPr>
          <w:sz w:val="20"/>
          <w:szCs w:val="20"/>
          <w:color w:val="auto"/>
        </w:rPr>
      </w:pPr>
    </w:p>
    <w:p>
      <w:pPr>
        <w:ind w:left="420" w:right="799" w:firstLine="327"/>
        <w:spacing w:after="0" w:line="307" w:lineRule="auto"/>
        <w:rPr>
          <w:sz w:val="20"/>
          <w:szCs w:val="20"/>
          <w:color w:val="auto"/>
        </w:rPr>
      </w:pPr>
      <w:r>
        <w:rPr>
          <w:rFonts w:ascii="Arial" w:cs="Arial" w:eastAsia="Arial" w:hAnsi="Arial"/>
          <w:sz w:val="13"/>
          <w:szCs w:val="13"/>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Risks Associated with Our Business</w:t>
      </w:r>
    </w:p>
    <w:p>
      <w:pPr>
        <w:spacing w:after="0" w:line="92" w:lineRule="exact"/>
        <w:rPr>
          <w:sz w:val="20"/>
          <w:szCs w:val="20"/>
          <w:color w:val="auto"/>
        </w:rPr>
      </w:pPr>
    </w:p>
    <w:p>
      <w:pPr>
        <w:ind w:left="420" w:right="419" w:firstLine="327"/>
        <w:spacing w:after="0" w:line="310" w:lineRule="auto"/>
        <w:rPr>
          <w:sz w:val="20"/>
          <w:szCs w:val="20"/>
          <w:color w:val="auto"/>
        </w:rPr>
      </w:pPr>
      <w:r>
        <w:rPr>
          <w:rFonts w:ascii="Arial" w:cs="Arial" w:eastAsia="Arial" w:hAnsi="Arial"/>
          <w:sz w:val="12"/>
          <w:szCs w:val="12"/>
          <w:color w:val="auto"/>
        </w:rPr>
        <w:t>Our business is subject to numerous risks, as described in the section titled “Risk Factors” in this prospectus, the applicable prospectus supplement and related free writing prospectuses we may authorize for use in connection with a specific offering, if any, and under similar headings in the documents that are incorporated by reference into this prospectus, including the section titled “Risk Factors” included in our most recent Annual Report on Form 10-K and Quarterly Reports on Form 10-Q, as well as any amendments reflected in subsequent filings with the SEC.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405" w:right="1440" w:bottom="1440" w:gutter="0" w:footer="0" w:header="0"/>
        </w:sectPr>
      </w:pPr>
    </w:p>
    <w:bookmarkStart w:id="9" w:name="page10"/>
    <w:bookmarkEnd w:id="9"/>
    <w:p>
      <w:pPr>
        <w:ind w:left="4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8458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2805" cy="845820"/>
                    </a:xfrm>
                    <a:prstGeom prst="rect">
                      <a:avLst/>
                    </a:prstGeom>
                    <a:noFill/>
                  </pic:spPr>
                </pic:pic>
              </a:graphicData>
            </a:graphic>
          </wp:anchor>
        </w:drawing>
        <w:t>Our Corporate Information</w:t>
      </w:r>
    </w:p>
    <w:p>
      <w:pPr>
        <w:spacing w:after="0" w:line="92" w:lineRule="exact"/>
        <w:rPr>
          <w:sz w:val="20"/>
          <w:szCs w:val="20"/>
          <w:color w:val="auto"/>
        </w:rPr>
      </w:pPr>
    </w:p>
    <w:p>
      <w:pPr>
        <w:ind w:left="420" w:right="539" w:firstLine="327"/>
        <w:spacing w:after="0" w:line="254" w:lineRule="auto"/>
        <w:rPr>
          <w:sz w:val="20"/>
          <w:szCs w:val="20"/>
          <w:color w:val="auto"/>
        </w:rPr>
      </w:pPr>
      <w:r>
        <w:rPr>
          <w:rFonts w:ascii="Arial" w:cs="Arial" w:eastAsia="Arial" w:hAnsi="Arial"/>
          <w:sz w:val="14"/>
          <w:szCs w:val="14"/>
          <w:color w:val="auto"/>
        </w:rPr>
        <w:t xml:space="preserve">Our administrative and principal executive offices are located at 1691 Michigan Avenue, Miami, Florida 33139. Our phone number is (212) 905-1000, and our internet website address is </w:t>
      </w:r>
      <w:r>
        <w:rPr>
          <w:rFonts w:ascii="Arial" w:cs="Arial" w:eastAsia="Arial" w:hAnsi="Arial"/>
          <w:sz w:val="14"/>
          <w:szCs w:val="14"/>
          <w:i w:val="1"/>
          <w:iCs w:val="1"/>
          <w:u w:val="single" w:color="auto"/>
          <w:color w:val="auto"/>
        </w:rPr>
        <w:t>www.pennantpark.com</w:t>
      </w:r>
      <w:r>
        <w:rPr>
          <w:rFonts w:ascii="Arial" w:cs="Arial" w:eastAsia="Arial" w:hAnsi="Arial"/>
          <w:sz w:val="14"/>
          <w:szCs w:val="14"/>
          <w:color w:val="auto"/>
        </w:rPr>
        <w:t>.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019"/>
          </w:cols>
          <w:pgMar w:left="1440" w:top="405"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2805" cy="45720"/>
                    </a:xfrm>
                    <a:prstGeom prst="rect">
                      <a:avLst/>
                    </a:prstGeom>
                    <a:noFill/>
                  </pic:spPr>
                </pic:pic>
              </a:graphicData>
            </a:graphic>
          </wp:anchor>
        </w:drawing>
        <w:t>FEES AND EXPENSES</w:t>
      </w:r>
    </w:p>
    <w:p>
      <w:pPr>
        <w:spacing w:after="0" w:line="175" w:lineRule="exact"/>
        <w:rPr>
          <w:sz w:val="20"/>
          <w:szCs w:val="20"/>
          <w:color w:val="auto"/>
        </w:rPr>
      </w:pPr>
    </w:p>
    <w:p>
      <w:pPr>
        <w:ind w:left="280" w:right="339" w:firstLine="338"/>
        <w:spacing w:after="0" w:line="320" w:lineRule="auto"/>
        <w:rPr>
          <w:sz w:val="20"/>
          <w:szCs w:val="20"/>
          <w:color w:val="auto"/>
        </w:rPr>
      </w:pPr>
      <w:r>
        <w:rPr>
          <w:rFonts w:ascii="Arial" w:cs="Arial" w:eastAsia="Arial" w:hAnsi="Arial"/>
          <w:sz w:val="12"/>
          <w:szCs w:val="12"/>
          <w:color w:val="auto"/>
        </w:rPr>
        <w:t>Information about the various costs and expenses that an investor in shares of our common stock will bear directly or indirectly is located in “Part II, Item 5 – Market for Registrant’s Common Equity, Related Stockholder Matters and Issuer Purchases of Equity Securities – Fees and Expenses” in our most recent Annual Report on Form 10-K and is incorporated by reference into the registration statement of which this prospectus is a part.</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019"/>
          </w:cols>
          <w:pgMar w:left="1440" w:top="260"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2805" cy="45720"/>
                    </a:xfrm>
                    <a:prstGeom prst="rect">
                      <a:avLst/>
                    </a:prstGeom>
                    <a:noFill/>
                  </pic:spPr>
                </pic:pic>
              </a:graphicData>
            </a:graphic>
          </wp:anchor>
        </w:drawing>
        <w:t>FINANCIAL HIGHLIGHTS</w:t>
      </w:r>
    </w:p>
    <w:p>
      <w:pPr>
        <w:spacing w:after="0" w:line="175" w:lineRule="exact"/>
        <w:rPr>
          <w:sz w:val="20"/>
          <w:szCs w:val="20"/>
          <w:color w:val="auto"/>
        </w:rPr>
      </w:pPr>
    </w:p>
    <w:p>
      <w:pPr>
        <w:ind w:left="280" w:right="319" w:firstLine="338"/>
        <w:spacing w:after="0" w:line="310" w:lineRule="auto"/>
        <w:rPr>
          <w:sz w:val="20"/>
          <w:szCs w:val="20"/>
          <w:color w:val="auto"/>
        </w:rPr>
      </w:pPr>
      <w:r>
        <w:rPr>
          <w:rFonts w:ascii="Arial" w:cs="Arial" w:eastAsia="Arial" w:hAnsi="Arial"/>
          <w:sz w:val="12"/>
          <w:szCs w:val="12"/>
          <w:color w:val="auto"/>
        </w:rPr>
        <w:t>The financial data set forth in the following table as of and for the years ended September 30, 2022, 2021, 2020, 2019, 2018, 2017, 2016, 2015, 2014 and 2013 are derived from our consolidated financial statements, which have been audited by an independent registered public accounting firm for those periods. This financial data should be read in conjunction with our Consolidated Financial Statements and related notes thereto and “Management’s Discussion and Analysis of Financial Condition and Results of Operations” included in our most recent Annual Report on Form 10-K.</w:t>
      </w:r>
    </w:p>
    <w:p>
      <w:pPr>
        <w:spacing w:after="0" w:line="131" w:lineRule="exact"/>
        <w:rPr>
          <w:sz w:val="20"/>
          <w:szCs w:val="20"/>
          <w:color w:val="auto"/>
        </w:rPr>
      </w:pPr>
    </w:p>
    <w:tbl>
      <w:tblPr>
        <w:tblLayout w:type="fixed"/>
        <w:tblInd w:w="28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9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21"/>
              <w:spacing w:after="0"/>
              <w:rPr>
                <w:sz w:val="20"/>
                <w:szCs w:val="20"/>
                <w:color w:val="auto"/>
              </w:rPr>
            </w:pPr>
            <w:r>
              <w:rPr>
                <w:rFonts w:ascii="Arial" w:cs="Arial" w:eastAsia="Arial" w:hAnsi="Arial"/>
                <w:sz w:val="11"/>
                <w:szCs w:val="11"/>
                <w:b w:val="1"/>
                <w:bCs w:val="1"/>
                <w:color w:val="auto"/>
              </w:rPr>
              <w:t>2022</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21"/>
              <w:spacing w:after="0"/>
              <w:rPr>
                <w:sz w:val="20"/>
                <w:szCs w:val="20"/>
                <w:color w:val="auto"/>
              </w:rPr>
            </w:pPr>
            <w:r>
              <w:rPr>
                <w:rFonts w:ascii="Arial" w:cs="Arial" w:eastAsia="Arial" w:hAnsi="Arial"/>
                <w:sz w:val="11"/>
                <w:szCs w:val="11"/>
                <w:b w:val="1"/>
                <w:bCs w:val="1"/>
                <w:color w:val="auto"/>
              </w:rPr>
              <w:t>2021</w:t>
            </w:r>
          </w:p>
        </w:tc>
        <w:tc>
          <w:tcPr>
            <w:tcW w:w="1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41"/>
              <w:spacing w:after="0"/>
              <w:rPr>
                <w:sz w:val="20"/>
                <w:szCs w:val="20"/>
                <w:color w:val="auto"/>
              </w:rPr>
            </w:pPr>
            <w:r>
              <w:rPr>
                <w:rFonts w:ascii="Arial" w:cs="Arial" w:eastAsia="Arial" w:hAnsi="Arial"/>
                <w:sz w:val="11"/>
                <w:szCs w:val="11"/>
                <w:b w:val="1"/>
                <w:bCs w:val="1"/>
                <w:color w:val="auto"/>
              </w:rPr>
              <w:t>2020</w:t>
            </w:r>
          </w:p>
        </w:tc>
        <w:tc>
          <w:tcPr>
            <w:tcW w:w="2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41"/>
              <w:spacing w:after="0"/>
              <w:rPr>
                <w:sz w:val="20"/>
                <w:szCs w:val="20"/>
                <w:color w:val="auto"/>
              </w:rPr>
            </w:pPr>
            <w:r>
              <w:rPr>
                <w:rFonts w:ascii="Arial" w:cs="Arial" w:eastAsia="Arial" w:hAnsi="Arial"/>
                <w:sz w:val="11"/>
                <w:szCs w:val="11"/>
                <w:b w:val="1"/>
                <w:bCs w:val="1"/>
                <w:color w:val="auto"/>
              </w:rPr>
              <w:t>2019</w:t>
            </w:r>
          </w:p>
        </w:tc>
        <w:tc>
          <w:tcPr>
            <w:tcW w:w="2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41"/>
              <w:spacing w:after="0"/>
              <w:rPr>
                <w:sz w:val="20"/>
                <w:szCs w:val="20"/>
                <w:color w:val="auto"/>
              </w:rPr>
            </w:pPr>
            <w:r>
              <w:rPr>
                <w:rFonts w:ascii="Arial" w:cs="Arial" w:eastAsia="Arial" w:hAnsi="Arial"/>
                <w:sz w:val="11"/>
                <w:szCs w:val="11"/>
                <w:b w:val="1"/>
                <w:bCs w:val="1"/>
                <w:color w:val="auto"/>
              </w:rPr>
              <w:t>2018</w:t>
            </w:r>
          </w:p>
        </w:tc>
        <w:tc>
          <w:tcPr>
            <w:tcW w:w="1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1"/>
              <w:spacing w:after="0"/>
              <w:rPr>
                <w:sz w:val="20"/>
                <w:szCs w:val="20"/>
                <w:color w:val="auto"/>
              </w:rPr>
            </w:pPr>
            <w:r>
              <w:rPr>
                <w:rFonts w:ascii="Arial" w:cs="Arial" w:eastAsia="Arial" w:hAnsi="Arial"/>
                <w:sz w:val="11"/>
                <w:szCs w:val="11"/>
                <w:b w:val="1"/>
                <w:bCs w:val="1"/>
                <w:color w:val="auto"/>
              </w:rPr>
              <w:t>2017</w:t>
            </w: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1"/>
              <w:spacing w:after="0"/>
              <w:rPr>
                <w:sz w:val="20"/>
                <w:szCs w:val="20"/>
                <w:color w:val="auto"/>
              </w:rPr>
            </w:pPr>
            <w:r>
              <w:rPr>
                <w:rFonts w:ascii="Arial" w:cs="Arial" w:eastAsia="Arial" w:hAnsi="Arial"/>
                <w:sz w:val="11"/>
                <w:szCs w:val="11"/>
                <w:b w:val="1"/>
                <w:bCs w:val="1"/>
                <w:color w:val="auto"/>
              </w:rPr>
              <w:t>2016</w:t>
            </w: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1"/>
              <w:spacing w:after="0"/>
              <w:rPr>
                <w:sz w:val="20"/>
                <w:szCs w:val="20"/>
                <w:color w:val="auto"/>
              </w:rPr>
            </w:pPr>
            <w:r>
              <w:rPr>
                <w:rFonts w:ascii="Arial" w:cs="Arial" w:eastAsia="Arial" w:hAnsi="Arial"/>
                <w:sz w:val="11"/>
                <w:szCs w:val="11"/>
                <w:b w:val="1"/>
                <w:bCs w:val="1"/>
                <w:color w:val="auto"/>
              </w:rPr>
              <w:t>2015</w:t>
            </w:r>
          </w:p>
        </w:tc>
        <w:tc>
          <w:tcPr>
            <w:tcW w:w="1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1"/>
              <w:spacing w:after="0"/>
              <w:rPr>
                <w:sz w:val="20"/>
                <w:szCs w:val="20"/>
                <w:color w:val="auto"/>
              </w:rPr>
            </w:pPr>
            <w:r>
              <w:rPr>
                <w:rFonts w:ascii="Arial" w:cs="Arial" w:eastAsia="Arial" w:hAnsi="Arial"/>
                <w:sz w:val="11"/>
                <w:szCs w:val="11"/>
                <w:b w:val="1"/>
                <w:bCs w:val="1"/>
                <w:color w:val="auto"/>
              </w:rPr>
              <w:t>2014</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auto"/>
              </w:rPr>
              <w:t>2013 (7)</w:t>
            </w: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20" w:type="dxa"/>
            <w:vAlign w:val="bottom"/>
            <w:shd w:val="clear" w:color="auto" w:fill="CCEEFF"/>
          </w:tcPr>
          <w:p>
            <w:pPr>
              <w:spacing w:after="0" w:line="105" w:lineRule="exact"/>
              <w:rPr>
                <w:sz w:val="20"/>
                <w:szCs w:val="20"/>
                <w:color w:val="auto"/>
              </w:rPr>
            </w:pPr>
            <w:r>
              <w:rPr>
                <w:rFonts w:ascii="Arial" w:cs="Arial" w:eastAsia="Arial" w:hAnsi="Arial"/>
                <w:sz w:val="12"/>
                <w:szCs w:val="12"/>
                <w:b w:val="1"/>
                <w:bCs w:val="1"/>
                <w:color w:val="auto"/>
              </w:rPr>
              <w:t>Per Share Data:</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20" w:type="dxa"/>
            <w:vAlign w:val="bottom"/>
          </w:tcPr>
          <w:p>
            <w:pPr>
              <w:spacing w:after="0" w:line="114" w:lineRule="exact"/>
              <w:rPr>
                <w:sz w:val="20"/>
                <w:szCs w:val="20"/>
                <w:color w:val="auto"/>
              </w:rPr>
            </w:pPr>
            <w:r>
              <w:rPr>
                <w:rFonts w:ascii="Arial" w:cs="Arial" w:eastAsia="Arial" w:hAnsi="Arial"/>
                <w:sz w:val="12"/>
                <w:szCs w:val="12"/>
                <w:color w:val="auto"/>
              </w:rPr>
              <w:t>Net asset value,</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Arial" w:cs="Arial" w:eastAsia="Arial" w:hAnsi="Arial"/>
                <w:sz w:val="12"/>
                <w:szCs w:val="12"/>
                <w:color w:val="auto"/>
              </w:rPr>
              <w:t>beginning of</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 w:type="dxa"/>
            <w:vAlign w:val="bottom"/>
          </w:tcPr>
          <w:p>
            <w:pPr>
              <w:ind w:left="100"/>
              <w:spacing w:after="0" w:line="136" w:lineRule="exact"/>
              <w:rPr>
                <w:sz w:val="20"/>
                <w:szCs w:val="20"/>
                <w:color w:val="auto"/>
              </w:rPr>
            </w:pPr>
            <w:r>
              <w:rPr>
                <w:rFonts w:ascii="Arial" w:cs="Arial" w:eastAsia="Arial" w:hAnsi="Arial"/>
                <w:sz w:val="12"/>
                <w:szCs w:val="12"/>
                <w:color w:val="auto"/>
              </w:rPr>
              <w:t>period</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12.62</w:t>
            </w:r>
          </w:p>
        </w:tc>
        <w:tc>
          <w:tcPr>
            <w:tcW w:w="80" w:type="dxa"/>
            <w:vAlign w:val="bottom"/>
            <w:gridSpan w:val="2"/>
          </w:tcPr>
          <w:p>
            <w:pPr>
              <w:jc w:val="right"/>
              <w:spacing w:after="0" w:line="136" w:lineRule="exact"/>
              <w:rPr>
                <w:sz w:val="20"/>
                <w:szCs w:val="20"/>
                <w:color w:val="auto"/>
              </w:rPr>
            </w:pPr>
            <w:r>
              <w:rPr>
                <w:rFonts w:ascii="Arial" w:cs="Arial" w:eastAsia="Arial" w:hAnsi="Arial"/>
                <w:sz w:val="12"/>
                <w:szCs w:val="12"/>
                <w:color w:val="auto"/>
                <w:w w:val="89"/>
              </w:rPr>
              <w:t>$</w:t>
            </w:r>
          </w:p>
        </w:tc>
        <w:tc>
          <w:tcPr>
            <w:tcW w:w="66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12.31</w:t>
            </w:r>
          </w:p>
        </w:tc>
        <w:tc>
          <w:tcPr>
            <w:tcW w:w="10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12.97</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13.82</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spacing w:after="0" w:line="136" w:lineRule="exact"/>
              <w:rPr>
                <w:sz w:val="20"/>
                <w:szCs w:val="20"/>
                <w:color w:val="auto"/>
              </w:rPr>
            </w:pPr>
            <w:r>
              <w:rPr>
                <w:rFonts w:ascii="Arial" w:cs="Arial" w:eastAsia="Arial" w:hAnsi="Arial"/>
                <w:sz w:val="12"/>
                <w:szCs w:val="12"/>
                <w:color w:val="auto"/>
              </w:rPr>
              <w:t>14.10</w:t>
            </w:r>
          </w:p>
        </w:tc>
        <w:tc>
          <w:tcPr>
            <w:tcW w:w="160" w:type="dxa"/>
            <w:vAlign w:val="bottom"/>
          </w:tcPr>
          <w:p>
            <w:pPr>
              <w:spacing w:after="0"/>
              <w:rPr>
                <w:sz w:val="11"/>
                <w:szCs w:val="11"/>
                <w:color w:val="auto"/>
              </w:rPr>
            </w:pPr>
          </w:p>
        </w:tc>
        <w:tc>
          <w:tcPr>
            <w:tcW w:w="10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14.06</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13.95</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spacing w:after="0" w:line="136" w:lineRule="exact"/>
              <w:rPr>
                <w:sz w:val="20"/>
                <w:szCs w:val="20"/>
                <w:color w:val="auto"/>
              </w:rPr>
            </w:pPr>
            <w:r>
              <w:rPr>
                <w:rFonts w:ascii="Arial" w:cs="Arial" w:eastAsia="Arial" w:hAnsi="Arial"/>
                <w:sz w:val="12"/>
                <w:szCs w:val="12"/>
                <w:color w:val="auto"/>
              </w:rPr>
              <w:t>14.40</w:t>
            </w:r>
          </w:p>
        </w:tc>
        <w:tc>
          <w:tcPr>
            <w:tcW w:w="180" w:type="dxa"/>
            <w:vAlign w:val="bottom"/>
          </w:tcPr>
          <w:p>
            <w:pPr>
              <w:spacing w:after="0"/>
              <w:rPr>
                <w:sz w:val="11"/>
                <w:szCs w:val="11"/>
                <w:color w:val="auto"/>
              </w:rPr>
            </w:pPr>
          </w:p>
        </w:tc>
        <w:tc>
          <w:tcPr>
            <w:tcW w:w="10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w w:val="89"/>
              </w:rPr>
              <w:t>$</w:t>
            </w:r>
          </w:p>
        </w:tc>
        <w:tc>
          <w:tcPr>
            <w:tcW w:w="66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14.10</w:t>
            </w:r>
          </w:p>
        </w:tc>
        <w:tc>
          <w:tcPr>
            <w:tcW w:w="80" w:type="dxa"/>
            <w:vAlign w:val="bottom"/>
            <w:gridSpan w:val="2"/>
          </w:tcPr>
          <w:p>
            <w:pPr>
              <w:jc w:val="right"/>
              <w:spacing w:after="0" w:line="136" w:lineRule="exact"/>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13.98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20" w:type="dxa"/>
            <w:vAlign w:val="bottom"/>
            <w:shd w:val="clear" w:color="auto" w:fill="CCEEFF"/>
          </w:tcPr>
          <w:p>
            <w:pPr>
              <w:spacing w:after="0" w:line="114" w:lineRule="exact"/>
              <w:rPr>
                <w:sz w:val="20"/>
                <w:szCs w:val="20"/>
                <w:color w:val="auto"/>
              </w:rPr>
            </w:pPr>
            <w:r>
              <w:rPr>
                <w:rFonts w:ascii="Arial" w:cs="Arial" w:eastAsia="Arial" w:hAnsi="Arial"/>
                <w:sz w:val="12"/>
                <w:szCs w:val="12"/>
                <w:color w:val="auto"/>
              </w:rPr>
              <w:t>Net investment</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 w:type="dxa"/>
            <w:vAlign w:val="bottom"/>
            <w:shd w:val="clear" w:color="auto" w:fill="CCEEFF"/>
          </w:tcPr>
          <w:p>
            <w:pPr>
              <w:ind w:left="100"/>
              <w:spacing w:after="0" w:line="136" w:lineRule="exact"/>
              <w:rPr>
                <w:sz w:val="20"/>
                <w:szCs w:val="20"/>
                <w:color w:val="auto"/>
              </w:rPr>
            </w:pPr>
            <w:r>
              <w:rPr>
                <w:rFonts w:ascii="Arial" w:cs="Arial" w:eastAsia="Arial" w:hAnsi="Arial"/>
                <w:sz w:val="12"/>
                <w:szCs w:val="12"/>
                <w:color w:val="auto"/>
              </w:rPr>
              <w:t>income (1)</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1.18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1.02</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1.12</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1.17</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0.81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1.10</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1.02</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1.08</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1.12</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1.10</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20" w:type="dxa"/>
            <w:vAlign w:val="bottom"/>
          </w:tcPr>
          <w:p>
            <w:pPr>
              <w:spacing w:after="0" w:line="114" w:lineRule="exact"/>
              <w:rPr>
                <w:sz w:val="20"/>
                <w:szCs w:val="20"/>
                <w:color w:val="auto"/>
              </w:rPr>
            </w:pPr>
            <w:r>
              <w:rPr>
                <w:rFonts w:ascii="Arial" w:cs="Arial" w:eastAsia="Arial" w:hAnsi="Arial"/>
                <w:sz w:val="12"/>
                <w:szCs w:val="12"/>
                <w:color w:val="auto"/>
              </w:rPr>
              <w:t>Net realized and</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Arial" w:cs="Arial" w:eastAsia="Arial" w:hAnsi="Arial"/>
                <w:sz w:val="12"/>
                <w:szCs w:val="12"/>
                <w:color w:val="auto"/>
                <w:w w:val="90"/>
              </w:rPr>
              <w:t>unrealized (loss)</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20" w:type="dxa"/>
            <w:vAlign w:val="bottom"/>
          </w:tcPr>
          <w:p>
            <w:pPr>
              <w:ind w:left="100"/>
              <w:spacing w:after="0" w:line="136" w:lineRule="exact"/>
              <w:rPr>
                <w:sz w:val="20"/>
                <w:szCs w:val="20"/>
                <w:color w:val="auto"/>
              </w:rPr>
            </w:pPr>
            <w:r>
              <w:rPr>
                <w:rFonts w:ascii="Arial" w:cs="Arial" w:eastAsia="Arial" w:hAnsi="Arial"/>
                <w:sz w:val="12"/>
                <w:szCs w:val="12"/>
                <w:color w:val="auto"/>
              </w:rPr>
              <w:t>gain (1)</w:t>
            </w:r>
          </w:p>
        </w:tc>
        <w:tc>
          <w:tcPr>
            <w:tcW w:w="60" w:type="dxa"/>
            <w:vAlign w:val="bottom"/>
          </w:tcPr>
          <w:p>
            <w:pPr>
              <w:spacing w:after="0"/>
              <w:rPr>
                <w:sz w:val="11"/>
                <w:szCs w:val="11"/>
                <w:color w:val="auto"/>
              </w:rPr>
            </w:pPr>
          </w:p>
        </w:tc>
        <w:tc>
          <w:tcPr>
            <w:tcW w:w="72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(1.10)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0.44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(0.65)</w:t>
            </w:r>
          </w:p>
        </w:tc>
        <w:tc>
          <w:tcPr>
            <w:tcW w:w="60" w:type="dxa"/>
            <w:vAlign w:val="bottom"/>
          </w:tcPr>
          <w:p>
            <w:pPr>
              <w:spacing w:after="0"/>
              <w:rPr>
                <w:sz w:val="11"/>
                <w:szCs w:val="11"/>
                <w:color w:val="auto"/>
              </w:rPr>
            </w:pPr>
          </w:p>
        </w:tc>
        <w:tc>
          <w:tcPr>
            <w:tcW w:w="74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(0.88)</w:t>
            </w:r>
          </w:p>
        </w:tc>
        <w:tc>
          <w:tcPr>
            <w:tcW w:w="60" w:type="dxa"/>
            <w:vAlign w:val="bottom"/>
          </w:tcPr>
          <w:p>
            <w:pPr>
              <w:spacing w:after="0"/>
              <w:rPr>
                <w:sz w:val="11"/>
                <w:szCs w:val="11"/>
                <w:color w:val="auto"/>
              </w:rPr>
            </w:pPr>
          </w:p>
        </w:tc>
        <w:tc>
          <w:tcPr>
            <w:tcW w:w="70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0.06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0.10</w:t>
            </w: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0.23</w:t>
            </w:r>
          </w:p>
        </w:tc>
        <w:tc>
          <w:tcPr>
            <w:tcW w:w="60" w:type="dxa"/>
            <w:vAlign w:val="bottom"/>
          </w:tcPr>
          <w:p>
            <w:pPr>
              <w:spacing w:after="0"/>
              <w:rPr>
                <w:sz w:val="11"/>
                <w:szCs w:val="11"/>
                <w:color w:val="auto"/>
              </w:rPr>
            </w:pPr>
          </w:p>
        </w:tc>
        <w:tc>
          <w:tcPr>
            <w:tcW w:w="7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(0.31)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0.26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0.15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20" w:type="dxa"/>
            <w:vAlign w:val="bottom"/>
            <w:shd w:val="clear" w:color="auto" w:fill="CCEEFF"/>
          </w:tcPr>
          <w:p>
            <w:pPr>
              <w:spacing w:after="0" w:line="114" w:lineRule="exact"/>
              <w:rPr>
                <w:sz w:val="20"/>
                <w:szCs w:val="20"/>
                <w:color w:val="auto"/>
              </w:rPr>
            </w:pPr>
            <w:r>
              <w:rPr>
                <w:rFonts w:ascii="Arial" w:cs="Arial" w:eastAsia="Arial" w:hAnsi="Arial"/>
                <w:sz w:val="12"/>
                <w:szCs w:val="12"/>
                <w:color w:val="auto"/>
                <w:w w:val="89"/>
              </w:rPr>
              <w:t>Net increase in net</w:t>
            </w: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100"/>
              <w:spacing w:after="0" w:line="125" w:lineRule="exact"/>
              <w:rPr>
                <w:sz w:val="20"/>
                <w:szCs w:val="20"/>
                <w:color w:val="auto"/>
              </w:rPr>
            </w:pPr>
            <w:r>
              <w:rPr>
                <w:rFonts w:ascii="Arial" w:cs="Arial" w:eastAsia="Arial" w:hAnsi="Arial"/>
                <w:sz w:val="12"/>
                <w:szCs w:val="12"/>
                <w:color w:val="auto"/>
                <w:w w:val="95"/>
              </w:rPr>
              <w:t>assets resulting</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100"/>
              <w:spacing w:after="0" w:line="125" w:lineRule="exact"/>
              <w:rPr>
                <w:sz w:val="20"/>
                <w:szCs w:val="20"/>
                <w:color w:val="auto"/>
              </w:rPr>
            </w:pPr>
            <w:r>
              <w:rPr>
                <w:rFonts w:ascii="Arial" w:cs="Arial" w:eastAsia="Arial" w:hAnsi="Arial"/>
                <w:sz w:val="12"/>
                <w:szCs w:val="12"/>
                <w:color w:val="auto"/>
                <w:w w:val="95"/>
              </w:rPr>
              <w:t>from operations</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 w:type="dxa"/>
            <w:vAlign w:val="bottom"/>
            <w:shd w:val="clear" w:color="auto" w:fill="CCEEFF"/>
          </w:tcPr>
          <w:p>
            <w:pPr>
              <w:ind w:left="100"/>
              <w:spacing w:after="0" w:line="136" w:lineRule="exact"/>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0.08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1.46</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0.47</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0.29</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0.87</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1.20</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1.25</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0.77</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1.38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1.25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20" w:type="dxa"/>
            <w:vAlign w:val="bottom"/>
          </w:tcPr>
          <w:p>
            <w:pPr>
              <w:spacing w:after="0" w:line="114" w:lineRule="exact"/>
              <w:rPr>
                <w:sz w:val="20"/>
                <w:szCs w:val="20"/>
                <w:color w:val="auto"/>
              </w:rPr>
            </w:pPr>
            <w:r>
              <w:rPr>
                <w:rFonts w:ascii="Arial" w:cs="Arial" w:eastAsia="Arial" w:hAnsi="Arial"/>
                <w:sz w:val="12"/>
                <w:szCs w:val="12"/>
                <w:color w:val="auto"/>
              </w:rPr>
              <w:t>Distributions to</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Arial" w:cs="Arial" w:eastAsia="Arial" w:hAnsi="Arial"/>
                <w:sz w:val="12"/>
                <w:szCs w:val="12"/>
                <w:color w:val="auto"/>
                <w:w w:val="90"/>
              </w:rPr>
              <w:t>stockholders (1),</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40" w:type="dxa"/>
            <w:vAlign w:val="bottom"/>
            <w:gridSpan w:val="2"/>
          </w:tcPr>
          <w:p>
            <w:pPr>
              <w:ind w:left="120"/>
              <w:spacing w:after="0" w:line="136" w:lineRule="exact"/>
              <w:rPr>
                <w:sz w:val="20"/>
                <w:szCs w:val="20"/>
                <w:color w:val="auto"/>
              </w:rPr>
            </w:pPr>
            <w:r>
              <w:rPr>
                <w:rFonts w:ascii="Arial" w:cs="Arial" w:eastAsia="Arial" w:hAnsi="Arial"/>
                <w:sz w:val="12"/>
                <w:szCs w:val="12"/>
                <w:color w:val="auto"/>
              </w:rPr>
              <w:t>(2)</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20" w:type="dxa"/>
            <w:vAlign w:val="bottom"/>
            <w:shd w:val="clear" w:color="auto" w:fill="CCEEFF"/>
          </w:tcPr>
          <w:p>
            <w:pPr>
              <w:ind w:left="200"/>
              <w:spacing w:after="0" w:line="114" w:lineRule="exact"/>
              <w:rPr>
                <w:sz w:val="20"/>
                <w:szCs w:val="20"/>
                <w:color w:val="auto"/>
              </w:rPr>
            </w:pPr>
            <w:r>
              <w:rPr>
                <w:rFonts w:ascii="Arial" w:cs="Arial" w:eastAsia="Arial" w:hAnsi="Arial"/>
                <w:sz w:val="12"/>
                <w:szCs w:val="12"/>
                <w:color w:val="auto"/>
              </w:rPr>
              <w:t>Distribution</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320"/>
              <w:spacing w:after="0" w:line="125" w:lineRule="exact"/>
              <w:rPr>
                <w:sz w:val="20"/>
                <w:szCs w:val="20"/>
                <w:color w:val="auto"/>
              </w:rPr>
            </w:pPr>
            <w:r>
              <w:rPr>
                <w:rFonts w:ascii="Arial" w:cs="Arial" w:eastAsia="Arial" w:hAnsi="Arial"/>
                <w:sz w:val="12"/>
                <w:szCs w:val="12"/>
                <w:color w:val="auto"/>
              </w:rPr>
              <w:t>of net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320"/>
              <w:spacing w:after="0" w:line="125" w:lineRule="exact"/>
              <w:rPr>
                <w:sz w:val="20"/>
                <w:szCs w:val="20"/>
                <w:color w:val="auto"/>
              </w:rPr>
            </w:pPr>
            <w:r>
              <w:rPr>
                <w:rFonts w:ascii="Arial" w:cs="Arial" w:eastAsia="Arial" w:hAnsi="Arial"/>
                <w:sz w:val="12"/>
                <w:szCs w:val="12"/>
                <w:color w:val="auto"/>
                <w:w w:val="99"/>
              </w:rPr>
              <w:t>investment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 w:type="dxa"/>
            <w:vAlign w:val="bottom"/>
            <w:shd w:val="clear" w:color="auto" w:fill="CCEEFF"/>
          </w:tcPr>
          <w:p>
            <w:pPr>
              <w:ind w:left="320"/>
              <w:spacing w:after="0" w:line="136" w:lineRule="exact"/>
              <w:rPr>
                <w:sz w:val="20"/>
                <w:szCs w:val="20"/>
                <w:color w:val="auto"/>
              </w:rPr>
            </w:pPr>
            <w:r>
              <w:rPr>
                <w:rFonts w:ascii="Arial" w:cs="Arial" w:eastAsia="Arial" w:hAnsi="Arial"/>
                <w:sz w:val="12"/>
                <w:szCs w:val="12"/>
                <w:color w:val="auto"/>
              </w:rPr>
              <w:t>income</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(1.14)</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(1.14)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(1.14)</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(1.14)</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(1.03)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(1.15)</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(1.13)</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(0.98)</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(0.84)</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(0.95)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20" w:type="dxa"/>
            <w:vAlign w:val="bottom"/>
          </w:tcPr>
          <w:p>
            <w:pPr>
              <w:ind w:left="200"/>
              <w:spacing w:after="0" w:line="114" w:lineRule="exact"/>
              <w:rPr>
                <w:sz w:val="20"/>
                <w:szCs w:val="20"/>
                <w:color w:val="auto"/>
              </w:rPr>
            </w:pPr>
            <w:r>
              <w:rPr>
                <w:rFonts w:ascii="Arial" w:cs="Arial" w:eastAsia="Arial" w:hAnsi="Arial"/>
                <w:sz w:val="12"/>
                <w:szCs w:val="12"/>
                <w:color w:val="auto"/>
              </w:rPr>
              <w:t>Distribution</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320"/>
              <w:spacing w:after="0" w:line="125" w:lineRule="exact"/>
              <w:rPr>
                <w:sz w:val="20"/>
                <w:szCs w:val="20"/>
                <w:color w:val="auto"/>
              </w:rPr>
            </w:pPr>
            <w:r>
              <w:rPr>
                <w:rFonts w:ascii="Arial" w:cs="Arial" w:eastAsia="Arial" w:hAnsi="Arial"/>
                <w:sz w:val="12"/>
                <w:szCs w:val="12"/>
                <w:color w:val="auto"/>
              </w:rPr>
              <w:t>of realized</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20" w:type="dxa"/>
            <w:vAlign w:val="bottom"/>
          </w:tcPr>
          <w:p>
            <w:pPr>
              <w:ind w:left="320"/>
              <w:spacing w:after="0" w:line="136" w:lineRule="exact"/>
              <w:rPr>
                <w:sz w:val="20"/>
                <w:szCs w:val="20"/>
                <w:color w:val="auto"/>
              </w:rPr>
            </w:pPr>
            <w:r>
              <w:rPr>
                <w:rFonts w:ascii="Arial" w:cs="Arial" w:eastAsia="Arial" w:hAnsi="Arial"/>
                <w:sz w:val="12"/>
                <w:szCs w:val="12"/>
                <w:color w:val="auto"/>
              </w:rPr>
              <w:t>gains</w:t>
            </w:r>
          </w:p>
        </w:tc>
        <w:tc>
          <w:tcPr>
            <w:tcW w:w="60" w:type="dxa"/>
            <w:vAlign w:val="bottom"/>
          </w:tcPr>
          <w:p>
            <w:pPr>
              <w:spacing w:after="0"/>
              <w:rPr>
                <w:sz w:val="11"/>
                <w:szCs w:val="11"/>
                <w:color w:val="auto"/>
              </w:rPr>
            </w:pPr>
          </w:p>
        </w:tc>
        <w:tc>
          <w:tcPr>
            <w:tcW w:w="72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4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(0.11)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(0.01)</w:t>
            </w:r>
          </w:p>
        </w:tc>
        <w:tc>
          <w:tcPr>
            <w:tcW w:w="60" w:type="dxa"/>
            <w:vAlign w:val="bottom"/>
          </w:tcPr>
          <w:p>
            <w:pPr>
              <w:spacing w:after="0"/>
              <w:rPr>
                <w:sz w:val="11"/>
                <w:szCs w:val="11"/>
                <w:color w:val="auto"/>
              </w:rPr>
            </w:pPr>
          </w:p>
        </w:tc>
        <w:tc>
          <w:tcPr>
            <w:tcW w:w="7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(0.18)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(0.24)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(0.10)</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20" w:type="dxa"/>
            <w:vAlign w:val="bottom"/>
            <w:shd w:val="clear" w:color="auto" w:fill="CCEEFF"/>
          </w:tcPr>
          <w:p>
            <w:pPr>
              <w:spacing w:after="0" w:line="114" w:lineRule="exact"/>
              <w:rPr>
                <w:sz w:val="20"/>
                <w:szCs w:val="20"/>
                <w:color w:val="auto"/>
              </w:rPr>
            </w:pPr>
            <w:r>
              <w:rPr>
                <w:rFonts w:ascii="Arial" w:cs="Arial" w:eastAsia="Arial" w:hAnsi="Arial"/>
                <w:sz w:val="12"/>
                <w:szCs w:val="12"/>
                <w:color w:val="auto"/>
                <w:w w:val="95"/>
              </w:rPr>
              <w:t>Total distributions</w:t>
            </w: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100"/>
              <w:spacing w:after="0" w:line="125" w:lineRule="exact"/>
              <w:rPr>
                <w:sz w:val="20"/>
                <w:szCs w:val="20"/>
                <w:color w:val="auto"/>
              </w:rPr>
            </w:pPr>
            <w:r>
              <w:rPr>
                <w:rFonts w:ascii="Arial" w:cs="Arial" w:eastAsia="Arial" w:hAnsi="Arial"/>
                <w:sz w:val="12"/>
                <w:szCs w:val="12"/>
                <w:color w:val="auto"/>
                <w:w w:val="99"/>
              </w:rPr>
              <w:t>to stockholders</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 w:type="dxa"/>
            <w:vAlign w:val="bottom"/>
            <w:shd w:val="clear" w:color="auto" w:fill="CCEEFF"/>
          </w:tcPr>
          <w:p>
            <w:pPr>
              <w:ind w:left="100"/>
              <w:spacing w:after="0" w:line="136" w:lineRule="exact"/>
              <w:rPr>
                <w:sz w:val="20"/>
                <w:szCs w:val="20"/>
                <w:color w:val="auto"/>
              </w:rPr>
            </w:pPr>
            <w:r>
              <w:rPr>
                <w:rFonts w:ascii="Arial" w:cs="Arial" w:eastAsia="Arial" w:hAnsi="Arial"/>
                <w:sz w:val="12"/>
                <w:szCs w:val="12"/>
                <w:color w:val="auto"/>
              </w:rPr>
              <w:t>(1),(2)</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(1.14)</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(1.14)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(1.14)</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(1.14)</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(1.14)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(1.15)</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(1.14)</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(1.16)</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(1.08)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114"/>
        </w:trPr>
        <w:tc>
          <w:tcPr>
            <w:tcW w:w="940" w:type="dxa"/>
            <w:vAlign w:val="bottom"/>
            <w:gridSpan w:val="2"/>
          </w:tcPr>
          <w:p>
            <w:pPr>
              <w:spacing w:after="0" w:line="114" w:lineRule="exact"/>
              <w:rPr>
                <w:sz w:val="20"/>
                <w:szCs w:val="20"/>
                <w:color w:val="auto"/>
              </w:rPr>
            </w:pPr>
            <w:r>
              <w:rPr>
                <w:rFonts w:ascii="Arial" w:cs="Arial" w:eastAsia="Arial" w:hAnsi="Arial"/>
                <w:sz w:val="12"/>
                <w:szCs w:val="12"/>
                <w:color w:val="auto"/>
                <w:w w:val="93"/>
              </w:rPr>
              <w:t>Accretive (dilutive)</w:t>
            </w: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Arial" w:cs="Arial" w:eastAsia="Arial" w:hAnsi="Arial"/>
                <w:sz w:val="12"/>
                <w:szCs w:val="12"/>
                <w:color w:val="auto"/>
              </w:rPr>
              <w:t>effect of</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Arial" w:cs="Arial" w:eastAsia="Arial" w:hAnsi="Arial"/>
                <w:sz w:val="12"/>
                <w:szCs w:val="12"/>
                <w:color w:val="auto"/>
              </w:rPr>
              <w:t>common stock</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Arial" w:cs="Arial" w:eastAsia="Arial" w:hAnsi="Arial"/>
                <w:sz w:val="12"/>
                <w:szCs w:val="12"/>
                <w:color w:val="auto"/>
              </w:rPr>
              <w:t>issuance and</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Arial" w:cs="Arial" w:eastAsia="Arial" w:hAnsi="Arial"/>
                <w:sz w:val="12"/>
                <w:szCs w:val="12"/>
                <w:color w:val="auto"/>
              </w:rPr>
              <w:t>acquisition of</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20" w:type="dxa"/>
            <w:vAlign w:val="bottom"/>
          </w:tcPr>
          <w:p>
            <w:pPr>
              <w:ind w:left="100"/>
              <w:spacing w:after="0" w:line="136" w:lineRule="exact"/>
              <w:rPr>
                <w:sz w:val="20"/>
                <w:szCs w:val="20"/>
                <w:color w:val="auto"/>
              </w:rPr>
            </w:pPr>
            <w:r>
              <w:rPr>
                <w:rFonts w:ascii="Arial" w:cs="Arial" w:eastAsia="Arial" w:hAnsi="Arial"/>
                <w:sz w:val="12"/>
                <w:szCs w:val="12"/>
                <w:color w:val="auto"/>
              </w:rPr>
              <w:t>MCG (1)</w:t>
            </w:r>
          </w:p>
        </w:tc>
        <w:tc>
          <w:tcPr>
            <w:tcW w:w="60" w:type="dxa"/>
            <w:vAlign w:val="bottom"/>
          </w:tcPr>
          <w:p>
            <w:pPr>
              <w:spacing w:after="0"/>
              <w:rPr>
                <w:sz w:val="11"/>
                <w:szCs w:val="11"/>
                <w:color w:val="auto"/>
              </w:rPr>
            </w:pPr>
          </w:p>
        </w:tc>
        <w:tc>
          <w:tcPr>
            <w:tcW w:w="72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0.06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4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(0.01)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(0.01)</w:t>
            </w:r>
          </w:p>
        </w:tc>
        <w:tc>
          <w:tcPr>
            <w:tcW w:w="60" w:type="dxa"/>
            <w:vAlign w:val="bottom"/>
          </w:tcPr>
          <w:p>
            <w:pPr>
              <w:spacing w:after="0"/>
              <w:rPr>
                <w:sz w:val="11"/>
                <w:szCs w:val="11"/>
                <w:color w:val="auto"/>
              </w:rPr>
            </w:pPr>
          </w:p>
        </w:tc>
        <w:tc>
          <w:tcPr>
            <w:tcW w:w="70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(0.06)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(0.08)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20" w:type="dxa"/>
            <w:vAlign w:val="bottom"/>
            <w:shd w:val="clear" w:color="auto" w:fill="CCEEFF"/>
          </w:tcPr>
          <w:p>
            <w:pPr>
              <w:spacing w:after="0" w:line="114" w:lineRule="exact"/>
              <w:rPr>
                <w:sz w:val="20"/>
                <w:szCs w:val="20"/>
                <w:color w:val="auto"/>
              </w:rPr>
            </w:pPr>
            <w:r>
              <w:rPr>
                <w:rFonts w:ascii="Arial" w:cs="Arial" w:eastAsia="Arial" w:hAnsi="Arial"/>
                <w:sz w:val="12"/>
                <w:szCs w:val="12"/>
                <w:color w:val="auto"/>
              </w:rPr>
              <w:t>Net asset value,</w:t>
            </w: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 w:type="dxa"/>
            <w:vAlign w:val="bottom"/>
            <w:shd w:val="clear" w:color="auto" w:fill="CCEEFF"/>
          </w:tcPr>
          <w:p>
            <w:pPr>
              <w:ind w:left="100"/>
              <w:spacing w:after="0" w:line="136" w:lineRule="exact"/>
              <w:rPr>
                <w:sz w:val="20"/>
                <w:szCs w:val="20"/>
                <w:color w:val="auto"/>
              </w:rPr>
            </w:pPr>
            <w:r>
              <w:rPr>
                <w:rFonts w:ascii="Arial" w:cs="Arial" w:eastAsia="Arial" w:hAnsi="Arial"/>
                <w:sz w:val="12"/>
                <w:szCs w:val="12"/>
                <w:color w:val="auto"/>
              </w:rPr>
              <w:t>end of period</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11.62</w:t>
            </w:r>
          </w:p>
        </w:tc>
        <w:tc>
          <w:tcPr>
            <w:tcW w:w="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w w:val="89"/>
              </w:rPr>
              <w:t>$</w:t>
            </w:r>
          </w:p>
        </w:tc>
        <w:tc>
          <w:tcPr>
            <w:tcW w:w="6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12.62</w:t>
            </w:r>
          </w:p>
        </w:tc>
        <w:tc>
          <w:tcPr>
            <w:tcW w:w="1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12.31</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12.97</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13.82</w:t>
            </w:r>
          </w:p>
        </w:tc>
        <w:tc>
          <w:tcPr>
            <w:tcW w:w="16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14.10</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14.06</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13.95</w:t>
            </w:r>
          </w:p>
        </w:tc>
        <w:tc>
          <w:tcPr>
            <w:tcW w:w="18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w w:val="89"/>
              </w:rPr>
              <w:t>$</w:t>
            </w:r>
          </w:p>
        </w:tc>
        <w:tc>
          <w:tcPr>
            <w:tcW w:w="6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14.40</w:t>
            </w:r>
          </w:p>
        </w:tc>
        <w:tc>
          <w:tcPr>
            <w:tcW w:w="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w w:val="89"/>
              </w:rPr>
              <w:t>$</w:t>
            </w:r>
          </w:p>
        </w:tc>
        <w:tc>
          <w:tcPr>
            <w:tcW w:w="6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14.10</w:t>
            </w:r>
          </w:p>
        </w:tc>
        <w:tc>
          <w:tcPr>
            <w:tcW w:w="0" w:type="dxa"/>
            <w:vAlign w:val="bottom"/>
          </w:tcPr>
          <w:p>
            <w:pPr>
              <w:spacing w:after="0"/>
              <w:rPr>
                <w:sz w:val="1"/>
                <w:szCs w:val="1"/>
                <w:color w:val="auto"/>
              </w:rPr>
            </w:pPr>
          </w:p>
        </w:tc>
      </w:tr>
      <w:tr>
        <w:trPr>
          <w:trHeight w:val="20"/>
        </w:trPr>
        <w:tc>
          <w:tcPr>
            <w:tcW w:w="940" w:type="dxa"/>
            <w:vAlign w:val="bottom"/>
            <w:gridSpan w:val="2"/>
            <w:vMerge w:val="restart"/>
          </w:tcPr>
          <w:p>
            <w:pPr>
              <w:spacing w:after="0" w:line="135" w:lineRule="exact"/>
              <w:rPr>
                <w:sz w:val="20"/>
                <w:szCs w:val="20"/>
                <w:color w:val="auto"/>
              </w:rPr>
            </w:pPr>
            <w:r>
              <w:rPr>
                <w:rFonts w:ascii="Arial" w:cs="Arial" w:eastAsia="Arial" w:hAnsi="Arial"/>
                <w:sz w:val="12"/>
                <w:szCs w:val="12"/>
                <w:color w:val="auto"/>
                <w:w w:val="99"/>
              </w:rPr>
              <w:t>Per share market</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9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Arial" w:cs="Arial" w:eastAsia="Arial" w:hAnsi="Arial"/>
                <w:sz w:val="12"/>
                <w:szCs w:val="12"/>
                <w:color w:val="auto"/>
              </w:rPr>
              <w:t>value, end of</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 w:type="dxa"/>
            <w:vAlign w:val="bottom"/>
          </w:tcPr>
          <w:p>
            <w:pPr>
              <w:ind w:left="100"/>
              <w:spacing w:after="0" w:line="136" w:lineRule="exact"/>
              <w:rPr>
                <w:sz w:val="20"/>
                <w:szCs w:val="20"/>
                <w:color w:val="auto"/>
              </w:rPr>
            </w:pPr>
            <w:r>
              <w:rPr>
                <w:rFonts w:ascii="Arial" w:cs="Arial" w:eastAsia="Arial" w:hAnsi="Arial"/>
                <w:sz w:val="12"/>
                <w:szCs w:val="12"/>
                <w:color w:val="auto"/>
              </w:rPr>
              <w:t>period</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9.60</w:t>
            </w:r>
          </w:p>
        </w:tc>
        <w:tc>
          <w:tcPr>
            <w:tcW w:w="80" w:type="dxa"/>
            <w:vAlign w:val="bottom"/>
            <w:gridSpan w:val="2"/>
          </w:tcPr>
          <w:p>
            <w:pPr>
              <w:jc w:val="right"/>
              <w:spacing w:after="0" w:line="136" w:lineRule="exact"/>
              <w:rPr>
                <w:sz w:val="20"/>
                <w:szCs w:val="20"/>
                <w:color w:val="auto"/>
              </w:rPr>
            </w:pPr>
            <w:r>
              <w:rPr>
                <w:rFonts w:ascii="Arial" w:cs="Arial" w:eastAsia="Arial" w:hAnsi="Arial"/>
                <w:sz w:val="12"/>
                <w:szCs w:val="12"/>
                <w:color w:val="auto"/>
                <w:w w:val="89"/>
              </w:rPr>
              <w:t>$</w:t>
            </w:r>
          </w:p>
        </w:tc>
        <w:tc>
          <w:tcPr>
            <w:tcW w:w="66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12.79</w:t>
            </w:r>
          </w:p>
        </w:tc>
        <w:tc>
          <w:tcPr>
            <w:tcW w:w="10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8.44</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11.60</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spacing w:after="0" w:line="136" w:lineRule="exact"/>
              <w:rPr>
                <w:sz w:val="20"/>
                <w:szCs w:val="20"/>
                <w:color w:val="auto"/>
              </w:rPr>
            </w:pPr>
            <w:r>
              <w:rPr>
                <w:rFonts w:ascii="Arial" w:cs="Arial" w:eastAsia="Arial" w:hAnsi="Arial"/>
                <w:sz w:val="12"/>
                <w:szCs w:val="12"/>
                <w:color w:val="auto"/>
              </w:rPr>
              <w:t>13.15</w:t>
            </w:r>
          </w:p>
        </w:tc>
        <w:tc>
          <w:tcPr>
            <w:tcW w:w="160" w:type="dxa"/>
            <w:vAlign w:val="bottom"/>
          </w:tcPr>
          <w:p>
            <w:pPr>
              <w:spacing w:after="0"/>
              <w:rPr>
                <w:sz w:val="11"/>
                <w:szCs w:val="11"/>
                <w:color w:val="auto"/>
              </w:rPr>
            </w:pPr>
          </w:p>
        </w:tc>
        <w:tc>
          <w:tcPr>
            <w:tcW w:w="10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14.48</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13.23</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11.94</w:t>
            </w:r>
          </w:p>
        </w:tc>
        <w:tc>
          <w:tcPr>
            <w:tcW w:w="10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w w:val="89"/>
              </w:rPr>
              <w:t>$</w:t>
            </w:r>
          </w:p>
        </w:tc>
        <w:tc>
          <w:tcPr>
            <w:tcW w:w="66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13.78</w:t>
            </w:r>
          </w:p>
        </w:tc>
        <w:tc>
          <w:tcPr>
            <w:tcW w:w="80" w:type="dxa"/>
            <w:vAlign w:val="bottom"/>
            <w:gridSpan w:val="2"/>
          </w:tcPr>
          <w:p>
            <w:pPr>
              <w:jc w:val="right"/>
              <w:spacing w:after="0" w:line="136" w:lineRule="exact"/>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13.78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920" w:type="dxa"/>
            <w:vAlign w:val="bottom"/>
            <w:shd w:val="clear" w:color="auto" w:fill="CCEEFF"/>
          </w:tcPr>
          <w:p>
            <w:pPr>
              <w:spacing w:after="0" w:line="106" w:lineRule="exact"/>
              <w:rPr>
                <w:sz w:val="20"/>
                <w:szCs w:val="20"/>
                <w:color w:val="auto"/>
              </w:rPr>
            </w:pPr>
            <w:r>
              <w:rPr>
                <w:rFonts w:ascii="Arial" w:cs="Arial" w:eastAsia="Arial" w:hAnsi="Arial"/>
                <w:sz w:val="12"/>
                <w:szCs w:val="12"/>
                <w:color w:val="auto"/>
              </w:rPr>
              <w:t>Total return(3)</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40"/>
              <w:spacing w:after="0" w:line="106" w:lineRule="exact"/>
              <w:rPr>
                <w:sz w:val="20"/>
                <w:szCs w:val="20"/>
                <w:color w:val="auto"/>
              </w:rPr>
            </w:pPr>
            <w:r>
              <w:rPr>
                <w:rFonts w:ascii="Arial" w:cs="Arial" w:eastAsia="Arial" w:hAnsi="Arial"/>
                <w:sz w:val="12"/>
                <w:szCs w:val="12"/>
                <w:color w:val="auto"/>
              </w:rPr>
              <w:t>(17.76)%</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20"/>
              <w:spacing w:after="0" w:line="106" w:lineRule="exact"/>
              <w:rPr>
                <w:sz w:val="20"/>
                <w:szCs w:val="20"/>
                <w:color w:val="auto"/>
              </w:rPr>
            </w:pPr>
            <w:r>
              <w:rPr>
                <w:rFonts w:ascii="Arial" w:cs="Arial" w:eastAsia="Arial" w:hAnsi="Arial"/>
                <w:sz w:val="12"/>
                <w:szCs w:val="12"/>
                <w:color w:val="auto"/>
              </w:rPr>
              <w:t>66.47%</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2"/>
                <w:szCs w:val="12"/>
                <w:color w:val="auto"/>
              </w:rPr>
              <w:t>(17.15)%</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2"/>
                <w:szCs w:val="12"/>
                <w:color w:val="auto"/>
              </w:rPr>
              <w:t>(3.20)%</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40"/>
              <w:spacing w:after="0" w:line="106" w:lineRule="exact"/>
              <w:rPr>
                <w:sz w:val="20"/>
                <w:szCs w:val="20"/>
                <w:color w:val="auto"/>
              </w:rPr>
            </w:pPr>
            <w:r>
              <w:rPr>
                <w:rFonts w:ascii="Arial" w:cs="Arial" w:eastAsia="Arial" w:hAnsi="Arial"/>
                <w:sz w:val="12"/>
                <w:szCs w:val="12"/>
                <w:color w:val="auto"/>
              </w:rPr>
              <w:t>(1.29)%</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2"/>
                <w:szCs w:val="12"/>
                <w:color w:val="auto"/>
              </w:rPr>
              <w:t>18.71%</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2"/>
                <w:szCs w:val="12"/>
                <w:color w:val="auto"/>
              </w:rPr>
              <w:t>21.77%</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40"/>
              <w:spacing w:after="0" w:line="106" w:lineRule="exact"/>
              <w:rPr>
                <w:sz w:val="20"/>
                <w:szCs w:val="20"/>
                <w:color w:val="auto"/>
              </w:rPr>
            </w:pPr>
            <w:r>
              <w:rPr>
                <w:rFonts w:ascii="Arial" w:cs="Arial" w:eastAsia="Arial" w:hAnsi="Arial"/>
                <w:sz w:val="12"/>
                <w:szCs w:val="12"/>
                <w:color w:val="auto"/>
              </w:rPr>
              <w:t>(6.01)%</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40"/>
              <w:spacing w:after="0" w:line="106" w:lineRule="exact"/>
              <w:rPr>
                <w:sz w:val="20"/>
                <w:szCs w:val="20"/>
                <w:color w:val="auto"/>
              </w:rPr>
            </w:pPr>
            <w:r>
              <w:rPr>
                <w:rFonts w:ascii="Arial" w:cs="Arial" w:eastAsia="Arial" w:hAnsi="Arial"/>
                <w:sz w:val="12"/>
                <w:szCs w:val="12"/>
                <w:color w:val="auto"/>
              </w:rPr>
              <w:t>8.05%</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40"/>
              <w:spacing w:after="0" w:line="106" w:lineRule="exact"/>
              <w:rPr>
                <w:sz w:val="20"/>
                <w:szCs w:val="20"/>
                <w:color w:val="auto"/>
              </w:rPr>
            </w:pPr>
            <w:r>
              <w:rPr>
                <w:rFonts w:ascii="Arial" w:cs="Arial" w:eastAsia="Arial" w:hAnsi="Arial"/>
                <w:sz w:val="12"/>
                <w:szCs w:val="12"/>
                <w:color w:val="auto"/>
              </w:rPr>
              <w:t>17.17%</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20" w:type="dxa"/>
            <w:vAlign w:val="bottom"/>
          </w:tcPr>
          <w:p>
            <w:pPr>
              <w:spacing w:after="0" w:line="114" w:lineRule="exact"/>
              <w:rPr>
                <w:sz w:val="20"/>
                <w:szCs w:val="20"/>
                <w:color w:val="auto"/>
              </w:rPr>
            </w:pPr>
            <w:r>
              <w:rPr>
                <w:rFonts w:ascii="Arial" w:cs="Arial" w:eastAsia="Arial" w:hAnsi="Arial"/>
                <w:sz w:val="12"/>
                <w:szCs w:val="12"/>
                <w:color w:val="auto"/>
                <w:w w:val="86"/>
              </w:rPr>
              <w:t>Shares outstanding</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 w:type="dxa"/>
            <w:vAlign w:val="bottom"/>
          </w:tcPr>
          <w:p>
            <w:pPr>
              <w:ind w:left="100"/>
              <w:spacing w:after="0" w:line="136" w:lineRule="exact"/>
              <w:rPr>
                <w:sz w:val="20"/>
                <w:szCs w:val="20"/>
                <w:color w:val="auto"/>
              </w:rPr>
            </w:pPr>
            <w:r>
              <w:rPr>
                <w:rFonts w:ascii="Arial" w:cs="Arial" w:eastAsia="Arial" w:hAnsi="Arial"/>
                <w:sz w:val="12"/>
                <w:szCs w:val="12"/>
                <w:color w:val="auto"/>
                <w:w w:val="95"/>
              </w:rPr>
              <w:t>at end of period</w:t>
            </w:r>
          </w:p>
        </w:tc>
        <w:tc>
          <w:tcPr>
            <w:tcW w:w="60" w:type="dxa"/>
            <w:vAlign w:val="bottom"/>
          </w:tcPr>
          <w:p>
            <w:pPr>
              <w:spacing w:after="0"/>
              <w:rPr>
                <w:sz w:val="11"/>
                <w:szCs w:val="11"/>
                <w:color w:val="auto"/>
              </w:rPr>
            </w:pPr>
          </w:p>
        </w:tc>
        <w:tc>
          <w:tcPr>
            <w:tcW w:w="72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w w:val="86"/>
              </w:rPr>
              <w:t>45,345,638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w w:val="86"/>
              </w:rPr>
              <w:t>38,880,728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w w:val="86"/>
              </w:rPr>
              <w:t>38,772,074</w:t>
            </w:r>
          </w:p>
        </w:tc>
        <w:tc>
          <w:tcPr>
            <w:tcW w:w="60" w:type="dxa"/>
            <w:vAlign w:val="bottom"/>
          </w:tcPr>
          <w:p>
            <w:pPr>
              <w:spacing w:after="0"/>
              <w:rPr>
                <w:sz w:val="11"/>
                <w:szCs w:val="11"/>
                <w:color w:val="auto"/>
              </w:rPr>
            </w:pPr>
          </w:p>
        </w:tc>
        <w:tc>
          <w:tcPr>
            <w:tcW w:w="7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w w:val="86"/>
              </w:rPr>
              <w:t>38,772,074</w:t>
            </w:r>
          </w:p>
        </w:tc>
        <w:tc>
          <w:tcPr>
            <w:tcW w:w="60" w:type="dxa"/>
            <w:vAlign w:val="bottom"/>
          </w:tcPr>
          <w:p>
            <w:pPr>
              <w:spacing w:after="0"/>
              <w:rPr>
                <w:sz w:val="11"/>
                <w:szCs w:val="11"/>
                <w:color w:val="auto"/>
              </w:rPr>
            </w:pPr>
          </w:p>
        </w:tc>
        <w:tc>
          <w:tcPr>
            <w:tcW w:w="70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w w:val="86"/>
              </w:rPr>
              <w:t>38,772,074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w w:val="83"/>
              </w:rPr>
              <w:t>32,480,074</w:t>
            </w: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w w:val="83"/>
              </w:rPr>
              <w:t>26,730,074</w:t>
            </w: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w w:val="83"/>
              </w:rPr>
              <w:t>26,730,074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w w:val="83"/>
              </w:rPr>
              <w:t>14,898,056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w w:val="86"/>
              </w:rPr>
              <w:t>14,898,056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 w:type="dxa"/>
            <w:vAlign w:val="bottom"/>
          </w:tcPr>
          <w:p>
            <w:pPr>
              <w:spacing w:after="0"/>
              <w:rPr>
                <w:sz w:val="8"/>
                <w:szCs w:val="8"/>
                <w:color w:val="auto"/>
              </w:rPr>
            </w:pPr>
          </w:p>
        </w:tc>
        <w:tc>
          <w:tcPr>
            <w:tcW w:w="920" w:type="dxa"/>
            <w:vAlign w:val="bottom"/>
            <w:shd w:val="clear" w:color="auto" w:fill="CCEEFF"/>
          </w:tcPr>
          <w:p>
            <w:pPr>
              <w:spacing w:after="0" w:line="93" w:lineRule="exact"/>
              <w:rPr>
                <w:sz w:val="20"/>
                <w:szCs w:val="20"/>
                <w:color w:val="auto"/>
              </w:rPr>
            </w:pPr>
            <w:r>
              <w:rPr>
                <w:rFonts w:ascii="Arial" w:cs="Arial" w:eastAsia="Arial" w:hAnsi="Arial"/>
                <w:sz w:val="9"/>
                <w:szCs w:val="9"/>
                <w:b w:val="1"/>
                <w:bCs w:val="1"/>
                <w:color w:val="auto"/>
              </w:rPr>
              <w:t>Ratios/</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100"/>
              <w:spacing w:after="0" w:line="125" w:lineRule="exact"/>
              <w:rPr>
                <w:sz w:val="20"/>
                <w:szCs w:val="20"/>
                <w:color w:val="auto"/>
              </w:rPr>
            </w:pPr>
            <w:r>
              <w:rPr>
                <w:rFonts w:ascii="Arial" w:cs="Arial" w:eastAsia="Arial" w:hAnsi="Arial"/>
                <w:sz w:val="12"/>
                <w:szCs w:val="12"/>
                <w:b w:val="1"/>
                <w:bCs w:val="1"/>
                <w:color w:val="auto"/>
              </w:rPr>
              <w:t>Supplemental</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shd w:val="clear" w:color="auto" w:fill="CCEEFF"/>
          </w:tcPr>
          <w:p>
            <w:pPr>
              <w:ind w:left="100"/>
              <w:spacing w:after="0"/>
              <w:rPr>
                <w:sz w:val="20"/>
                <w:szCs w:val="20"/>
                <w:color w:val="auto"/>
              </w:rPr>
            </w:pPr>
            <w:r>
              <w:rPr>
                <w:rFonts w:ascii="Arial" w:cs="Arial" w:eastAsia="Arial" w:hAnsi="Arial"/>
                <w:sz w:val="12"/>
                <w:szCs w:val="12"/>
                <w:b w:val="1"/>
                <w:bCs w:val="1"/>
                <w:color w:val="auto"/>
              </w:rPr>
              <w:t>Data:</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20" w:type="dxa"/>
            <w:vAlign w:val="bottom"/>
          </w:tcPr>
          <w:p>
            <w:pPr>
              <w:spacing w:after="0" w:line="114" w:lineRule="exact"/>
              <w:rPr>
                <w:sz w:val="20"/>
                <w:szCs w:val="20"/>
                <w:color w:val="auto"/>
              </w:rPr>
            </w:pPr>
            <w:r>
              <w:rPr>
                <w:rFonts w:ascii="Arial" w:cs="Arial" w:eastAsia="Arial" w:hAnsi="Arial"/>
                <w:sz w:val="12"/>
                <w:szCs w:val="12"/>
                <w:color w:val="auto"/>
                <w:w w:val="94"/>
              </w:rPr>
              <w:t>Ratio of operating</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Arial" w:cs="Arial" w:eastAsia="Arial" w:hAnsi="Arial"/>
                <w:sz w:val="12"/>
                <w:szCs w:val="12"/>
                <w:color w:val="auto"/>
              </w:rPr>
              <w:t>expenses to</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Arial" w:cs="Arial" w:eastAsia="Arial" w:hAnsi="Arial"/>
                <w:sz w:val="12"/>
                <w:szCs w:val="12"/>
                <w:color w:val="auto"/>
              </w:rPr>
              <w:t>average net</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 w:type="dxa"/>
            <w:vAlign w:val="bottom"/>
          </w:tcPr>
          <w:p>
            <w:pPr>
              <w:ind w:left="100"/>
              <w:spacing w:after="0" w:line="136" w:lineRule="exact"/>
              <w:rPr>
                <w:sz w:val="20"/>
                <w:szCs w:val="20"/>
                <w:color w:val="auto"/>
              </w:rPr>
            </w:pPr>
            <w:r>
              <w:rPr>
                <w:rFonts w:ascii="Arial" w:cs="Arial" w:eastAsia="Arial" w:hAnsi="Arial"/>
                <w:sz w:val="12"/>
                <w:szCs w:val="12"/>
                <w:color w:val="auto"/>
              </w:rPr>
              <w:t>assets (4)</w:t>
            </w: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5.34%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3.77%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5.19%</w:t>
            </w: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3.94%</w:t>
            </w:r>
          </w:p>
        </w:tc>
        <w:tc>
          <w:tcPr>
            <w:tcW w:w="60" w:type="dxa"/>
            <w:vAlign w:val="bottom"/>
          </w:tcPr>
          <w:p>
            <w:pPr>
              <w:spacing w:after="0"/>
              <w:rPr>
                <w:sz w:val="11"/>
                <w:szCs w:val="11"/>
                <w:color w:val="auto"/>
              </w:rPr>
            </w:pP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3.01%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4.13%</w:t>
            </w:r>
          </w:p>
        </w:tc>
        <w:tc>
          <w:tcPr>
            <w:tcW w:w="60" w:type="dxa"/>
            <w:vAlign w:val="bottom"/>
          </w:tcPr>
          <w:p>
            <w:pPr>
              <w:spacing w:after="0"/>
              <w:rPr>
                <w:sz w:val="11"/>
                <w:szCs w:val="11"/>
                <w:color w:val="auto"/>
              </w:rPr>
            </w:pP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3.56%</w:t>
            </w:r>
          </w:p>
        </w:tc>
        <w:tc>
          <w:tcPr>
            <w:tcW w:w="60" w:type="dxa"/>
            <w:vAlign w:val="bottom"/>
          </w:tcPr>
          <w:p>
            <w:pPr>
              <w:spacing w:after="0"/>
              <w:rPr>
                <w:sz w:val="11"/>
                <w:szCs w:val="11"/>
                <w:color w:val="auto"/>
              </w:rPr>
            </w:pP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3.01%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4.45%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4.43%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20" w:type="dxa"/>
            <w:vAlign w:val="bottom"/>
            <w:shd w:val="clear" w:color="auto" w:fill="CCEEFF"/>
          </w:tcPr>
          <w:p>
            <w:pPr>
              <w:spacing w:after="0" w:line="114" w:lineRule="exact"/>
              <w:rPr>
                <w:sz w:val="20"/>
                <w:szCs w:val="20"/>
                <w:color w:val="auto"/>
              </w:rPr>
            </w:pPr>
            <w:r>
              <w:rPr>
                <w:rFonts w:ascii="Arial" w:cs="Arial" w:eastAsia="Arial" w:hAnsi="Arial"/>
                <w:sz w:val="12"/>
                <w:szCs w:val="12"/>
                <w:color w:val="auto"/>
              </w:rPr>
              <w:t>Ratio of debt</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100"/>
              <w:spacing w:after="0" w:line="125" w:lineRule="exact"/>
              <w:rPr>
                <w:sz w:val="20"/>
                <w:szCs w:val="20"/>
                <w:color w:val="auto"/>
              </w:rPr>
            </w:pPr>
            <w:r>
              <w:rPr>
                <w:rFonts w:ascii="Arial" w:cs="Arial" w:eastAsia="Arial" w:hAnsi="Arial"/>
                <w:sz w:val="12"/>
                <w:szCs w:val="12"/>
                <w:color w:val="auto"/>
                <w:w w:val="87"/>
              </w:rPr>
              <w:t>related expenses</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100"/>
              <w:spacing w:after="0" w:line="125" w:lineRule="exact"/>
              <w:rPr>
                <w:sz w:val="20"/>
                <w:szCs w:val="20"/>
                <w:color w:val="auto"/>
              </w:rPr>
            </w:pPr>
            <w:r>
              <w:rPr>
                <w:rFonts w:ascii="Arial" w:cs="Arial" w:eastAsia="Arial" w:hAnsi="Arial"/>
                <w:sz w:val="12"/>
                <w:szCs w:val="12"/>
                <w:color w:val="auto"/>
              </w:rPr>
              <w:t>to average net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 w:type="dxa"/>
            <w:vAlign w:val="bottom"/>
            <w:shd w:val="clear" w:color="auto" w:fill="CCEEFF"/>
          </w:tcPr>
          <w:p>
            <w:pPr>
              <w:ind w:left="100"/>
              <w:spacing w:after="0" w:line="136" w:lineRule="exact"/>
              <w:rPr>
                <w:sz w:val="20"/>
                <w:szCs w:val="20"/>
                <w:color w:val="auto"/>
              </w:rPr>
            </w:pPr>
            <w:r>
              <w:rPr>
                <w:rFonts w:ascii="Arial" w:cs="Arial" w:eastAsia="Arial" w:hAnsi="Arial"/>
                <w:sz w:val="12"/>
                <w:szCs w:val="12"/>
                <w:color w:val="auto"/>
              </w:rPr>
              <w:t>assets (5)</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5.85%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5.00%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5.63%</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5.21%</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4.73%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1.98%</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1.58%</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2.34%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1.95%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1.66%</w:t>
            </w:r>
          </w:p>
        </w:tc>
        <w:tc>
          <w:tcPr>
            <w:tcW w:w="0" w:type="dxa"/>
            <w:vAlign w:val="bottom"/>
          </w:tcPr>
          <w:p>
            <w:pPr>
              <w:spacing w:after="0"/>
              <w:rPr>
                <w:sz w:val="1"/>
                <w:szCs w:val="1"/>
                <w:color w:val="auto"/>
              </w:rPr>
            </w:pPr>
          </w:p>
        </w:tc>
      </w:tr>
      <w:tr>
        <w:trPr>
          <w:trHeight w:val="114"/>
        </w:trPr>
        <w:tc>
          <w:tcPr>
            <w:tcW w:w="940" w:type="dxa"/>
            <w:vAlign w:val="bottom"/>
            <w:gridSpan w:val="2"/>
          </w:tcPr>
          <w:p>
            <w:pPr>
              <w:spacing w:after="0" w:line="114" w:lineRule="exact"/>
              <w:rPr>
                <w:sz w:val="20"/>
                <w:szCs w:val="20"/>
                <w:color w:val="auto"/>
              </w:rPr>
            </w:pPr>
            <w:r>
              <w:rPr>
                <w:rFonts w:ascii="Arial" w:cs="Arial" w:eastAsia="Arial" w:hAnsi="Arial"/>
                <w:sz w:val="12"/>
                <w:szCs w:val="12"/>
                <w:color w:val="auto"/>
              </w:rPr>
              <w:t>Ratio of total</w:t>
            </w: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Arial" w:cs="Arial" w:eastAsia="Arial" w:hAnsi="Arial"/>
                <w:sz w:val="12"/>
                <w:szCs w:val="12"/>
                <w:color w:val="auto"/>
              </w:rPr>
              <w:t>expenses to</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Arial" w:cs="Arial" w:eastAsia="Arial" w:hAnsi="Arial"/>
                <w:sz w:val="12"/>
                <w:szCs w:val="12"/>
                <w:color w:val="auto"/>
              </w:rPr>
              <w:t>average net</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 w:type="dxa"/>
            <w:vAlign w:val="bottom"/>
          </w:tcPr>
          <w:p>
            <w:pPr>
              <w:ind w:left="100"/>
              <w:spacing w:after="0" w:line="136" w:lineRule="exact"/>
              <w:rPr>
                <w:sz w:val="20"/>
                <w:szCs w:val="20"/>
                <w:color w:val="auto"/>
              </w:rPr>
            </w:pPr>
            <w:r>
              <w:rPr>
                <w:rFonts w:ascii="Arial" w:cs="Arial" w:eastAsia="Arial" w:hAnsi="Arial"/>
                <w:sz w:val="12"/>
                <w:szCs w:val="12"/>
                <w:color w:val="auto"/>
              </w:rPr>
              <w:t>assets (5)</w:t>
            </w: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11.19%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8.77%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10.82%</w:t>
            </w: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9.15%</w:t>
            </w:r>
          </w:p>
        </w:tc>
        <w:tc>
          <w:tcPr>
            <w:tcW w:w="60" w:type="dxa"/>
            <w:vAlign w:val="bottom"/>
          </w:tcPr>
          <w:p>
            <w:pPr>
              <w:spacing w:after="0"/>
              <w:rPr>
                <w:sz w:val="11"/>
                <w:szCs w:val="11"/>
                <w:color w:val="auto"/>
              </w:rPr>
            </w:pP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7.74%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6.11%</w:t>
            </w:r>
          </w:p>
        </w:tc>
        <w:tc>
          <w:tcPr>
            <w:tcW w:w="60" w:type="dxa"/>
            <w:vAlign w:val="bottom"/>
          </w:tcPr>
          <w:p>
            <w:pPr>
              <w:spacing w:after="0"/>
              <w:rPr>
                <w:sz w:val="11"/>
                <w:szCs w:val="11"/>
                <w:color w:val="auto"/>
              </w:rPr>
            </w:pP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5.14%</w:t>
            </w:r>
          </w:p>
        </w:tc>
        <w:tc>
          <w:tcPr>
            <w:tcW w:w="60" w:type="dxa"/>
            <w:vAlign w:val="bottom"/>
          </w:tcPr>
          <w:p>
            <w:pPr>
              <w:spacing w:after="0"/>
              <w:rPr>
                <w:sz w:val="11"/>
                <w:szCs w:val="11"/>
                <w:color w:val="auto"/>
              </w:rPr>
            </w:pP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5.35%</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6.40%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6.09%</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20" w:type="dxa"/>
            <w:vAlign w:val="bottom"/>
            <w:shd w:val="clear" w:color="auto" w:fill="CCEEFF"/>
          </w:tcPr>
          <w:p>
            <w:pPr>
              <w:spacing w:after="0" w:line="114" w:lineRule="exact"/>
              <w:rPr>
                <w:sz w:val="20"/>
                <w:szCs w:val="20"/>
                <w:color w:val="auto"/>
              </w:rPr>
            </w:pPr>
            <w:r>
              <w:rPr>
                <w:rFonts w:ascii="Arial" w:cs="Arial" w:eastAsia="Arial" w:hAnsi="Arial"/>
                <w:sz w:val="12"/>
                <w:szCs w:val="12"/>
                <w:color w:val="auto"/>
              </w:rPr>
              <w:t>Ratio of net</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100"/>
              <w:spacing w:after="0" w:line="125" w:lineRule="exact"/>
              <w:rPr>
                <w:sz w:val="20"/>
                <w:szCs w:val="20"/>
                <w:color w:val="auto"/>
              </w:rPr>
            </w:pPr>
            <w:r>
              <w:rPr>
                <w:rFonts w:ascii="Arial" w:cs="Arial" w:eastAsia="Arial" w:hAnsi="Arial"/>
                <w:sz w:val="12"/>
                <w:szCs w:val="12"/>
                <w:color w:val="auto"/>
              </w:rPr>
              <w:t>investment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100"/>
              <w:spacing w:after="0" w:line="125" w:lineRule="exact"/>
              <w:rPr>
                <w:sz w:val="20"/>
                <w:szCs w:val="20"/>
                <w:color w:val="auto"/>
              </w:rPr>
            </w:pPr>
            <w:r>
              <w:rPr>
                <w:rFonts w:ascii="Arial" w:cs="Arial" w:eastAsia="Arial" w:hAnsi="Arial"/>
                <w:sz w:val="12"/>
                <w:szCs w:val="12"/>
                <w:color w:val="auto"/>
              </w:rPr>
              <w:t>income to</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100"/>
              <w:spacing w:after="0" w:line="125" w:lineRule="exact"/>
              <w:rPr>
                <w:sz w:val="20"/>
                <w:szCs w:val="20"/>
                <w:color w:val="auto"/>
              </w:rPr>
            </w:pPr>
            <w:r>
              <w:rPr>
                <w:rFonts w:ascii="Arial" w:cs="Arial" w:eastAsia="Arial" w:hAnsi="Arial"/>
                <w:sz w:val="12"/>
                <w:szCs w:val="12"/>
                <w:color w:val="auto"/>
              </w:rPr>
              <w:t>average net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 w:type="dxa"/>
            <w:vAlign w:val="bottom"/>
            <w:shd w:val="clear" w:color="auto" w:fill="CCEEFF"/>
          </w:tcPr>
          <w:p>
            <w:pPr>
              <w:ind w:left="100"/>
              <w:spacing w:after="0" w:line="136" w:lineRule="exact"/>
              <w:rPr>
                <w:sz w:val="20"/>
                <w:szCs w:val="20"/>
                <w:color w:val="auto"/>
              </w:rPr>
            </w:pPr>
            <w:r>
              <w:rPr>
                <w:rFonts w:ascii="Arial" w:cs="Arial" w:eastAsia="Arial" w:hAnsi="Arial"/>
                <w:sz w:val="12"/>
                <w:szCs w:val="12"/>
                <w:color w:val="auto"/>
              </w:rPr>
              <w:t>assets (5)</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9.55%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8.07%</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9.00%</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8.76%</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5.81%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7.85%</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7.42%</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7.43%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7.77%</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7.68%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20" w:type="dxa"/>
            <w:vAlign w:val="bottom"/>
          </w:tcPr>
          <w:p>
            <w:pPr>
              <w:spacing w:after="0" w:line="114" w:lineRule="exact"/>
              <w:rPr>
                <w:sz w:val="20"/>
                <w:szCs w:val="20"/>
                <w:color w:val="auto"/>
              </w:rPr>
            </w:pPr>
            <w:r>
              <w:rPr>
                <w:rFonts w:ascii="Arial" w:cs="Arial" w:eastAsia="Arial" w:hAnsi="Arial"/>
                <w:sz w:val="12"/>
                <w:szCs w:val="12"/>
                <w:color w:val="auto"/>
                <w:w w:val="84"/>
              </w:rPr>
              <w:t>Net assets at end of</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Arial" w:cs="Arial" w:eastAsia="Arial" w:hAnsi="Arial"/>
                <w:sz w:val="12"/>
                <w:szCs w:val="12"/>
                <w:color w:val="auto"/>
              </w:rPr>
              <w:t>period (in</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 w:type="dxa"/>
            <w:vAlign w:val="bottom"/>
          </w:tcPr>
          <w:p>
            <w:pPr>
              <w:ind w:left="100"/>
              <w:spacing w:after="0" w:line="136" w:lineRule="exact"/>
              <w:rPr>
                <w:sz w:val="20"/>
                <w:szCs w:val="20"/>
                <w:color w:val="auto"/>
              </w:rPr>
            </w:pPr>
            <w:r>
              <w:rPr>
                <w:rFonts w:ascii="Arial" w:cs="Arial" w:eastAsia="Arial" w:hAnsi="Arial"/>
                <w:sz w:val="12"/>
                <w:szCs w:val="12"/>
                <w:color w:val="auto"/>
              </w:rPr>
              <w:t>thousands)</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527,092</w:t>
            </w:r>
          </w:p>
        </w:tc>
        <w:tc>
          <w:tcPr>
            <w:tcW w:w="80" w:type="dxa"/>
            <w:vAlign w:val="bottom"/>
            <w:gridSpan w:val="2"/>
          </w:tcPr>
          <w:p>
            <w:pPr>
              <w:jc w:val="right"/>
              <w:spacing w:after="0" w:line="136" w:lineRule="exact"/>
              <w:rPr>
                <w:sz w:val="20"/>
                <w:szCs w:val="20"/>
                <w:color w:val="auto"/>
              </w:rPr>
            </w:pPr>
            <w:r>
              <w:rPr>
                <w:rFonts w:ascii="Arial" w:cs="Arial" w:eastAsia="Arial" w:hAnsi="Arial"/>
                <w:sz w:val="12"/>
                <w:szCs w:val="12"/>
                <w:color w:val="auto"/>
                <w:w w:val="89"/>
              </w:rPr>
              <w:t>$</w:t>
            </w:r>
          </w:p>
        </w:tc>
        <w:tc>
          <w:tcPr>
            <w:tcW w:w="66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490,611</w:t>
            </w:r>
          </w:p>
        </w:tc>
        <w:tc>
          <w:tcPr>
            <w:tcW w:w="10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477,270</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503,057</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spacing w:after="0" w:line="136" w:lineRule="exact"/>
              <w:rPr>
                <w:sz w:val="20"/>
                <w:szCs w:val="20"/>
                <w:color w:val="auto"/>
              </w:rPr>
            </w:pPr>
            <w:r>
              <w:rPr>
                <w:rFonts w:ascii="Arial" w:cs="Arial" w:eastAsia="Arial" w:hAnsi="Arial"/>
                <w:sz w:val="12"/>
                <w:szCs w:val="12"/>
                <w:color w:val="auto"/>
              </w:rPr>
              <w:t>535,842</w:t>
            </w:r>
          </w:p>
        </w:tc>
        <w:tc>
          <w:tcPr>
            <w:tcW w:w="160" w:type="dxa"/>
            <w:vAlign w:val="bottom"/>
          </w:tcPr>
          <w:p>
            <w:pPr>
              <w:spacing w:after="0"/>
              <w:rPr>
                <w:sz w:val="11"/>
                <w:szCs w:val="11"/>
                <w:color w:val="auto"/>
              </w:rPr>
            </w:pPr>
          </w:p>
        </w:tc>
        <w:tc>
          <w:tcPr>
            <w:tcW w:w="10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457,906</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375,907</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spacing w:after="0" w:line="136" w:lineRule="exact"/>
              <w:rPr>
                <w:sz w:val="20"/>
                <w:szCs w:val="20"/>
                <w:color w:val="auto"/>
              </w:rPr>
            </w:pPr>
            <w:r>
              <w:rPr>
                <w:rFonts w:ascii="Arial" w:cs="Arial" w:eastAsia="Arial" w:hAnsi="Arial"/>
                <w:sz w:val="12"/>
                <w:szCs w:val="12"/>
                <w:color w:val="auto"/>
              </w:rPr>
              <w:t>372,890</w:t>
            </w:r>
          </w:p>
        </w:tc>
        <w:tc>
          <w:tcPr>
            <w:tcW w:w="180" w:type="dxa"/>
            <w:vAlign w:val="bottom"/>
          </w:tcPr>
          <w:p>
            <w:pPr>
              <w:spacing w:after="0"/>
              <w:rPr>
                <w:sz w:val="11"/>
                <w:szCs w:val="11"/>
                <w:color w:val="auto"/>
              </w:rPr>
            </w:pPr>
          </w:p>
        </w:tc>
        <w:tc>
          <w:tcPr>
            <w:tcW w:w="10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w w:val="89"/>
              </w:rPr>
              <w:t>$</w:t>
            </w:r>
          </w:p>
        </w:tc>
        <w:tc>
          <w:tcPr>
            <w:tcW w:w="66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214,528</w:t>
            </w:r>
          </w:p>
        </w:tc>
        <w:tc>
          <w:tcPr>
            <w:tcW w:w="80" w:type="dxa"/>
            <w:vAlign w:val="bottom"/>
            <w:gridSpan w:val="2"/>
          </w:tcPr>
          <w:p>
            <w:pPr>
              <w:jc w:val="right"/>
              <w:spacing w:after="0" w:line="136" w:lineRule="exact"/>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210,066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920" w:type="dxa"/>
            <w:vAlign w:val="bottom"/>
            <w:shd w:val="clear" w:color="auto" w:fill="CCEEFF"/>
          </w:tcPr>
          <w:p>
            <w:pPr>
              <w:spacing w:after="0" w:line="95" w:lineRule="exact"/>
              <w:rPr>
                <w:sz w:val="20"/>
                <w:szCs w:val="20"/>
                <w:color w:val="auto"/>
              </w:rPr>
            </w:pPr>
            <w:r>
              <w:rPr>
                <w:rFonts w:ascii="Arial" w:cs="Arial" w:eastAsia="Arial" w:hAnsi="Arial"/>
                <w:sz w:val="11"/>
                <w:szCs w:val="11"/>
                <w:color w:val="auto"/>
              </w:rPr>
              <w:t>Weighted average</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100"/>
              <w:spacing w:after="0" w:line="125" w:lineRule="exact"/>
              <w:rPr>
                <w:sz w:val="20"/>
                <w:szCs w:val="20"/>
                <w:color w:val="auto"/>
              </w:rPr>
            </w:pPr>
            <w:r>
              <w:rPr>
                <w:rFonts w:ascii="Arial" w:cs="Arial" w:eastAsia="Arial" w:hAnsi="Arial"/>
                <w:sz w:val="12"/>
                <w:szCs w:val="12"/>
                <w:color w:val="auto"/>
                <w:w w:val="90"/>
              </w:rPr>
              <w:t>debt outstanding</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 w:type="dxa"/>
            <w:vAlign w:val="bottom"/>
            <w:shd w:val="clear" w:color="auto" w:fill="CCEEFF"/>
          </w:tcPr>
          <w:p>
            <w:pPr>
              <w:ind w:left="100"/>
              <w:spacing w:after="0" w:line="136" w:lineRule="exact"/>
              <w:rPr>
                <w:sz w:val="20"/>
                <w:szCs w:val="20"/>
                <w:color w:val="auto"/>
              </w:rPr>
            </w:pPr>
            <w:r>
              <w:rPr>
                <w:rFonts w:ascii="Arial" w:cs="Arial" w:eastAsia="Arial" w:hAnsi="Arial"/>
                <w:sz w:val="12"/>
                <w:szCs w:val="12"/>
                <w:color w:val="auto"/>
              </w:rPr>
              <w:t>(in thousands)</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698,765</w:t>
            </w:r>
          </w:p>
        </w:tc>
        <w:tc>
          <w:tcPr>
            <w:tcW w:w="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w w:val="89"/>
              </w:rPr>
              <w:t>$</w:t>
            </w:r>
          </w:p>
        </w:tc>
        <w:tc>
          <w:tcPr>
            <w:tcW w:w="6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622,739</w:t>
            </w:r>
          </w:p>
        </w:tc>
        <w:tc>
          <w:tcPr>
            <w:tcW w:w="1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737,209</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512,135</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354,322</w:t>
            </w:r>
          </w:p>
        </w:tc>
        <w:tc>
          <w:tcPr>
            <w:tcW w:w="16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269,320</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140,218</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123,924</w:t>
            </w:r>
          </w:p>
        </w:tc>
        <w:tc>
          <w:tcPr>
            <w:tcW w:w="18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w w:val="89"/>
              </w:rPr>
              <w:t>$</w:t>
            </w:r>
          </w:p>
        </w:tc>
        <w:tc>
          <w:tcPr>
            <w:tcW w:w="6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147,599</w:t>
            </w:r>
          </w:p>
        </w:tc>
        <w:tc>
          <w:tcPr>
            <w:tcW w:w="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w w:val="89"/>
              </w:rPr>
              <w:t>$</w:t>
            </w:r>
          </w:p>
        </w:tc>
        <w:tc>
          <w:tcPr>
            <w:tcW w:w="6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71,679</w:t>
            </w:r>
          </w:p>
        </w:tc>
        <w:tc>
          <w:tcPr>
            <w:tcW w:w="0" w:type="dxa"/>
            <w:vAlign w:val="bottom"/>
          </w:tcPr>
          <w:p>
            <w:pPr>
              <w:spacing w:after="0"/>
              <w:rPr>
                <w:sz w:val="1"/>
                <w:szCs w:val="1"/>
                <w:color w:val="auto"/>
              </w:rPr>
            </w:pPr>
          </w:p>
        </w:tc>
      </w:tr>
      <w:tr>
        <w:trPr>
          <w:trHeight w:val="114"/>
        </w:trPr>
        <w:tc>
          <w:tcPr>
            <w:tcW w:w="940" w:type="dxa"/>
            <w:vAlign w:val="bottom"/>
            <w:gridSpan w:val="2"/>
          </w:tcPr>
          <w:p>
            <w:pPr>
              <w:spacing w:after="0" w:line="114" w:lineRule="exact"/>
              <w:rPr>
                <w:sz w:val="20"/>
                <w:szCs w:val="20"/>
                <w:color w:val="auto"/>
              </w:rPr>
            </w:pPr>
            <w:r>
              <w:rPr>
                <w:rFonts w:ascii="Arial" w:cs="Arial" w:eastAsia="Arial" w:hAnsi="Arial"/>
                <w:sz w:val="12"/>
                <w:szCs w:val="12"/>
                <w:color w:val="auto"/>
                <w:w w:val="94"/>
              </w:rPr>
              <w:t>Weighted average</w:t>
            </w: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Arial" w:cs="Arial" w:eastAsia="Arial" w:hAnsi="Arial"/>
                <w:sz w:val="12"/>
                <w:szCs w:val="12"/>
                <w:color w:val="auto"/>
              </w:rPr>
              <w:t>debt per share</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40" w:type="dxa"/>
            <w:vAlign w:val="bottom"/>
            <w:gridSpan w:val="2"/>
          </w:tcPr>
          <w:p>
            <w:pPr>
              <w:ind w:left="120"/>
              <w:spacing w:after="0" w:line="136" w:lineRule="exact"/>
              <w:rPr>
                <w:sz w:val="20"/>
                <w:szCs w:val="20"/>
                <w:color w:val="auto"/>
              </w:rPr>
            </w:pPr>
            <w:r>
              <w:rPr>
                <w:rFonts w:ascii="Arial" w:cs="Arial" w:eastAsia="Arial" w:hAnsi="Arial"/>
                <w:sz w:val="12"/>
                <w:szCs w:val="12"/>
                <w:color w:val="auto"/>
              </w:rPr>
              <w:t>(1)</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17.06</w:t>
            </w:r>
          </w:p>
        </w:tc>
        <w:tc>
          <w:tcPr>
            <w:tcW w:w="80" w:type="dxa"/>
            <w:vAlign w:val="bottom"/>
            <w:gridSpan w:val="2"/>
          </w:tcPr>
          <w:p>
            <w:pPr>
              <w:jc w:val="right"/>
              <w:spacing w:after="0" w:line="136" w:lineRule="exact"/>
              <w:rPr>
                <w:sz w:val="20"/>
                <w:szCs w:val="20"/>
                <w:color w:val="auto"/>
              </w:rPr>
            </w:pPr>
            <w:r>
              <w:rPr>
                <w:rFonts w:ascii="Arial" w:cs="Arial" w:eastAsia="Arial" w:hAnsi="Arial"/>
                <w:sz w:val="12"/>
                <w:szCs w:val="12"/>
                <w:color w:val="auto"/>
                <w:w w:val="89"/>
              </w:rPr>
              <w:t>$</w:t>
            </w:r>
          </w:p>
        </w:tc>
        <w:tc>
          <w:tcPr>
            <w:tcW w:w="66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16.06</w:t>
            </w:r>
          </w:p>
        </w:tc>
        <w:tc>
          <w:tcPr>
            <w:tcW w:w="10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19.01</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13.21</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9.25</w:t>
            </w:r>
          </w:p>
        </w:tc>
        <w:tc>
          <w:tcPr>
            <w:tcW w:w="10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8.90</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5.25</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7.61</w:t>
            </w:r>
          </w:p>
        </w:tc>
        <w:tc>
          <w:tcPr>
            <w:tcW w:w="10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w w:val="89"/>
              </w:rPr>
              <w:t>$</w:t>
            </w:r>
          </w:p>
        </w:tc>
        <w:tc>
          <w:tcPr>
            <w:tcW w:w="66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9.91</w:t>
            </w:r>
          </w:p>
        </w:tc>
        <w:tc>
          <w:tcPr>
            <w:tcW w:w="80" w:type="dxa"/>
            <w:vAlign w:val="bottom"/>
            <w:gridSpan w:val="2"/>
          </w:tcPr>
          <w:p>
            <w:pPr>
              <w:jc w:val="right"/>
              <w:spacing w:after="0" w:line="136" w:lineRule="exact"/>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7.48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20" w:type="dxa"/>
            <w:vAlign w:val="bottom"/>
            <w:shd w:val="clear" w:color="auto" w:fill="CCEEFF"/>
          </w:tcPr>
          <w:p>
            <w:pPr>
              <w:spacing w:after="0" w:line="114" w:lineRule="exact"/>
              <w:rPr>
                <w:sz w:val="20"/>
                <w:szCs w:val="20"/>
                <w:color w:val="auto"/>
              </w:rPr>
            </w:pPr>
            <w:r>
              <w:rPr>
                <w:rFonts w:ascii="Arial" w:cs="Arial" w:eastAsia="Arial" w:hAnsi="Arial"/>
                <w:sz w:val="12"/>
                <w:szCs w:val="12"/>
                <w:color w:val="auto"/>
                <w:w w:val="87"/>
              </w:rPr>
              <w:t>Asset coverage per</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 w:type="dxa"/>
            <w:vAlign w:val="bottom"/>
            <w:shd w:val="clear" w:color="auto" w:fill="CCEEFF"/>
          </w:tcPr>
          <w:p>
            <w:pPr>
              <w:ind w:left="100"/>
              <w:spacing w:after="0" w:line="136" w:lineRule="exact"/>
              <w:rPr>
                <w:sz w:val="20"/>
                <w:szCs w:val="20"/>
                <w:color w:val="auto"/>
              </w:rPr>
            </w:pPr>
            <w:r>
              <w:rPr>
                <w:rFonts w:ascii="Arial" w:cs="Arial" w:eastAsia="Arial" w:hAnsi="Arial"/>
                <w:sz w:val="12"/>
                <w:szCs w:val="12"/>
                <w:color w:val="auto"/>
              </w:rPr>
              <w:t>unit (6)</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1,776</w:t>
            </w:r>
          </w:p>
        </w:tc>
        <w:tc>
          <w:tcPr>
            <w:tcW w:w="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w w:val="89"/>
              </w:rPr>
              <w:t>$</w:t>
            </w:r>
          </w:p>
        </w:tc>
        <w:tc>
          <w:tcPr>
            <w:tcW w:w="6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1,746</w:t>
            </w:r>
          </w:p>
        </w:tc>
        <w:tc>
          <w:tcPr>
            <w:tcW w:w="1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1,677</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1,786</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2,122</w:t>
            </w:r>
          </w:p>
        </w:tc>
        <w:tc>
          <w:tcPr>
            <w:tcW w:w="16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2,780</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2,601</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13,598</w:t>
            </w:r>
          </w:p>
        </w:tc>
        <w:tc>
          <w:tcPr>
            <w:tcW w:w="10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w w:val="89"/>
              </w:rPr>
              <w:t>$</w:t>
            </w:r>
          </w:p>
        </w:tc>
        <w:tc>
          <w:tcPr>
            <w:tcW w:w="6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2,469</w:t>
            </w:r>
          </w:p>
        </w:tc>
        <w:tc>
          <w:tcPr>
            <w:tcW w:w="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w w:val="89"/>
              </w:rPr>
              <w:t>$</w:t>
            </w:r>
          </w:p>
        </w:tc>
        <w:tc>
          <w:tcPr>
            <w:tcW w:w="6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3,109</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20" w:type="dxa"/>
            <w:vAlign w:val="bottom"/>
          </w:tcPr>
          <w:p>
            <w:pPr>
              <w:spacing w:after="0" w:line="114" w:lineRule="exact"/>
              <w:rPr>
                <w:sz w:val="20"/>
                <w:szCs w:val="20"/>
                <w:color w:val="auto"/>
              </w:rPr>
            </w:pPr>
            <w:r>
              <w:rPr>
                <w:rFonts w:ascii="Arial" w:cs="Arial" w:eastAsia="Arial" w:hAnsi="Arial"/>
                <w:sz w:val="12"/>
                <w:szCs w:val="12"/>
                <w:color w:val="auto"/>
                <w:w w:val="98"/>
              </w:rPr>
              <w:t>Portfolio turnover</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ind w:left="100"/>
              <w:spacing w:after="0"/>
              <w:rPr>
                <w:sz w:val="20"/>
                <w:szCs w:val="20"/>
                <w:color w:val="auto"/>
              </w:rPr>
            </w:pPr>
            <w:r>
              <w:rPr>
                <w:rFonts w:ascii="Arial" w:cs="Arial" w:eastAsia="Arial" w:hAnsi="Arial"/>
                <w:sz w:val="12"/>
                <w:szCs w:val="12"/>
                <w:color w:val="auto"/>
              </w:rPr>
              <w:t>ratio</w:t>
            </w:r>
          </w:p>
        </w:tc>
        <w:tc>
          <w:tcPr>
            <w:tcW w:w="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45.03%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62.58%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35.08%</w:t>
            </w:r>
          </w:p>
        </w:tc>
        <w:tc>
          <w:tcPr>
            <w:tcW w:w="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52.64%</w:t>
            </w:r>
          </w:p>
        </w:tc>
        <w:tc>
          <w:tcPr>
            <w:tcW w:w="6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47.15%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59.70%</w:t>
            </w:r>
          </w:p>
        </w:tc>
        <w:tc>
          <w:tcPr>
            <w:tcW w:w="6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32.16%</w:t>
            </w:r>
          </w:p>
        </w:tc>
        <w:tc>
          <w:tcPr>
            <w:tcW w:w="6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51.02%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62.74%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81.89%</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9019"/>
          </w:cols>
          <w:pgMar w:left="1440" w:top="260" w:right="1440" w:bottom="1440" w:gutter="0" w:footer="0" w:header="0"/>
        </w:sectPr>
      </w:pPr>
    </w:p>
    <w:bookmarkStart w:id="12" w:name="page13"/>
    <w:bookmarkEnd w:id="12"/>
    <w:p>
      <w:pPr>
        <w:ind w:left="600" w:hanging="327"/>
        <w:spacing w:after="0"/>
        <w:tabs>
          <w:tab w:leader="none" w:pos="600" w:val="left"/>
        </w:tabs>
        <w:numPr>
          <w:ilvl w:val="0"/>
          <w:numId w:val="14"/>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2805" cy="45720"/>
                    </a:xfrm>
                    <a:prstGeom prst="rect">
                      <a:avLst/>
                    </a:prstGeom>
                    <a:noFill/>
                  </pic:spPr>
                </pic:pic>
              </a:graphicData>
            </a:graphic>
          </wp:anchor>
        </w:drawing>
        <w:t>Based on the weighted average shares outstanding for the respective periods.</w:t>
      </w:r>
    </w:p>
    <w:p>
      <w:pPr>
        <w:spacing w:after="0" w:line="14" w:lineRule="exact"/>
        <w:rPr>
          <w:rFonts w:ascii="Arial" w:cs="Arial" w:eastAsia="Arial" w:hAnsi="Arial"/>
          <w:sz w:val="14"/>
          <w:szCs w:val="14"/>
          <w:color w:val="auto"/>
        </w:rPr>
      </w:pPr>
    </w:p>
    <w:p>
      <w:pPr>
        <w:ind w:left="600" w:right="419" w:hanging="327"/>
        <w:spacing w:after="0" w:line="247" w:lineRule="auto"/>
        <w:tabs>
          <w:tab w:leader="none" w:pos="6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600" w:hanging="327"/>
        <w:spacing w:after="0"/>
        <w:tabs>
          <w:tab w:leader="none" w:pos="6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Based on the change in market price per share during the period and assumes distributions, if any, are reinvested.</w:t>
      </w:r>
    </w:p>
    <w:p>
      <w:pPr>
        <w:spacing w:after="0" w:line="4" w:lineRule="exact"/>
        <w:rPr>
          <w:rFonts w:ascii="Arial" w:cs="Arial" w:eastAsia="Arial" w:hAnsi="Arial"/>
          <w:sz w:val="14"/>
          <w:szCs w:val="14"/>
          <w:color w:val="auto"/>
        </w:rPr>
      </w:pPr>
    </w:p>
    <w:p>
      <w:pPr>
        <w:ind w:left="600" w:hanging="327"/>
        <w:spacing w:after="0"/>
        <w:tabs>
          <w:tab w:leader="none" w:pos="6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Excludes debt related costs.</w:t>
      </w:r>
    </w:p>
    <w:p>
      <w:pPr>
        <w:spacing w:after="0" w:line="4" w:lineRule="exact"/>
        <w:rPr>
          <w:rFonts w:ascii="Arial" w:cs="Arial" w:eastAsia="Arial" w:hAnsi="Arial"/>
          <w:sz w:val="14"/>
          <w:szCs w:val="14"/>
          <w:color w:val="auto"/>
        </w:rPr>
      </w:pPr>
    </w:p>
    <w:p>
      <w:pPr>
        <w:ind w:left="600" w:hanging="327"/>
        <w:spacing w:after="0"/>
        <w:tabs>
          <w:tab w:leader="none" w:pos="6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interest and expenses on debt as well as Credit Facility amendment and debt issuance costs, if any.</w:t>
      </w:r>
    </w:p>
    <w:p>
      <w:pPr>
        <w:spacing w:after="0" w:line="4" w:lineRule="exact"/>
        <w:rPr>
          <w:rFonts w:ascii="Arial" w:cs="Arial" w:eastAsia="Arial" w:hAnsi="Arial"/>
          <w:sz w:val="14"/>
          <w:szCs w:val="14"/>
          <w:color w:val="auto"/>
        </w:rPr>
      </w:pPr>
    </w:p>
    <w:p>
      <w:pPr>
        <w:ind w:left="600" w:right="399" w:hanging="327"/>
        <w:spacing w:after="0" w:line="266" w:lineRule="auto"/>
        <w:tabs>
          <w:tab w:leader="none" w:pos="6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ratio coverage is multiplied by $1,000 to determine the asset coverage per unit.</w:t>
      </w:r>
    </w:p>
    <w:p>
      <w:pPr>
        <w:ind w:left="600" w:hanging="327"/>
        <w:spacing w:after="0"/>
        <w:tabs>
          <w:tab w:leader="none" w:pos="6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Audited by predecessor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-1055370</wp:posOffset>
            </wp:positionV>
            <wp:extent cx="592455"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2455" cy="6350"/>
                    </a:xfrm>
                    <a:prstGeom prst="rect">
                      <a:avLst/>
                    </a:prstGeom>
                    <a:noFill/>
                  </pic:spPr>
                </pic:pic>
              </a:graphicData>
            </a:graphic>
          </wp:anchor>
        </w:drawing>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019"/>
          </w:cols>
          <w:pgMar w:left="1440" w:top="388"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2805" cy="45720"/>
                    </a:xfrm>
                    <a:prstGeom prst="rect">
                      <a:avLst/>
                    </a:prstGeom>
                    <a:noFill/>
                  </pic:spPr>
                </pic:pic>
              </a:graphicData>
            </a:graphic>
          </wp:anchor>
        </w:drawing>
        <w:t>RISK FACTORS</w:t>
      </w:r>
    </w:p>
    <w:p>
      <w:pPr>
        <w:spacing w:after="0" w:line="175" w:lineRule="exact"/>
        <w:rPr>
          <w:sz w:val="20"/>
          <w:szCs w:val="20"/>
          <w:color w:val="auto"/>
        </w:rPr>
      </w:pPr>
    </w:p>
    <w:p>
      <w:pPr>
        <w:ind w:left="280" w:right="279" w:firstLine="338"/>
        <w:spacing w:after="0" w:line="270" w:lineRule="auto"/>
        <w:rPr>
          <w:sz w:val="20"/>
          <w:szCs w:val="20"/>
          <w:color w:val="auto"/>
        </w:rPr>
      </w:pPr>
      <w:r>
        <w:rPr>
          <w:rFonts w:ascii="Arial" w:cs="Arial" w:eastAsia="Arial" w:hAnsi="Arial"/>
          <w:sz w:val="13"/>
          <w:szCs w:val="13"/>
          <w:color w:val="auto"/>
        </w:rPr>
        <w:t>Investing in our securities involves a number of significant risks. In addition to the other information contained in this prospectus and the applicable prospectus supplement and any free writing prospectus, you should consider carefully the following information and the risk factors incorporated by reference in our Annual Report on Form 10-K for the fiscal year ended September 30, 2022, filed on November 17, 2022, or our then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any prospectus supplement and any free writing prospectus before acquiring any of such securities and before making an investment in our securities. Additional risks and uncertainties not presently known to us or not presently deemed material by us may also impair our operations and performance. Each of the risk factors could materially adversely affect our business, financial condition and results of operations. In such case, the NAV and market price of our common stock could decline or the value of our preferred stock, warrants, subscription rights or debt securities may decline, and investors may lose all or part of their investment. Please also read carefully the section titled “Forward-Looking Statements.”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FORWARD-LOOKING STATEMENTS</w:t>
      </w:r>
    </w:p>
    <w:p>
      <w:pPr>
        <w:spacing w:after="0" w:line="175" w:lineRule="exact"/>
        <w:rPr>
          <w:sz w:val="20"/>
          <w:szCs w:val="20"/>
          <w:color w:val="auto"/>
        </w:rPr>
      </w:pPr>
    </w:p>
    <w:p>
      <w:pPr>
        <w:ind w:left="280" w:right="379" w:firstLine="338"/>
        <w:spacing w:after="0" w:line="274" w:lineRule="auto"/>
        <w:rPr>
          <w:sz w:val="20"/>
          <w:szCs w:val="20"/>
          <w:color w:val="auto"/>
        </w:rPr>
      </w:pPr>
      <w:r>
        <w:rPr>
          <w:rFonts w:ascii="Arial" w:cs="Arial" w:eastAsia="Arial" w:hAnsi="Arial"/>
          <w:sz w:val="13"/>
          <w:szCs w:val="13"/>
          <w:color w:val="auto"/>
        </w:rPr>
        <w:t>This prospectus, including the documents we incorporate by reference herein, contains, and any applicable prospectus supplement or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or incorporated by reference in this prospectus and any applicable prospectus supplement or free writing prospectus involve risks and uncertainties, including statements as to:</w:t>
      </w:r>
    </w:p>
    <w:p>
      <w:pPr>
        <w:spacing w:after="0" w:line="65" w:lineRule="exact"/>
        <w:rPr>
          <w:sz w:val="20"/>
          <w:szCs w:val="20"/>
          <w:color w:val="auto"/>
        </w:rPr>
      </w:pPr>
    </w:p>
    <w:p>
      <w:pPr>
        <w:ind w:left="1020" w:hanging="332"/>
        <w:spacing w:after="0"/>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98" w:lineRule="exact"/>
        <w:rPr>
          <w:rFonts w:ascii="Arial" w:cs="Arial" w:eastAsia="Arial" w:hAnsi="Arial"/>
          <w:sz w:val="14"/>
          <w:szCs w:val="14"/>
          <w:color w:val="auto"/>
        </w:rPr>
      </w:pPr>
    </w:p>
    <w:p>
      <w:pPr>
        <w:ind w:left="1020" w:right="459" w:hanging="332"/>
        <w:spacing w:after="0" w:line="268" w:lineRule="auto"/>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 including as a result of the current pandemic caused by COVID-19 or any future worsening thereof;</w:t>
      </w:r>
    </w:p>
    <w:p>
      <w:pPr>
        <w:spacing w:after="0" w:line="65" w:lineRule="exact"/>
        <w:rPr>
          <w:rFonts w:ascii="Arial" w:cs="Arial" w:eastAsia="Arial" w:hAnsi="Arial"/>
          <w:sz w:val="14"/>
          <w:szCs w:val="14"/>
          <w:color w:val="auto"/>
        </w:rPr>
      </w:pPr>
    </w:p>
    <w:p>
      <w:pPr>
        <w:jc w:val="both"/>
        <w:ind w:left="1020" w:right="299" w:hanging="332"/>
        <w:spacing w:after="0" w:line="257" w:lineRule="auto"/>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 or any future worsening thereof;</w:t>
      </w:r>
    </w:p>
    <w:p>
      <w:pPr>
        <w:spacing w:after="0" w:line="73" w:lineRule="exact"/>
        <w:rPr>
          <w:rFonts w:ascii="Arial" w:cs="Arial" w:eastAsia="Arial" w:hAnsi="Arial"/>
          <w:sz w:val="14"/>
          <w:szCs w:val="14"/>
          <w:color w:val="auto"/>
        </w:rPr>
      </w:pPr>
    </w:p>
    <w:p>
      <w:pPr>
        <w:ind w:left="1020" w:hanging="332"/>
        <w:spacing w:after="0"/>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expected financings and investments and ability to fund capital commitments to PSSL;</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9019"/>
          </w:cols>
          <w:pgMar w:left="1440" w:top="260" w:right="1440" w:bottom="1440" w:gutter="0" w:footer="0" w:header="0"/>
        </w:sectPr>
      </w:pPr>
    </w:p>
    <w:bookmarkStart w:id="14" w:name="page15"/>
    <w:bookmarkEnd w:id="14"/>
    <w:p>
      <w:pPr>
        <w:ind w:left="1020" w:hanging="332"/>
        <w:spacing w:after="0"/>
        <w:tabs>
          <w:tab w:leader="none" w:pos="1020" w:val="left"/>
        </w:tabs>
        <w:numPr>
          <w:ilvl w:val="0"/>
          <w:numId w:val="16"/>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2805" cy="45720"/>
                    </a:xfrm>
                    <a:prstGeom prst="rect">
                      <a:avLst/>
                    </a:prstGeom>
                    <a:noFill/>
                  </pic:spPr>
                </pic:pic>
              </a:graphicData>
            </a:graphic>
          </wp:anchor>
        </w:drawing>
        <w:t>the impact of price and volume fluctuations in the stock market;</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increasing levels of inflation, and its impact on us and our portfolio companies;</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98" w:lineRule="exact"/>
        <w:rPr>
          <w:rFonts w:ascii="Arial" w:cs="Arial" w:eastAsia="Arial" w:hAnsi="Arial"/>
          <w:sz w:val="14"/>
          <w:szCs w:val="14"/>
          <w:color w:val="auto"/>
        </w:rPr>
      </w:pPr>
    </w:p>
    <w:p>
      <w:pPr>
        <w:ind w:left="1020" w:right="439" w:hanging="332"/>
        <w:spacing w:after="0" w:line="268" w:lineRule="auto"/>
        <w:tabs>
          <w:tab w:leader="none" w:pos="10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impact of the ongoing invasion of Ukraine by Russia, United Kingdom’s withdrawal from the European Union (commonly known as “Brexit”) and other world economic and political issues.</w:t>
      </w:r>
    </w:p>
    <w:p>
      <w:pPr>
        <w:spacing w:after="0" w:line="138" w:lineRule="exact"/>
        <w:rPr>
          <w:sz w:val="20"/>
          <w:szCs w:val="20"/>
          <w:color w:val="auto"/>
        </w:rPr>
      </w:pPr>
    </w:p>
    <w:p>
      <w:pPr>
        <w:ind w:left="280" w:right="479" w:firstLine="338"/>
        <w:spacing w:after="0" w:line="320" w:lineRule="auto"/>
        <w:rPr>
          <w:sz w:val="20"/>
          <w:szCs w:val="20"/>
          <w:color w:val="auto"/>
        </w:rPr>
      </w:pPr>
      <w:r>
        <w:rPr>
          <w:rFonts w:ascii="Arial" w:cs="Arial" w:eastAsia="Arial" w:hAnsi="Arial"/>
          <w:sz w:val="12"/>
          <w:szCs w:val="12"/>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12" w:lineRule="exact"/>
        <w:rPr>
          <w:sz w:val="20"/>
          <w:szCs w:val="20"/>
          <w:color w:val="auto"/>
        </w:rPr>
      </w:pPr>
    </w:p>
    <w:p>
      <w:pPr>
        <w:ind w:left="280" w:right="339" w:firstLine="338"/>
        <w:spacing w:after="0" w:line="251"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contained or incorporated by reference in this prospectus and any applicable prospectus supplement or free writing prospectus should not be regarded as a representation by us that our plans and objectives will be achieved.</w:t>
      </w:r>
    </w:p>
    <w:p>
      <w:pPr>
        <w:spacing w:after="0" w:line="151" w:lineRule="exact"/>
        <w:rPr>
          <w:sz w:val="20"/>
          <w:szCs w:val="20"/>
          <w:color w:val="auto"/>
        </w:rPr>
      </w:pPr>
    </w:p>
    <w:p>
      <w:pPr>
        <w:ind w:left="280" w:right="319" w:firstLine="338"/>
        <w:spacing w:after="0" w:line="276" w:lineRule="auto"/>
        <w:rPr>
          <w:sz w:val="20"/>
          <w:szCs w:val="20"/>
          <w:color w:val="auto"/>
        </w:rPr>
      </w:pPr>
      <w:r>
        <w:rPr>
          <w:rFonts w:ascii="Arial" w:cs="Arial" w:eastAsia="Arial" w:hAnsi="Arial"/>
          <w:sz w:val="13"/>
          <w:szCs w:val="13"/>
          <w:color w:val="auto"/>
        </w:rPr>
        <w:t>We base the forward-looking statements included in this prospectus, any prospectus supplement, free writing prospectus and documents incorporated by reference on information available to us on the date of the relevant document, and we assume no obligation to update any such forward-looking statements. Although we undertake no obligation to revise or update any forward-looking statements in such documents, whether as a result of new information, future events or otherwise, you are advised to consult any additional disclosures that we may make directly to you or through reports that we have filed or in the future may file with the SEC, including reports on Form 10-K/Q and current reports on Form 8-K.</w:t>
      </w:r>
    </w:p>
    <w:p>
      <w:pPr>
        <w:spacing w:after="0" w:line="136" w:lineRule="exact"/>
        <w:rPr>
          <w:sz w:val="20"/>
          <w:szCs w:val="20"/>
          <w:color w:val="auto"/>
        </w:rPr>
      </w:pPr>
    </w:p>
    <w:p>
      <w:pPr>
        <w:jc w:val="both"/>
        <w:ind w:left="280" w:right="299" w:firstLine="338"/>
        <w:spacing w:after="0" w:line="286" w:lineRule="auto"/>
        <w:rPr>
          <w:sz w:val="20"/>
          <w:szCs w:val="20"/>
          <w:color w:val="auto"/>
        </w:rPr>
      </w:pPr>
      <w:r>
        <w:rPr>
          <w:rFonts w:ascii="Arial" w:cs="Arial" w:eastAsia="Arial" w:hAnsi="Arial"/>
          <w:sz w:val="13"/>
          <w:szCs w:val="13"/>
          <w:color w:val="auto"/>
        </w:rPr>
        <w:t>You should understand that, under Section 27A(b)(2)(B) of the Securities Act of 1933, as amended, or the Securities Act, and Section 21E(b)(2)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USE OF PROCEEDS</w:t>
      </w:r>
    </w:p>
    <w:p>
      <w:pPr>
        <w:spacing w:after="0" w:line="175" w:lineRule="exact"/>
        <w:rPr>
          <w:sz w:val="20"/>
          <w:szCs w:val="20"/>
          <w:color w:val="auto"/>
        </w:rPr>
      </w:pPr>
    </w:p>
    <w:p>
      <w:pPr>
        <w:ind w:left="280" w:right="459" w:firstLine="338"/>
        <w:spacing w:after="0" w:line="257" w:lineRule="auto"/>
        <w:rPr>
          <w:sz w:val="20"/>
          <w:szCs w:val="20"/>
          <w:color w:val="auto"/>
        </w:rPr>
      </w:pPr>
      <w:r>
        <w:rPr>
          <w:rFonts w:ascii="Arial" w:cs="Arial" w:eastAsia="Arial" w:hAnsi="Arial"/>
          <w:sz w:val="14"/>
          <w:szCs w:val="14"/>
          <w:color w:val="auto"/>
        </w:rPr>
        <w:t>Unless otherwise specified in a prospectus supplement or a free writing prospectus we have authorized for use in connection with a specific offering, we may use the net proceeds from selling securities pursuant to this prospectus for general corporate or strategic purposes, including making investments in portfolio companies or repaying outstanding indebtedness.</w:t>
      </w:r>
    </w:p>
    <w:p>
      <w:pPr>
        <w:spacing w:after="0" w:line="146" w:lineRule="exact"/>
        <w:rPr>
          <w:sz w:val="20"/>
          <w:szCs w:val="20"/>
          <w:color w:val="auto"/>
        </w:rPr>
      </w:pPr>
    </w:p>
    <w:p>
      <w:pPr>
        <w:ind w:left="280" w:right="379" w:firstLine="338"/>
        <w:spacing w:after="0" w:line="251" w:lineRule="auto"/>
        <w:rPr>
          <w:sz w:val="20"/>
          <w:szCs w:val="20"/>
          <w:color w:val="auto"/>
        </w:rPr>
      </w:pPr>
      <w:r>
        <w:rPr>
          <w:rFonts w:ascii="Arial" w:cs="Arial" w:eastAsia="Arial" w:hAnsi="Arial"/>
          <w:sz w:val="14"/>
          <w:szCs w:val="14"/>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9019"/>
          </w:cols>
          <w:pgMar w:left="1440" w:top="264" w:right="1440" w:bottom="1440" w:gutter="0" w:footer="0" w:header="0"/>
        </w:sectPr>
      </w:pPr>
    </w:p>
    <w:bookmarkStart w:id="15" w:name="page16"/>
    <w:bookmarkEnd w:id="15"/>
    <w:p>
      <w:pPr>
        <w:jc w:val="both"/>
        <w:ind w:left="280" w:right="299"/>
        <w:spacing w:after="0" w:line="25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2805" cy="45720"/>
                    </a:xfrm>
                    <a:prstGeom prst="rect">
                      <a:avLst/>
                    </a:prstGeom>
                    <a:noFill/>
                  </pic:spPr>
                </pic:pic>
              </a:graphicData>
            </a:graphic>
          </wp:anchor>
        </w:drawing>
        <w:t>investments. As a result, any distributions we make during this investment period may be lower than the distributions that we would expect to pay when such proceeds are fully invested in non-temporary investments. See “Business—Regulation—Temporary Investments” in our most recently filed Annual Report on Form 10-K for more information.</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SENIOR SECURITIES</w:t>
      </w:r>
    </w:p>
    <w:p>
      <w:pPr>
        <w:spacing w:after="0" w:line="175" w:lineRule="exact"/>
        <w:rPr>
          <w:sz w:val="20"/>
          <w:szCs w:val="20"/>
          <w:color w:val="auto"/>
        </w:rPr>
      </w:pPr>
    </w:p>
    <w:p>
      <w:pPr>
        <w:ind w:left="280" w:right="299" w:firstLine="338"/>
        <w:spacing w:after="0" w:line="251" w:lineRule="auto"/>
        <w:rPr>
          <w:sz w:val="20"/>
          <w:szCs w:val="20"/>
          <w:color w:val="auto"/>
        </w:rPr>
      </w:pPr>
      <w:r>
        <w:rPr>
          <w:rFonts w:ascii="Arial" w:cs="Arial" w:eastAsia="Arial" w:hAnsi="Arial"/>
          <w:sz w:val="14"/>
          <w:szCs w:val="14"/>
          <w:color w:val="auto"/>
        </w:rPr>
        <w:t>Information about our senior securities shown as of September 30, 2022, 2021, 2020, 2019, 2018, 2017, 2016 2015, 2014 and 2013 is located in “Part II, Item 7 – Management’s Discussion and Analysis of Financial Condition and Results of Operations – Liquidity and Capital Resources – Senior Securities” in our most recent Annual Report on Form 10-K, and is incorporated by reference into the registration statement of which this prospectus is a part, and the report of RSM US LLP, an independent registered public accounting firm, on our senior securities table as of September 30, 2022 is included in our most recent Annual Report on Form 10-K, filed on November 17, 2022, and is incorporated by reference into the registration statement of which this prospectus is a part.</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PRICE RANGE OF COMMON STOCK</w:t>
      </w:r>
    </w:p>
    <w:p>
      <w:pPr>
        <w:spacing w:after="0" w:line="175" w:lineRule="exact"/>
        <w:rPr>
          <w:sz w:val="20"/>
          <w:szCs w:val="20"/>
          <w:color w:val="auto"/>
        </w:rPr>
      </w:pPr>
    </w:p>
    <w:p>
      <w:pPr>
        <w:ind w:left="280" w:right="319" w:firstLine="338"/>
        <w:spacing w:after="0" w:line="257" w:lineRule="auto"/>
        <w:rPr>
          <w:sz w:val="20"/>
          <w:szCs w:val="20"/>
          <w:color w:val="auto"/>
        </w:rPr>
      </w:pPr>
      <w:r>
        <w:rPr>
          <w:rFonts w:ascii="Arial" w:cs="Arial" w:eastAsia="Arial" w:hAnsi="Arial"/>
          <w:sz w:val="14"/>
          <w:szCs w:val="14"/>
          <w:color w:val="auto"/>
        </w:rPr>
        <w:t>Information about the price range of our common stock is located in “Part II, Item 5 – Market for Registrant’s Common Equity, Related Stockholder Matters and Issuer Purchases of Equity Securities – Price Range of Common Stock” in our most recent Annual Report on Form 10-K and is incorporated by reference into the registration statement of which this prospectus is a part.</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SALES OF COMMON STOCK BELOW NET ASSET VALUE</w:t>
      </w:r>
    </w:p>
    <w:p>
      <w:pPr>
        <w:spacing w:after="0" w:line="175" w:lineRule="exact"/>
        <w:rPr>
          <w:sz w:val="20"/>
          <w:szCs w:val="20"/>
          <w:color w:val="auto"/>
        </w:rPr>
      </w:pPr>
    </w:p>
    <w:p>
      <w:pPr>
        <w:ind w:left="280" w:right="319" w:firstLine="338"/>
        <w:spacing w:after="0" w:line="254" w:lineRule="auto"/>
        <w:rPr>
          <w:sz w:val="20"/>
          <w:szCs w:val="20"/>
          <w:color w:val="auto"/>
        </w:rPr>
      </w:pPr>
      <w:r>
        <w:rPr>
          <w:rFonts w:ascii="Arial" w:cs="Arial" w:eastAsia="Arial" w:hAnsi="Arial"/>
          <w:sz w:val="14"/>
          <w:szCs w:val="14"/>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75" w:lineRule="exact"/>
        <w:rPr>
          <w:sz w:val="20"/>
          <w:szCs w:val="20"/>
          <w:color w:val="auto"/>
        </w:rPr>
      </w:pPr>
    </w:p>
    <w:p>
      <w:pPr>
        <w:ind w:left="1020" w:right="319" w:hanging="332"/>
        <w:spacing w:after="0" w:line="268" w:lineRule="auto"/>
        <w:tabs>
          <w:tab w:leader="none" w:pos="10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effect that an offering below NAV per share would have on our stockholders, including the potential dilution they would experience as a result of the offering;</w:t>
      </w:r>
    </w:p>
    <w:p>
      <w:pPr>
        <w:spacing w:after="0" w:line="65" w:lineRule="exact"/>
        <w:rPr>
          <w:rFonts w:ascii="Arial" w:cs="Arial" w:eastAsia="Arial" w:hAnsi="Arial"/>
          <w:sz w:val="14"/>
          <w:szCs w:val="14"/>
          <w:color w:val="auto"/>
        </w:rPr>
      </w:pPr>
    </w:p>
    <w:p>
      <w:pPr>
        <w:ind w:left="1020" w:right="339" w:hanging="332"/>
        <w:spacing w:after="0" w:line="268" w:lineRule="auto"/>
        <w:tabs>
          <w:tab w:leader="none" w:pos="10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amount per share by which the offering price per share and the net proceeds per share are less than the most recently determined NAV per share;</w:t>
      </w:r>
    </w:p>
    <w:p>
      <w:pPr>
        <w:spacing w:after="0" w:line="65" w:lineRule="exact"/>
        <w:rPr>
          <w:rFonts w:ascii="Arial" w:cs="Arial" w:eastAsia="Arial" w:hAnsi="Arial"/>
          <w:sz w:val="14"/>
          <w:szCs w:val="14"/>
          <w:color w:val="auto"/>
        </w:rPr>
      </w:pPr>
    </w:p>
    <w:p>
      <w:pPr>
        <w:ind w:left="1020" w:right="599" w:hanging="332"/>
        <w:spacing w:after="0" w:line="268" w:lineRule="auto"/>
        <w:tabs>
          <w:tab w:leader="none" w:pos="10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relationship of recent market prices of our common stock to NAV per share and the potential impact of the offering on the market price per share of our common stock;</w:t>
      </w:r>
    </w:p>
    <w:p>
      <w:pPr>
        <w:spacing w:after="0" w:line="65" w:lineRule="exact"/>
        <w:rPr>
          <w:rFonts w:ascii="Arial" w:cs="Arial" w:eastAsia="Arial" w:hAnsi="Arial"/>
          <w:sz w:val="14"/>
          <w:szCs w:val="14"/>
          <w:color w:val="auto"/>
        </w:rPr>
      </w:pPr>
    </w:p>
    <w:p>
      <w:pPr>
        <w:ind w:left="1020" w:right="279" w:hanging="332"/>
        <w:spacing w:after="0" w:line="268" w:lineRule="auto"/>
        <w:tabs>
          <w:tab w:leader="none" w:pos="10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Whether the estimated offering price would closely approximate the market value of our shares, less distributing commissions or discounts, and would not be below current market price;</w:t>
      </w:r>
    </w:p>
    <w:p>
      <w:pPr>
        <w:spacing w:after="0" w:line="65" w:lineRule="exact"/>
        <w:rPr>
          <w:rFonts w:ascii="Arial" w:cs="Arial" w:eastAsia="Arial" w:hAnsi="Arial"/>
          <w:sz w:val="14"/>
          <w:szCs w:val="14"/>
          <w:color w:val="auto"/>
        </w:rPr>
      </w:pPr>
    </w:p>
    <w:p>
      <w:pPr>
        <w:ind w:left="1020" w:hanging="332"/>
        <w:spacing w:after="0"/>
        <w:tabs>
          <w:tab w:leader="none" w:pos="10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potential market impact of being able to raise capital in the current financial market;</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nature of any new investors anticipated to acquire shares in the offering;</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anticipated rate of return on and quality, type and availability of investments;</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leverage available to us, both before and after the offering and other borrowing terms; and</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potential investment opportunities available relative to the potential dilutive effect of additional capital at the time of the offering.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9019"/>
          </w:cols>
          <w:pgMar w:left="1440" w:top="264" w:right="1440" w:bottom="1440" w:gutter="0" w:footer="0" w:header="0"/>
        </w:sectPr>
      </w:pPr>
    </w:p>
    <w:bookmarkStart w:id="16" w:name="page17"/>
    <w:bookmarkEnd w:id="16"/>
    <w:p>
      <w:pPr>
        <w:ind w:left="280" w:right="479" w:firstLine="338"/>
        <w:spacing w:after="0" w:line="286"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2805" cy="45720"/>
                    </a:xfrm>
                    <a:prstGeom prst="rect">
                      <a:avLst/>
                    </a:prstGeom>
                    <a:noFill/>
                  </pic:spPr>
                </pic:pic>
              </a:graphicData>
            </a:graphic>
          </wp:anchor>
        </w:drawing>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Floating Rate Capital Ltd. or from the offering of common stock at a premium to NAV per share.</w:t>
      </w:r>
    </w:p>
    <w:p>
      <w:pPr>
        <w:spacing w:after="0" w:line="129" w:lineRule="exact"/>
        <w:rPr>
          <w:sz w:val="20"/>
          <w:szCs w:val="20"/>
          <w:color w:val="auto"/>
        </w:rPr>
      </w:pPr>
    </w:p>
    <w:p>
      <w:pPr>
        <w:jc w:val="both"/>
        <w:ind w:left="280" w:right="419" w:firstLine="338"/>
        <w:spacing w:after="0" w:line="257" w:lineRule="auto"/>
        <w:rPr>
          <w:sz w:val="20"/>
          <w:szCs w:val="20"/>
          <w:color w:val="auto"/>
        </w:rPr>
      </w:pPr>
      <w:r>
        <w:rPr>
          <w:rFonts w:ascii="Arial" w:cs="Arial" w:eastAsia="Arial" w:hAnsi="Arial"/>
          <w:sz w:val="14"/>
          <w:szCs w:val="14"/>
          <w:color w:val="auto"/>
        </w:rPr>
        <w:t>Sales by us of our common stock at a discount from NAV pose potential risks for our existing stockholders whether or not they participate in the offering, as well as for new investors who participate in the offering. As of the date of this registration statement, stockholders have not approved sales of our common stock below our then current NAV per share.</w:t>
      </w:r>
    </w:p>
    <w:p>
      <w:pPr>
        <w:spacing w:after="0" w:line="146" w:lineRule="exact"/>
        <w:rPr>
          <w:sz w:val="20"/>
          <w:szCs w:val="20"/>
          <w:color w:val="auto"/>
        </w:rPr>
      </w:pPr>
    </w:p>
    <w:p>
      <w:pPr>
        <w:ind w:left="280" w:right="339" w:firstLine="338"/>
        <w:spacing w:after="0" w:line="290" w:lineRule="auto"/>
        <w:rPr>
          <w:sz w:val="20"/>
          <w:szCs w:val="20"/>
          <w:color w:val="auto"/>
        </w:rPr>
      </w:pPr>
      <w:r>
        <w:rPr>
          <w:rFonts w:ascii="Arial" w:cs="Arial" w:eastAsia="Arial" w:hAnsi="Arial"/>
          <w:sz w:val="12"/>
          <w:szCs w:val="12"/>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w:t>
      </w:r>
    </w:p>
    <w:p>
      <w:pPr>
        <w:spacing w:after="0" w:line="3" w:lineRule="exact"/>
        <w:rPr>
          <w:sz w:val="20"/>
          <w:szCs w:val="20"/>
          <w:color w:val="auto"/>
        </w:rPr>
      </w:pPr>
    </w:p>
    <w:p>
      <w:pPr>
        <w:ind w:left="280" w:right="439"/>
        <w:spacing w:after="0" w:line="249" w:lineRule="auto"/>
        <w:rPr>
          <w:sz w:val="20"/>
          <w:szCs w:val="20"/>
          <w:color w:val="auto"/>
        </w:rPr>
      </w:pPr>
      <w:r>
        <w:rPr>
          <w:rFonts w:ascii="Arial" w:cs="Arial" w:eastAsia="Arial" w:hAnsi="Arial"/>
          <w:sz w:val="14"/>
          <w:szCs w:val="14"/>
          <w:color w:val="auto"/>
        </w:rPr>
        <w:t>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52" w:lineRule="exact"/>
        <w:rPr>
          <w:sz w:val="20"/>
          <w:szCs w:val="20"/>
          <w:color w:val="auto"/>
        </w:rPr>
      </w:pPr>
    </w:p>
    <w:p>
      <w:pPr>
        <w:ind w:left="280" w:right="339" w:firstLine="338"/>
        <w:spacing w:after="0" w:line="307" w:lineRule="auto"/>
        <w:rPr>
          <w:sz w:val="20"/>
          <w:szCs w:val="20"/>
          <w:color w:val="auto"/>
        </w:rPr>
      </w:pPr>
      <w:r>
        <w:rPr>
          <w:rFonts w:ascii="Arial" w:cs="Arial" w:eastAsia="Arial" w:hAnsi="Arial"/>
          <w:sz w:val="13"/>
          <w:szCs w:val="13"/>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43" w:lineRule="exact"/>
        <w:rPr>
          <w:sz w:val="20"/>
          <w:szCs w:val="20"/>
          <w:color w:val="auto"/>
        </w:rPr>
      </w:pPr>
    </w:p>
    <w:p>
      <w:pPr>
        <w:ind w:left="1020" w:hanging="332"/>
        <w:spacing w:after="0"/>
        <w:tabs>
          <w:tab w:leader="none" w:pos="10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existing stockholders who do not purchase any shares in the offering;</w:t>
      </w:r>
    </w:p>
    <w:p>
      <w:pPr>
        <w:spacing w:after="0" w:line="98" w:lineRule="exact"/>
        <w:rPr>
          <w:rFonts w:ascii="Arial" w:cs="Arial" w:eastAsia="Arial" w:hAnsi="Arial"/>
          <w:sz w:val="14"/>
          <w:szCs w:val="14"/>
          <w:color w:val="auto"/>
        </w:rPr>
      </w:pPr>
    </w:p>
    <w:p>
      <w:pPr>
        <w:ind w:left="1020" w:right="299" w:hanging="332"/>
        <w:spacing w:after="0" w:line="268" w:lineRule="auto"/>
        <w:tabs>
          <w:tab w:leader="none" w:pos="10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existing stockholders who purchase a relatively small amount of shares in the offering or a relatively large amount of shares in the offering; and</w:t>
      </w:r>
    </w:p>
    <w:p>
      <w:pPr>
        <w:spacing w:after="0" w:line="65" w:lineRule="exact"/>
        <w:rPr>
          <w:rFonts w:ascii="Arial" w:cs="Arial" w:eastAsia="Arial" w:hAnsi="Arial"/>
          <w:sz w:val="14"/>
          <w:szCs w:val="14"/>
          <w:color w:val="auto"/>
        </w:rPr>
      </w:pPr>
    </w:p>
    <w:p>
      <w:pPr>
        <w:ind w:left="1020" w:hanging="332"/>
        <w:spacing w:after="0"/>
        <w:tabs>
          <w:tab w:leader="none" w:pos="10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new investors who become stockholders by purchasing shares in the offering.</w:t>
      </w:r>
    </w:p>
    <w:p>
      <w:pPr>
        <w:spacing w:after="0" w:line="254" w:lineRule="exact"/>
        <w:rPr>
          <w:sz w:val="20"/>
          <w:szCs w:val="20"/>
          <w:color w:val="auto"/>
        </w:rPr>
      </w:pPr>
    </w:p>
    <w:p>
      <w:pPr>
        <w:ind w:left="280"/>
        <w:spacing w:after="0"/>
        <w:rPr>
          <w:sz w:val="20"/>
          <w:szCs w:val="20"/>
          <w:color w:val="auto"/>
        </w:rPr>
      </w:pPr>
      <w:r>
        <w:rPr>
          <w:rFonts w:ascii="Arial" w:cs="Arial" w:eastAsia="Arial" w:hAnsi="Arial"/>
          <w:sz w:val="14"/>
          <w:szCs w:val="14"/>
          <w:b w:val="1"/>
          <w:bCs w:val="1"/>
          <w:i w:val="1"/>
          <w:iCs w:val="1"/>
          <w:color w:val="auto"/>
        </w:rPr>
        <w:t>Impact on Existing Stockholders who do not Participate in the Offering</w:t>
      </w:r>
    </w:p>
    <w:p>
      <w:pPr>
        <w:spacing w:after="0" w:line="88" w:lineRule="exact"/>
        <w:rPr>
          <w:sz w:val="20"/>
          <w:szCs w:val="20"/>
          <w:color w:val="auto"/>
        </w:rPr>
      </w:pPr>
    </w:p>
    <w:p>
      <w:pPr>
        <w:ind w:left="280" w:right="319" w:firstLine="338"/>
        <w:spacing w:after="0" w:line="273" w:lineRule="auto"/>
        <w:rPr>
          <w:sz w:val="20"/>
          <w:szCs w:val="20"/>
          <w:color w:val="auto"/>
        </w:rPr>
      </w:pPr>
      <w:r>
        <w:rPr>
          <w:rFonts w:ascii="Arial" w:cs="Arial" w:eastAsia="Arial" w:hAnsi="Arial"/>
          <w:sz w:val="13"/>
          <w:szCs w:val="13"/>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37" w:lineRule="exact"/>
        <w:rPr>
          <w:sz w:val="20"/>
          <w:szCs w:val="20"/>
          <w:color w:val="auto"/>
        </w:rPr>
      </w:pPr>
    </w:p>
    <w:p>
      <w:pPr>
        <w:ind w:left="280" w:right="619" w:firstLine="338"/>
        <w:spacing w:after="0" w:line="286" w:lineRule="auto"/>
        <w:rPr>
          <w:sz w:val="20"/>
          <w:szCs w:val="20"/>
          <w:color w:val="auto"/>
        </w:rPr>
      </w:pPr>
      <w:r>
        <w:rPr>
          <w:rFonts w:ascii="Arial" w:cs="Arial" w:eastAsia="Arial" w:hAnsi="Arial"/>
          <w:sz w:val="13"/>
          <w:szCs w:val="13"/>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9019"/>
          </w:cols>
          <w:pgMar w:left="1440" w:top="264" w:right="1440" w:bottom="1440" w:gutter="0" w:footer="0" w:header="0"/>
        </w:sectPr>
      </w:pPr>
    </w:p>
    <w:bookmarkStart w:id="17" w:name="page18"/>
    <w:bookmarkEnd w:id="17"/>
    <w:p>
      <w:pPr>
        <w:ind w:left="280" w:right="299" w:firstLine="338"/>
        <w:spacing w:after="0" w:line="274"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2805" cy="45720"/>
                    </a:xfrm>
                    <a:prstGeom prst="rect">
                      <a:avLst/>
                    </a:prstGeom>
                    <a:noFill/>
                  </pic:spPr>
                </pic:pic>
              </a:graphicData>
            </a:graphic>
          </wp:anchor>
        </w:drawing>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39" w:lineRule="exact"/>
        <w:rPr>
          <w:sz w:val="20"/>
          <w:szCs w:val="20"/>
          <w:color w:val="auto"/>
        </w:rPr>
      </w:pPr>
    </w:p>
    <w:tbl>
      <w:tblPr>
        <w:tblLayout w:type="fixed"/>
        <w:tblInd w:w="280" w:type="dxa"/>
        <w:tblCellMar>
          <w:top w:w="0" w:type="dxa"/>
          <w:left w:w="0" w:type="dxa"/>
          <w:bottom w:w="0" w:type="dxa"/>
          <w:right w:w="0" w:type="dxa"/>
        </w:tblCellMar>
      </w:tblPr>
      <w:tr>
        <w:trPr>
          <w:trHeight w:val="126"/>
        </w:trPr>
        <w:tc>
          <w:tcPr>
            <w:tcW w:w="2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left="235"/>
              <w:spacing w:after="0"/>
              <w:rPr>
                <w:sz w:val="20"/>
                <w:szCs w:val="20"/>
                <w:color w:val="auto"/>
              </w:rPr>
            </w:pPr>
            <w:r>
              <w:rPr>
                <w:rFonts w:ascii="Arial" w:cs="Arial" w:eastAsia="Arial" w:hAnsi="Arial"/>
                <w:sz w:val="11"/>
                <w:szCs w:val="11"/>
                <w:b w:val="1"/>
                <w:bCs w:val="1"/>
                <w:color w:val="auto"/>
                <w:w w:val="91"/>
              </w:rPr>
              <w:t>Example 1</w:t>
            </w: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left="215"/>
              <w:spacing w:after="0"/>
              <w:rPr>
                <w:sz w:val="20"/>
                <w:szCs w:val="20"/>
                <w:color w:val="auto"/>
              </w:rPr>
            </w:pPr>
            <w:r>
              <w:rPr>
                <w:rFonts w:ascii="Arial" w:cs="Arial" w:eastAsia="Arial" w:hAnsi="Arial"/>
                <w:sz w:val="11"/>
                <w:szCs w:val="11"/>
                <w:b w:val="1"/>
                <w:bCs w:val="1"/>
                <w:color w:val="auto"/>
                <w:w w:val="91"/>
              </w:rPr>
              <w:t>Example 2</w:t>
            </w: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left="255"/>
              <w:spacing w:after="0"/>
              <w:rPr>
                <w:sz w:val="20"/>
                <w:szCs w:val="20"/>
                <w:color w:val="auto"/>
              </w:rPr>
            </w:pPr>
            <w:r>
              <w:rPr>
                <w:rFonts w:ascii="Arial" w:cs="Arial" w:eastAsia="Arial" w:hAnsi="Arial"/>
                <w:sz w:val="11"/>
                <w:szCs w:val="11"/>
                <w:b w:val="1"/>
                <w:bCs w:val="1"/>
                <w:color w:val="auto"/>
                <w:w w:val="91"/>
              </w:rPr>
              <w:t>Example 3</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4"/>
          </w:tcPr>
          <w:p>
            <w:pPr>
              <w:jc w:val="center"/>
              <w:ind w:right="300"/>
              <w:spacing w:after="0" w:line="114" w:lineRule="exact"/>
              <w:rPr>
                <w:sz w:val="20"/>
                <w:szCs w:val="20"/>
                <w:color w:val="auto"/>
              </w:rPr>
            </w:pPr>
            <w:r>
              <w:rPr>
                <w:rFonts w:ascii="Arial" w:cs="Arial" w:eastAsia="Arial" w:hAnsi="Arial"/>
                <w:sz w:val="11"/>
                <w:szCs w:val="11"/>
                <w:b w:val="1"/>
                <w:bCs w:val="1"/>
                <w:color w:val="auto"/>
                <w:w w:val="93"/>
              </w:rPr>
              <w:t>5% Offering at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gridSpan w:val="4"/>
          </w:tcPr>
          <w:p>
            <w:pPr>
              <w:jc w:val="center"/>
              <w:ind w:right="360"/>
              <w:spacing w:after="0" w:line="114" w:lineRule="exact"/>
              <w:rPr>
                <w:sz w:val="20"/>
                <w:szCs w:val="20"/>
                <w:color w:val="auto"/>
              </w:rPr>
            </w:pPr>
            <w:r>
              <w:rPr>
                <w:rFonts w:ascii="Arial" w:cs="Arial" w:eastAsia="Arial" w:hAnsi="Arial"/>
                <w:sz w:val="11"/>
                <w:szCs w:val="11"/>
                <w:b w:val="1"/>
                <w:bCs w:val="1"/>
                <w:color w:val="auto"/>
                <w:w w:val="96"/>
              </w:rPr>
              <w:t>10% Offering at</w:t>
            </w:r>
          </w:p>
        </w:tc>
        <w:tc>
          <w:tcPr>
            <w:tcW w:w="80" w:type="dxa"/>
            <w:vAlign w:val="bottom"/>
          </w:tcPr>
          <w:p>
            <w:pPr>
              <w:spacing w:after="0"/>
              <w:rPr>
                <w:sz w:val="9"/>
                <w:szCs w:val="9"/>
                <w:color w:val="auto"/>
              </w:rPr>
            </w:pPr>
          </w:p>
        </w:tc>
        <w:tc>
          <w:tcPr>
            <w:tcW w:w="1540" w:type="dxa"/>
            <w:vAlign w:val="bottom"/>
            <w:gridSpan w:val="4"/>
          </w:tcPr>
          <w:p>
            <w:pPr>
              <w:jc w:val="center"/>
              <w:ind w:right="280"/>
              <w:spacing w:after="0" w:line="114" w:lineRule="exact"/>
              <w:rPr>
                <w:sz w:val="20"/>
                <w:szCs w:val="20"/>
                <w:color w:val="auto"/>
              </w:rPr>
            </w:pPr>
            <w:r>
              <w:rPr>
                <w:rFonts w:ascii="Arial" w:cs="Arial" w:eastAsia="Arial" w:hAnsi="Arial"/>
                <w:sz w:val="11"/>
                <w:szCs w:val="11"/>
                <w:b w:val="1"/>
                <w:bCs w:val="1"/>
                <w:color w:val="auto"/>
                <w:w w:val="96"/>
              </w:rPr>
              <w:t>25% Offering at</w:t>
            </w:r>
          </w:p>
        </w:tc>
        <w:tc>
          <w:tcPr>
            <w:tcW w:w="0" w:type="dxa"/>
            <w:vAlign w:val="bottom"/>
          </w:tcPr>
          <w:p>
            <w:pPr>
              <w:spacing w:after="0"/>
              <w:rPr>
                <w:sz w:val="1"/>
                <w:szCs w:val="1"/>
                <w:color w:val="auto"/>
              </w:rPr>
            </w:pPr>
          </w:p>
        </w:tc>
      </w:tr>
      <w:tr>
        <w:trPr>
          <w:trHeight w:val="131"/>
        </w:trPr>
        <w:tc>
          <w:tcPr>
            <w:tcW w:w="2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3"/>
            <w:vMerge w:val="restart"/>
          </w:tcPr>
          <w:p>
            <w:pPr>
              <w:jc w:val="right"/>
              <w:ind w:right="180"/>
              <w:spacing w:after="0"/>
              <w:rPr>
                <w:sz w:val="20"/>
                <w:szCs w:val="20"/>
                <w:color w:val="auto"/>
              </w:rPr>
            </w:pPr>
            <w:r>
              <w:rPr>
                <w:rFonts w:ascii="Arial" w:cs="Arial" w:eastAsia="Arial" w:hAnsi="Arial"/>
                <w:sz w:val="11"/>
                <w:szCs w:val="11"/>
                <w:b w:val="1"/>
                <w:bCs w:val="1"/>
                <w:color w:val="auto"/>
                <w:w w:val="92"/>
              </w:rPr>
              <w:t>Prior to Sale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4"/>
          </w:tcPr>
          <w:p>
            <w:pPr>
              <w:jc w:val="center"/>
              <w:ind w:right="300"/>
              <w:spacing w:after="0"/>
              <w:rPr>
                <w:sz w:val="20"/>
                <w:szCs w:val="20"/>
                <w:color w:val="auto"/>
              </w:rPr>
            </w:pPr>
            <w:r>
              <w:rPr>
                <w:rFonts w:ascii="Arial" w:cs="Arial" w:eastAsia="Arial" w:hAnsi="Arial"/>
                <w:sz w:val="11"/>
                <w:szCs w:val="11"/>
                <w:b w:val="1"/>
                <w:bCs w:val="1"/>
                <w:color w:val="auto"/>
                <w:w w:val="93"/>
              </w:rPr>
              <w:t>5% Discount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gridSpan w:val="4"/>
          </w:tcPr>
          <w:p>
            <w:pPr>
              <w:jc w:val="center"/>
              <w:ind w:right="360"/>
              <w:spacing w:after="0"/>
              <w:rPr>
                <w:sz w:val="20"/>
                <w:szCs w:val="20"/>
                <w:color w:val="auto"/>
              </w:rPr>
            </w:pPr>
            <w:r>
              <w:rPr>
                <w:rFonts w:ascii="Arial" w:cs="Arial" w:eastAsia="Arial" w:hAnsi="Arial"/>
                <w:sz w:val="11"/>
                <w:szCs w:val="11"/>
                <w:b w:val="1"/>
                <w:bCs w:val="1"/>
                <w:color w:val="auto"/>
                <w:w w:val="91"/>
              </w:rPr>
              <w:t>10% Discount</w:t>
            </w:r>
          </w:p>
        </w:tc>
        <w:tc>
          <w:tcPr>
            <w:tcW w:w="80" w:type="dxa"/>
            <w:vAlign w:val="bottom"/>
          </w:tcPr>
          <w:p>
            <w:pPr>
              <w:spacing w:after="0"/>
              <w:rPr>
                <w:sz w:val="11"/>
                <w:szCs w:val="11"/>
                <w:color w:val="auto"/>
              </w:rPr>
            </w:pPr>
          </w:p>
        </w:tc>
        <w:tc>
          <w:tcPr>
            <w:tcW w:w="1540" w:type="dxa"/>
            <w:vAlign w:val="bottom"/>
            <w:gridSpan w:val="4"/>
          </w:tcPr>
          <w:p>
            <w:pPr>
              <w:jc w:val="center"/>
              <w:ind w:right="280"/>
              <w:spacing w:after="0"/>
              <w:rPr>
                <w:sz w:val="20"/>
                <w:szCs w:val="20"/>
                <w:color w:val="auto"/>
              </w:rPr>
            </w:pPr>
            <w:r>
              <w:rPr>
                <w:rFonts w:ascii="Arial" w:cs="Arial" w:eastAsia="Arial" w:hAnsi="Arial"/>
                <w:sz w:val="11"/>
                <w:szCs w:val="11"/>
                <w:b w:val="1"/>
                <w:bCs w:val="1"/>
                <w:color w:val="auto"/>
                <w:w w:val="91"/>
              </w:rPr>
              <w:t>25% Discount</w:t>
            </w:r>
          </w:p>
        </w:tc>
        <w:tc>
          <w:tcPr>
            <w:tcW w:w="0" w:type="dxa"/>
            <w:vAlign w:val="bottom"/>
          </w:tcPr>
          <w:p>
            <w:pPr>
              <w:spacing w:after="0"/>
              <w:rPr>
                <w:sz w:val="1"/>
                <w:szCs w:val="1"/>
                <w:color w:val="auto"/>
              </w:rPr>
            </w:pPr>
          </w:p>
        </w:tc>
      </w:tr>
      <w:tr>
        <w:trPr>
          <w:trHeight w:val="87"/>
        </w:trPr>
        <w:tc>
          <w:tcPr>
            <w:tcW w:w="2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gridSpan w:val="2"/>
          </w:tcPr>
          <w:p>
            <w:pPr>
              <w:jc w:val="right"/>
              <w:ind w:right="320"/>
              <w:spacing w:after="0" w:line="88" w:lineRule="exact"/>
              <w:rPr>
                <w:sz w:val="20"/>
                <w:szCs w:val="20"/>
                <w:color w:val="auto"/>
              </w:rPr>
            </w:pPr>
            <w:r>
              <w:rPr>
                <w:rFonts w:ascii="Arial" w:cs="Arial" w:eastAsia="Arial" w:hAnsi="Arial"/>
                <w:sz w:val="10"/>
                <w:szCs w:val="10"/>
                <w:b w:val="1"/>
                <w:bCs w:val="1"/>
                <w:color w:val="auto"/>
                <w:w w:val="98"/>
              </w:rPr>
              <w:t>Following</w:t>
            </w:r>
          </w:p>
        </w:tc>
        <w:tc>
          <w:tcPr>
            <w:tcW w:w="380" w:type="dxa"/>
            <w:vAlign w:val="bottom"/>
            <w:tcBorders>
              <w:top w:val="single" w:sz="8" w:color="auto"/>
            </w:tcBorders>
          </w:tcPr>
          <w:p>
            <w:pPr>
              <w:jc w:val="right"/>
              <w:ind w:right="73"/>
              <w:spacing w:after="0" w:line="88" w:lineRule="exact"/>
              <w:rPr>
                <w:sz w:val="20"/>
                <w:szCs w:val="20"/>
                <w:color w:val="auto"/>
              </w:rPr>
            </w:pPr>
            <w:r>
              <w:rPr>
                <w:rFonts w:ascii="Arial" w:cs="Arial" w:eastAsia="Arial" w:hAnsi="Arial"/>
                <w:sz w:val="10"/>
                <w:szCs w:val="10"/>
                <w:b w:val="1"/>
                <w:bCs w:val="1"/>
                <w:color w:val="auto"/>
              </w:rPr>
              <w:t>%</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gridSpan w:val="2"/>
          </w:tcPr>
          <w:p>
            <w:pPr>
              <w:jc w:val="right"/>
              <w:ind w:right="340"/>
              <w:spacing w:after="0" w:line="88" w:lineRule="exact"/>
              <w:rPr>
                <w:sz w:val="20"/>
                <w:szCs w:val="20"/>
                <w:color w:val="auto"/>
              </w:rPr>
            </w:pPr>
            <w:r>
              <w:rPr>
                <w:rFonts w:ascii="Arial" w:cs="Arial" w:eastAsia="Arial" w:hAnsi="Arial"/>
                <w:sz w:val="10"/>
                <w:szCs w:val="10"/>
                <w:b w:val="1"/>
                <w:bCs w:val="1"/>
                <w:color w:val="auto"/>
                <w:w w:val="98"/>
              </w:rPr>
              <w:t>Following</w:t>
            </w:r>
          </w:p>
        </w:tc>
        <w:tc>
          <w:tcPr>
            <w:tcW w:w="360" w:type="dxa"/>
            <w:vAlign w:val="bottom"/>
            <w:tcBorders>
              <w:top w:val="single" w:sz="8" w:color="auto"/>
            </w:tcBorders>
          </w:tcPr>
          <w:p>
            <w:pPr>
              <w:jc w:val="right"/>
              <w:ind w:right="53"/>
              <w:spacing w:after="0" w:line="8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4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Following</w:t>
            </w:r>
          </w:p>
        </w:tc>
        <w:tc>
          <w:tcPr>
            <w:tcW w:w="400" w:type="dxa"/>
            <w:vAlign w:val="bottom"/>
            <w:tcBorders>
              <w:top w:val="single" w:sz="8" w:color="auto"/>
            </w:tcBorders>
          </w:tcPr>
          <w:p>
            <w:pPr>
              <w:jc w:val="right"/>
              <w:ind w:right="73"/>
              <w:spacing w:after="0" w:line="88" w:lineRule="exact"/>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1"/>
                <w:szCs w:val="11"/>
                <w:b w:val="1"/>
                <w:bCs w:val="1"/>
                <w:color w:val="auto"/>
                <w:w w:val="95"/>
              </w:rPr>
              <w:t>Below NAV</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Sale</w:t>
            </w:r>
          </w:p>
        </w:tc>
        <w:tc>
          <w:tcPr>
            <w:tcW w:w="6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89"/>
              </w:rPr>
              <w:t>Change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1"/>
                <w:szCs w:val="11"/>
                <w:b w:val="1"/>
                <w:bCs w:val="1"/>
                <w:color w:val="auto"/>
              </w:rPr>
              <w:t>Sale</w:t>
            </w:r>
          </w:p>
        </w:tc>
        <w:tc>
          <w:tcPr>
            <w:tcW w:w="64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w w:val="84"/>
              </w:rPr>
              <w:t>Change</w:t>
            </w:r>
          </w:p>
        </w:tc>
        <w:tc>
          <w:tcPr>
            <w:tcW w:w="80" w:type="dxa"/>
            <w:vAlign w:val="bottom"/>
          </w:tcPr>
          <w:p>
            <w:pPr>
              <w:spacing w:after="0"/>
              <w:rPr>
                <w:sz w:val="11"/>
                <w:szCs w:val="11"/>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1"/>
                <w:szCs w:val="11"/>
                <w:b w:val="1"/>
                <w:bCs w:val="1"/>
                <w:color w:val="auto"/>
              </w:rPr>
              <w:t>Sale</w:t>
            </w:r>
          </w:p>
        </w:tc>
        <w:tc>
          <w:tcPr>
            <w:tcW w:w="6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89"/>
              </w:rPr>
              <w:t>Change</w:t>
            </w:r>
          </w:p>
        </w:tc>
        <w:tc>
          <w:tcPr>
            <w:tcW w:w="0" w:type="dxa"/>
            <w:vAlign w:val="bottom"/>
          </w:tcPr>
          <w:p>
            <w:pPr>
              <w:spacing w:after="0"/>
              <w:rPr>
                <w:sz w:val="1"/>
                <w:szCs w:val="1"/>
                <w:color w:val="auto"/>
              </w:rPr>
            </w:pPr>
          </w:p>
        </w:tc>
      </w:tr>
      <w:tr>
        <w:trPr>
          <w:trHeight w:val="156"/>
        </w:trPr>
        <w:tc>
          <w:tcPr>
            <w:tcW w:w="276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i w:val="1"/>
                <w:iCs w:val="1"/>
                <w:color w:val="auto"/>
              </w:rPr>
              <w:t>Offering Price</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Arial" w:cs="Arial" w:eastAsia="Arial" w:hAnsi="Arial"/>
                <w:sz w:val="14"/>
                <w:szCs w:val="14"/>
                <w:color w:val="auto"/>
              </w:rPr>
              <w:t>Price per share to public</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10.00</w:t>
            </w:r>
          </w:p>
        </w:tc>
        <w:tc>
          <w:tcPr>
            <w:tcW w:w="240" w:type="dxa"/>
            <w:vAlign w:val="bottom"/>
          </w:tcPr>
          <w:p>
            <w:pPr>
              <w:spacing w:after="0"/>
              <w:rPr>
                <w:sz w:val="14"/>
                <w:szCs w:val="14"/>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9.47</w:t>
            </w:r>
          </w:p>
        </w:tc>
        <w:tc>
          <w:tcPr>
            <w:tcW w:w="6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7.89</w:t>
            </w:r>
          </w:p>
        </w:tc>
        <w:tc>
          <w:tcPr>
            <w:tcW w:w="6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Net offering proceeds per share to issuer</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9.50</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9.00</w:t>
            </w: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7.50</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Arial" w:cs="Arial" w:eastAsia="Arial" w:hAnsi="Arial"/>
                <w:sz w:val="14"/>
                <w:szCs w:val="14"/>
                <w:b w:val="1"/>
                <w:bCs w:val="1"/>
                <w:i w:val="1"/>
                <w:iCs w:val="1"/>
                <w:color w:val="auto"/>
              </w:rPr>
              <w:t>Decrease to NAV</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Total shares outstanding</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6"/>
              </w:rPr>
              <w:t>1,000,000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1,050,000</w:t>
            </w: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86"/>
              </w:rPr>
              <w:t>1,100,000</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6"/>
              </w:rPr>
              <w:t>10.00%</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4"/>
                <w:szCs w:val="14"/>
                <w:color w:val="auto"/>
                <w:w w:val="83"/>
              </w:rPr>
              <w:t>1,250,000</w:t>
            </w:r>
          </w:p>
        </w:tc>
        <w:tc>
          <w:tcPr>
            <w:tcW w:w="4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Arial" w:cs="Arial" w:eastAsia="Arial" w:hAnsi="Arial"/>
                <w:sz w:val="14"/>
                <w:szCs w:val="14"/>
                <w:color w:val="auto"/>
              </w:rPr>
              <w:t>NAV per share</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10.00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9.98</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(0.20)%</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9.91</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(0.90)%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9.50</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6"/>
        </w:trPr>
        <w:tc>
          <w:tcPr>
            <w:tcW w:w="276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Dilution to Stockholder A</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Arial" w:cs="Arial" w:eastAsia="Arial" w:hAnsi="Arial"/>
                <w:sz w:val="14"/>
                <w:szCs w:val="14"/>
                <w:color w:val="auto"/>
              </w:rPr>
              <w:t>Shares held by stockholder A</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10,000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10,000</w:t>
            </w:r>
          </w:p>
        </w:tc>
        <w:tc>
          <w:tcPr>
            <w:tcW w:w="6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10,000</w:t>
            </w:r>
          </w:p>
        </w:tc>
        <w:tc>
          <w:tcPr>
            <w:tcW w:w="6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10,000</w:t>
            </w:r>
          </w:p>
        </w:tc>
        <w:tc>
          <w:tcPr>
            <w:tcW w:w="6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Percentage held by stockholder A</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0.95%</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0.91%</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(9.00)%</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0.80%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4"/>
              </w:rPr>
              <w:t>(20.00)%</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Arial" w:cs="Arial" w:eastAsia="Arial" w:hAnsi="Arial"/>
                <w:sz w:val="14"/>
                <w:szCs w:val="14"/>
                <w:b w:val="1"/>
                <w:bCs w:val="1"/>
                <w:color w:val="auto"/>
              </w:rPr>
              <w:t>Total Asset Values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Total NAV held by stockholder A</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100,000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99,800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(0.20)%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99,100</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(0.90)%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95,000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55"/>
        </w:trPr>
        <w:tc>
          <w:tcPr>
            <w:tcW w:w="2760" w:type="dxa"/>
            <w:vAlign w:val="bottom"/>
          </w:tcPr>
          <w:p>
            <w:pPr>
              <w:spacing w:after="0" w:line="155" w:lineRule="exact"/>
              <w:rPr>
                <w:sz w:val="20"/>
                <w:szCs w:val="20"/>
                <w:color w:val="auto"/>
              </w:rPr>
            </w:pPr>
            <w:r>
              <w:rPr>
                <w:rFonts w:ascii="Arial" w:cs="Arial" w:eastAsia="Arial" w:hAnsi="Arial"/>
                <w:sz w:val="14"/>
                <w:szCs w:val="14"/>
                <w:color w:val="auto"/>
                <w:w w:val="94"/>
              </w:rPr>
              <w:t>Total investment by stockholder A (assumed to</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760" w:type="dxa"/>
            <w:vAlign w:val="bottom"/>
          </w:tcPr>
          <w:p>
            <w:pPr>
              <w:ind w:left="140"/>
              <w:spacing w:after="0"/>
              <w:rPr>
                <w:sz w:val="20"/>
                <w:szCs w:val="20"/>
                <w:color w:val="auto"/>
              </w:rPr>
            </w:pPr>
            <w:r>
              <w:rPr>
                <w:rFonts w:ascii="Arial" w:cs="Arial" w:eastAsia="Arial" w:hAnsi="Arial"/>
                <w:sz w:val="14"/>
                <w:szCs w:val="14"/>
                <w:color w:val="auto"/>
              </w:rPr>
              <w:t>be $10.00 per share)</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100,000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100,000</w:t>
            </w:r>
          </w:p>
        </w:tc>
        <w:tc>
          <w:tcPr>
            <w:tcW w:w="240" w:type="dxa"/>
            <w:vAlign w:val="bottom"/>
          </w:tcPr>
          <w:p>
            <w:pPr>
              <w:spacing w:after="0"/>
              <w:rPr>
                <w:sz w:val="15"/>
                <w:szCs w:val="15"/>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100,000</w:t>
            </w:r>
          </w:p>
        </w:tc>
        <w:tc>
          <w:tcPr>
            <w:tcW w:w="6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100,000</w:t>
            </w:r>
          </w:p>
        </w:tc>
        <w:tc>
          <w:tcPr>
            <w:tcW w:w="6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7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w w:val="97"/>
              </w:rPr>
              <w:t>Total dilution to stockholder A (total NAV less</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investment)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(900)</w:t>
            </w: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(5,000)</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Arial" w:cs="Arial" w:eastAsia="Arial" w:hAnsi="Arial"/>
                <w:sz w:val="14"/>
                <w:szCs w:val="14"/>
                <w:b w:val="1"/>
                <w:bCs w:val="1"/>
                <w:color w:val="auto"/>
              </w:rPr>
              <w:t>Per Share Amounts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NAV per share held by stockholder A</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9.98</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9.91</w:t>
            </w: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9.50</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760" w:type="dxa"/>
            <w:vAlign w:val="bottom"/>
          </w:tcPr>
          <w:p>
            <w:pPr>
              <w:spacing w:after="0" w:line="155" w:lineRule="exact"/>
              <w:rPr>
                <w:sz w:val="20"/>
                <w:szCs w:val="20"/>
                <w:color w:val="auto"/>
              </w:rPr>
            </w:pPr>
            <w:r>
              <w:rPr>
                <w:rFonts w:ascii="Arial" w:cs="Arial" w:eastAsia="Arial" w:hAnsi="Arial"/>
                <w:sz w:val="14"/>
                <w:szCs w:val="14"/>
                <w:color w:val="auto"/>
              </w:rPr>
              <w:t>Investment per share held by stockholder A</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760" w:type="dxa"/>
            <w:vAlign w:val="bottom"/>
          </w:tcPr>
          <w:p>
            <w:pPr>
              <w:ind w:left="140"/>
              <w:spacing w:after="0"/>
              <w:rPr>
                <w:sz w:val="20"/>
                <w:szCs w:val="20"/>
                <w:color w:val="auto"/>
              </w:rPr>
            </w:pPr>
            <w:r>
              <w:rPr>
                <w:rFonts w:ascii="Arial" w:cs="Arial" w:eastAsia="Arial" w:hAnsi="Arial"/>
                <w:sz w:val="14"/>
                <w:szCs w:val="14"/>
                <w:color w:val="auto"/>
                <w:w w:val="95"/>
              </w:rPr>
              <w:t>(assumed to be $10.00 per share on shares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60" w:type="dxa"/>
            <w:vAlign w:val="bottom"/>
          </w:tcPr>
          <w:p>
            <w:pPr>
              <w:ind w:left="140"/>
              <w:spacing w:after="0"/>
              <w:rPr>
                <w:sz w:val="20"/>
                <w:szCs w:val="20"/>
                <w:color w:val="auto"/>
              </w:rPr>
            </w:pPr>
            <w:r>
              <w:rPr>
                <w:rFonts w:ascii="Arial" w:cs="Arial" w:eastAsia="Arial" w:hAnsi="Arial"/>
                <w:sz w:val="14"/>
                <w:szCs w:val="14"/>
                <w:color w:val="auto"/>
              </w:rPr>
              <w:t>held prior to sale)</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10.00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10.00</w:t>
            </w:r>
          </w:p>
        </w:tc>
        <w:tc>
          <w:tcPr>
            <w:tcW w:w="240" w:type="dxa"/>
            <w:vAlign w:val="bottom"/>
          </w:tcPr>
          <w:p>
            <w:pPr>
              <w:spacing w:after="0"/>
              <w:rPr>
                <w:sz w:val="15"/>
                <w:szCs w:val="15"/>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10.00</w:t>
            </w:r>
          </w:p>
        </w:tc>
        <w:tc>
          <w:tcPr>
            <w:tcW w:w="6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10.00</w:t>
            </w:r>
          </w:p>
        </w:tc>
        <w:tc>
          <w:tcPr>
            <w:tcW w:w="6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7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w w:val="96"/>
              </w:rPr>
              <w:t>Dilution per share held by stockholder A (NAV</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per share less investment per share)</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(0.02)</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(0.09)</w:t>
            </w: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(0.50)</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760" w:type="dxa"/>
            <w:vAlign w:val="bottom"/>
          </w:tcPr>
          <w:p>
            <w:pPr>
              <w:spacing w:after="0" w:line="155" w:lineRule="exact"/>
              <w:rPr>
                <w:sz w:val="20"/>
                <w:szCs w:val="20"/>
                <w:color w:val="auto"/>
              </w:rPr>
            </w:pPr>
            <w:r>
              <w:rPr>
                <w:rFonts w:ascii="Arial" w:cs="Arial" w:eastAsia="Arial" w:hAnsi="Arial"/>
                <w:sz w:val="14"/>
                <w:szCs w:val="14"/>
                <w:color w:val="auto"/>
                <w:w w:val="98"/>
              </w:rPr>
              <w:t>Percentage dilution to stockholder A (dilution</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760" w:type="dxa"/>
            <w:vAlign w:val="bottom"/>
          </w:tcPr>
          <w:p>
            <w:pPr>
              <w:ind w:left="140"/>
              <w:spacing w:after="0"/>
              <w:rPr>
                <w:sz w:val="20"/>
                <w:szCs w:val="20"/>
                <w:color w:val="auto"/>
              </w:rPr>
            </w:pPr>
            <w:r>
              <w:rPr>
                <w:rFonts w:ascii="Arial" w:cs="Arial" w:eastAsia="Arial" w:hAnsi="Arial"/>
                <w:sz w:val="14"/>
                <w:szCs w:val="14"/>
                <w:color w:val="auto"/>
                <w:w w:val="97"/>
              </w:rPr>
              <w:t>per share divided by investment per share)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(0.20)%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(0.90)%</w:t>
            </w:r>
          </w:p>
        </w:tc>
        <w:tc>
          <w:tcPr>
            <w:tcW w:w="80" w:type="dxa"/>
            <w:vAlign w:val="bottom"/>
          </w:tcPr>
          <w:p>
            <w:pPr>
              <w:spacing w:after="0"/>
              <w:rPr>
                <w:sz w:val="15"/>
                <w:szCs w:val="15"/>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80"/>
        </w:trPr>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18" w:name="page19"/>
    <w:bookmarkEnd w:id="18"/>
    <w:p>
      <w:pPr>
        <w:ind w:left="280"/>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2805" cy="45720"/>
                    </a:xfrm>
                    <a:prstGeom prst="rect">
                      <a:avLst/>
                    </a:prstGeom>
                    <a:noFill/>
                  </pic:spPr>
                </pic:pic>
              </a:graphicData>
            </a:graphic>
          </wp:anchor>
        </w:drawing>
        <w:t>Impact on Existing Stockholders who Participate in the Offering</w:t>
      </w:r>
    </w:p>
    <w:p>
      <w:pPr>
        <w:spacing w:after="0" w:line="88" w:lineRule="exact"/>
        <w:rPr>
          <w:sz w:val="20"/>
          <w:szCs w:val="20"/>
          <w:color w:val="auto"/>
        </w:rPr>
      </w:pPr>
    </w:p>
    <w:p>
      <w:pPr>
        <w:ind w:left="280" w:right="299" w:firstLine="338"/>
        <w:spacing w:after="0" w:line="269" w:lineRule="auto"/>
        <w:rPr>
          <w:sz w:val="20"/>
          <w:szCs w:val="20"/>
          <w:color w:val="auto"/>
        </w:rPr>
      </w:pPr>
      <w:r>
        <w:rPr>
          <w:rFonts w:ascii="Arial" w:cs="Arial" w:eastAsia="Arial" w:hAnsi="Arial"/>
          <w:sz w:val="13"/>
          <w:szCs w:val="13"/>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45" w:lineRule="exact"/>
        <w:rPr>
          <w:sz w:val="20"/>
          <w:szCs w:val="20"/>
          <w:color w:val="auto"/>
        </w:rPr>
      </w:pPr>
    </w:p>
    <w:p>
      <w:pPr>
        <w:ind w:left="280" w:right="479" w:firstLine="338"/>
        <w:spacing w:after="0" w:line="274" w:lineRule="auto"/>
        <w:rPr>
          <w:sz w:val="20"/>
          <w:szCs w:val="20"/>
          <w:color w:val="auto"/>
        </w:rPr>
      </w:pPr>
      <w:r>
        <w:rPr>
          <w:rFonts w:ascii="Arial" w:cs="Arial" w:eastAsia="Arial" w:hAnsi="Arial"/>
          <w:sz w:val="13"/>
          <w:szCs w:val="13"/>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 their proportionate share of the offering (i.e., 3,750 shares which is 1.50% of the offering of 250,000 shares rather than their 1.00% proportionate share).</w:t>
      </w:r>
    </w:p>
    <w:p>
      <w:pPr>
        <w:spacing w:after="0" w:line="152" w:lineRule="exact"/>
        <w:rPr>
          <w:sz w:val="20"/>
          <w:szCs w:val="20"/>
          <w:color w:val="auto"/>
        </w:rPr>
      </w:pPr>
    </w:p>
    <w:tbl>
      <w:tblPr>
        <w:tblLayout w:type="fixed"/>
        <w:tblInd w:w="280" w:type="dxa"/>
        <w:tblCellMar>
          <w:top w:w="0" w:type="dxa"/>
          <w:left w:w="0" w:type="dxa"/>
          <w:bottom w:w="0" w:type="dxa"/>
          <w:right w:w="0" w:type="dxa"/>
        </w:tblCellMar>
      </w:tblPr>
      <w:tr>
        <w:trPr>
          <w:trHeight w:val="131"/>
        </w:trPr>
        <w:tc>
          <w:tcPr>
            <w:tcW w:w="3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vMerge w:val="restart"/>
          </w:tcPr>
          <w:p>
            <w:pPr>
              <w:jc w:val="right"/>
              <w:ind w:right="280"/>
              <w:spacing w:after="0"/>
              <w:rPr>
                <w:sz w:val="20"/>
                <w:szCs w:val="20"/>
                <w:color w:val="auto"/>
              </w:rPr>
            </w:pPr>
            <w:r>
              <w:rPr>
                <w:rFonts w:ascii="Arial" w:cs="Arial" w:eastAsia="Arial" w:hAnsi="Arial"/>
                <w:sz w:val="11"/>
                <w:szCs w:val="11"/>
                <w:b w:val="1"/>
                <w:bCs w:val="1"/>
                <w:color w:val="auto"/>
                <w:w w:val="89"/>
              </w:rPr>
              <w:t>Prior to Sale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gridSpan w:val="4"/>
          </w:tcPr>
          <w:p>
            <w:pPr>
              <w:jc w:val="right"/>
              <w:ind w:right="600"/>
              <w:spacing w:after="0"/>
              <w:rPr>
                <w:sz w:val="20"/>
                <w:szCs w:val="20"/>
                <w:color w:val="auto"/>
              </w:rPr>
            </w:pPr>
            <w:r>
              <w:rPr>
                <w:rFonts w:ascii="Arial" w:cs="Arial" w:eastAsia="Arial" w:hAnsi="Arial"/>
                <w:sz w:val="11"/>
                <w:szCs w:val="11"/>
                <w:b w:val="1"/>
                <w:bCs w:val="1"/>
                <w:color w:val="auto"/>
              </w:rPr>
              <w:t>50% Participation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4"/>
          </w:tcPr>
          <w:p>
            <w:pPr>
              <w:jc w:val="right"/>
              <w:ind w:right="440"/>
              <w:spacing w:after="0"/>
              <w:rPr>
                <w:sz w:val="20"/>
                <w:szCs w:val="20"/>
                <w:color w:val="auto"/>
              </w:rPr>
            </w:pPr>
            <w:r>
              <w:rPr>
                <w:rFonts w:ascii="Arial" w:cs="Arial" w:eastAsia="Arial" w:hAnsi="Arial"/>
                <w:sz w:val="11"/>
                <w:szCs w:val="11"/>
                <w:b w:val="1"/>
                <w:bCs w:val="1"/>
                <w:color w:val="auto"/>
              </w:rPr>
              <w:t>150% Participation</w:t>
            </w:r>
          </w:p>
        </w:tc>
        <w:tc>
          <w:tcPr>
            <w:tcW w:w="0" w:type="dxa"/>
            <w:vAlign w:val="bottom"/>
          </w:tcPr>
          <w:p>
            <w:pPr>
              <w:spacing w:after="0"/>
              <w:rPr>
                <w:sz w:val="1"/>
                <w:szCs w:val="1"/>
                <w:color w:val="auto"/>
              </w:rPr>
            </w:pPr>
          </w:p>
        </w:tc>
      </w:tr>
      <w:tr>
        <w:trPr>
          <w:trHeight w:val="87"/>
        </w:trPr>
        <w:tc>
          <w:tcPr>
            <w:tcW w:w="3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960" w:type="dxa"/>
            <w:vAlign w:val="bottom"/>
            <w:tcBorders>
              <w:top w:val="single" w:sz="8" w:color="auto"/>
            </w:tcBorders>
            <w:gridSpan w:val="2"/>
          </w:tcPr>
          <w:p>
            <w:pPr>
              <w:jc w:val="right"/>
              <w:ind w:right="480"/>
              <w:spacing w:after="0" w:line="88" w:lineRule="exact"/>
              <w:rPr>
                <w:sz w:val="20"/>
                <w:szCs w:val="20"/>
                <w:color w:val="auto"/>
              </w:rPr>
            </w:pPr>
            <w:r>
              <w:rPr>
                <w:rFonts w:ascii="Arial" w:cs="Arial" w:eastAsia="Arial" w:hAnsi="Arial"/>
                <w:sz w:val="10"/>
                <w:szCs w:val="10"/>
                <w:b w:val="1"/>
                <w:bCs w:val="1"/>
                <w:color w:val="auto"/>
                <w:w w:val="98"/>
              </w:rPr>
              <w:t>Following</w:t>
            </w:r>
          </w:p>
        </w:tc>
        <w:tc>
          <w:tcPr>
            <w:tcW w:w="420" w:type="dxa"/>
            <w:vAlign w:val="bottom"/>
            <w:tcBorders>
              <w:top w:val="single" w:sz="8" w:color="auto"/>
            </w:tcBorders>
          </w:tcPr>
          <w:p>
            <w:pPr>
              <w:jc w:val="right"/>
              <w:ind w:right="94"/>
              <w:spacing w:after="0" w:line="88" w:lineRule="exact"/>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gridSpan w:val="2"/>
          </w:tcPr>
          <w:p>
            <w:pPr>
              <w:jc w:val="right"/>
              <w:ind w:right="500"/>
              <w:spacing w:after="0" w:line="88" w:lineRule="exact"/>
              <w:rPr>
                <w:sz w:val="20"/>
                <w:szCs w:val="20"/>
                <w:color w:val="auto"/>
              </w:rPr>
            </w:pPr>
            <w:r>
              <w:rPr>
                <w:rFonts w:ascii="Arial" w:cs="Arial" w:eastAsia="Arial" w:hAnsi="Arial"/>
                <w:sz w:val="10"/>
                <w:szCs w:val="10"/>
                <w:b w:val="1"/>
                <w:bCs w:val="1"/>
                <w:color w:val="auto"/>
                <w:w w:val="94"/>
              </w:rPr>
              <w:t>Following</w:t>
            </w:r>
          </w:p>
        </w:tc>
        <w:tc>
          <w:tcPr>
            <w:tcW w:w="360" w:type="dxa"/>
            <w:vAlign w:val="bottom"/>
            <w:tcBorders>
              <w:top w:val="single" w:sz="8" w:color="auto"/>
            </w:tcBorders>
          </w:tcPr>
          <w:p>
            <w:pPr>
              <w:jc w:val="right"/>
              <w:ind w:right="54"/>
              <w:spacing w:after="0" w:line="88" w:lineRule="exact"/>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1"/>
                <w:szCs w:val="11"/>
                <w:b w:val="1"/>
                <w:bCs w:val="1"/>
                <w:color w:val="auto"/>
                <w:w w:val="95"/>
              </w:rPr>
              <w:t>Below NAV</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ind w:right="620"/>
              <w:spacing w:after="0"/>
              <w:rPr>
                <w:sz w:val="20"/>
                <w:szCs w:val="20"/>
                <w:color w:val="auto"/>
              </w:rPr>
            </w:pPr>
            <w:r>
              <w:rPr>
                <w:rFonts w:ascii="Arial" w:cs="Arial" w:eastAsia="Arial" w:hAnsi="Arial"/>
                <w:sz w:val="11"/>
                <w:szCs w:val="11"/>
                <w:b w:val="1"/>
                <w:bCs w:val="1"/>
                <w:color w:val="auto"/>
              </w:rPr>
              <w:t>Sale</w:t>
            </w:r>
          </w:p>
        </w:tc>
        <w:tc>
          <w:tcPr>
            <w:tcW w:w="72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w w:val="94"/>
              </w:rPr>
              <w:t>Change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620"/>
              <w:spacing w:after="0"/>
              <w:rPr>
                <w:sz w:val="20"/>
                <w:szCs w:val="20"/>
                <w:color w:val="auto"/>
              </w:rPr>
            </w:pPr>
            <w:r>
              <w:rPr>
                <w:rFonts w:ascii="Arial" w:cs="Arial" w:eastAsia="Arial" w:hAnsi="Arial"/>
                <w:sz w:val="11"/>
                <w:szCs w:val="11"/>
                <w:b w:val="1"/>
                <w:bCs w:val="1"/>
                <w:color w:val="auto"/>
              </w:rPr>
              <w:t>Sale</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84"/>
              </w:rPr>
              <w:t>Change</w:t>
            </w:r>
          </w:p>
        </w:tc>
        <w:tc>
          <w:tcPr>
            <w:tcW w:w="0" w:type="dxa"/>
            <w:vAlign w:val="bottom"/>
          </w:tcPr>
          <w:p>
            <w:pPr>
              <w:spacing w:after="0"/>
              <w:rPr>
                <w:sz w:val="1"/>
                <w:szCs w:val="1"/>
                <w:color w:val="auto"/>
              </w:rPr>
            </w:pPr>
          </w:p>
        </w:tc>
      </w:tr>
      <w:tr>
        <w:trPr>
          <w:trHeight w:val="156"/>
        </w:trPr>
        <w:tc>
          <w:tcPr>
            <w:tcW w:w="37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i w:val="1"/>
                <w:iCs w:val="1"/>
                <w:color w:val="auto"/>
              </w:rPr>
              <w:t>Offering Price</w:t>
            </w:r>
          </w:p>
        </w:tc>
        <w:tc>
          <w:tcPr>
            <w:tcW w:w="2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720" w:type="dxa"/>
            <w:vAlign w:val="bottom"/>
          </w:tcPr>
          <w:p>
            <w:pPr>
              <w:spacing w:after="0"/>
              <w:rPr>
                <w:sz w:val="20"/>
                <w:szCs w:val="20"/>
                <w:color w:val="auto"/>
              </w:rPr>
            </w:pPr>
            <w:r>
              <w:rPr>
                <w:rFonts w:ascii="Arial" w:cs="Arial" w:eastAsia="Arial" w:hAnsi="Arial"/>
                <w:sz w:val="14"/>
                <w:szCs w:val="14"/>
                <w:color w:val="auto"/>
              </w:rPr>
              <w:t>Price per share to public</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7.89</w:t>
            </w:r>
          </w:p>
        </w:tc>
        <w:tc>
          <w:tcPr>
            <w:tcW w:w="7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7.89</w:t>
            </w:r>
          </w:p>
        </w:tc>
        <w:tc>
          <w:tcPr>
            <w:tcW w:w="5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Net proceeds per share to issuer</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7.50</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7.50</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3720" w:type="dxa"/>
            <w:vAlign w:val="bottom"/>
          </w:tcPr>
          <w:p>
            <w:pPr>
              <w:spacing w:after="0"/>
              <w:rPr>
                <w:sz w:val="20"/>
                <w:szCs w:val="20"/>
                <w:color w:val="auto"/>
              </w:rPr>
            </w:pPr>
            <w:r>
              <w:rPr>
                <w:rFonts w:ascii="Arial" w:cs="Arial" w:eastAsia="Arial" w:hAnsi="Arial"/>
                <w:sz w:val="14"/>
                <w:szCs w:val="14"/>
                <w:b w:val="1"/>
                <w:bCs w:val="1"/>
                <w:i w:val="1"/>
                <w:iCs w:val="1"/>
                <w:color w:val="auto"/>
              </w:rPr>
              <w:t>Increases in Shares and Decrease to NAV</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Total shares outstanding</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86"/>
              </w:rPr>
              <w:t>1,000,000</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w w:val="86"/>
              </w:rPr>
              <w:t>1,250,000</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1,250,000</w:t>
            </w:r>
          </w:p>
        </w:tc>
        <w:tc>
          <w:tcPr>
            <w:tcW w:w="4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25.00%</w:t>
            </w:r>
          </w:p>
        </w:tc>
        <w:tc>
          <w:tcPr>
            <w:tcW w:w="0" w:type="dxa"/>
            <w:vAlign w:val="bottom"/>
          </w:tcPr>
          <w:p>
            <w:pPr>
              <w:spacing w:after="0"/>
              <w:rPr>
                <w:sz w:val="1"/>
                <w:szCs w:val="1"/>
                <w:color w:val="auto"/>
              </w:rPr>
            </w:pPr>
          </w:p>
        </w:tc>
      </w:tr>
      <w:tr>
        <w:trPr>
          <w:trHeight w:val="166"/>
        </w:trPr>
        <w:tc>
          <w:tcPr>
            <w:tcW w:w="3720" w:type="dxa"/>
            <w:vAlign w:val="bottom"/>
          </w:tcPr>
          <w:p>
            <w:pPr>
              <w:spacing w:after="0"/>
              <w:rPr>
                <w:sz w:val="20"/>
                <w:szCs w:val="20"/>
                <w:color w:val="auto"/>
              </w:rPr>
            </w:pPr>
            <w:r>
              <w:rPr>
                <w:rFonts w:ascii="Arial" w:cs="Arial" w:eastAsia="Arial" w:hAnsi="Arial"/>
                <w:sz w:val="14"/>
                <w:szCs w:val="14"/>
                <w:color w:val="auto"/>
              </w:rPr>
              <w:t>NAV per share</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10.00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9.50</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(5.00)%</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9.50</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6"/>
        </w:trPr>
        <w:tc>
          <w:tcPr>
            <w:tcW w:w="372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(Dilution)/Accretion to Participating Stockholder A</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20" w:type="dxa"/>
            <w:vAlign w:val="bottom"/>
          </w:tcPr>
          <w:p>
            <w:pPr>
              <w:spacing w:after="0"/>
              <w:rPr>
                <w:sz w:val="20"/>
                <w:szCs w:val="20"/>
                <w:color w:val="auto"/>
              </w:rPr>
            </w:pPr>
            <w:r>
              <w:rPr>
                <w:rFonts w:ascii="Arial" w:cs="Arial" w:eastAsia="Arial" w:hAnsi="Arial"/>
                <w:sz w:val="14"/>
                <w:szCs w:val="14"/>
                <w:color w:val="auto"/>
              </w:rPr>
              <w:t>Shares held by stockholder A</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10,000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11,250</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12.50%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13,750</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37.50%</w:t>
            </w:r>
          </w:p>
        </w:tc>
        <w:tc>
          <w:tcPr>
            <w:tcW w:w="0" w:type="dxa"/>
            <w:vAlign w:val="bottom"/>
          </w:tcPr>
          <w:p>
            <w:pPr>
              <w:spacing w:after="0"/>
              <w:rPr>
                <w:sz w:val="1"/>
                <w:szCs w:val="1"/>
                <w:color w:val="auto"/>
              </w:rPr>
            </w:pPr>
          </w:p>
        </w:tc>
      </w:tr>
      <w:tr>
        <w:trPr>
          <w:trHeight w:val="166"/>
        </w:trPr>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Percentage held by stockholder A</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0.90%</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8"/>
              </w:rPr>
              <w:t>(10.00)%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1.10%</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10.00%</w:t>
            </w:r>
          </w:p>
        </w:tc>
        <w:tc>
          <w:tcPr>
            <w:tcW w:w="0" w:type="dxa"/>
            <w:vAlign w:val="bottom"/>
          </w:tcPr>
          <w:p>
            <w:pPr>
              <w:spacing w:after="0"/>
              <w:rPr>
                <w:sz w:val="1"/>
                <w:szCs w:val="1"/>
                <w:color w:val="auto"/>
              </w:rPr>
            </w:pPr>
          </w:p>
        </w:tc>
      </w:tr>
      <w:tr>
        <w:trPr>
          <w:trHeight w:val="166"/>
        </w:trPr>
        <w:tc>
          <w:tcPr>
            <w:tcW w:w="3720" w:type="dxa"/>
            <w:vAlign w:val="bottom"/>
          </w:tcPr>
          <w:p>
            <w:pPr>
              <w:spacing w:after="0"/>
              <w:rPr>
                <w:sz w:val="20"/>
                <w:szCs w:val="20"/>
                <w:color w:val="auto"/>
              </w:rPr>
            </w:pPr>
            <w:r>
              <w:rPr>
                <w:rFonts w:ascii="Arial" w:cs="Arial" w:eastAsia="Arial" w:hAnsi="Arial"/>
                <w:sz w:val="14"/>
                <w:szCs w:val="14"/>
                <w:b w:val="1"/>
                <w:bCs w:val="1"/>
                <w:color w:val="auto"/>
              </w:rPr>
              <w:t>Total Asset Values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Total NAV held by stockholder 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106,875</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6.88%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130,625</w:t>
            </w:r>
          </w:p>
        </w:tc>
        <w:tc>
          <w:tcPr>
            <w:tcW w:w="4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30.63%</w:t>
            </w:r>
          </w:p>
        </w:tc>
        <w:tc>
          <w:tcPr>
            <w:tcW w:w="0" w:type="dxa"/>
            <w:vAlign w:val="bottom"/>
          </w:tcPr>
          <w:p>
            <w:pPr>
              <w:spacing w:after="0"/>
              <w:rPr>
                <w:sz w:val="1"/>
                <w:szCs w:val="1"/>
                <w:color w:val="auto"/>
              </w:rPr>
            </w:pPr>
          </w:p>
        </w:tc>
      </w:tr>
      <w:tr>
        <w:trPr>
          <w:trHeight w:val="155"/>
        </w:trPr>
        <w:tc>
          <w:tcPr>
            <w:tcW w:w="3720" w:type="dxa"/>
            <w:vAlign w:val="bottom"/>
          </w:tcPr>
          <w:p>
            <w:pPr>
              <w:spacing w:after="0" w:line="155" w:lineRule="exact"/>
              <w:rPr>
                <w:sz w:val="20"/>
                <w:szCs w:val="20"/>
                <w:color w:val="auto"/>
              </w:rPr>
            </w:pPr>
            <w:r>
              <w:rPr>
                <w:rFonts w:ascii="Arial" w:cs="Arial" w:eastAsia="Arial" w:hAnsi="Arial"/>
                <w:sz w:val="14"/>
                <w:szCs w:val="14"/>
                <w:color w:val="auto"/>
                <w:w w:val="97"/>
              </w:rPr>
              <w:t>Total investment by stockholder A (assumed to be $10.00 per</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20" w:type="dxa"/>
            <w:vAlign w:val="bottom"/>
          </w:tcPr>
          <w:p>
            <w:pPr>
              <w:ind w:left="140"/>
              <w:spacing w:after="0"/>
              <w:rPr>
                <w:sz w:val="20"/>
                <w:szCs w:val="20"/>
                <w:color w:val="auto"/>
              </w:rPr>
            </w:pPr>
            <w:r>
              <w:rPr>
                <w:rFonts w:ascii="Arial" w:cs="Arial" w:eastAsia="Arial" w:hAnsi="Arial"/>
                <w:sz w:val="14"/>
                <w:szCs w:val="14"/>
                <w:color w:val="auto"/>
              </w:rPr>
              <w:t>share on shares held prior to sale)</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100,000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109,863</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9.86%</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129,588</w:t>
            </w:r>
          </w:p>
        </w:tc>
        <w:tc>
          <w:tcPr>
            <w:tcW w:w="400" w:type="dxa"/>
            <w:vAlign w:val="bottom"/>
          </w:tcPr>
          <w:p>
            <w:pPr>
              <w:spacing w:after="0"/>
              <w:rPr>
                <w:sz w:val="15"/>
                <w:szCs w:val="15"/>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29.59%</w:t>
            </w:r>
          </w:p>
        </w:tc>
        <w:tc>
          <w:tcPr>
            <w:tcW w:w="0" w:type="dxa"/>
            <w:vAlign w:val="bottom"/>
          </w:tcPr>
          <w:p>
            <w:pPr>
              <w:spacing w:after="0"/>
              <w:rPr>
                <w:sz w:val="1"/>
                <w:szCs w:val="1"/>
                <w:color w:val="auto"/>
              </w:rPr>
            </w:pPr>
          </w:p>
        </w:tc>
      </w:tr>
      <w:tr>
        <w:trPr>
          <w:trHeight w:val="157"/>
        </w:trPr>
        <w:tc>
          <w:tcPr>
            <w:tcW w:w="37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w w:val="97"/>
              </w:rPr>
              <w:t>Total (dilution)/accretion to stockholder A (total NAV less total</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investment)</w:t>
            </w: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(2,988)</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w:t>
            </w:r>
          </w:p>
        </w:tc>
        <w:tc>
          <w:tcPr>
            <w:tcW w:w="4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3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jc w:val="right"/>
              <w:ind w:right="191"/>
              <w:spacing w:after="0"/>
              <w:rPr>
                <w:sz w:val="20"/>
                <w:szCs w:val="20"/>
                <w:color w:val="auto"/>
              </w:rPr>
            </w:pPr>
            <w:r>
              <w:rPr>
                <w:rFonts w:ascii="Arial" w:cs="Arial" w:eastAsia="Arial" w:hAnsi="Arial"/>
                <w:sz w:val="14"/>
                <w:szCs w:val="14"/>
                <w:color w:val="auto"/>
              </w:rPr>
              <w:t>15</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19" w:name="page20"/>
    <w:bookmarkEnd w:id="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2805" cy="45720"/>
                    </a:xfrm>
                    <a:prstGeom prst="rect">
                      <a:avLst/>
                    </a:prstGeom>
                    <a:noFill/>
                  </pic:spPr>
                </pic:pic>
              </a:graphicData>
            </a:graphic>
          </wp:anchor>
        </w:drawing>
      </w:r>
    </w:p>
    <w:tbl>
      <w:tblPr>
        <w:tblLayout w:type="fixed"/>
        <w:tblInd w:w="280" w:type="dxa"/>
        <w:tblCellMar>
          <w:top w:w="0" w:type="dxa"/>
          <w:left w:w="0" w:type="dxa"/>
          <w:bottom w:w="0" w:type="dxa"/>
          <w:right w:w="0" w:type="dxa"/>
        </w:tblCellMar>
      </w:tblPr>
      <w:tr>
        <w:trPr>
          <w:trHeight w:val="131"/>
        </w:trPr>
        <w:tc>
          <w:tcPr>
            <w:tcW w:w="4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Prior to Sale</w:t>
            </w:r>
          </w:p>
        </w:tc>
        <w:tc>
          <w:tcPr>
            <w:tcW w:w="100" w:type="dxa"/>
            <w:vAlign w:val="bottom"/>
          </w:tcPr>
          <w:p>
            <w:pPr>
              <w:spacing w:after="0"/>
              <w:rPr>
                <w:sz w:val="11"/>
                <w:szCs w:val="11"/>
                <w:color w:val="auto"/>
              </w:rPr>
            </w:pPr>
          </w:p>
        </w:tc>
        <w:tc>
          <w:tcPr>
            <w:tcW w:w="1540" w:type="dxa"/>
            <w:vAlign w:val="bottom"/>
            <w:gridSpan w:val="4"/>
          </w:tcPr>
          <w:p>
            <w:pPr>
              <w:jc w:val="right"/>
              <w:ind w:right="620"/>
              <w:spacing w:after="0"/>
              <w:rPr>
                <w:sz w:val="20"/>
                <w:szCs w:val="20"/>
                <w:color w:val="auto"/>
              </w:rPr>
            </w:pPr>
            <w:r>
              <w:rPr>
                <w:rFonts w:ascii="Arial" w:cs="Arial" w:eastAsia="Arial" w:hAnsi="Arial"/>
                <w:sz w:val="11"/>
                <w:szCs w:val="11"/>
                <w:b w:val="1"/>
                <w:bCs w:val="1"/>
                <w:color w:val="auto"/>
                <w:w w:val="98"/>
              </w:rPr>
              <w:t>50% Participation</w:t>
            </w:r>
          </w:p>
        </w:tc>
        <w:tc>
          <w:tcPr>
            <w:tcW w:w="100" w:type="dxa"/>
            <w:vAlign w:val="bottom"/>
          </w:tcPr>
          <w:p>
            <w:pPr>
              <w:spacing w:after="0"/>
              <w:rPr>
                <w:sz w:val="11"/>
                <w:szCs w:val="11"/>
                <w:color w:val="auto"/>
              </w:rPr>
            </w:pPr>
          </w:p>
        </w:tc>
        <w:tc>
          <w:tcPr>
            <w:tcW w:w="1260" w:type="dxa"/>
            <w:vAlign w:val="bottom"/>
            <w:gridSpan w:val="4"/>
          </w:tcPr>
          <w:p>
            <w:pPr>
              <w:jc w:val="right"/>
              <w:ind w:right="320"/>
              <w:spacing w:after="0"/>
              <w:rPr>
                <w:sz w:val="20"/>
                <w:szCs w:val="20"/>
                <w:color w:val="auto"/>
              </w:rPr>
            </w:pPr>
            <w:r>
              <w:rPr>
                <w:rFonts w:ascii="Arial" w:cs="Arial" w:eastAsia="Arial" w:hAnsi="Arial"/>
                <w:sz w:val="11"/>
                <w:szCs w:val="11"/>
                <w:b w:val="1"/>
                <w:bCs w:val="1"/>
                <w:color w:val="auto"/>
                <w:w w:val="94"/>
              </w:rPr>
              <w:t>150% Participation</w:t>
            </w:r>
          </w:p>
        </w:tc>
        <w:tc>
          <w:tcPr>
            <w:tcW w:w="0" w:type="dxa"/>
            <w:vAlign w:val="bottom"/>
          </w:tcPr>
          <w:p>
            <w:pPr>
              <w:spacing w:after="0"/>
              <w:rPr>
                <w:sz w:val="1"/>
                <w:szCs w:val="1"/>
                <w:color w:val="auto"/>
              </w:rPr>
            </w:pPr>
          </w:p>
        </w:tc>
      </w:tr>
      <w:tr>
        <w:trPr>
          <w:trHeight w:val="87"/>
        </w:trPr>
        <w:tc>
          <w:tcPr>
            <w:tcW w:w="4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820" w:type="dxa"/>
            <w:vAlign w:val="bottom"/>
            <w:tcBorders>
              <w:top w:val="single" w:sz="8" w:color="auto"/>
            </w:tcBorders>
            <w:gridSpan w:val="3"/>
          </w:tcPr>
          <w:p>
            <w:pPr>
              <w:spacing w:after="0" w:line="88" w:lineRule="exact"/>
              <w:rPr>
                <w:sz w:val="20"/>
                <w:szCs w:val="20"/>
                <w:color w:val="auto"/>
              </w:rPr>
            </w:pPr>
            <w:r>
              <w:rPr>
                <w:rFonts w:ascii="Arial" w:cs="Arial" w:eastAsia="Arial" w:hAnsi="Arial"/>
                <w:sz w:val="10"/>
                <w:szCs w:val="10"/>
                <w:b w:val="1"/>
                <w:bCs w:val="1"/>
                <w:color w:val="auto"/>
              </w:rPr>
              <w:t>Following</w:t>
            </w:r>
          </w:p>
        </w:tc>
        <w:tc>
          <w:tcPr>
            <w:tcW w:w="360" w:type="dxa"/>
            <w:vAlign w:val="bottom"/>
            <w:tcBorders>
              <w:top w:val="single" w:sz="8" w:color="auto"/>
            </w:tcBorders>
          </w:tcPr>
          <w:p>
            <w:pPr>
              <w:jc w:val="right"/>
              <w:ind w:right="56"/>
              <w:spacing w:after="0" w:line="88" w:lineRule="exact"/>
              <w:rPr>
                <w:sz w:val="20"/>
                <w:szCs w:val="20"/>
                <w:color w:val="auto"/>
              </w:rPr>
            </w:pPr>
            <w:r>
              <w:rPr>
                <w:rFonts w:ascii="Arial" w:cs="Arial" w:eastAsia="Arial" w:hAnsi="Arial"/>
                <w:sz w:val="10"/>
                <w:szCs w:val="10"/>
                <w:b w:val="1"/>
                <w:bCs w:val="1"/>
                <w:color w:val="auto"/>
              </w:rPr>
              <w:t>%</w:t>
            </w:r>
          </w:p>
        </w:tc>
        <w:tc>
          <w:tcPr>
            <w:tcW w:w="460" w:type="dxa"/>
            <w:vAlign w:val="bottom"/>
          </w:tcPr>
          <w:p>
            <w:pPr>
              <w:spacing w:after="0"/>
              <w:rPr>
                <w:sz w:val="7"/>
                <w:szCs w:val="7"/>
                <w:color w:val="auto"/>
              </w:rPr>
            </w:pPr>
          </w:p>
        </w:tc>
        <w:tc>
          <w:tcPr>
            <w:tcW w:w="800" w:type="dxa"/>
            <w:vAlign w:val="bottom"/>
            <w:tcBorders>
              <w:top w:val="single" w:sz="8" w:color="auto"/>
            </w:tcBorders>
            <w:gridSpan w:val="3"/>
          </w:tcPr>
          <w:p>
            <w:pPr>
              <w:spacing w:after="0" w:line="88" w:lineRule="exact"/>
              <w:rPr>
                <w:sz w:val="20"/>
                <w:szCs w:val="20"/>
                <w:color w:val="auto"/>
              </w:rPr>
            </w:pPr>
            <w:r>
              <w:rPr>
                <w:rFonts w:ascii="Arial" w:cs="Arial" w:eastAsia="Arial" w:hAnsi="Arial"/>
                <w:sz w:val="10"/>
                <w:szCs w:val="10"/>
                <w:b w:val="1"/>
                <w:bCs w:val="1"/>
                <w:color w:val="auto"/>
              </w:rPr>
              <w:t>Following</w:t>
            </w:r>
          </w:p>
        </w:tc>
        <w:tc>
          <w:tcPr>
            <w:tcW w:w="360" w:type="dxa"/>
            <w:vAlign w:val="bottom"/>
            <w:tcBorders>
              <w:top w:val="single" w:sz="8" w:color="auto"/>
            </w:tcBorders>
          </w:tcPr>
          <w:p>
            <w:pPr>
              <w:jc w:val="right"/>
              <w:ind w:right="56"/>
              <w:spacing w:after="0" w:line="88" w:lineRule="exact"/>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4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ind w:left="20"/>
              <w:spacing w:after="0"/>
              <w:rPr>
                <w:sz w:val="20"/>
                <w:szCs w:val="20"/>
                <w:color w:val="auto"/>
              </w:rPr>
            </w:pPr>
            <w:r>
              <w:rPr>
                <w:rFonts w:ascii="Arial" w:cs="Arial" w:eastAsia="Arial" w:hAnsi="Arial"/>
                <w:sz w:val="11"/>
                <w:szCs w:val="11"/>
                <w:b w:val="1"/>
                <w:bCs w:val="1"/>
                <w:color w:val="auto"/>
              </w:rPr>
              <w:t>Below NAV</w:t>
            </w:r>
          </w:p>
        </w:tc>
        <w:tc>
          <w:tcPr>
            <w:tcW w:w="100" w:type="dxa"/>
            <w:vAlign w:val="bottom"/>
          </w:tcPr>
          <w:p>
            <w:pPr>
              <w:spacing w:after="0"/>
              <w:rPr>
                <w:sz w:val="11"/>
                <w:szCs w:val="11"/>
                <w:color w:val="auto"/>
              </w:rPr>
            </w:pPr>
          </w:p>
        </w:tc>
        <w:tc>
          <w:tcPr>
            <w:tcW w:w="72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w w:val="88"/>
              </w:rPr>
              <w:t>Sale</w:t>
            </w:r>
          </w:p>
        </w:tc>
        <w:tc>
          <w:tcPr>
            <w:tcW w:w="82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w w:val="84"/>
              </w:rPr>
              <w:t>Change</w:t>
            </w:r>
          </w:p>
        </w:tc>
        <w:tc>
          <w:tcPr>
            <w:tcW w:w="10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Sale</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84"/>
              </w:rPr>
              <w:t>Change</w:t>
            </w:r>
          </w:p>
        </w:tc>
        <w:tc>
          <w:tcPr>
            <w:tcW w:w="0" w:type="dxa"/>
            <w:vAlign w:val="bottom"/>
          </w:tcPr>
          <w:p>
            <w:pPr>
              <w:spacing w:after="0"/>
              <w:rPr>
                <w:sz w:val="1"/>
                <w:szCs w:val="1"/>
                <w:color w:val="auto"/>
              </w:rPr>
            </w:pPr>
          </w:p>
        </w:tc>
      </w:tr>
      <w:tr>
        <w:trPr>
          <w:trHeight w:val="156"/>
        </w:trPr>
        <w:tc>
          <w:tcPr>
            <w:tcW w:w="44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Per Share Amounts</w:t>
            </w: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400" w:type="dxa"/>
            <w:vAlign w:val="bottom"/>
          </w:tcPr>
          <w:p>
            <w:pPr>
              <w:ind w:left="260"/>
              <w:spacing w:after="0"/>
              <w:rPr>
                <w:sz w:val="20"/>
                <w:szCs w:val="20"/>
                <w:color w:val="auto"/>
              </w:rPr>
            </w:pPr>
            <w:r>
              <w:rPr>
                <w:rFonts w:ascii="Arial" w:cs="Arial" w:eastAsia="Arial" w:hAnsi="Arial"/>
                <w:sz w:val="14"/>
                <w:szCs w:val="14"/>
                <w:color w:val="auto"/>
              </w:rPr>
              <w:t>NAV per share held by stockholder A</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60"/>
              <w:spacing w:after="0"/>
              <w:rPr>
                <w:sz w:val="20"/>
                <w:szCs w:val="20"/>
                <w:color w:val="auto"/>
              </w:rPr>
            </w:pPr>
            <w:r>
              <w:rPr>
                <w:rFonts w:ascii="Arial" w:cs="Arial" w:eastAsia="Arial" w:hAnsi="Arial"/>
                <w:sz w:val="14"/>
                <w:szCs w:val="14"/>
                <w:color w:val="auto"/>
              </w:rPr>
              <w:t>9.50</w:t>
            </w:r>
          </w:p>
        </w:tc>
        <w:tc>
          <w:tcPr>
            <w:tcW w:w="82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center"/>
              <w:ind w:right="180"/>
              <w:spacing w:after="0"/>
              <w:rPr>
                <w:sz w:val="20"/>
                <w:szCs w:val="20"/>
                <w:color w:val="auto"/>
              </w:rPr>
            </w:pPr>
            <w:r>
              <w:rPr>
                <w:rFonts w:ascii="Arial" w:cs="Arial" w:eastAsia="Arial" w:hAnsi="Arial"/>
                <w:sz w:val="14"/>
                <w:szCs w:val="14"/>
                <w:color w:val="auto"/>
                <w:w w:val="87"/>
              </w:rPr>
              <w:t>9.50</w:t>
            </w:r>
          </w:p>
        </w:tc>
        <w:tc>
          <w:tcPr>
            <w:tcW w:w="5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400" w:type="dxa"/>
            <w:vAlign w:val="bottom"/>
            <w:shd w:val="clear" w:color="auto" w:fill="CCEEFF"/>
          </w:tcPr>
          <w:p>
            <w:pPr>
              <w:ind w:left="260"/>
              <w:spacing w:after="0" w:line="155" w:lineRule="exact"/>
              <w:rPr>
                <w:sz w:val="20"/>
                <w:szCs w:val="20"/>
                <w:color w:val="auto"/>
              </w:rPr>
            </w:pPr>
            <w:r>
              <w:rPr>
                <w:rFonts w:ascii="Arial" w:cs="Arial" w:eastAsia="Arial" w:hAnsi="Arial"/>
                <w:sz w:val="14"/>
                <w:szCs w:val="14"/>
                <w:color w:val="auto"/>
                <w:w w:val="93"/>
              </w:rPr>
              <w:t>Investment per share held by stockholder A (assumed to be $10.00 per</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4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share on shares held prior to sale)</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1"/>
              </w:rPr>
              <w:t>10.00</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9.77</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87"/>
              </w:rPr>
              <w:t>9.42</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155"/>
        </w:trPr>
        <w:tc>
          <w:tcPr>
            <w:tcW w:w="4400" w:type="dxa"/>
            <w:vAlign w:val="bottom"/>
          </w:tcPr>
          <w:p>
            <w:pPr>
              <w:ind w:left="260"/>
              <w:spacing w:after="0" w:line="155" w:lineRule="exact"/>
              <w:rPr>
                <w:sz w:val="20"/>
                <w:szCs w:val="20"/>
                <w:color w:val="auto"/>
              </w:rPr>
            </w:pPr>
            <w:r>
              <w:rPr>
                <w:rFonts w:ascii="Arial" w:cs="Arial" w:eastAsia="Arial" w:hAnsi="Arial"/>
                <w:sz w:val="14"/>
                <w:szCs w:val="14"/>
                <w:color w:val="auto"/>
                <w:w w:val="98"/>
              </w:rPr>
              <w:t>(Dilution)/accretion per share held by stockholder A (NAV per share</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400"/>
              <w:spacing w:after="0"/>
              <w:rPr>
                <w:sz w:val="20"/>
                <w:szCs w:val="20"/>
                <w:color w:val="auto"/>
              </w:rPr>
            </w:pPr>
            <w:r>
              <w:rPr>
                <w:rFonts w:ascii="Arial" w:cs="Arial" w:eastAsia="Arial" w:hAnsi="Arial"/>
                <w:sz w:val="14"/>
                <w:szCs w:val="14"/>
                <w:color w:val="auto"/>
              </w:rPr>
              <w:t>less investment per share)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(0.27)</w:t>
            </w:r>
          </w:p>
        </w:tc>
        <w:tc>
          <w:tcPr>
            <w:tcW w:w="82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center"/>
              <w:ind w:right="180"/>
              <w:spacing w:after="0"/>
              <w:rPr>
                <w:sz w:val="20"/>
                <w:szCs w:val="20"/>
                <w:color w:val="auto"/>
              </w:rPr>
            </w:pPr>
            <w:r>
              <w:rPr>
                <w:rFonts w:ascii="Arial" w:cs="Arial" w:eastAsia="Arial" w:hAnsi="Arial"/>
                <w:sz w:val="14"/>
                <w:szCs w:val="14"/>
                <w:color w:val="auto"/>
                <w:w w:val="87"/>
              </w:rPr>
              <w:t>0.08</w:t>
            </w:r>
          </w:p>
        </w:tc>
        <w:tc>
          <w:tcPr>
            <w:tcW w:w="5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400" w:type="dxa"/>
            <w:vAlign w:val="bottom"/>
            <w:shd w:val="clear" w:color="auto" w:fill="CCEEFF"/>
          </w:tcPr>
          <w:p>
            <w:pPr>
              <w:ind w:left="260"/>
              <w:spacing w:after="0" w:line="156" w:lineRule="exact"/>
              <w:rPr>
                <w:sz w:val="20"/>
                <w:szCs w:val="20"/>
                <w:color w:val="auto"/>
              </w:rPr>
            </w:pPr>
            <w:r>
              <w:rPr>
                <w:rFonts w:ascii="Arial" w:cs="Arial" w:eastAsia="Arial" w:hAnsi="Arial"/>
                <w:sz w:val="14"/>
                <w:szCs w:val="14"/>
                <w:color w:val="auto"/>
                <w:w w:val="94"/>
              </w:rPr>
              <w:t>Percentage (dilution)/accretion to stockholder A (dilution)/accretion per</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4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share divided by investment per share</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9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0.85%</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280"/>
        <w:spacing w:after="0"/>
        <w:rPr>
          <w:sz w:val="20"/>
          <w:szCs w:val="20"/>
          <w:color w:val="auto"/>
        </w:rPr>
      </w:pPr>
      <w:r>
        <w:rPr>
          <w:rFonts w:ascii="Arial" w:cs="Arial" w:eastAsia="Arial" w:hAnsi="Arial"/>
          <w:sz w:val="14"/>
          <w:szCs w:val="14"/>
          <w:b w:val="1"/>
          <w:bCs w:val="1"/>
          <w:i w:val="1"/>
          <w:iCs w:val="1"/>
          <w:color w:val="auto"/>
        </w:rPr>
        <w:t>Impact on New Investors</w:t>
      </w:r>
    </w:p>
    <w:p>
      <w:pPr>
        <w:spacing w:after="0" w:line="88" w:lineRule="exact"/>
        <w:rPr>
          <w:sz w:val="20"/>
          <w:szCs w:val="20"/>
          <w:color w:val="auto"/>
        </w:rPr>
      </w:pPr>
    </w:p>
    <w:p>
      <w:pPr>
        <w:ind w:left="280" w:right="619" w:firstLine="338"/>
        <w:spacing w:after="0" w:line="286" w:lineRule="auto"/>
        <w:rPr>
          <w:sz w:val="20"/>
          <w:szCs w:val="20"/>
          <w:color w:val="auto"/>
        </w:rPr>
      </w:pPr>
      <w:r>
        <w:rPr>
          <w:rFonts w:ascii="Arial" w:cs="Arial" w:eastAsia="Arial" w:hAnsi="Arial"/>
          <w:sz w:val="13"/>
          <w:szCs w:val="13"/>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29" w:lineRule="exact"/>
        <w:rPr>
          <w:sz w:val="20"/>
          <w:szCs w:val="20"/>
          <w:color w:val="auto"/>
        </w:rPr>
      </w:pPr>
    </w:p>
    <w:p>
      <w:pPr>
        <w:ind w:left="280" w:right="319" w:firstLine="338"/>
        <w:spacing w:after="0" w:line="270" w:lineRule="auto"/>
        <w:rPr>
          <w:sz w:val="20"/>
          <w:szCs w:val="20"/>
          <w:color w:val="auto"/>
        </w:rPr>
      </w:pPr>
      <w:r>
        <w:rPr>
          <w:rFonts w:ascii="Arial" w:cs="Arial" w:eastAsia="Arial" w:hAnsi="Arial"/>
          <w:sz w:val="13"/>
          <w:szCs w:val="13"/>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41" w:lineRule="exact"/>
        <w:rPr>
          <w:sz w:val="20"/>
          <w:szCs w:val="20"/>
          <w:color w:val="auto"/>
        </w:rPr>
      </w:pPr>
    </w:p>
    <w:p>
      <w:pPr>
        <w:ind w:left="280" w:right="339" w:firstLine="338"/>
        <w:spacing w:after="0" w:line="272" w:lineRule="auto"/>
        <w:rPr>
          <w:sz w:val="20"/>
          <w:szCs w:val="20"/>
          <w:color w:val="auto"/>
        </w:rPr>
      </w:pPr>
      <w:r>
        <w:rPr>
          <w:rFonts w:ascii="Arial" w:cs="Arial" w:eastAsia="Arial" w:hAnsi="Arial"/>
          <w:sz w:val="13"/>
          <w:szCs w:val="13"/>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9019"/>
          </w:cols>
          <w:pgMar w:left="1440" w:top="257" w:right="1440" w:bottom="1440" w:gutter="0" w:footer="0" w:header="0"/>
        </w:sectPr>
      </w:pPr>
    </w:p>
    <w:bookmarkStart w:id="20" w:name="page21"/>
    <w:bookmarkEnd w:id="20"/>
    <w:tbl>
      <w:tblPr>
        <w:tblLayout w:type="fixed"/>
        <w:tblInd w:w="280" w:type="dxa"/>
        <w:tblCellMar>
          <w:top w:w="0" w:type="dxa"/>
          <w:left w:w="0" w:type="dxa"/>
          <w:bottom w:w="0" w:type="dxa"/>
          <w:right w:w="0" w:type="dxa"/>
        </w:tblCellMar>
      </w:tblPr>
      <w:tr>
        <w:trPr>
          <w:trHeight w:val="126"/>
        </w:trPr>
        <w:tc>
          <w:tcPr>
            <w:tcW w:w="2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left="215"/>
              <w:spacing w:after="0"/>
              <w:rPr>
                <w:sz w:val="20"/>
                <w:szCs w:val="20"/>
                <w:color w:val="auto"/>
              </w:rPr>
            </w:pPr>
            <w:r>
              <w:rPr>
                <w:rFonts w:ascii="Arial" w:cs="Arial" w:eastAsia="Arial" w:hAnsi="Arial"/>
                <w:sz w:val="11"/>
                <w:szCs w:val="11"/>
                <w:b w:val="1"/>
                <w:bCs w:val="1"/>
                <w:color w:val="auto"/>
                <w:w w:val="91"/>
              </w:rPr>
              <w:t>Example 1</w:t>
            </w: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left="215"/>
              <w:spacing w:after="0"/>
              <w:rPr>
                <w:sz w:val="20"/>
                <w:szCs w:val="20"/>
                <w:color w:val="auto"/>
              </w:rPr>
            </w:pPr>
            <w:r>
              <w:rPr>
                <w:rFonts w:ascii="Arial" w:cs="Arial" w:eastAsia="Arial" w:hAnsi="Arial"/>
                <w:sz w:val="11"/>
                <w:szCs w:val="11"/>
                <w:b w:val="1"/>
                <w:bCs w:val="1"/>
                <w:color w:val="auto"/>
                <w:w w:val="91"/>
              </w:rPr>
              <w:t>Example 2</w:t>
            </w: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left="235"/>
              <w:spacing w:after="0"/>
              <w:rPr>
                <w:sz w:val="20"/>
                <w:szCs w:val="20"/>
                <w:color w:val="auto"/>
              </w:rPr>
            </w:pPr>
            <w:r>
              <w:rPr>
                <w:rFonts w:ascii="Arial" w:cs="Arial" w:eastAsia="Arial" w:hAnsi="Arial"/>
                <w:sz w:val="11"/>
                <w:szCs w:val="11"/>
                <w:b w:val="1"/>
                <w:bCs w:val="1"/>
                <w:color w:val="auto"/>
                <w:w w:val="91"/>
              </w:rPr>
              <w:t>Example 3</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left="195"/>
              <w:spacing w:after="0" w:line="114" w:lineRule="exact"/>
              <w:rPr>
                <w:sz w:val="20"/>
                <w:szCs w:val="20"/>
                <w:color w:val="auto"/>
              </w:rPr>
            </w:pPr>
            <w:r>
              <w:rPr>
                <w:rFonts w:ascii="Arial" w:cs="Arial" w:eastAsia="Arial" w:hAnsi="Arial"/>
                <w:sz w:val="11"/>
                <w:szCs w:val="11"/>
                <w:b w:val="1"/>
                <w:bCs w:val="1"/>
                <w:color w:val="auto"/>
                <w:w w:val="97"/>
              </w:rPr>
              <w:t>5% Offering</w:t>
            </w: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tcPr>
          <w:p>
            <w:pPr>
              <w:jc w:val="center"/>
              <w:ind w:right="460"/>
              <w:spacing w:after="0" w:line="114" w:lineRule="exact"/>
              <w:rPr>
                <w:sz w:val="20"/>
                <w:szCs w:val="20"/>
                <w:color w:val="auto"/>
              </w:rPr>
            </w:pPr>
            <w:r>
              <w:rPr>
                <w:rFonts w:ascii="Arial" w:cs="Arial" w:eastAsia="Arial" w:hAnsi="Arial"/>
                <w:sz w:val="11"/>
                <w:szCs w:val="11"/>
                <w:b w:val="1"/>
                <w:bCs w:val="1"/>
                <w:color w:val="auto"/>
                <w:w w:val="97"/>
              </w:rPr>
              <w:t>10% Offering</w:t>
            </w:r>
          </w:p>
        </w:tc>
        <w:tc>
          <w:tcPr>
            <w:tcW w:w="80" w:type="dxa"/>
            <w:vAlign w:val="bottom"/>
          </w:tcPr>
          <w:p>
            <w:pPr>
              <w:spacing w:after="0"/>
              <w:rPr>
                <w:sz w:val="9"/>
                <w:szCs w:val="9"/>
                <w:color w:val="auto"/>
              </w:rPr>
            </w:pPr>
          </w:p>
        </w:tc>
        <w:tc>
          <w:tcPr>
            <w:tcW w:w="1480" w:type="dxa"/>
            <w:vAlign w:val="bottom"/>
            <w:gridSpan w:val="4"/>
          </w:tcPr>
          <w:p>
            <w:pPr>
              <w:jc w:val="center"/>
              <w:ind w:right="260"/>
              <w:spacing w:after="0" w:line="114" w:lineRule="exact"/>
              <w:rPr>
                <w:sz w:val="20"/>
                <w:szCs w:val="20"/>
                <w:color w:val="auto"/>
              </w:rPr>
            </w:pPr>
            <w:r>
              <w:rPr>
                <w:rFonts w:ascii="Arial" w:cs="Arial" w:eastAsia="Arial" w:hAnsi="Arial"/>
                <w:sz w:val="11"/>
                <w:szCs w:val="11"/>
                <w:b w:val="1"/>
                <w:bCs w:val="1"/>
                <w:color w:val="auto"/>
                <w:w w:val="97"/>
              </w:rPr>
              <w:t>25% Offering</w:t>
            </w:r>
          </w:p>
        </w:tc>
        <w:tc>
          <w:tcPr>
            <w:tcW w:w="0" w:type="dxa"/>
            <w:vAlign w:val="bottom"/>
          </w:tcPr>
          <w:p>
            <w:pPr>
              <w:spacing w:after="0"/>
              <w:rPr>
                <w:sz w:val="1"/>
                <w:szCs w:val="1"/>
                <w:color w:val="auto"/>
              </w:rPr>
            </w:pPr>
          </w:p>
        </w:tc>
      </w:tr>
      <w:tr>
        <w:trPr>
          <w:trHeight w:val="131"/>
        </w:trPr>
        <w:tc>
          <w:tcPr>
            <w:tcW w:w="262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86"/>
              </w:rPr>
              <w:t>Prior to Sale</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4"/>
          </w:tcPr>
          <w:p>
            <w:pPr>
              <w:jc w:val="center"/>
              <w:ind w:right="460"/>
              <w:spacing w:after="0"/>
              <w:rPr>
                <w:sz w:val="20"/>
                <w:szCs w:val="20"/>
                <w:color w:val="auto"/>
              </w:rPr>
            </w:pPr>
            <w:r>
              <w:rPr>
                <w:rFonts w:ascii="Arial" w:cs="Arial" w:eastAsia="Arial" w:hAnsi="Arial"/>
                <w:sz w:val="11"/>
                <w:szCs w:val="11"/>
                <w:b w:val="1"/>
                <w:bCs w:val="1"/>
                <w:color w:val="auto"/>
                <w:w w:val="93"/>
              </w:rPr>
              <w:t>at 5% Discount</w:t>
            </w:r>
          </w:p>
        </w:tc>
        <w:tc>
          <w:tcPr>
            <w:tcW w:w="80" w:type="dxa"/>
            <w:vAlign w:val="bottom"/>
          </w:tcPr>
          <w:p>
            <w:pPr>
              <w:spacing w:after="0"/>
              <w:rPr>
                <w:sz w:val="11"/>
                <w:szCs w:val="11"/>
                <w:color w:val="auto"/>
              </w:rPr>
            </w:pPr>
          </w:p>
        </w:tc>
        <w:tc>
          <w:tcPr>
            <w:tcW w:w="1640" w:type="dxa"/>
            <w:vAlign w:val="bottom"/>
            <w:gridSpan w:val="4"/>
          </w:tcPr>
          <w:p>
            <w:pPr>
              <w:jc w:val="center"/>
              <w:ind w:right="460"/>
              <w:spacing w:after="0"/>
              <w:rPr>
                <w:sz w:val="20"/>
                <w:szCs w:val="20"/>
                <w:color w:val="auto"/>
              </w:rPr>
            </w:pPr>
            <w:r>
              <w:rPr>
                <w:rFonts w:ascii="Arial" w:cs="Arial" w:eastAsia="Arial" w:hAnsi="Arial"/>
                <w:sz w:val="11"/>
                <w:szCs w:val="11"/>
                <w:b w:val="1"/>
                <w:bCs w:val="1"/>
                <w:color w:val="auto"/>
                <w:w w:val="91"/>
              </w:rPr>
              <w:t>at 10% Discount</w:t>
            </w:r>
          </w:p>
        </w:tc>
        <w:tc>
          <w:tcPr>
            <w:tcW w:w="80" w:type="dxa"/>
            <w:vAlign w:val="bottom"/>
          </w:tcPr>
          <w:p>
            <w:pPr>
              <w:spacing w:after="0"/>
              <w:rPr>
                <w:sz w:val="11"/>
                <w:szCs w:val="11"/>
                <w:color w:val="auto"/>
              </w:rPr>
            </w:pPr>
          </w:p>
        </w:tc>
        <w:tc>
          <w:tcPr>
            <w:tcW w:w="1480" w:type="dxa"/>
            <w:vAlign w:val="bottom"/>
            <w:gridSpan w:val="4"/>
          </w:tcPr>
          <w:p>
            <w:pPr>
              <w:jc w:val="center"/>
              <w:ind w:right="260"/>
              <w:spacing w:after="0"/>
              <w:rPr>
                <w:sz w:val="20"/>
                <w:szCs w:val="20"/>
                <w:color w:val="auto"/>
              </w:rPr>
            </w:pPr>
            <w:r>
              <w:rPr>
                <w:rFonts w:ascii="Arial" w:cs="Arial" w:eastAsia="Arial" w:hAnsi="Arial"/>
                <w:sz w:val="11"/>
                <w:szCs w:val="11"/>
                <w:b w:val="1"/>
                <w:bCs w:val="1"/>
                <w:color w:val="auto"/>
                <w:w w:val="91"/>
              </w:rPr>
              <w:t>at 25% Discount</w:t>
            </w:r>
          </w:p>
        </w:tc>
        <w:tc>
          <w:tcPr>
            <w:tcW w:w="0" w:type="dxa"/>
            <w:vAlign w:val="bottom"/>
          </w:tcPr>
          <w:p>
            <w:pPr>
              <w:spacing w:after="0"/>
              <w:rPr>
                <w:sz w:val="1"/>
                <w:szCs w:val="1"/>
                <w:color w:val="auto"/>
              </w:rPr>
            </w:pPr>
          </w:p>
        </w:tc>
      </w:tr>
      <w:tr>
        <w:trPr>
          <w:trHeight w:val="87"/>
        </w:trPr>
        <w:tc>
          <w:tcPr>
            <w:tcW w:w="26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00" w:type="dxa"/>
            <w:vAlign w:val="bottom"/>
            <w:tcBorders>
              <w:top w:val="single" w:sz="8" w:color="auto"/>
            </w:tcBorders>
            <w:gridSpan w:val="2"/>
          </w:tcPr>
          <w:p>
            <w:pPr>
              <w:jc w:val="right"/>
              <w:ind w:right="440"/>
              <w:spacing w:after="0" w:line="88" w:lineRule="exact"/>
              <w:rPr>
                <w:sz w:val="20"/>
                <w:szCs w:val="20"/>
                <w:color w:val="auto"/>
              </w:rPr>
            </w:pPr>
            <w:r>
              <w:rPr>
                <w:rFonts w:ascii="Arial" w:cs="Arial" w:eastAsia="Arial" w:hAnsi="Arial"/>
                <w:sz w:val="10"/>
                <w:szCs w:val="10"/>
                <w:b w:val="1"/>
                <w:bCs w:val="1"/>
                <w:color w:val="auto"/>
                <w:w w:val="94"/>
              </w:rPr>
              <w:t>Following</w:t>
            </w:r>
          </w:p>
        </w:tc>
        <w:tc>
          <w:tcPr>
            <w:tcW w:w="360" w:type="dxa"/>
            <w:vAlign w:val="bottom"/>
            <w:tcBorders>
              <w:top w:val="single" w:sz="8" w:color="auto"/>
            </w:tcBorders>
          </w:tcPr>
          <w:p>
            <w:pPr>
              <w:jc w:val="right"/>
              <w:ind w:right="73"/>
              <w:spacing w:after="0" w:line="88" w:lineRule="exact"/>
              <w:rPr>
                <w:sz w:val="20"/>
                <w:szCs w:val="20"/>
                <w:color w:val="auto"/>
              </w:rPr>
            </w:pPr>
            <w:r>
              <w:rPr>
                <w:rFonts w:ascii="Arial" w:cs="Arial" w:eastAsia="Arial" w:hAnsi="Arial"/>
                <w:sz w:val="10"/>
                <w:szCs w:val="10"/>
                <w:b w:val="1"/>
                <w:bCs w:val="1"/>
                <w:color w:val="auto"/>
              </w:rPr>
              <w:t>%</w:t>
            </w:r>
          </w:p>
        </w:tc>
        <w:tc>
          <w:tcPr>
            <w:tcW w:w="3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00" w:type="dxa"/>
            <w:vAlign w:val="bottom"/>
            <w:tcBorders>
              <w:top w:val="single" w:sz="8" w:color="auto"/>
            </w:tcBorders>
            <w:gridSpan w:val="2"/>
          </w:tcPr>
          <w:p>
            <w:pPr>
              <w:jc w:val="right"/>
              <w:ind w:right="440"/>
              <w:spacing w:after="0" w:line="88" w:lineRule="exact"/>
              <w:rPr>
                <w:sz w:val="20"/>
                <w:szCs w:val="20"/>
                <w:color w:val="auto"/>
              </w:rPr>
            </w:pPr>
            <w:r>
              <w:rPr>
                <w:rFonts w:ascii="Arial" w:cs="Arial" w:eastAsia="Arial" w:hAnsi="Arial"/>
                <w:sz w:val="10"/>
                <w:szCs w:val="10"/>
                <w:b w:val="1"/>
                <w:bCs w:val="1"/>
                <w:color w:val="auto"/>
                <w:w w:val="94"/>
              </w:rPr>
              <w:t>Following</w:t>
            </w:r>
          </w:p>
        </w:tc>
        <w:tc>
          <w:tcPr>
            <w:tcW w:w="360" w:type="dxa"/>
            <w:vAlign w:val="bottom"/>
            <w:tcBorders>
              <w:top w:val="single" w:sz="8" w:color="auto"/>
            </w:tcBorders>
          </w:tcPr>
          <w:p>
            <w:pPr>
              <w:jc w:val="right"/>
              <w:ind w:right="73"/>
              <w:spacing w:after="0" w:line="88" w:lineRule="exact"/>
              <w:rPr>
                <w:sz w:val="20"/>
                <w:szCs w:val="20"/>
                <w:color w:val="auto"/>
              </w:rPr>
            </w:pPr>
            <w:r>
              <w:rPr>
                <w:rFonts w:ascii="Arial" w:cs="Arial" w:eastAsia="Arial" w:hAnsi="Arial"/>
                <w:sz w:val="10"/>
                <w:szCs w:val="10"/>
                <w:b w:val="1"/>
                <w:bCs w:val="1"/>
                <w:color w:val="auto"/>
              </w:rPr>
              <w:t>%</w:t>
            </w:r>
          </w:p>
        </w:tc>
        <w:tc>
          <w:tcPr>
            <w:tcW w:w="3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20" w:type="dxa"/>
            <w:vAlign w:val="bottom"/>
            <w:tcBorders>
              <w:top w:val="single" w:sz="8" w:color="auto"/>
            </w:tcBorders>
            <w:gridSpan w:val="2"/>
          </w:tcPr>
          <w:p>
            <w:pPr>
              <w:jc w:val="right"/>
              <w:ind w:right="440"/>
              <w:spacing w:after="0" w:line="88" w:lineRule="exact"/>
              <w:rPr>
                <w:sz w:val="20"/>
                <w:szCs w:val="20"/>
                <w:color w:val="auto"/>
              </w:rPr>
            </w:pPr>
            <w:r>
              <w:rPr>
                <w:rFonts w:ascii="Arial" w:cs="Arial" w:eastAsia="Arial" w:hAnsi="Arial"/>
                <w:sz w:val="10"/>
                <w:szCs w:val="10"/>
                <w:b w:val="1"/>
                <w:bCs w:val="1"/>
                <w:color w:val="auto"/>
                <w:w w:val="98"/>
              </w:rPr>
              <w:t>Following</w:t>
            </w:r>
          </w:p>
        </w:tc>
        <w:tc>
          <w:tcPr>
            <w:tcW w:w="360" w:type="dxa"/>
            <w:vAlign w:val="bottom"/>
            <w:tcBorders>
              <w:top w:val="single" w:sz="8" w:color="auto"/>
            </w:tcBorders>
          </w:tcPr>
          <w:p>
            <w:pPr>
              <w:jc w:val="right"/>
              <w:ind w:right="53"/>
              <w:spacing w:after="0" w:line="88" w:lineRule="exact"/>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62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w w:val="91"/>
              </w:rPr>
              <w:t>Below NAV</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1"/>
                <w:szCs w:val="11"/>
                <w:b w:val="1"/>
                <w:bCs w:val="1"/>
                <w:color w:val="auto"/>
              </w:rPr>
              <w:t>Sale</w:t>
            </w:r>
          </w:p>
        </w:tc>
        <w:tc>
          <w:tcPr>
            <w:tcW w:w="74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w w:val="84"/>
              </w:rPr>
              <w:t>Change</w:t>
            </w:r>
          </w:p>
        </w:tc>
        <w:tc>
          <w:tcPr>
            <w:tcW w:w="80" w:type="dxa"/>
            <w:vAlign w:val="bottom"/>
          </w:tcPr>
          <w:p>
            <w:pPr>
              <w:spacing w:after="0"/>
              <w:rPr>
                <w:sz w:val="11"/>
                <w:szCs w:val="11"/>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1"/>
                <w:szCs w:val="11"/>
                <w:b w:val="1"/>
                <w:bCs w:val="1"/>
                <w:color w:val="auto"/>
              </w:rPr>
              <w:t>Sale</w:t>
            </w:r>
          </w:p>
        </w:tc>
        <w:tc>
          <w:tcPr>
            <w:tcW w:w="74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w w:val="84"/>
              </w:rPr>
              <w:t>Change</w:t>
            </w:r>
          </w:p>
        </w:tc>
        <w:tc>
          <w:tcPr>
            <w:tcW w:w="80" w:type="dxa"/>
            <w:vAlign w:val="bottom"/>
          </w:tcPr>
          <w:p>
            <w:pPr>
              <w:spacing w:after="0"/>
              <w:rPr>
                <w:sz w:val="11"/>
                <w:szCs w:val="11"/>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Sale</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84"/>
              </w:rPr>
              <w:t>Change</w:t>
            </w:r>
          </w:p>
        </w:tc>
        <w:tc>
          <w:tcPr>
            <w:tcW w:w="0" w:type="dxa"/>
            <w:vAlign w:val="bottom"/>
          </w:tcPr>
          <w:p>
            <w:pPr>
              <w:spacing w:after="0"/>
              <w:rPr>
                <w:sz w:val="1"/>
                <w:szCs w:val="1"/>
                <w:color w:val="auto"/>
              </w:rPr>
            </w:pPr>
          </w:p>
        </w:tc>
      </w:tr>
      <w:tr>
        <w:trPr>
          <w:trHeight w:val="156"/>
        </w:trPr>
        <w:tc>
          <w:tcPr>
            <w:tcW w:w="26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i w:val="1"/>
                <w:iCs w:val="1"/>
                <w:color w:val="auto"/>
              </w:rPr>
              <w:t>Offering Price</w:t>
            </w:r>
          </w:p>
        </w:tc>
        <w:tc>
          <w:tcPr>
            <w:tcW w:w="6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Arial" w:cs="Arial" w:eastAsia="Arial" w:hAnsi="Arial"/>
                <w:sz w:val="14"/>
                <w:szCs w:val="14"/>
                <w:color w:val="auto"/>
              </w:rPr>
              <w:t>Price per share to public</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10.00</w:t>
            </w:r>
          </w:p>
        </w:tc>
        <w:tc>
          <w:tcPr>
            <w:tcW w:w="7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9.47</w:t>
            </w:r>
          </w:p>
        </w:tc>
        <w:tc>
          <w:tcPr>
            <w:tcW w:w="7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rPr>
              <w:t>7.89</w:t>
            </w:r>
          </w:p>
        </w:tc>
        <w:tc>
          <w:tcPr>
            <w:tcW w:w="5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Net offering proceeds per share to issuer</w:t>
            </w:r>
          </w:p>
        </w:tc>
        <w:tc>
          <w:tcPr>
            <w:tcW w:w="6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9.50</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9.00</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7.50</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Arial" w:cs="Arial" w:eastAsia="Arial" w:hAnsi="Arial"/>
                <w:sz w:val="14"/>
                <w:szCs w:val="14"/>
                <w:b w:val="1"/>
                <w:bCs w:val="1"/>
                <w:i w:val="1"/>
                <w:iCs w:val="1"/>
                <w:color w:val="auto"/>
              </w:rPr>
              <w:t>Decrease to NAV</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Total shares outstanding</w:t>
            </w:r>
          </w:p>
        </w:tc>
        <w:tc>
          <w:tcPr>
            <w:tcW w:w="6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83"/>
              </w:rPr>
              <w:t>1,050,000</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5.00%</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w w:val="86"/>
              </w:rPr>
              <w:t>1,100,000</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6"/>
              </w:rPr>
              <w:t>10.00%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1,250,000</w:t>
            </w:r>
          </w:p>
        </w:tc>
        <w:tc>
          <w:tcPr>
            <w:tcW w:w="3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25.00%</w:t>
            </w: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Arial" w:cs="Arial" w:eastAsia="Arial" w:hAnsi="Arial"/>
                <w:sz w:val="14"/>
                <w:szCs w:val="14"/>
                <w:color w:val="auto"/>
              </w:rPr>
              <w:t>NAV per share</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9.98</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(0.20)%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9.91</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(0.90)%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rPr>
              <w:t>9.50</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6"/>
        </w:trPr>
        <w:tc>
          <w:tcPr>
            <w:tcW w:w="262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Dilution to Stockholder A</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Arial" w:cs="Arial" w:eastAsia="Arial" w:hAnsi="Arial"/>
                <w:sz w:val="14"/>
                <w:szCs w:val="14"/>
                <w:color w:val="auto"/>
              </w:rPr>
              <w:t>Shares held by stockholder A</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500</w:t>
            </w:r>
          </w:p>
        </w:tc>
        <w:tc>
          <w:tcPr>
            <w:tcW w:w="7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1,000</w:t>
            </w:r>
          </w:p>
        </w:tc>
        <w:tc>
          <w:tcPr>
            <w:tcW w:w="7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rPr>
              <w:t>2,500</w:t>
            </w:r>
          </w:p>
        </w:tc>
        <w:tc>
          <w:tcPr>
            <w:tcW w:w="5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Percentage held by stockholder A</w:t>
            </w:r>
          </w:p>
        </w:tc>
        <w:tc>
          <w:tcPr>
            <w:tcW w:w="6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0.05%</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0.09%</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0.20%</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Arial" w:cs="Arial" w:eastAsia="Arial" w:hAnsi="Arial"/>
                <w:sz w:val="14"/>
                <w:szCs w:val="14"/>
                <w:b w:val="1"/>
                <w:bCs w:val="1"/>
                <w:color w:val="auto"/>
              </w:rPr>
              <w:t>Total Asset Values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NAV held by stockholder A</w:t>
            </w:r>
          </w:p>
        </w:tc>
        <w:tc>
          <w:tcPr>
            <w:tcW w:w="6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4,990</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9,910</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23,750</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620" w:type="dxa"/>
            <w:vAlign w:val="bottom"/>
          </w:tcPr>
          <w:p>
            <w:pPr>
              <w:ind w:left="260"/>
              <w:spacing w:after="0"/>
              <w:rPr>
                <w:sz w:val="20"/>
                <w:szCs w:val="20"/>
                <w:color w:val="auto"/>
              </w:rPr>
            </w:pPr>
            <w:r>
              <w:rPr>
                <w:rFonts w:ascii="Arial" w:cs="Arial" w:eastAsia="Arial" w:hAnsi="Arial"/>
                <w:sz w:val="14"/>
                <w:szCs w:val="14"/>
                <w:color w:val="auto"/>
              </w:rPr>
              <w:t>Total investment by stockholder A</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5,000</w:t>
            </w:r>
          </w:p>
        </w:tc>
        <w:tc>
          <w:tcPr>
            <w:tcW w:w="7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9,470</w:t>
            </w:r>
          </w:p>
        </w:tc>
        <w:tc>
          <w:tcPr>
            <w:tcW w:w="7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rPr>
              <w:t>19,725</w:t>
            </w:r>
          </w:p>
        </w:tc>
        <w:tc>
          <w:tcPr>
            <w:tcW w:w="5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620" w:type="dxa"/>
            <w:vAlign w:val="bottom"/>
            <w:shd w:val="clear" w:color="auto" w:fill="CCEEFF"/>
          </w:tcPr>
          <w:p>
            <w:pPr>
              <w:ind w:left="260"/>
              <w:spacing w:after="0" w:line="155" w:lineRule="exact"/>
              <w:rPr>
                <w:sz w:val="20"/>
                <w:szCs w:val="20"/>
                <w:color w:val="auto"/>
              </w:rPr>
            </w:pPr>
            <w:r>
              <w:rPr>
                <w:rFonts w:ascii="Arial" w:cs="Arial" w:eastAsia="Arial" w:hAnsi="Arial"/>
                <w:sz w:val="14"/>
                <w:szCs w:val="14"/>
                <w:color w:val="auto"/>
              </w:rPr>
              <w:t>Total (dilution)/accretion to</w:t>
            </w: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6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stockholder A (total NAV less total</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6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investment)</w:t>
            </w:r>
          </w:p>
        </w:tc>
        <w:tc>
          <w:tcPr>
            <w:tcW w:w="6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(10)</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440</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4,025</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Arial" w:cs="Arial" w:eastAsia="Arial" w:hAnsi="Arial"/>
                <w:sz w:val="14"/>
                <w:szCs w:val="14"/>
                <w:b w:val="1"/>
                <w:bCs w:val="1"/>
                <w:color w:val="auto"/>
              </w:rPr>
              <w:t>Per Share Amounts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NAV per share held by stockholder A</w:t>
            </w:r>
          </w:p>
        </w:tc>
        <w:tc>
          <w:tcPr>
            <w:tcW w:w="6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9.98</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9.91</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9.50</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620" w:type="dxa"/>
            <w:vAlign w:val="bottom"/>
          </w:tcPr>
          <w:p>
            <w:pPr>
              <w:ind w:left="260"/>
              <w:spacing w:after="0" w:line="155" w:lineRule="exact"/>
              <w:rPr>
                <w:sz w:val="20"/>
                <w:szCs w:val="20"/>
                <w:color w:val="auto"/>
              </w:rPr>
            </w:pPr>
            <w:r>
              <w:rPr>
                <w:rFonts w:ascii="Arial" w:cs="Arial" w:eastAsia="Arial" w:hAnsi="Arial"/>
                <w:sz w:val="14"/>
                <w:szCs w:val="14"/>
                <w:color w:val="auto"/>
              </w:rPr>
              <w:t>Investment per share held by</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20" w:type="dxa"/>
            <w:vAlign w:val="bottom"/>
          </w:tcPr>
          <w:p>
            <w:pPr>
              <w:ind w:left="400"/>
              <w:spacing w:after="0"/>
              <w:rPr>
                <w:sz w:val="20"/>
                <w:szCs w:val="20"/>
                <w:color w:val="auto"/>
              </w:rPr>
            </w:pPr>
            <w:r>
              <w:rPr>
                <w:rFonts w:ascii="Arial" w:cs="Arial" w:eastAsia="Arial" w:hAnsi="Arial"/>
                <w:sz w:val="14"/>
                <w:szCs w:val="14"/>
                <w:color w:val="auto"/>
              </w:rPr>
              <w:t>stockholder A</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10.00</w:t>
            </w:r>
          </w:p>
        </w:tc>
        <w:tc>
          <w:tcPr>
            <w:tcW w:w="7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9.47</w:t>
            </w:r>
          </w:p>
        </w:tc>
        <w:tc>
          <w:tcPr>
            <w:tcW w:w="7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rPr>
              <w:t>7.89</w:t>
            </w:r>
          </w:p>
        </w:tc>
        <w:tc>
          <w:tcPr>
            <w:tcW w:w="5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620" w:type="dxa"/>
            <w:vAlign w:val="bottom"/>
            <w:shd w:val="clear" w:color="auto" w:fill="CCEEFF"/>
          </w:tcPr>
          <w:p>
            <w:pPr>
              <w:ind w:left="260"/>
              <w:spacing w:after="0" w:line="156" w:lineRule="exact"/>
              <w:rPr>
                <w:sz w:val="20"/>
                <w:szCs w:val="20"/>
                <w:color w:val="auto"/>
              </w:rPr>
            </w:pPr>
            <w:r>
              <w:rPr>
                <w:rFonts w:ascii="Arial" w:cs="Arial" w:eastAsia="Arial" w:hAnsi="Arial"/>
                <w:sz w:val="14"/>
                <w:szCs w:val="14"/>
                <w:color w:val="auto"/>
              </w:rPr>
              <w:t>(Dilution)/accretion per share held by</w:t>
            </w: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6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stockholder A (NAV per share less</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6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investment per share)</w:t>
            </w:r>
          </w:p>
        </w:tc>
        <w:tc>
          <w:tcPr>
            <w:tcW w:w="6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(0.02)</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0.44</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1.61</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620" w:type="dxa"/>
            <w:vAlign w:val="bottom"/>
          </w:tcPr>
          <w:p>
            <w:pPr>
              <w:ind w:left="260"/>
              <w:spacing w:after="0" w:line="155" w:lineRule="exact"/>
              <w:rPr>
                <w:sz w:val="20"/>
                <w:szCs w:val="20"/>
                <w:color w:val="auto"/>
              </w:rPr>
            </w:pPr>
            <w:r>
              <w:rPr>
                <w:rFonts w:ascii="Arial" w:cs="Arial" w:eastAsia="Arial" w:hAnsi="Arial"/>
                <w:sz w:val="14"/>
                <w:szCs w:val="14"/>
                <w:color w:val="auto"/>
              </w:rPr>
              <w:t>Percentage (dilution)/accretion to</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620" w:type="dxa"/>
            <w:vAlign w:val="bottom"/>
          </w:tcPr>
          <w:p>
            <w:pPr>
              <w:ind w:left="400"/>
              <w:spacing w:after="0"/>
              <w:rPr>
                <w:sz w:val="20"/>
                <w:szCs w:val="20"/>
                <w:color w:val="auto"/>
              </w:rPr>
            </w:pPr>
            <w:r>
              <w:rPr>
                <w:rFonts w:ascii="Arial" w:cs="Arial" w:eastAsia="Arial" w:hAnsi="Arial"/>
                <w:sz w:val="14"/>
                <w:szCs w:val="14"/>
                <w:color w:val="auto"/>
              </w:rPr>
              <w:t>stockholder A (dilution)/ accretion</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20" w:type="dxa"/>
            <w:vAlign w:val="bottom"/>
          </w:tcPr>
          <w:p>
            <w:pPr>
              <w:ind w:left="400"/>
              <w:spacing w:after="0"/>
              <w:rPr>
                <w:sz w:val="20"/>
                <w:szCs w:val="20"/>
                <w:color w:val="auto"/>
              </w:rPr>
            </w:pPr>
            <w:r>
              <w:rPr>
                <w:rFonts w:ascii="Arial" w:cs="Arial" w:eastAsia="Arial" w:hAnsi="Arial"/>
                <w:sz w:val="14"/>
                <w:szCs w:val="14"/>
                <w:color w:val="auto"/>
                <w:w w:val="99"/>
              </w:rPr>
              <w:t>per share divided by investment per</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400"/>
              <w:spacing w:after="0"/>
              <w:rPr>
                <w:sz w:val="20"/>
                <w:szCs w:val="20"/>
                <w:color w:val="auto"/>
              </w:rPr>
            </w:pPr>
            <w:r>
              <w:rPr>
                <w:rFonts w:ascii="Arial" w:cs="Arial" w:eastAsia="Arial" w:hAnsi="Arial"/>
                <w:sz w:val="14"/>
                <w:szCs w:val="14"/>
                <w:color w:val="auto"/>
              </w:rPr>
              <w:t>share</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(0.20)%</w:t>
            </w:r>
          </w:p>
        </w:tc>
        <w:tc>
          <w:tcPr>
            <w:tcW w:w="8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4.65%</w:t>
            </w:r>
          </w:p>
        </w:tc>
        <w:tc>
          <w:tcPr>
            <w:tcW w:w="8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20.41%</w:t>
            </w:r>
          </w:p>
        </w:tc>
        <w:tc>
          <w:tcPr>
            <w:tcW w:w="0" w:type="dxa"/>
            <w:vAlign w:val="bottom"/>
          </w:tcPr>
          <w:p>
            <w:pPr>
              <w:spacing w:after="0"/>
              <w:rPr>
                <w:sz w:val="1"/>
                <w:szCs w:val="1"/>
                <w:color w:val="auto"/>
              </w:rPr>
            </w:pPr>
          </w:p>
        </w:tc>
      </w:tr>
    </w:tbl>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2805" cy="457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DISTRIBUTIONS</w:t>
      </w:r>
    </w:p>
    <w:p>
      <w:pPr>
        <w:spacing w:after="0" w:line="175" w:lineRule="exact"/>
        <w:rPr>
          <w:sz w:val="20"/>
          <w:szCs w:val="20"/>
          <w:color w:val="auto"/>
        </w:rPr>
      </w:pPr>
    </w:p>
    <w:p>
      <w:pPr>
        <w:ind w:left="280" w:right="519" w:firstLine="338"/>
        <w:spacing w:after="0" w:line="252" w:lineRule="auto"/>
        <w:rPr>
          <w:sz w:val="20"/>
          <w:szCs w:val="20"/>
          <w:color w:val="auto"/>
        </w:rPr>
      </w:pPr>
      <w:r>
        <w:rPr>
          <w:rFonts w:ascii="Arial" w:cs="Arial" w:eastAsia="Arial" w:hAnsi="Arial"/>
          <w:sz w:val="14"/>
          <w:szCs w:val="14"/>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50" w:lineRule="exact"/>
        <w:rPr>
          <w:sz w:val="20"/>
          <w:szCs w:val="20"/>
          <w:color w:val="auto"/>
        </w:rPr>
      </w:pPr>
    </w:p>
    <w:p>
      <w:pPr>
        <w:ind w:left="280" w:right="919" w:firstLine="338"/>
        <w:spacing w:after="0" w:line="268" w:lineRule="auto"/>
        <w:rPr>
          <w:sz w:val="20"/>
          <w:szCs w:val="20"/>
          <w:color w:val="auto"/>
        </w:rPr>
      </w:pPr>
      <w:r>
        <w:rPr>
          <w:rFonts w:ascii="Arial" w:cs="Arial" w:eastAsia="Arial" w:hAnsi="Arial"/>
          <w:sz w:val="14"/>
          <w:szCs w:val="14"/>
          <w:color w:val="auto"/>
        </w:rPr>
        <w:t>Each year, a Form 1099-DIV will be sent to stockholders subject to information reporting that will state the amount and composition of distributions and provide information with respect to appropriate tax treatment of our distributions.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9019"/>
          </w:cols>
          <w:pgMar w:left="1440" w:top="245" w:right="1440" w:bottom="1440" w:gutter="0" w:footer="0" w:header="0"/>
        </w:sectPr>
      </w:pPr>
    </w:p>
    <w:bookmarkStart w:id="21" w:name="page22"/>
    <w:bookmarkEnd w:id="21"/>
    <w:p>
      <w:pPr>
        <w:ind w:left="280" w:right="299" w:firstLine="338"/>
        <w:spacing w:after="0" w:line="25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2805" cy="45720"/>
                    </a:xfrm>
                    <a:prstGeom prst="rect">
                      <a:avLst/>
                    </a:prstGeom>
                    <a:noFill/>
                  </pic:spPr>
                </pic:pic>
              </a:graphicData>
            </a:graphic>
          </wp:anchor>
        </w:drawing>
        <w:t>The tax characteristics of distributions declared, in accordance with Section 19(a) of the 1940 Act, for our fiscal and taxable years ended September 30, 2022 and 2021 from ordinary income (including short-term gains), if any, totaled $46.7 million, or $1.14 per share, and $44.2 million, or $1.14 per share, based on the weighted average shares outstanding for the respective periods. Additionally, for both years ended September 30, 2022 and 2021, we did not pay any distributions from long-term capital gains.</w:t>
      </w:r>
    </w:p>
    <w:p>
      <w:pPr>
        <w:spacing w:after="0" w:line="148" w:lineRule="exact"/>
        <w:rPr>
          <w:sz w:val="20"/>
          <w:szCs w:val="20"/>
          <w:color w:val="auto"/>
        </w:rPr>
      </w:pPr>
    </w:p>
    <w:p>
      <w:pPr>
        <w:ind w:left="280" w:right="439" w:firstLine="338"/>
        <w:spacing w:after="0" w:line="276" w:lineRule="auto"/>
        <w:rPr>
          <w:sz w:val="20"/>
          <w:szCs w:val="20"/>
          <w:color w:val="auto"/>
        </w:rPr>
      </w:pPr>
      <w:r>
        <w:rPr>
          <w:rFonts w:ascii="Arial" w:cs="Arial" w:eastAsia="Arial" w:hAnsi="Arial"/>
          <w:sz w:val="13"/>
          <w:szCs w:val="13"/>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9019"/>
          </w:cols>
          <w:pgMar w:left="1440" w:top="264" w:right="1440" w:bottom="1440" w:gutter="0" w:footer="0" w:header="0"/>
        </w:sectPr>
      </w:pPr>
    </w:p>
    <w:bookmarkStart w:id="22" w:name="page23"/>
    <w:bookmarkEnd w:id="22"/>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2805" cy="45720"/>
                    </a:xfrm>
                    <a:prstGeom prst="rect">
                      <a:avLst/>
                    </a:prstGeom>
                    <a:noFill/>
                  </pic:spPr>
                </pic:pic>
              </a:graphicData>
            </a:graphic>
          </wp:anchor>
        </w:drawing>
        <w:t>PORTFOLIO COMPANIES</w:t>
      </w:r>
    </w:p>
    <w:p>
      <w:pPr>
        <w:spacing w:after="0" w:line="175" w:lineRule="exact"/>
        <w:rPr>
          <w:sz w:val="20"/>
          <w:szCs w:val="20"/>
          <w:color w:val="auto"/>
        </w:rPr>
      </w:pPr>
    </w:p>
    <w:p>
      <w:pPr>
        <w:ind w:left="280" w:right="379" w:firstLine="338"/>
        <w:spacing w:after="0" w:line="276" w:lineRule="auto"/>
        <w:rPr>
          <w:sz w:val="20"/>
          <w:szCs w:val="20"/>
          <w:color w:val="auto"/>
        </w:rPr>
      </w:pPr>
      <w:r>
        <w:rPr>
          <w:rFonts w:ascii="Arial" w:cs="Arial" w:eastAsia="Arial" w:hAnsi="Arial"/>
          <w:sz w:val="13"/>
          <w:szCs w:val="13"/>
          <w:color w:val="auto"/>
        </w:rPr>
        <w:t>The following is a listing of each portfolio company or its affiliate, together referred to as portfolio companies, in which we had an investment as of September 30, 2022.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Consolidated Financial Statements included in our most recent Annual Report on Form 10-K for the fiscal year ended September 30, 2022.</w:t>
      </w:r>
    </w:p>
    <w:p>
      <w:pPr>
        <w:spacing w:after="0" w:line="136" w:lineRule="exact"/>
        <w:rPr>
          <w:sz w:val="20"/>
          <w:szCs w:val="20"/>
          <w:color w:val="auto"/>
        </w:rPr>
      </w:pPr>
    </w:p>
    <w:p>
      <w:pPr>
        <w:ind w:left="280" w:right="339" w:firstLine="338"/>
        <w:spacing w:after="0" w:line="271" w:lineRule="auto"/>
        <w:rPr>
          <w:sz w:val="20"/>
          <w:szCs w:val="20"/>
          <w:color w:val="auto"/>
        </w:rPr>
      </w:pPr>
      <w:r>
        <w:rPr>
          <w:rFonts w:ascii="Arial" w:cs="Arial" w:eastAsia="Arial" w:hAnsi="Arial"/>
          <w:sz w:val="13"/>
          <w:szCs w:val="13"/>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generally presumed to be controlled by us under the 1940 Act. We make available significant managerial assistance to our portfolio companies. Certain assets are pledged as collateral under our Credit Facility or secure the 2031 Asset-Backed Debt as disclosed in our Consolidated Schedule of Investments. Unless otherwise noted, we held no voting board membership on any of our portfolio companies.</w:t>
      </w:r>
    </w:p>
    <w:p>
      <w:pPr>
        <w:spacing w:after="0" w:line="142" w:lineRule="exact"/>
        <w:rPr>
          <w:sz w:val="20"/>
          <w:szCs w:val="20"/>
          <w:color w:val="auto"/>
        </w:rPr>
      </w:pPr>
    </w:p>
    <w:tbl>
      <w:tblPr>
        <w:tblLayout w:type="fixed"/>
        <w:tblInd w:w="280" w:type="dxa"/>
        <w:tblCellMar>
          <w:top w:w="0" w:type="dxa"/>
          <w:left w:w="0" w:type="dxa"/>
          <w:bottom w:w="0" w:type="dxa"/>
          <w:right w:w="0" w:type="dxa"/>
        </w:tblCellMar>
      </w:tblPr>
      <w:tr>
        <w:trPr>
          <w:trHeight w:val="126"/>
        </w:trPr>
        <w:tc>
          <w:tcPr>
            <w:tcW w:w="37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Name and</w:t>
            </w:r>
          </w:p>
        </w:tc>
        <w:tc>
          <w:tcPr>
            <w:tcW w:w="1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0"/>
              </w:rPr>
              <w:t>Type of Investment,</w:t>
            </w:r>
          </w:p>
        </w:tc>
        <w:tc>
          <w:tcPr>
            <w:tcW w:w="84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Voting</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70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840" w:type="dxa"/>
            <w:vAlign w:val="bottom"/>
            <w:gridSpan w:val="2"/>
          </w:tcPr>
          <w:p>
            <w:pPr>
              <w:jc w:val="right"/>
              <w:ind w:right="240"/>
              <w:spacing w:after="0" w:line="111" w:lineRule="exact"/>
              <w:rPr>
                <w:sz w:val="20"/>
                <w:szCs w:val="20"/>
                <w:color w:val="auto"/>
              </w:rPr>
            </w:pPr>
            <w:r>
              <w:rPr>
                <w:rFonts w:ascii="Arial" w:cs="Arial" w:eastAsia="Arial" w:hAnsi="Arial"/>
                <w:sz w:val="11"/>
                <w:szCs w:val="11"/>
                <w:b w:val="1"/>
                <w:bCs w:val="1"/>
                <w:color w:val="auto"/>
                <w:w w:val="97"/>
              </w:rPr>
              <w:t>Percentage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120"/>
              <w:spacing w:after="0" w:line="111" w:lineRule="exact"/>
              <w:rPr>
                <w:sz w:val="20"/>
                <w:szCs w:val="20"/>
                <w:color w:val="auto"/>
              </w:rPr>
            </w:pPr>
            <w:r>
              <w:rPr>
                <w:rFonts w:ascii="Arial" w:cs="Arial" w:eastAsia="Arial" w:hAnsi="Arial"/>
                <w:sz w:val="11"/>
                <w:szCs w:val="11"/>
                <w:b w:val="1"/>
                <w:bCs w:val="1"/>
                <w:color w:val="auto"/>
                <w:w w:val="94"/>
              </w:rPr>
              <w:t>Fair Value</w:t>
            </w:r>
          </w:p>
        </w:tc>
        <w:tc>
          <w:tcPr>
            <w:tcW w:w="0" w:type="dxa"/>
            <w:vAlign w:val="bottom"/>
          </w:tcPr>
          <w:p>
            <w:pPr>
              <w:spacing w:after="0"/>
              <w:rPr>
                <w:sz w:val="1"/>
                <w:szCs w:val="1"/>
                <w:color w:val="auto"/>
              </w:rPr>
            </w:pPr>
          </w:p>
        </w:tc>
      </w:tr>
      <w:tr>
        <w:trPr>
          <w:trHeight w:val="124"/>
        </w:trPr>
        <w:tc>
          <w:tcPr>
            <w:tcW w:w="37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Address of Portfolio Company</w:t>
            </w:r>
          </w:p>
        </w:tc>
        <w:tc>
          <w:tcPr>
            <w:tcW w:w="1460" w:type="dxa"/>
            <w:vAlign w:val="bottom"/>
            <w:gridSpan w:val="2"/>
          </w:tcPr>
          <w:p>
            <w:pPr>
              <w:jc w:val="center"/>
              <w:ind w:right="340"/>
              <w:spacing w:after="0" w:line="125" w:lineRule="exact"/>
              <w:rPr>
                <w:sz w:val="20"/>
                <w:szCs w:val="20"/>
                <w:color w:val="auto"/>
              </w:rPr>
            </w:pPr>
            <w:r>
              <w:rPr>
                <w:rFonts w:ascii="Arial" w:cs="Arial" w:eastAsia="Arial" w:hAnsi="Arial"/>
                <w:sz w:val="11"/>
                <w:szCs w:val="11"/>
                <w:b w:val="1"/>
                <w:bCs w:val="1"/>
                <w:color w:val="auto"/>
                <w:w w:val="87"/>
              </w:rPr>
              <w:t>Nature of Business</w:t>
            </w:r>
          </w:p>
        </w:tc>
        <w:tc>
          <w:tcPr>
            <w:tcW w:w="1660" w:type="dxa"/>
            <w:vAlign w:val="bottom"/>
            <w:gridSpan w:val="2"/>
          </w:tcPr>
          <w:p>
            <w:pPr>
              <w:jc w:val="center"/>
              <w:ind w:right="120"/>
              <w:spacing w:after="0" w:line="125" w:lineRule="exact"/>
              <w:rPr>
                <w:sz w:val="20"/>
                <w:szCs w:val="20"/>
                <w:color w:val="auto"/>
              </w:rPr>
            </w:pPr>
            <w:r>
              <w:rPr>
                <w:rFonts w:ascii="Arial" w:cs="Arial" w:eastAsia="Arial" w:hAnsi="Arial"/>
                <w:sz w:val="11"/>
                <w:szCs w:val="11"/>
                <w:b w:val="1"/>
                <w:bCs w:val="1"/>
                <w:color w:val="auto"/>
                <w:w w:val="95"/>
              </w:rPr>
              <w:t>Interest(1), Maturity</w:t>
            </w:r>
          </w:p>
        </w:tc>
        <w:tc>
          <w:tcPr>
            <w:tcW w:w="840" w:type="dxa"/>
            <w:vAlign w:val="bottom"/>
            <w:gridSpan w:val="2"/>
          </w:tcPr>
          <w:p>
            <w:pPr>
              <w:jc w:val="right"/>
              <w:ind w:right="180"/>
              <w:spacing w:after="0" w:line="125" w:lineRule="exact"/>
              <w:rPr>
                <w:sz w:val="20"/>
                <w:szCs w:val="20"/>
                <w:color w:val="auto"/>
              </w:rPr>
            </w:pPr>
            <w:r>
              <w:rPr>
                <w:rFonts w:ascii="Arial" w:cs="Arial" w:eastAsia="Arial" w:hAnsi="Arial"/>
                <w:sz w:val="11"/>
                <w:szCs w:val="11"/>
                <w:b w:val="1"/>
                <w:bCs w:val="1"/>
                <w:color w:val="auto"/>
                <w:w w:val="90"/>
              </w:rPr>
              <w:t>Ownership(2)</w:t>
            </w:r>
          </w:p>
        </w:tc>
        <w:tc>
          <w:tcPr>
            <w:tcW w:w="80" w:type="dxa"/>
            <w:vAlign w:val="bottom"/>
          </w:tcPr>
          <w:p>
            <w:pPr>
              <w:spacing w:after="0"/>
              <w:rPr>
                <w:sz w:val="10"/>
                <w:szCs w:val="10"/>
                <w:color w:val="auto"/>
              </w:rPr>
            </w:pPr>
          </w:p>
        </w:tc>
        <w:tc>
          <w:tcPr>
            <w:tcW w:w="7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w w:val="89"/>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bottom w:val="single" w:sz="8" w:color="CCEEFF"/>
            </w:tcBorders>
            <w:shd w:val="clear" w:color="auto" w:fill="000000"/>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3680" w:type="dxa"/>
            <w:vAlign w:val="bottom"/>
            <w:gridSpan w:val="2"/>
            <w:shd w:val="clear" w:color="auto" w:fill="CCEEFF"/>
          </w:tcPr>
          <w:p>
            <w:pPr>
              <w:spacing w:after="0" w:line="95" w:lineRule="exact"/>
              <w:rPr>
                <w:sz w:val="20"/>
                <w:szCs w:val="20"/>
                <w:color w:val="auto"/>
              </w:rPr>
            </w:pPr>
            <w:r>
              <w:rPr>
                <w:rFonts w:ascii="Arial" w:cs="Arial" w:eastAsia="Arial" w:hAnsi="Arial"/>
                <w:sz w:val="10"/>
                <w:szCs w:val="10"/>
                <w:b w:val="1"/>
                <w:bCs w:val="1"/>
                <w:color w:val="auto"/>
              </w:rPr>
              <w:t>Companies Less than 5% Owned</w:t>
            </w:r>
          </w:p>
        </w:tc>
        <w:tc>
          <w:tcPr>
            <w:tcW w:w="1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80" w:type="dxa"/>
            <w:vAlign w:val="bottom"/>
            <w:gridSpan w:val="2"/>
          </w:tcPr>
          <w:p>
            <w:pPr>
              <w:spacing w:after="0" w:line="101" w:lineRule="exact"/>
              <w:rPr>
                <w:sz w:val="20"/>
                <w:szCs w:val="20"/>
                <w:color w:val="auto"/>
              </w:rPr>
            </w:pPr>
            <w:r>
              <w:rPr>
                <w:rFonts w:ascii="Arial" w:cs="Arial" w:eastAsia="Arial" w:hAnsi="Arial"/>
                <w:sz w:val="11"/>
                <w:szCs w:val="11"/>
                <w:color w:val="auto"/>
              </w:rPr>
              <w:t>Ad.net Acquisition, LLC</w:t>
            </w:r>
          </w:p>
        </w:tc>
        <w:tc>
          <w:tcPr>
            <w:tcW w:w="1460" w:type="dxa"/>
            <w:vAlign w:val="bottom"/>
            <w:gridSpan w:val="2"/>
          </w:tcPr>
          <w:p>
            <w:pPr>
              <w:jc w:val="center"/>
              <w:ind w:right="340"/>
              <w:spacing w:after="0" w:line="101" w:lineRule="exact"/>
              <w:rPr>
                <w:sz w:val="20"/>
                <w:szCs w:val="20"/>
                <w:color w:val="auto"/>
              </w:rPr>
            </w:pPr>
            <w:r>
              <w:rPr>
                <w:rFonts w:ascii="Arial" w:cs="Arial" w:eastAsia="Arial" w:hAnsi="Arial"/>
                <w:sz w:val="11"/>
                <w:szCs w:val="11"/>
                <w:color w:val="auto"/>
                <w:w w:val="93"/>
              </w:rPr>
              <w:t>Media</w:t>
            </w:r>
          </w:p>
        </w:tc>
        <w:tc>
          <w:tcPr>
            <w:tcW w:w="1660" w:type="dxa"/>
            <w:vAlign w:val="bottom"/>
            <w:gridSpan w:val="2"/>
          </w:tcPr>
          <w:p>
            <w:pPr>
              <w:jc w:val="center"/>
              <w:ind w:right="120"/>
              <w:spacing w:after="0" w:line="101" w:lineRule="exact"/>
              <w:rPr>
                <w:sz w:val="20"/>
                <w:szCs w:val="20"/>
                <w:color w:val="auto"/>
              </w:rPr>
            </w:pPr>
            <w:r>
              <w:rPr>
                <w:rFonts w:ascii="Arial" w:cs="Arial" w:eastAsia="Arial" w:hAnsi="Arial"/>
                <w:sz w:val="11"/>
                <w:szCs w:val="11"/>
                <w:color w:val="auto"/>
                <w:w w:val="92"/>
              </w:rPr>
              <w:t>First Lien Secured Debt(4),</w:t>
            </w:r>
          </w:p>
        </w:tc>
        <w:tc>
          <w:tcPr>
            <w:tcW w:w="840" w:type="dxa"/>
            <w:vAlign w:val="bottom"/>
            <w:gridSpan w:val="2"/>
          </w:tcPr>
          <w:p>
            <w:pPr>
              <w:jc w:val="right"/>
              <w:ind w:right="80"/>
              <w:spacing w:after="0" w:line="101" w:lineRule="exact"/>
              <w:rPr>
                <w:sz w:val="20"/>
                <w:szCs w:val="20"/>
                <w:color w:val="auto"/>
              </w:rPr>
            </w:pPr>
            <w:r>
              <w:rPr>
                <w:rFonts w:ascii="Arial" w:cs="Arial" w:eastAsia="Arial" w:hAnsi="Arial"/>
                <w:sz w:val="11"/>
                <w:szCs w:val="11"/>
                <w:color w:val="auto"/>
              </w:rPr>
              <w:t>0.9%</w:t>
            </w:r>
          </w:p>
        </w:tc>
        <w:tc>
          <w:tcPr>
            <w:tcW w:w="160" w:type="dxa"/>
            <w:vAlign w:val="bottom"/>
            <w:gridSpan w:val="2"/>
          </w:tcPr>
          <w:p>
            <w:pPr>
              <w:ind w:left="80"/>
              <w:spacing w:after="0" w:line="101" w:lineRule="exact"/>
              <w:rPr>
                <w:sz w:val="20"/>
                <w:szCs w:val="20"/>
                <w:color w:val="auto"/>
              </w:rPr>
            </w:pPr>
            <w:r>
              <w:rPr>
                <w:rFonts w:ascii="Arial" w:cs="Arial" w:eastAsia="Arial" w:hAnsi="Arial"/>
                <w:sz w:val="11"/>
                <w:szCs w:val="11"/>
                <w:color w:val="auto"/>
                <w:w w:val="97"/>
              </w:rPr>
              <w:t>$</w:t>
            </w:r>
          </w:p>
        </w:tc>
        <w:tc>
          <w:tcPr>
            <w:tcW w:w="640" w:type="dxa"/>
            <w:vAlign w:val="bottom"/>
            <w:gridSpan w:val="2"/>
          </w:tcPr>
          <w:p>
            <w:pPr>
              <w:jc w:val="right"/>
              <w:ind w:right="40"/>
              <w:spacing w:after="0" w:line="101" w:lineRule="exact"/>
              <w:rPr>
                <w:sz w:val="20"/>
                <w:szCs w:val="20"/>
                <w:color w:val="auto"/>
              </w:rPr>
            </w:pPr>
            <w:r>
              <w:rPr>
                <w:rFonts w:ascii="Arial" w:cs="Arial" w:eastAsia="Arial" w:hAnsi="Arial"/>
                <w:sz w:val="11"/>
                <w:szCs w:val="11"/>
                <w:color w:val="auto"/>
              </w:rPr>
              <w:t>5,737</w:t>
            </w:r>
          </w:p>
        </w:tc>
        <w:tc>
          <w:tcPr>
            <w:tcW w:w="0" w:type="dxa"/>
            <w:vAlign w:val="bottom"/>
          </w:tcPr>
          <w:p>
            <w:pPr>
              <w:spacing w:after="0"/>
              <w:rPr>
                <w:sz w:val="1"/>
                <w:szCs w:val="1"/>
                <w:color w:val="auto"/>
              </w:rPr>
            </w:pPr>
          </w:p>
        </w:tc>
      </w:tr>
      <w:tr>
        <w:trPr>
          <w:trHeight w:val="114"/>
        </w:trPr>
        <w:tc>
          <w:tcPr>
            <w:tcW w:w="3700" w:type="dxa"/>
            <w:vAlign w:val="bottom"/>
            <w:gridSpan w:val="3"/>
          </w:tcPr>
          <w:p>
            <w:pPr>
              <w:spacing w:after="0" w:line="114" w:lineRule="exact"/>
              <w:rPr>
                <w:sz w:val="20"/>
                <w:szCs w:val="20"/>
                <w:color w:val="auto"/>
              </w:rPr>
            </w:pPr>
            <w:r>
              <w:rPr>
                <w:rFonts w:ascii="Arial" w:cs="Arial" w:eastAsia="Arial" w:hAnsi="Arial"/>
                <w:sz w:val="11"/>
                <w:szCs w:val="11"/>
                <w:color w:val="auto"/>
              </w:rPr>
              <w:t>(Ad.net Holdings, Inc.(5))</w:t>
            </w: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60" w:type="dxa"/>
            <w:vAlign w:val="bottom"/>
            <w:gridSpan w:val="2"/>
          </w:tcPr>
          <w:p>
            <w:pPr>
              <w:jc w:val="center"/>
              <w:ind w:right="120"/>
              <w:spacing w:after="0" w:line="114" w:lineRule="exact"/>
              <w:rPr>
                <w:sz w:val="20"/>
                <w:szCs w:val="20"/>
                <w:color w:val="auto"/>
              </w:rPr>
            </w:pPr>
            <w:r>
              <w:rPr>
                <w:rFonts w:ascii="Arial" w:cs="Arial" w:eastAsia="Arial" w:hAnsi="Arial"/>
                <w:sz w:val="11"/>
                <w:szCs w:val="11"/>
                <w:color w:val="auto"/>
                <w:w w:val="92"/>
              </w:rPr>
              <w:t>3M L+600, 05/06/2026</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00" w:type="dxa"/>
            <w:vAlign w:val="bottom"/>
            <w:gridSpan w:val="3"/>
          </w:tcPr>
          <w:p>
            <w:pPr>
              <w:spacing w:after="0" w:line="114" w:lineRule="exact"/>
              <w:rPr>
                <w:sz w:val="20"/>
                <w:szCs w:val="20"/>
                <w:color w:val="auto"/>
              </w:rPr>
            </w:pPr>
            <w:r>
              <w:rPr>
                <w:rFonts w:ascii="Arial" w:cs="Arial" w:eastAsia="Arial" w:hAnsi="Arial"/>
                <w:sz w:val="11"/>
                <w:szCs w:val="11"/>
                <w:color w:val="auto"/>
              </w:rPr>
              <w:t>1100 Glendon Avenue, Suite 1200</w:t>
            </w: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60" w:type="dxa"/>
            <w:vAlign w:val="bottom"/>
            <w:gridSpan w:val="2"/>
          </w:tcPr>
          <w:p>
            <w:pPr>
              <w:jc w:val="center"/>
              <w:ind w:right="120"/>
              <w:spacing w:after="0" w:line="114" w:lineRule="exact"/>
              <w:rPr>
                <w:sz w:val="20"/>
                <w:szCs w:val="20"/>
                <w:color w:val="auto"/>
              </w:rPr>
            </w:pPr>
            <w:r>
              <w:rPr>
                <w:rFonts w:ascii="Arial" w:cs="Arial" w:eastAsia="Arial" w:hAnsi="Arial"/>
                <w:sz w:val="11"/>
                <w:szCs w:val="11"/>
                <w:color w:val="auto"/>
                <w:w w:val="93"/>
              </w:rPr>
              <w:t>Preferred Equity</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00" w:type="dxa"/>
            <w:vAlign w:val="bottom"/>
            <w:gridSpan w:val="3"/>
          </w:tcPr>
          <w:p>
            <w:pPr>
              <w:spacing w:after="0"/>
              <w:rPr>
                <w:sz w:val="20"/>
                <w:szCs w:val="20"/>
                <w:color w:val="auto"/>
              </w:rPr>
            </w:pPr>
            <w:r>
              <w:rPr>
                <w:rFonts w:ascii="Arial" w:cs="Arial" w:eastAsia="Arial" w:hAnsi="Arial"/>
                <w:sz w:val="11"/>
                <w:szCs w:val="11"/>
                <w:color w:val="auto"/>
              </w:rPr>
              <w:t>Los Angeles, CA 90024</w:t>
            </w: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Common Equity</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68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Affinion Group Holdings, Inc.</w:t>
            </w:r>
          </w:p>
        </w:tc>
        <w:tc>
          <w:tcPr>
            <w:tcW w:w="1460" w:type="dxa"/>
            <w:vAlign w:val="bottom"/>
            <w:gridSpan w:val="2"/>
            <w:shd w:val="clear" w:color="auto" w:fill="CCEEFF"/>
          </w:tcPr>
          <w:p>
            <w:pPr>
              <w:jc w:val="center"/>
              <w:ind w:right="340"/>
              <w:spacing w:after="0" w:line="101" w:lineRule="exact"/>
              <w:rPr>
                <w:sz w:val="20"/>
                <w:szCs w:val="20"/>
                <w:color w:val="auto"/>
              </w:rPr>
            </w:pPr>
            <w:r>
              <w:rPr>
                <w:rFonts w:ascii="Arial" w:cs="Arial" w:eastAsia="Arial" w:hAnsi="Arial"/>
                <w:sz w:val="11"/>
                <w:szCs w:val="11"/>
                <w:color w:val="auto"/>
                <w:w w:val="89"/>
              </w:rPr>
              <w:t>Consumer Goods:</w:t>
            </w:r>
          </w:p>
        </w:tc>
        <w:tc>
          <w:tcPr>
            <w:tcW w:w="1660" w:type="dxa"/>
            <w:vAlign w:val="bottom"/>
            <w:gridSpan w:val="2"/>
            <w:shd w:val="clear" w:color="auto" w:fill="CCEEFF"/>
          </w:tcPr>
          <w:p>
            <w:pPr>
              <w:jc w:val="center"/>
              <w:ind w:right="120"/>
              <w:spacing w:after="0" w:line="101" w:lineRule="exact"/>
              <w:rPr>
                <w:sz w:val="20"/>
                <w:szCs w:val="20"/>
                <w:color w:val="auto"/>
              </w:rPr>
            </w:pPr>
            <w:r>
              <w:rPr>
                <w:rFonts w:ascii="Arial" w:cs="Arial" w:eastAsia="Arial" w:hAnsi="Arial"/>
                <w:sz w:val="11"/>
                <w:szCs w:val="11"/>
                <w:color w:val="auto"/>
                <w:w w:val="85"/>
              </w:rPr>
              <w:t>Warrants</w:t>
            </w:r>
          </w:p>
        </w:tc>
        <w:tc>
          <w:tcPr>
            <w:tcW w:w="840" w:type="dxa"/>
            <w:vAlign w:val="bottom"/>
            <w:gridSpan w:val="2"/>
            <w:shd w:val="clear" w:color="auto" w:fill="CCEEFF"/>
          </w:tcPr>
          <w:p>
            <w:pPr>
              <w:jc w:val="right"/>
              <w:ind w:right="240"/>
              <w:spacing w:after="0" w:line="10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8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100 Connecticut Avenue</w:t>
            </w:r>
          </w:p>
        </w:tc>
        <w:tc>
          <w:tcPr>
            <w:tcW w:w="1460" w:type="dxa"/>
            <w:vAlign w:val="bottom"/>
            <w:gridSpan w:val="2"/>
            <w:shd w:val="clear" w:color="auto" w:fill="CCEEFF"/>
          </w:tcPr>
          <w:p>
            <w:pPr>
              <w:jc w:val="center"/>
              <w:ind w:right="340"/>
              <w:spacing w:after="0" w:line="114" w:lineRule="exact"/>
              <w:rPr>
                <w:sz w:val="20"/>
                <w:szCs w:val="20"/>
                <w:color w:val="auto"/>
              </w:rPr>
            </w:pPr>
            <w:r>
              <w:rPr>
                <w:rFonts w:ascii="Arial" w:cs="Arial" w:eastAsia="Arial" w:hAnsi="Arial"/>
                <w:sz w:val="11"/>
                <w:szCs w:val="11"/>
                <w:color w:val="auto"/>
                <w:w w:val="93"/>
              </w:rPr>
              <w:t>Durable</w:t>
            </w:r>
          </w:p>
        </w:tc>
        <w:tc>
          <w:tcPr>
            <w:tcW w:w="1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Norwalk, CT 06850</w:t>
            </w:r>
          </w:p>
        </w:tc>
        <w:tc>
          <w:tcPr>
            <w:tcW w:w="1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00" w:type="dxa"/>
            <w:vAlign w:val="bottom"/>
            <w:gridSpan w:val="3"/>
          </w:tcPr>
          <w:p>
            <w:pPr>
              <w:spacing w:after="0"/>
              <w:rPr>
                <w:sz w:val="20"/>
                <w:szCs w:val="20"/>
                <w:color w:val="auto"/>
              </w:rPr>
            </w:pPr>
            <w:r>
              <w:rPr>
                <w:rFonts w:ascii="Arial" w:cs="Arial" w:eastAsia="Arial" w:hAnsi="Arial"/>
                <w:sz w:val="11"/>
                <w:szCs w:val="11"/>
                <w:color w:val="auto"/>
              </w:rPr>
              <w:t>AG Investco LP(5)</w:t>
            </w:r>
          </w:p>
        </w:tc>
        <w:tc>
          <w:tcPr>
            <w:tcW w:w="1460" w:type="dxa"/>
            <w:vAlign w:val="bottom"/>
            <w:gridSpan w:val="2"/>
          </w:tcPr>
          <w:p>
            <w:pPr>
              <w:jc w:val="center"/>
              <w:ind w:right="340"/>
              <w:spacing w:after="0"/>
              <w:rPr>
                <w:sz w:val="20"/>
                <w:szCs w:val="20"/>
                <w:color w:val="auto"/>
              </w:rPr>
            </w:pPr>
            <w:r>
              <w:rPr>
                <w:rFonts w:ascii="Arial" w:cs="Arial" w:eastAsia="Arial" w:hAnsi="Arial"/>
                <w:sz w:val="11"/>
                <w:szCs w:val="11"/>
                <w:color w:val="auto"/>
                <w:w w:val="92"/>
              </w:rPr>
              <w:t>Software</w:t>
            </w:r>
          </w:p>
        </w:tc>
        <w:tc>
          <w:tcPr>
            <w:tcW w:w="166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Common Equity(4)</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2.6%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1,127</w:t>
            </w:r>
          </w:p>
        </w:tc>
        <w:tc>
          <w:tcPr>
            <w:tcW w:w="0" w:type="dxa"/>
            <w:vAlign w:val="bottom"/>
          </w:tcPr>
          <w:p>
            <w:pPr>
              <w:spacing w:after="0"/>
              <w:rPr>
                <w:sz w:val="1"/>
                <w:szCs w:val="1"/>
                <w:color w:val="auto"/>
              </w:rPr>
            </w:pPr>
          </w:p>
        </w:tc>
      </w:tr>
      <w:tr>
        <w:trPr>
          <w:trHeight w:val="114"/>
        </w:trPr>
        <w:tc>
          <w:tcPr>
            <w:tcW w:w="3700" w:type="dxa"/>
            <w:vAlign w:val="bottom"/>
            <w:gridSpan w:val="3"/>
          </w:tcPr>
          <w:p>
            <w:pPr>
              <w:spacing w:after="0" w:line="114" w:lineRule="exact"/>
              <w:rPr>
                <w:sz w:val="20"/>
                <w:szCs w:val="20"/>
                <w:color w:val="auto"/>
              </w:rPr>
            </w:pPr>
            <w:r>
              <w:rPr>
                <w:rFonts w:ascii="Arial" w:cs="Arial" w:eastAsia="Arial" w:hAnsi="Arial"/>
                <w:sz w:val="11"/>
                <w:szCs w:val="11"/>
                <w:color w:val="auto"/>
              </w:rPr>
              <w:t>251 Little Falls Drive</w:t>
            </w: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00" w:type="dxa"/>
            <w:vAlign w:val="bottom"/>
            <w:gridSpan w:val="3"/>
          </w:tcPr>
          <w:p>
            <w:pPr>
              <w:spacing w:after="0"/>
              <w:rPr>
                <w:sz w:val="20"/>
                <w:szCs w:val="20"/>
                <w:color w:val="auto"/>
              </w:rPr>
            </w:pPr>
            <w:r>
              <w:rPr>
                <w:rFonts w:ascii="Arial" w:cs="Arial" w:eastAsia="Arial" w:hAnsi="Arial"/>
                <w:sz w:val="11"/>
                <w:szCs w:val="11"/>
                <w:color w:val="auto"/>
              </w:rPr>
              <w:t>Herndon, VA 19808</w:t>
            </w: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68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Altamira Technologies, LLC</w:t>
            </w:r>
          </w:p>
        </w:tc>
        <w:tc>
          <w:tcPr>
            <w:tcW w:w="1460" w:type="dxa"/>
            <w:vAlign w:val="bottom"/>
            <w:gridSpan w:val="2"/>
            <w:shd w:val="clear" w:color="auto" w:fill="CCEEFF"/>
          </w:tcPr>
          <w:p>
            <w:pPr>
              <w:jc w:val="center"/>
              <w:ind w:right="340"/>
              <w:spacing w:after="0" w:line="101" w:lineRule="exact"/>
              <w:rPr>
                <w:sz w:val="20"/>
                <w:szCs w:val="20"/>
                <w:color w:val="auto"/>
              </w:rPr>
            </w:pPr>
            <w:r>
              <w:rPr>
                <w:rFonts w:ascii="Arial" w:cs="Arial" w:eastAsia="Arial" w:hAnsi="Arial"/>
                <w:sz w:val="11"/>
                <w:szCs w:val="11"/>
                <w:color w:val="auto"/>
                <w:w w:val="94"/>
              </w:rPr>
              <w:t>IT Services</w:t>
            </w:r>
          </w:p>
        </w:tc>
        <w:tc>
          <w:tcPr>
            <w:tcW w:w="1660" w:type="dxa"/>
            <w:vAlign w:val="bottom"/>
            <w:gridSpan w:val="2"/>
            <w:shd w:val="clear" w:color="auto" w:fill="CCEEFF"/>
          </w:tcPr>
          <w:p>
            <w:pPr>
              <w:jc w:val="center"/>
              <w:ind w:right="120"/>
              <w:spacing w:after="0" w:line="101" w:lineRule="exact"/>
              <w:rPr>
                <w:sz w:val="20"/>
                <w:szCs w:val="20"/>
                <w:color w:val="auto"/>
              </w:rPr>
            </w:pPr>
            <w:r>
              <w:rPr>
                <w:rFonts w:ascii="Arial" w:cs="Arial" w:eastAsia="Arial" w:hAnsi="Arial"/>
                <w:sz w:val="11"/>
                <w:szCs w:val="11"/>
                <w:color w:val="auto"/>
                <w:w w:val="92"/>
              </w:rPr>
              <w:t>First Lien Secured Debt(4),</w:t>
            </w:r>
          </w:p>
        </w:tc>
        <w:tc>
          <w:tcPr>
            <w:tcW w:w="8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11"/>
                <w:szCs w:val="11"/>
                <w:color w:val="auto"/>
              </w:rPr>
              <w:t>2.9%</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6,032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8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(Altamira Intermediate Company II, Inc.)</w:t>
            </w:r>
          </w:p>
        </w:tc>
        <w:tc>
          <w:tcPr>
            <w:tcW w:w="1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66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1"/>
                <w:szCs w:val="11"/>
                <w:color w:val="auto"/>
                <w:w w:val="92"/>
              </w:rPr>
              <w:t>3M L+800, 07/24/2025</w:t>
            </w:r>
          </w:p>
        </w:tc>
        <w:tc>
          <w:tcPr>
            <w:tcW w:w="6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8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8201 Greensboro Drive, Suite 800</w:t>
            </w:r>
          </w:p>
        </w:tc>
        <w:tc>
          <w:tcPr>
            <w:tcW w:w="1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66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1"/>
                <w:szCs w:val="11"/>
                <w:color w:val="auto"/>
                <w:w w:val="94"/>
              </w:rPr>
              <w:t>Common Equity</w:t>
            </w:r>
          </w:p>
        </w:tc>
        <w:tc>
          <w:tcPr>
            <w:tcW w:w="6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McLean, VA 22102</w:t>
            </w:r>
          </w:p>
        </w:tc>
        <w:tc>
          <w:tcPr>
            <w:tcW w:w="1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00" w:type="dxa"/>
            <w:vAlign w:val="bottom"/>
            <w:gridSpan w:val="3"/>
          </w:tcPr>
          <w:p>
            <w:pPr>
              <w:spacing w:after="0"/>
              <w:rPr>
                <w:sz w:val="20"/>
                <w:szCs w:val="20"/>
                <w:color w:val="auto"/>
              </w:rPr>
            </w:pPr>
            <w:r>
              <w:rPr>
                <w:rFonts w:ascii="Arial" w:cs="Arial" w:eastAsia="Arial" w:hAnsi="Arial"/>
                <w:sz w:val="11"/>
                <w:szCs w:val="11"/>
                <w:color w:val="auto"/>
              </w:rPr>
              <w:t>American Insulated Glass, LLC</w:t>
            </w:r>
          </w:p>
        </w:tc>
        <w:tc>
          <w:tcPr>
            <w:tcW w:w="1460" w:type="dxa"/>
            <w:vAlign w:val="bottom"/>
            <w:gridSpan w:val="2"/>
          </w:tcPr>
          <w:p>
            <w:pPr>
              <w:jc w:val="center"/>
              <w:ind w:right="340"/>
              <w:spacing w:after="0"/>
              <w:rPr>
                <w:sz w:val="20"/>
                <w:szCs w:val="20"/>
                <w:color w:val="auto"/>
              </w:rPr>
            </w:pPr>
            <w:r>
              <w:rPr>
                <w:rFonts w:ascii="Arial" w:cs="Arial" w:eastAsia="Arial" w:hAnsi="Arial"/>
                <w:sz w:val="11"/>
                <w:szCs w:val="11"/>
                <w:color w:val="auto"/>
                <w:w w:val="93"/>
              </w:rPr>
              <w:t>Building Products</w:t>
            </w:r>
          </w:p>
        </w:tc>
        <w:tc>
          <w:tcPr>
            <w:tcW w:w="166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First Lien Secured Debt,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0.7%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7,978</w:t>
            </w:r>
          </w:p>
        </w:tc>
        <w:tc>
          <w:tcPr>
            <w:tcW w:w="0" w:type="dxa"/>
            <w:vAlign w:val="bottom"/>
          </w:tcPr>
          <w:p>
            <w:pPr>
              <w:spacing w:after="0"/>
              <w:rPr>
                <w:sz w:val="1"/>
                <w:szCs w:val="1"/>
                <w:color w:val="auto"/>
              </w:rPr>
            </w:pPr>
          </w:p>
        </w:tc>
      </w:tr>
      <w:tr>
        <w:trPr>
          <w:trHeight w:val="114"/>
        </w:trPr>
        <w:tc>
          <w:tcPr>
            <w:tcW w:w="3700" w:type="dxa"/>
            <w:vAlign w:val="bottom"/>
            <w:gridSpan w:val="3"/>
          </w:tcPr>
          <w:p>
            <w:pPr>
              <w:spacing w:after="0" w:line="114" w:lineRule="exact"/>
              <w:rPr>
                <w:sz w:val="20"/>
                <w:szCs w:val="20"/>
                <w:color w:val="auto"/>
              </w:rPr>
            </w:pPr>
            <w:r>
              <w:rPr>
                <w:rFonts w:ascii="Arial" w:cs="Arial" w:eastAsia="Arial" w:hAnsi="Arial"/>
                <w:sz w:val="11"/>
                <w:szCs w:val="11"/>
                <w:color w:val="auto"/>
              </w:rPr>
              <w:t>(Go Dawgs Capital III, LP(5))</w:t>
            </w: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60" w:type="dxa"/>
            <w:vAlign w:val="bottom"/>
            <w:gridSpan w:val="2"/>
          </w:tcPr>
          <w:p>
            <w:pPr>
              <w:jc w:val="center"/>
              <w:ind w:right="120"/>
              <w:spacing w:after="0" w:line="114" w:lineRule="exact"/>
              <w:rPr>
                <w:sz w:val="20"/>
                <w:szCs w:val="20"/>
                <w:color w:val="auto"/>
              </w:rPr>
            </w:pPr>
            <w:r>
              <w:rPr>
                <w:rFonts w:ascii="Arial" w:cs="Arial" w:eastAsia="Arial" w:hAnsi="Arial"/>
                <w:sz w:val="11"/>
                <w:szCs w:val="11"/>
                <w:color w:val="auto"/>
                <w:w w:val="92"/>
              </w:rPr>
              <w:t>3M L+550, 12/21/2023</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00" w:type="dxa"/>
            <w:vAlign w:val="bottom"/>
            <w:gridSpan w:val="3"/>
          </w:tcPr>
          <w:p>
            <w:pPr>
              <w:spacing w:after="0" w:line="114" w:lineRule="exact"/>
              <w:rPr>
                <w:sz w:val="20"/>
                <w:szCs w:val="20"/>
                <w:color w:val="auto"/>
              </w:rPr>
            </w:pPr>
            <w:r>
              <w:rPr>
                <w:rFonts w:ascii="Arial" w:cs="Arial" w:eastAsia="Arial" w:hAnsi="Arial"/>
                <w:sz w:val="11"/>
                <w:szCs w:val="11"/>
                <w:color w:val="auto"/>
              </w:rPr>
              <w:t>3965 E. Conley Road</w:t>
            </w: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60" w:type="dxa"/>
            <w:vAlign w:val="bottom"/>
            <w:gridSpan w:val="2"/>
          </w:tcPr>
          <w:p>
            <w:pPr>
              <w:jc w:val="center"/>
              <w:ind w:right="120"/>
              <w:spacing w:after="0" w:line="114" w:lineRule="exact"/>
              <w:rPr>
                <w:sz w:val="20"/>
                <w:szCs w:val="20"/>
                <w:color w:val="auto"/>
              </w:rPr>
            </w:pPr>
            <w:r>
              <w:rPr>
                <w:rFonts w:ascii="Arial" w:cs="Arial" w:eastAsia="Arial" w:hAnsi="Arial"/>
                <w:sz w:val="11"/>
                <w:szCs w:val="11"/>
                <w:color w:val="auto"/>
                <w:w w:val="94"/>
              </w:rPr>
              <w:t>Common Equity</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00" w:type="dxa"/>
            <w:vAlign w:val="bottom"/>
            <w:gridSpan w:val="3"/>
          </w:tcPr>
          <w:p>
            <w:pPr>
              <w:spacing w:after="0"/>
              <w:rPr>
                <w:sz w:val="20"/>
                <w:szCs w:val="20"/>
                <w:color w:val="auto"/>
              </w:rPr>
            </w:pPr>
            <w:r>
              <w:rPr>
                <w:rFonts w:ascii="Arial" w:cs="Arial" w:eastAsia="Arial" w:hAnsi="Arial"/>
                <w:sz w:val="11"/>
                <w:szCs w:val="11"/>
                <w:color w:val="auto"/>
              </w:rPr>
              <w:t>Conley, GA 30288</w:t>
            </w: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68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American Teleconferencing Services, Ltd.</w:t>
            </w:r>
          </w:p>
        </w:tc>
        <w:tc>
          <w:tcPr>
            <w:tcW w:w="1460" w:type="dxa"/>
            <w:vAlign w:val="bottom"/>
            <w:gridSpan w:val="2"/>
            <w:shd w:val="clear" w:color="auto" w:fill="CCEEFF"/>
          </w:tcPr>
          <w:p>
            <w:pPr>
              <w:jc w:val="center"/>
              <w:ind w:right="340"/>
              <w:spacing w:after="0" w:line="101" w:lineRule="exact"/>
              <w:rPr>
                <w:sz w:val="20"/>
                <w:szCs w:val="20"/>
                <w:color w:val="auto"/>
              </w:rPr>
            </w:pPr>
            <w:r>
              <w:rPr>
                <w:rFonts w:ascii="Arial" w:cs="Arial" w:eastAsia="Arial" w:hAnsi="Arial"/>
                <w:sz w:val="11"/>
                <w:szCs w:val="11"/>
                <w:color w:val="auto"/>
                <w:w w:val="91"/>
              </w:rPr>
              <w:t>Telecommunications</w:t>
            </w:r>
          </w:p>
        </w:tc>
        <w:tc>
          <w:tcPr>
            <w:tcW w:w="1660" w:type="dxa"/>
            <w:vAlign w:val="bottom"/>
            <w:gridSpan w:val="2"/>
            <w:shd w:val="clear" w:color="auto" w:fill="CCEEFF"/>
          </w:tcPr>
          <w:p>
            <w:pPr>
              <w:jc w:val="center"/>
              <w:ind w:right="120"/>
              <w:spacing w:after="0" w:line="101" w:lineRule="exact"/>
              <w:rPr>
                <w:sz w:val="20"/>
                <w:szCs w:val="20"/>
                <w:color w:val="auto"/>
              </w:rPr>
            </w:pPr>
            <w:r>
              <w:rPr>
                <w:rFonts w:ascii="Arial" w:cs="Arial" w:eastAsia="Arial" w:hAnsi="Arial"/>
                <w:sz w:val="11"/>
                <w:szCs w:val="11"/>
                <w:color w:val="auto"/>
                <w:w w:val="92"/>
              </w:rPr>
              <w:t>First Lien Secured Debt(4),</w:t>
            </w:r>
          </w:p>
        </w:tc>
        <w:tc>
          <w:tcPr>
            <w:tcW w:w="840" w:type="dxa"/>
            <w:vAlign w:val="bottom"/>
            <w:gridSpan w:val="2"/>
            <w:shd w:val="clear" w:color="auto" w:fill="CCEEFF"/>
          </w:tcPr>
          <w:p>
            <w:pPr>
              <w:jc w:val="right"/>
              <w:ind w:right="240"/>
              <w:spacing w:after="0" w:line="10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Arial" w:cs="Arial" w:eastAsia="Arial" w:hAnsi="Arial"/>
                <w:sz w:val="11"/>
                <w:szCs w:val="11"/>
                <w:color w:val="auto"/>
              </w:rPr>
              <w:t>107</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8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2300 Lakeview Parkway Suite 300</w:t>
            </w:r>
          </w:p>
        </w:tc>
        <w:tc>
          <w:tcPr>
            <w:tcW w:w="1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66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1"/>
                <w:szCs w:val="11"/>
                <w:color w:val="auto"/>
                <w:w w:val="91"/>
              </w:rPr>
              <w:t>—, 06/08/2023</w:t>
            </w:r>
          </w:p>
        </w:tc>
        <w:tc>
          <w:tcPr>
            <w:tcW w:w="6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Alpharetta, GA 30009</w:t>
            </w:r>
          </w:p>
        </w:tc>
        <w:tc>
          <w:tcPr>
            <w:tcW w:w="1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00" w:type="dxa"/>
            <w:vAlign w:val="bottom"/>
            <w:gridSpan w:val="3"/>
          </w:tcPr>
          <w:p>
            <w:pPr>
              <w:spacing w:after="0"/>
              <w:rPr>
                <w:sz w:val="20"/>
                <w:szCs w:val="20"/>
                <w:color w:val="auto"/>
              </w:rPr>
            </w:pPr>
            <w:r>
              <w:rPr>
                <w:rFonts w:ascii="Arial" w:cs="Arial" w:eastAsia="Arial" w:hAnsi="Arial"/>
                <w:sz w:val="11"/>
                <w:szCs w:val="11"/>
                <w:color w:val="auto"/>
              </w:rPr>
              <w:t>Amsive Holding Corporation (f/k/a Vision Purchaser</w:t>
            </w:r>
          </w:p>
        </w:tc>
        <w:tc>
          <w:tcPr>
            <w:tcW w:w="1460" w:type="dxa"/>
            <w:vAlign w:val="bottom"/>
            <w:gridSpan w:val="2"/>
          </w:tcPr>
          <w:p>
            <w:pPr>
              <w:jc w:val="center"/>
              <w:ind w:right="340"/>
              <w:spacing w:after="0"/>
              <w:rPr>
                <w:sz w:val="20"/>
                <w:szCs w:val="20"/>
                <w:color w:val="auto"/>
              </w:rPr>
            </w:pPr>
            <w:r>
              <w:rPr>
                <w:rFonts w:ascii="Arial" w:cs="Arial" w:eastAsia="Arial" w:hAnsi="Arial"/>
                <w:sz w:val="11"/>
                <w:szCs w:val="11"/>
                <w:color w:val="auto"/>
                <w:w w:val="93"/>
              </w:rPr>
              <w:t>Media</w:t>
            </w:r>
          </w:p>
        </w:tc>
        <w:tc>
          <w:tcPr>
            <w:tcW w:w="166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First Lien Secured Debt,</w:t>
            </w: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13,892</w:t>
            </w:r>
          </w:p>
        </w:tc>
        <w:tc>
          <w:tcPr>
            <w:tcW w:w="0" w:type="dxa"/>
            <w:vAlign w:val="bottom"/>
          </w:tcPr>
          <w:p>
            <w:pPr>
              <w:spacing w:after="0"/>
              <w:rPr>
                <w:sz w:val="1"/>
                <w:szCs w:val="1"/>
                <w:color w:val="auto"/>
              </w:rPr>
            </w:pPr>
          </w:p>
        </w:tc>
      </w:tr>
      <w:tr>
        <w:trPr>
          <w:trHeight w:val="114"/>
        </w:trPr>
        <w:tc>
          <w:tcPr>
            <w:tcW w:w="3700" w:type="dxa"/>
            <w:vAlign w:val="bottom"/>
            <w:gridSpan w:val="3"/>
          </w:tcPr>
          <w:p>
            <w:pPr>
              <w:spacing w:after="0" w:line="114" w:lineRule="exact"/>
              <w:rPr>
                <w:sz w:val="20"/>
                <w:szCs w:val="20"/>
                <w:color w:val="auto"/>
              </w:rPr>
            </w:pPr>
            <w:r>
              <w:rPr>
                <w:rFonts w:ascii="Arial" w:cs="Arial" w:eastAsia="Arial" w:hAnsi="Arial"/>
                <w:sz w:val="11"/>
                <w:szCs w:val="11"/>
                <w:color w:val="auto"/>
              </w:rPr>
              <w:t>Corporation)</w:t>
            </w: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60" w:type="dxa"/>
            <w:vAlign w:val="bottom"/>
            <w:gridSpan w:val="2"/>
          </w:tcPr>
          <w:p>
            <w:pPr>
              <w:jc w:val="center"/>
              <w:ind w:right="120"/>
              <w:spacing w:after="0" w:line="114" w:lineRule="exact"/>
              <w:rPr>
                <w:sz w:val="20"/>
                <w:szCs w:val="20"/>
                <w:color w:val="auto"/>
              </w:rPr>
            </w:pPr>
            <w:r>
              <w:rPr>
                <w:rFonts w:ascii="Arial" w:cs="Arial" w:eastAsia="Arial" w:hAnsi="Arial"/>
                <w:sz w:val="11"/>
                <w:szCs w:val="11"/>
                <w:color w:val="auto"/>
                <w:w w:val="92"/>
              </w:rPr>
              <w:t>3M L+625, 06/10/2025</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00" w:type="dxa"/>
            <w:vAlign w:val="bottom"/>
            <w:gridSpan w:val="3"/>
          </w:tcPr>
          <w:p>
            <w:pPr>
              <w:spacing w:after="0" w:line="114" w:lineRule="exact"/>
              <w:rPr>
                <w:sz w:val="20"/>
                <w:szCs w:val="20"/>
                <w:color w:val="auto"/>
              </w:rPr>
            </w:pPr>
            <w:r>
              <w:rPr>
                <w:rFonts w:ascii="Arial" w:cs="Arial" w:eastAsia="Arial" w:hAnsi="Arial"/>
                <w:sz w:val="11"/>
                <w:szCs w:val="11"/>
                <w:color w:val="auto"/>
              </w:rPr>
              <w:t>605 Territorial Drive</w:t>
            </w: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00" w:type="dxa"/>
            <w:vAlign w:val="bottom"/>
            <w:gridSpan w:val="3"/>
          </w:tcPr>
          <w:p>
            <w:pPr>
              <w:spacing w:after="0" w:line="114" w:lineRule="exact"/>
              <w:rPr>
                <w:sz w:val="20"/>
                <w:szCs w:val="20"/>
                <w:color w:val="auto"/>
              </w:rPr>
            </w:pPr>
            <w:r>
              <w:rPr>
                <w:rFonts w:ascii="Arial" w:cs="Arial" w:eastAsia="Arial" w:hAnsi="Arial"/>
                <w:sz w:val="11"/>
                <w:szCs w:val="11"/>
                <w:color w:val="auto"/>
              </w:rPr>
              <w:t>Suite A, B &amp; C</w:t>
            </w: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00" w:type="dxa"/>
            <w:vAlign w:val="bottom"/>
            <w:gridSpan w:val="3"/>
          </w:tcPr>
          <w:p>
            <w:pPr>
              <w:spacing w:after="0"/>
              <w:rPr>
                <w:sz w:val="20"/>
                <w:szCs w:val="20"/>
                <w:color w:val="auto"/>
              </w:rPr>
            </w:pPr>
            <w:r>
              <w:rPr>
                <w:rFonts w:ascii="Arial" w:cs="Arial" w:eastAsia="Arial" w:hAnsi="Arial"/>
                <w:sz w:val="11"/>
                <w:szCs w:val="11"/>
                <w:color w:val="auto"/>
              </w:rPr>
              <w:t>Bolingbrook, IL 60440</w:t>
            </w: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9019"/>
          </w:cols>
          <w:pgMar w:left="1440" w:top="260" w:right="1440" w:bottom="1440" w:gutter="0" w:footer="0" w:header="0"/>
        </w:sectPr>
      </w:pPr>
    </w:p>
    <w:bookmarkStart w:id="23" w:name="page24"/>
    <w:bookmarkEnd w:id="23"/>
    <w:tbl>
      <w:tblPr>
        <w:tblLayout w:type="fixed"/>
        <w:tblInd w:w="280" w:type="dxa"/>
        <w:tblCellMar>
          <w:top w:w="0" w:type="dxa"/>
          <w:left w:w="0" w:type="dxa"/>
          <w:bottom w:w="0" w:type="dxa"/>
          <w:right w:w="0" w:type="dxa"/>
        </w:tblCellMar>
      </w:tblPr>
      <w:tr>
        <w:trPr>
          <w:trHeight w:val="126"/>
        </w:trPr>
        <w:tc>
          <w:tcPr>
            <w:tcW w:w="37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Name and</w:t>
            </w:r>
          </w:p>
        </w:tc>
        <w:tc>
          <w:tcPr>
            <w:tcW w:w="1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0"/>
              </w:rPr>
              <w:t>Type of Investment,</w:t>
            </w:r>
          </w:p>
        </w:tc>
        <w:tc>
          <w:tcPr>
            <w:tcW w:w="9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3"/>
              </w:rPr>
              <w:t>Voting</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700" w:type="dxa"/>
            <w:vAlign w:val="bottom"/>
            <w:gridSpan w:val="3"/>
            <w:vMerge w:val="continue"/>
          </w:tcPr>
          <w:p>
            <w:pPr>
              <w:spacing w:after="0"/>
              <w:rPr>
                <w:sz w:val="9"/>
                <w:szCs w:val="9"/>
                <w:color w:val="auto"/>
              </w:rPr>
            </w:pPr>
          </w:p>
        </w:tc>
        <w:tc>
          <w:tcPr>
            <w:tcW w:w="1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900" w:type="dxa"/>
            <w:vAlign w:val="bottom"/>
            <w:gridSpan w:val="2"/>
          </w:tcPr>
          <w:p>
            <w:pPr>
              <w:jc w:val="center"/>
              <w:ind w:right="260"/>
              <w:spacing w:after="0" w:line="111" w:lineRule="exact"/>
              <w:rPr>
                <w:sz w:val="20"/>
                <w:szCs w:val="20"/>
                <w:color w:val="auto"/>
              </w:rPr>
            </w:pPr>
            <w:r>
              <w:rPr>
                <w:rFonts w:ascii="Arial" w:cs="Arial" w:eastAsia="Arial" w:hAnsi="Arial"/>
                <w:sz w:val="11"/>
                <w:szCs w:val="11"/>
                <w:b w:val="1"/>
                <w:bCs w:val="1"/>
                <w:color w:val="auto"/>
                <w:w w:val="87"/>
              </w:rPr>
              <w:t>Percentage</w:t>
            </w:r>
          </w:p>
        </w:tc>
        <w:tc>
          <w:tcPr>
            <w:tcW w:w="80" w:type="dxa"/>
            <w:vAlign w:val="bottom"/>
          </w:tcPr>
          <w:p>
            <w:pPr>
              <w:spacing w:after="0"/>
              <w:rPr>
                <w:sz w:val="9"/>
                <w:szCs w:val="9"/>
                <w:color w:val="auto"/>
              </w:rPr>
            </w:pPr>
          </w:p>
        </w:tc>
        <w:tc>
          <w:tcPr>
            <w:tcW w:w="680" w:type="dxa"/>
            <w:vAlign w:val="bottom"/>
            <w:gridSpan w:val="2"/>
          </w:tcPr>
          <w:p>
            <w:pPr>
              <w:jc w:val="right"/>
              <w:ind w:right="160"/>
              <w:spacing w:after="0" w:line="111" w:lineRule="exact"/>
              <w:rPr>
                <w:sz w:val="20"/>
                <w:szCs w:val="20"/>
                <w:color w:val="auto"/>
              </w:rPr>
            </w:pPr>
            <w:r>
              <w:rPr>
                <w:rFonts w:ascii="Arial" w:cs="Arial" w:eastAsia="Arial" w:hAnsi="Arial"/>
                <w:sz w:val="11"/>
                <w:szCs w:val="11"/>
                <w:b w:val="1"/>
                <w:bCs w:val="1"/>
                <w:color w:val="auto"/>
                <w:w w:val="94"/>
              </w:rPr>
              <w:t>Fair Value</w:t>
            </w:r>
          </w:p>
        </w:tc>
        <w:tc>
          <w:tcPr>
            <w:tcW w:w="0" w:type="dxa"/>
            <w:vAlign w:val="bottom"/>
          </w:tcPr>
          <w:p>
            <w:pPr>
              <w:spacing w:after="0"/>
              <w:rPr>
                <w:sz w:val="1"/>
                <w:szCs w:val="1"/>
                <w:color w:val="auto"/>
              </w:rPr>
            </w:pPr>
          </w:p>
        </w:tc>
      </w:tr>
      <w:tr>
        <w:trPr>
          <w:trHeight w:val="124"/>
        </w:trPr>
        <w:tc>
          <w:tcPr>
            <w:tcW w:w="37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Address of Portfolio Company</w:t>
            </w:r>
          </w:p>
        </w:tc>
        <w:tc>
          <w:tcPr>
            <w:tcW w:w="1800" w:type="dxa"/>
            <w:vAlign w:val="bottom"/>
            <w:gridSpan w:val="2"/>
          </w:tcPr>
          <w:p>
            <w:pPr>
              <w:jc w:val="center"/>
              <w:ind w:right="320"/>
              <w:spacing w:after="0" w:line="125" w:lineRule="exact"/>
              <w:rPr>
                <w:sz w:val="20"/>
                <w:szCs w:val="20"/>
                <w:color w:val="auto"/>
              </w:rPr>
            </w:pPr>
            <w:r>
              <w:rPr>
                <w:rFonts w:ascii="Arial" w:cs="Arial" w:eastAsia="Arial" w:hAnsi="Arial"/>
                <w:sz w:val="11"/>
                <w:szCs w:val="11"/>
                <w:b w:val="1"/>
                <w:bCs w:val="1"/>
                <w:color w:val="auto"/>
                <w:w w:val="87"/>
              </w:rPr>
              <w:t>Nature of Business</w:t>
            </w:r>
          </w:p>
        </w:tc>
        <w:tc>
          <w:tcPr>
            <w:tcW w:w="1300" w:type="dxa"/>
            <w:vAlign w:val="bottom"/>
            <w:gridSpan w:val="2"/>
          </w:tcPr>
          <w:p>
            <w:pPr>
              <w:jc w:val="center"/>
              <w:ind w:right="120"/>
              <w:spacing w:after="0" w:line="125" w:lineRule="exact"/>
              <w:rPr>
                <w:sz w:val="20"/>
                <w:szCs w:val="20"/>
                <w:color w:val="auto"/>
              </w:rPr>
            </w:pPr>
            <w:r>
              <w:rPr>
                <w:rFonts w:ascii="Arial" w:cs="Arial" w:eastAsia="Arial" w:hAnsi="Arial"/>
                <w:sz w:val="11"/>
                <w:szCs w:val="11"/>
                <w:b w:val="1"/>
                <w:bCs w:val="1"/>
                <w:color w:val="auto"/>
                <w:w w:val="95"/>
              </w:rPr>
              <w:t>Interest(1), Maturity</w:t>
            </w:r>
          </w:p>
        </w:tc>
        <w:tc>
          <w:tcPr>
            <w:tcW w:w="900" w:type="dxa"/>
            <w:vAlign w:val="bottom"/>
            <w:gridSpan w:val="2"/>
          </w:tcPr>
          <w:p>
            <w:pPr>
              <w:jc w:val="right"/>
              <w:ind w:right="260"/>
              <w:spacing w:after="0" w:line="125" w:lineRule="exact"/>
              <w:rPr>
                <w:sz w:val="20"/>
                <w:szCs w:val="20"/>
                <w:color w:val="auto"/>
              </w:rPr>
            </w:pPr>
            <w:r>
              <w:rPr>
                <w:rFonts w:ascii="Arial" w:cs="Arial" w:eastAsia="Arial" w:hAnsi="Arial"/>
                <w:sz w:val="11"/>
                <w:szCs w:val="11"/>
                <w:b w:val="1"/>
                <w:bCs w:val="1"/>
                <w:color w:val="auto"/>
                <w:w w:val="88"/>
              </w:rPr>
              <w:t>Ownership(2)</w:t>
            </w:r>
          </w:p>
        </w:tc>
        <w:tc>
          <w:tcPr>
            <w:tcW w:w="7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w w:val="97"/>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bottom w:val="single" w:sz="8" w:color="CCEEFF"/>
            </w:tcBorders>
            <w:shd w:val="clear" w:color="auto" w:fill="000000"/>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Pr>
          <w:p>
            <w:pPr>
              <w:spacing w:after="0"/>
              <w:rPr>
                <w:sz w:val="6"/>
                <w:szCs w:val="6"/>
                <w:color w:val="auto"/>
              </w:rPr>
            </w:pPr>
          </w:p>
        </w:tc>
        <w:tc>
          <w:tcPr>
            <w:tcW w:w="3680" w:type="dxa"/>
            <w:vAlign w:val="bottom"/>
            <w:gridSpan w:val="2"/>
            <w:shd w:val="clear" w:color="auto" w:fill="CCEEFF"/>
          </w:tcPr>
          <w:p>
            <w:pPr>
              <w:spacing w:after="0" w:line="74" w:lineRule="exact"/>
              <w:rPr>
                <w:sz w:val="20"/>
                <w:szCs w:val="20"/>
                <w:color w:val="auto"/>
              </w:rPr>
            </w:pPr>
            <w:r>
              <w:rPr>
                <w:rFonts w:ascii="Arial" w:cs="Arial" w:eastAsia="Arial" w:hAnsi="Arial"/>
                <w:sz w:val="8"/>
                <w:szCs w:val="8"/>
                <w:color w:val="auto"/>
              </w:rPr>
              <w:t>Anteriad, LLC (f/k/a MeritDirect, LLC)</w:t>
            </w:r>
          </w:p>
        </w:tc>
        <w:tc>
          <w:tcPr>
            <w:tcW w:w="1460" w:type="dxa"/>
            <w:vAlign w:val="bottom"/>
            <w:shd w:val="clear" w:color="auto" w:fill="CCEEFF"/>
          </w:tcPr>
          <w:p>
            <w:pPr>
              <w:jc w:val="center"/>
              <w:spacing w:after="0" w:line="74" w:lineRule="exact"/>
              <w:rPr>
                <w:sz w:val="20"/>
                <w:szCs w:val="20"/>
                <w:color w:val="auto"/>
              </w:rPr>
            </w:pPr>
            <w:r>
              <w:rPr>
                <w:rFonts w:ascii="Arial" w:cs="Arial" w:eastAsia="Arial" w:hAnsi="Arial"/>
                <w:sz w:val="8"/>
                <w:szCs w:val="8"/>
                <w:color w:val="auto"/>
              </w:rPr>
              <w:t>Media</w:t>
            </w: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jc w:val="center"/>
              <w:spacing w:after="0" w:line="74" w:lineRule="exact"/>
              <w:rPr>
                <w:sz w:val="20"/>
                <w:szCs w:val="20"/>
                <w:color w:val="auto"/>
              </w:rPr>
            </w:pPr>
            <w:r>
              <w:rPr>
                <w:rFonts w:ascii="Arial" w:cs="Arial" w:eastAsia="Arial" w:hAnsi="Arial"/>
                <w:sz w:val="8"/>
                <w:szCs w:val="8"/>
                <w:color w:val="auto"/>
              </w:rPr>
              <w:t>First Lien Secured</w:t>
            </w:r>
          </w:p>
        </w:tc>
        <w:tc>
          <w:tcPr>
            <w:tcW w:w="140" w:type="dxa"/>
            <w:vAlign w:val="bottom"/>
            <w:shd w:val="clear" w:color="auto" w:fill="CCEEFF"/>
          </w:tcPr>
          <w:p>
            <w:pPr>
              <w:spacing w:after="0"/>
              <w:rPr>
                <w:sz w:val="6"/>
                <w:szCs w:val="6"/>
                <w:color w:val="auto"/>
              </w:rPr>
            </w:pPr>
          </w:p>
        </w:tc>
        <w:tc>
          <w:tcPr>
            <w:tcW w:w="640" w:type="dxa"/>
            <w:vAlign w:val="bottom"/>
            <w:shd w:val="clear" w:color="auto" w:fill="CCEEFF"/>
          </w:tcPr>
          <w:p>
            <w:pPr>
              <w:ind w:left="480"/>
              <w:spacing w:after="0" w:line="74"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6"/>
                <w:szCs w:val="6"/>
                <w:color w:val="auto"/>
              </w:rPr>
            </w:pPr>
          </w:p>
        </w:tc>
        <w:tc>
          <w:tcPr>
            <w:tcW w:w="80" w:type="dxa"/>
            <w:vAlign w:val="bottom"/>
            <w:shd w:val="clear" w:color="auto" w:fill="CCEEFF"/>
          </w:tcPr>
          <w:p>
            <w:pPr>
              <w:spacing w:after="0" w:line="74" w:lineRule="exact"/>
              <w:rPr>
                <w:sz w:val="20"/>
                <w:szCs w:val="20"/>
                <w:color w:val="auto"/>
              </w:rPr>
            </w:pPr>
            <w:r>
              <w:rPr>
                <w:rFonts w:ascii="Arial" w:cs="Arial" w:eastAsia="Arial" w:hAnsi="Arial"/>
                <w:sz w:val="8"/>
                <w:szCs w:val="8"/>
                <w:color w:val="auto"/>
              </w:rPr>
              <w:t>$</w:t>
            </w:r>
          </w:p>
        </w:tc>
        <w:tc>
          <w:tcPr>
            <w:tcW w:w="600" w:type="dxa"/>
            <w:vAlign w:val="bottom"/>
            <w:shd w:val="clear" w:color="auto" w:fill="CCEEFF"/>
          </w:tcPr>
          <w:p>
            <w:pPr>
              <w:jc w:val="right"/>
              <w:spacing w:after="0" w:line="74" w:lineRule="exact"/>
              <w:rPr>
                <w:sz w:val="20"/>
                <w:szCs w:val="20"/>
                <w:color w:val="auto"/>
              </w:rPr>
            </w:pPr>
            <w:r>
              <w:rPr>
                <w:rFonts w:ascii="Arial" w:cs="Arial" w:eastAsia="Arial" w:hAnsi="Arial"/>
                <w:sz w:val="8"/>
                <w:szCs w:val="8"/>
                <w:color w:val="auto"/>
              </w:rPr>
              <w:t>17,584</w:t>
            </w:r>
          </w:p>
        </w:tc>
        <w:tc>
          <w:tcPr>
            <w:tcW w:w="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8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(Anterida Holdings, LP (5))</w:t>
            </w:r>
          </w:p>
        </w:tc>
        <w:tc>
          <w:tcPr>
            <w:tcW w:w="14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30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1"/>
                <w:szCs w:val="11"/>
                <w:color w:val="auto"/>
                <w:w w:val="95"/>
              </w:rPr>
              <w:t>Debt(4),</w:t>
            </w:r>
          </w:p>
        </w:tc>
        <w:tc>
          <w:tcPr>
            <w:tcW w:w="6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8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2 International Drive</w:t>
            </w:r>
          </w:p>
        </w:tc>
        <w:tc>
          <w:tcPr>
            <w:tcW w:w="14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300" w:type="dxa"/>
            <w:vAlign w:val="bottom"/>
            <w:gridSpan w:val="2"/>
            <w:shd w:val="clear" w:color="auto" w:fill="CCEEFF"/>
          </w:tcPr>
          <w:p>
            <w:pPr>
              <w:jc w:val="center"/>
              <w:ind w:right="140"/>
              <w:spacing w:after="0" w:line="114" w:lineRule="exact"/>
              <w:rPr>
                <w:sz w:val="20"/>
                <w:szCs w:val="20"/>
                <w:color w:val="auto"/>
              </w:rPr>
            </w:pPr>
            <w:r>
              <w:rPr>
                <w:rFonts w:ascii="Arial" w:cs="Arial" w:eastAsia="Arial" w:hAnsi="Arial"/>
                <w:sz w:val="11"/>
                <w:szCs w:val="11"/>
                <w:color w:val="auto"/>
                <w:w w:val="94"/>
              </w:rPr>
              <w:t>3M L+550, 05/23/2024</w:t>
            </w:r>
          </w:p>
        </w:tc>
        <w:tc>
          <w:tcPr>
            <w:tcW w:w="6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Rye Brook, New York 10573</w:t>
            </w:r>
          </w:p>
        </w:tc>
        <w:tc>
          <w:tcPr>
            <w:tcW w:w="14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jc w:val="center"/>
              <w:ind w:right="120"/>
              <w:spacing w:after="0" w:line="122" w:lineRule="exact"/>
              <w:rPr>
                <w:sz w:val="20"/>
                <w:szCs w:val="20"/>
                <w:color w:val="auto"/>
              </w:rPr>
            </w:pPr>
            <w:r>
              <w:rPr>
                <w:rFonts w:ascii="Arial" w:cs="Arial" w:eastAsia="Arial" w:hAnsi="Arial"/>
                <w:sz w:val="11"/>
                <w:szCs w:val="11"/>
                <w:color w:val="auto"/>
                <w:w w:val="93"/>
              </w:rPr>
              <w:t>Preferred Equity</w:t>
            </w: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4"/>
              </w:rPr>
              <w:t>Common Equity</w:t>
            </w: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00" w:type="dxa"/>
            <w:vAlign w:val="bottom"/>
            <w:gridSpan w:val="3"/>
          </w:tcPr>
          <w:p>
            <w:pPr>
              <w:spacing w:after="0"/>
              <w:rPr>
                <w:sz w:val="20"/>
                <w:szCs w:val="20"/>
                <w:color w:val="auto"/>
              </w:rPr>
            </w:pPr>
            <w:r>
              <w:rPr>
                <w:rFonts w:ascii="Arial" w:cs="Arial" w:eastAsia="Arial" w:hAnsi="Arial"/>
                <w:sz w:val="11"/>
                <w:szCs w:val="11"/>
                <w:color w:val="auto"/>
              </w:rPr>
              <w:t>Any Hour Services</w:t>
            </w:r>
          </w:p>
        </w:tc>
        <w:tc>
          <w:tcPr>
            <w:tcW w:w="1800" w:type="dxa"/>
            <w:vAlign w:val="bottom"/>
            <w:gridSpan w:val="2"/>
          </w:tcPr>
          <w:p>
            <w:pPr>
              <w:jc w:val="center"/>
              <w:ind w:right="340"/>
              <w:spacing w:after="0"/>
              <w:rPr>
                <w:sz w:val="20"/>
                <w:szCs w:val="20"/>
                <w:color w:val="auto"/>
              </w:rPr>
            </w:pPr>
            <w:r>
              <w:rPr>
                <w:rFonts w:ascii="Arial" w:cs="Arial" w:eastAsia="Arial" w:hAnsi="Arial"/>
                <w:sz w:val="11"/>
                <w:szCs w:val="11"/>
                <w:color w:val="auto"/>
                <w:w w:val="90"/>
              </w:rPr>
              <w:t>Energy Equipment and Services</w:t>
            </w:r>
          </w:p>
        </w:tc>
        <w:tc>
          <w:tcPr>
            <w:tcW w:w="13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First Lien Secured</w:t>
            </w: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0.2%</w:t>
            </w: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10,946</w:t>
            </w:r>
          </w:p>
        </w:tc>
        <w:tc>
          <w:tcPr>
            <w:tcW w:w="0" w:type="dxa"/>
            <w:vAlign w:val="bottom"/>
          </w:tcPr>
          <w:p>
            <w:pPr>
              <w:spacing w:after="0"/>
              <w:rPr>
                <w:sz w:val="1"/>
                <w:szCs w:val="1"/>
                <w:color w:val="auto"/>
              </w:rPr>
            </w:pPr>
          </w:p>
        </w:tc>
      </w:tr>
      <w:tr>
        <w:trPr>
          <w:trHeight w:val="114"/>
        </w:trPr>
        <w:tc>
          <w:tcPr>
            <w:tcW w:w="3700" w:type="dxa"/>
            <w:vAlign w:val="bottom"/>
            <w:gridSpan w:val="3"/>
          </w:tcPr>
          <w:p>
            <w:pPr>
              <w:spacing w:after="0" w:line="114" w:lineRule="exact"/>
              <w:rPr>
                <w:sz w:val="20"/>
                <w:szCs w:val="20"/>
                <w:color w:val="auto"/>
              </w:rPr>
            </w:pPr>
            <w:r>
              <w:rPr>
                <w:rFonts w:ascii="Arial" w:cs="Arial" w:eastAsia="Arial" w:hAnsi="Arial"/>
                <w:sz w:val="11"/>
                <w:szCs w:val="11"/>
                <w:color w:val="auto"/>
              </w:rPr>
              <w:t>(KL Stockton Co-Invest LP (5))</w:t>
            </w:r>
          </w:p>
        </w:tc>
        <w:tc>
          <w:tcPr>
            <w:tcW w:w="1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gridSpan w:val="2"/>
          </w:tcPr>
          <w:p>
            <w:pPr>
              <w:jc w:val="center"/>
              <w:ind w:right="120"/>
              <w:spacing w:after="0" w:line="114" w:lineRule="exact"/>
              <w:rPr>
                <w:sz w:val="20"/>
                <w:szCs w:val="20"/>
                <w:color w:val="auto"/>
              </w:rPr>
            </w:pPr>
            <w:r>
              <w:rPr>
                <w:rFonts w:ascii="Arial" w:cs="Arial" w:eastAsia="Arial" w:hAnsi="Arial"/>
                <w:sz w:val="11"/>
                <w:szCs w:val="11"/>
                <w:color w:val="auto"/>
                <w:w w:val="95"/>
              </w:rPr>
              <w:t>Debt(4),</w:t>
            </w: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00" w:type="dxa"/>
            <w:vAlign w:val="bottom"/>
            <w:gridSpan w:val="3"/>
          </w:tcPr>
          <w:p>
            <w:pPr>
              <w:spacing w:after="0" w:line="114" w:lineRule="exact"/>
              <w:rPr>
                <w:sz w:val="20"/>
                <w:szCs w:val="20"/>
                <w:color w:val="auto"/>
              </w:rPr>
            </w:pPr>
            <w:r>
              <w:rPr>
                <w:rFonts w:ascii="Arial" w:cs="Arial" w:eastAsia="Arial" w:hAnsi="Arial"/>
                <w:sz w:val="11"/>
                <w:szCs w:val="11"/>
                <w:color w:val="auto"/>
              </w:rPr>
              <w:t>1374 130 S</w:t>
            </w:r>
          </w:p>
        </w:tc>
        <w:tc>
          <w:tcPr>
            <w:tcW w:w="1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gridSpan w:val="2"/>
          </w:tcPr>
          <w:p>
            <w:pPr>
              <w:jc w:val="center"/>
              <w:ind w:right="140"/>
              <w:spacing w:after="0" w:line="114" w:lineRule="exact"/>
              <w:rPr>
                <w:sz w:val="20"/>
                <w:szCs w:val="20"/>
                <w:color w:val="auto"/>
              </w:rPr>
            </w:pPr>
            <w:r>
              <w:rPr>
                <w:rFonts w:ascii="Arial" w:cs="Arial" w:eastAsia="Arial" w:hAnsi="Arial"/>
                <w:sz w:val="11"/>
                <w:szCs w:val="11"/>
                <w:color w:val="auto"/>
                <w:w w:val="94"/>
              </w:rPr>
              <w:t>3M L+525, 07/21/2027</w:t>
            </w: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00" w:type="dxa"/>
            <w:vAlign w:val="bottom"/>
            <w:gridSpan w:val="3"/>
          </w:tcPr>
          <w:p>
            <w:pPr>
              <w:spacing w:after="0"/>
              <w:rPr>
                <w:sz w:val="20"/>
                <w:szCs w:val="20"/>
                <w:color w:val="auto"/>
              </w:rPr>
            </w:pPr>
            <w:r>
              <w:rPr>
                <w:rFonts w:ascii="Arial" w:cs="Arial" w:eastAsia="Arial" w:hAnsi="Arial"/>
                <w:sz w:val="11"/>
                <w:szCs w:val="11"/>
                <w:color w:val="auto"/>
              </w:rPr>
              <w:t>Orem, UT 84058</w:t>
            </w:r>
          </w:p>
        </w:tc>
        <w:tc>
          <w:tcPr>
            <w:tcW w:w="1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Common Equity</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68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Apex Service Partners, LLC</w:t>
            </w:r>
          </w:p>
        </w:tc>
        <w:tc>
          <w:tcPr>
            <w:tcW w:w="1800" w:type="dxa"/>
            <w:vAlign w:val="bottom"/>
            <w:gridSpan w:val="2"/>
            <w:shd w:val="clear" w:color="auto" w:fill="CCEEFF"/>
          </w:tcPr>
          <w:p>
            <w:pPr>
              <w:jc w:val="center"/>
              <w:ind w:right="340"/>
              <w:spacing w:after="0" w:line="101" w:lineRule="exact"/>
              <w:rPr>
                <w:sz w:val="20"/>
                <w:szCs w:val="20"/>
                <w:color w:val="auto"/>
              </w:rPr>
            </w:pPr>
            <w:r>
              <w:rPr>
                <w:rFonts w:ascii="Arial" w:cs="Arial" w:eastAsia="Arial" w:hAnsi="Arial"/>
                <w:sz w:val="11"/>
                <w:szCs w:val="11"/>
                <w:color w:val="auto"/>
                <w:w w:val="91"/>
              </w:rPr>
              <w:t>Diversified Consumer Services</w:t>
            </w:r>
          </w:p>
        </w:tc>
        <w:tc>
          <w:tcPr>
            <w:tcW w:w="1300" w:type="dxa"/>
            <w:vAlign w:val="bottom"/>
            <w:gridSpan w:val="2"/>
            <w:shd w:val="clear" w:color="auto" w:fill="CCEEFF"/>
          </w:tcPr>
          <w:p>
            <w:pPr>
              <w:jc w:val="center"/>
              <w:ind w:right="120"/>
              <w:spacing w:after="0" w:line="101" w:lineRule="exact"/>
              <w:rPr>
                <w:sz w:val="20"/>
                <w:szCs w:val="20"/>
                <w:color w:val="auto"/>
              </w:rPr>
            </w:pPr>
            <w:r>
              <w:rPr>
                <w:rFonts w:ascii="Arial" w:cs="Arial" w:eastAsia="Arial" w:hAnsi="Arial"/>
                <w:sz w:val="11"/>
                <w:szCs w:val="11"/>
                <w:color w:val="auto"/>
                <w:w w:val="91"/>
              </w:rPr>
              <w:t>First Lien Secured</w:t>
            </w:r>
          </w:p>
        </w:tc>
        <w:tc>
          <w:tcPr>
            <w:tcW w:w="900" w:type="dxa"/>
            <w:vAlign w:val="bottom"/>
            <w:gridSpan w:val="2"/>
            <w:shd w:val="clear" w:color="auto" w:fill="CCEEFF"/>
          </w:tcPr>
          <w:p>
            <w:pPr>
              <w:ind w:left="480"/>
              <w:spacing w:after="0" w:line="10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11"/>
                <w:szCs w:val="11"/>
                <w:color w:val="auto"/>
              </w:rPr>
              <w:t>19,304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8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401 E Jackson, Ste #3300</w:t>
            </w:r>
          </w:p>
        </w:tc>
        <w:tc>
          <w:tcPr>
            <w:tcW w:w="14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30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1"/>
                <w:szCs w:val="11"/>
                <w:color w:val="auto"/>
                <w:w w:val="95"/>
              </w:rPr>
              <w:t>Debt(4),</w:t>
            </w:r>
          </w:p>
        </w:tc>
        <w:tc>
          <w:tcPr>
            <w:tcW w:w="6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Tampa, FL 33602</w:t>
            </w:r>
          </w:p>
        </w:tc>
        <w:tc>
          <w:tcPr>
            <w:tcW w:w="1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140"/>
              <w:spacing w:after="0"/>
              <w:rPr>
                <w:sz w:val="20"/>
                <w:szCs w:val="20"/>
                <w:color w:val="auto"/>
              </w:rPr>
            </w:pPr>
            <w:r>
              <w:rPr>
                <w:rFonts w:ascii="Arial" w:cs="Arial" w:eastAsia="Arial" w:hAnsi="Arial"/>
                <w:sz w:val="11"/>
                <w:szCs w:val="11"/>
                <w:color w:val="auto"/>
                <w:w w:val="94"/>
              </w:rPr>
              <w:t>1M L+525, 07/31/2025</w:t>
            </w: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00" w:type="dxa"/>
            <w:vAlign w:val="bottom"/>
            <w:gridSpan w:val="3"/>
          </w:tcPr>
          <w:p>
            <w:pPr>
              <w:spacing w:after="0"/>
              <w:rPr>
                <w:sz w:val="20"/>
                <w:szCs w:val="20"/>
                <w:color w:val="auto"/>
              </w:rPr>
            </w:pPr>
            <w:r>
              <w:rPr>
                <w:rFonts w:ascii="Arial" w:cs="Arial" w:eastAsia="Arial" w:hAnsi="Arial"/>
                <w:sz w:val="11"/>
                <w:szCs w:val="11"/>
                <w:color w:val="auto"/>
              </w:rPr>
              <w:t>API Holdings III Corp.</w:t>
            </w:r>
          </w:p>
        </w:tc>
        <w:tc>
          <w:tcPr>
            <w:tcW w:w="1800" w:type="dxa"/>
            <w:vAlign w:val="bottom"/>
            <w:gridSpan w:val="2"/>
          </w:tcPr>
          <w:p>
            <w:pPr>
              <w:jc w:val="center"/>
              <w:ind w:right="320"/>
              <w:spacing w:after="0"/>
              <w:rPr>
                <w:sz w:val="20"/>
                <w:szCs w:val="20"/>
                <w:color w:val="auto"/>
              </w:rPr>
            </w:pPr>
            <w:r>
              <w:rPr>
                <w:rFonts w:ascii="Arial" w:cs="Arial" w:eastAsia="Arial" w:hAnsi="Arial"/>
                <w:sz w:val="11"/>
                <w:szCs w:val="11"/>
                <w:color w:val="auto"/>
                <w:w w:val="93"/>
              </w:rPr>
              <w:t>Electronic Equipment,</w:t>
            </w:r>
          </w:p>
        </w:tc>
        <w:tc>
          <w:tcPr>
            <w:tcW w:w="130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First Lien Secured Debt,</w:t>
            </w:r>
          </w:p>
        </w:tc>
        <w:tc>
          <w:tcPr>
            <w:tcW w:w="90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5,050</w:t>
            </w:r>
          </w:p>
        </w:tc>
        <w:tc>
          <w:tcPr>
            <w:tcW w:w="0" w:type="dxa"/>
            <w:vAlign w:val="bottom"/>
          </w:tcPr>
          <w:p>
            <w:pPr>
              <w:spacing w:after="0"/>
              <w:rPr>
                <w:sz w:val="1"/>
                <w:szCs w:val="1"/>
                <w:color w:val="auto"/>
              </w:rPr>
            </w:pPr>
          </w:p>
        </w:tc>
      </w:tr>
      <w:tr>
        <w:trPr>
          <w:trHeight w:val="114"/>
        </w:trPr>
        <w:tc>
          <w:tcPr>
            <w:tcW w:w="3700" w:type="dxa"/>
            <w:vAlign w:val="bottom"/>
            <w:gridSpan w:val="3"/>
          </w:tcPr>
          <w:p>
            <w:pPr>
              <w:spacing w:after="0" w:line="114" w:lineRule="exact"/>
              <w:rPr>
                <w:sz w:val="20"/>
                <w:szCs w:val="20"/>
                <w:color w:val="auto"/>
              </w:rPr>
            </w:pPr>
            <w:r>
              <w:rPr>
                <w:rFonts w:ascii="Arial" w:cs="Arial" w:eastAsia="Arial" w:hAnsi="Arial"/>
                <w:sz w:val="11"/>
                <w:szCs w:val="11"/>
                <w:color w:val="auto"/>
              </w:rPr>
              <w:t>400 Nickerson Road</w:t>
            </w:r>
          </w:p>
        </w:tc>
        <w:tc>
          <w:tcPr>
            <w:tcW w:w="1800" w:type="dxa"/>
            <w:vAlign w:val="bottom"/>
            <w:gridSpan w:val="2"/>
          </w:tcPr>
          <w:p>
            <w:pPr>
              <w:jc w:val="center"/>
              <w:ind w:right="320"/>
              <w:spacing w:after="0" w:line="114" w:lineRule="exact"/>
              <w:rPr>
                <w:sz w:val="20"/>
                <w:szCs w:val="20"/>
                <w:color w:val="auto"/>
              </w:rPr>
            </w:pPr>
            <w:r>
              <w:rPr>
                <w:rFonts w:ascii="Arial" w:cs="Arial" w:eastAsia="Arial" w:hAnsi="Arial"/>
                <w:sz w:val="11"/>
                <w:szCs w:val="11"/>
                <w:color w:val="auto"/>
                <w:w w:val="89"/>
              </w:rPr>
              <w:t>Instruments, and Components</w:t>
            </w:r>
          </w:p>
        </w:tc>
        <w:tc>
          <w:tcPr>
            <w:tcW w:w="1300" w:type="dxa"/>
            <w:vAlign w:val="bottom"/>
            <w:gridSpan w:val="2"/>
          </w:tcPr>
          <w:p>
            <w:pPr>
              <w:jc w:val="center"/>
              <w:ind w:right="140"/>
              <w:spacing w:after="0" w:line="114" w:lineRule="exact"/>
              <w:rPr>
                <w:sz w:val="20"/>
                <w:szCs w:val="20"/>
                <w:color w:val="auto"/>
              </w:rPr>
            </w:pPr>
            <w:r>
              <w:rPr>
                <w:rFonts w:ascii="Arial" w:cs="Arial" w:eastAsia="Arial" w:hAnsi="Arial"/>
                <w:sz w:val="11"/>
                <w:szCs w:val="11"/>
                <w:color w:val="auto"/>
                <w:w w:val="94"/>
              </w:rPr>
              <w:t>1M L+425, 05/11/2026</w:t>
            </w: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00" w:type="dxa"/>
            <w:vAlign w:val="bottom"/>
            <w:gridSpan w:val="3"/>
          </w:tcPr>
          <w:p>
            <w:pPr>
              <w:spacing w:after="0"/>
              <w:rPr>
                <w:sz w:val="20"/>
                <w:szCs w:val="20"/>
                <w:color w:val="auto"/>
              </w:rPr>
            </w:pPr>
            <w:r>
              <w:rPr>
                <w:rFonts w:ascii="Arial" w:cs="Arial" w:eastAsia="Arial" w:hAnsi="Arial"/>
                <w:sz w:val="11"/>
                <w:szCs w:val="11"/>
                <w:color w:val="auto"/>
              </w:rPr>
              <w:t>Marlborough, MA 01752</w:t>
            </w:r>
          </w:p>
        </w:tc>
        <w:tc>
          <w:tcPr>
            <w:tcW w:w="1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68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Applied Technical Services, LLC</w:t>
            </w:r>
          </w:p>
        </w:tc>
        <w:tc>
          <w:tcPr>
            <w:tcW w:w="1800" w:type="dxa"/>
            <w:vAlign w:val="bottom"/>
            <w:gridSpan w:val="2"/>
            <w:shd w:val="clear" w:color="auto" w:fill="CCEEFF"/>
          </w:tcPr>
          <w:p>
            <w:pPr>
              <w:jc w:val="center"/>
              <w:ind w:right="340"/>
              <w:spacing w:after="0" w:line="101" w:lineRule="exact"/>
              <w:rPr>
                <w:sz w:val="20"/>
                <w:szCs w:val="20"/>
                <w:color w:val="auto"/>
              </w:rPr>
            </w:pPr>
            <w:r>
              <w:rPr>
                <w:rFonts w:ascii="Arial" w:cs="Arial" w:eastAsia="Arial" w:hAnsi="Arial"/>
                <w:sz w:val="11"/>
                <w:szCs w:val="11"/>
                <w:color w:val="auto"/>
                <w:w w:val="92"/>
              </w:rPr>
              <w:t>Commercial Services &amp;</w:t>
            </w:r>
          </w:p>
        </w:tc>
        <w:tc>
          <w:tcPr>
            <w:tcW w:w="1300" w:type="dxa"/>
            <w:vAlign w:val="bottom"/>
            <w:gridSpan w:val="2"/>
            <w:shd w:val="clear" w:color="auto" w:fill="CCEEFF"/>
          </w:tcPr>
          <w:p>
            <w:pPr>
              <w:jc w:val="center"/>
              <w:ind w:right="120"/>
              <w:spacing w:after="0" w:line="101" w:lineRule="exact"/>
              <w:rPr>
                <w:sz w:val="20"/>
                <w:szCs w:val="20"/>
                <w:color w:val="auto"/>
              </w:rPr>
            </w:pPr>
            <w:r>
              <w:rPr>
                <w:rFonts w:ascii="Arial" w:cs="Arial" w:eastAsia="Arial" w:hAnsi="Arial"/>
                <w:sz w:val="11"/>
                <w:szCs w:val="11"/>
                <w:color w:val="auto"/>
                <w:w w:val="91"/>
              </w:rPr>
              <w:t>First Lien Secured</w:t>
            </w:r>
          </w:p>
        </w:tc>
        <w:tc>
          <w:tcPr>
            <w:tcW w:w="900" w:type="dxa"/>
            <w:vAlign w:val="bottom"/>
            <w:gridSpan w:val="2"/>
            <w:shd w:val="clear" w:color="auto" w:fill="CCEEFF"/>
          </w:tcPr>
          <w:p>
            <w:pPr>
              <w:jc w:val="right"/>
              <w:ind w:right="160"/>
              <w:spacing w:after="0" w:line="101" w:lineRule="exact"/>
              <w:rPr>
                <w:sz w:val="20"/>
                <w:szCs w:val="20"/>
                <w:color w:val="auto"/>
              </w:rPr>
            </w:pPr>
            <w:r>
              <w:rPr>
                <w:rFonts w:ascii="Arial" w:cs="Arial" w:eastAsia="Arial" w:hAnsi="Arial"/>
                <w:sz w:val="11"/>
                <w:szCs w:val="11"/>
                <w:color w:val="auto"/>
              </w:rPr>
              <w:t>0.5%</w:t>
            </w:r>
          </w:p>
        </w:tc>
        <w:tc>
          <w:tcPr>
            <w:tcW w:w="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11"/>
                <w:szCs w:val="11"/>
                <w:color w:val="auto"/>
              </w:rPr>
              <w:t>7,913</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8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(Ironclad Holdco, LLC (5))</w:t>
            </w:r>
          </w:p>
        </w:tc>
        <w:tc>
          <w:tcPr>
            <w:tcW w:w="1800" w:type="dxa"/>
            <w:vAlign w:val="bottom"/>
            <w:gridSpan w:val="2"/>
            <w:shd w:val="clear" w:color="auto" w:fill="CCEEFF"/>
          </w:tcPr>
          <w:p>
            <w:pPr>
              <w:jc w:val="center"/>
              <w:ind w:right="340"/>
              <w:spacing w:after="0" w:line="114" w:lineRule="exact"/>
              <w:rPr>
                <w:sz w:val="20"/>
                <w:szCs w:val="20"/>
                <w:color w:val="auto"/>
              </w:rPr>
            </w:pPr>
            <w:r>
              <w:rPr>
                <w:rFonts w:ascii="Arial" w:cs="Arial" w:eastAsia="Arial" w:hAnsi="Arial"/>
                <w:sz w:val="11"/>
                <w:szCs w:val="11"/>
                <w:color w:val="auto"/>
                <w:w w:val="89"/>
              </w:rPr>
              <w:t>Supplies</w:t>
            </w:r>
          </w:p>
        </w:tc>
        <w:tc>
          <w:tcPr>
            <w:tcW w:w="130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1"/>
                <w:szCs w:val="11"/>
                <w:color w:val="auto"/>
                <w:w w:val="95"/>
              </w:rPr>
              <w:t>Debt(4),</w:t>
            </w:r>
          </w:p>
        </w:tc>
        <w:tc>
          <w:tcPr>
            <w:tcW w:w="6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8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1049 Triad Ct</w:t>
            </w:r>
          </w:p>
        </w:tc>
        <w:tc>
          <w:tcPr>
            <w:tcW w:w="14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300" w:type="dxa"/>
            <w:vAlign w:val="bottom"/>
            <w:gridSpan w:val="2"/>
            <w:shd w:val="clear" w:color="auto" w:fill="CCEEFF"/>
          </w:tcPr>
          <w:p>
            <w:pPr>
              <w:jc w:val="center"/>
              <w:ind w:right="140"/>
              <w:spacing w:after="0" w:line="114" w:lineRule="exact"/>
              <w:rPr>
                <w:sz w:val="20"/>
                <w:szCs w:val="20"/>
                <w:color w:val="auto"/>
              </w:rPr>
            </w:pPr>
            <w:r>
              <w:rPr>
                <w:rFonts w:ascii="Arial" w:cs="Arial" w:eastAsia="Arial" w:hAnsi="Arial"/>
                <w:sz w:val="11"/>
                <w:szCs w:val="11"/>
                <w:color w:val="auto"/>
                <w:w w:val="94"/>
              </w:rPr>
              <w:t>3M L+575, 12/29/2026</w:t>
            </w:r>
          </w:p>
        </w:tc>
        <w:tc>
          <w:tcPr>
            <w:tcW w:w="6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Marietta, GA 30062</w:t>
            </w:r>
          </w:p>
        </w:tc>
        <w:tc>
          <w:tcPr>
            <w:tcW w:w="1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4"/>
              </w:rPr>
              <w:t>Common Equity</w:t>
            </w: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00" w:type="dxa"/>
            <w:vAlign w:val="bottom"/>
            <w:gridSpan w:val="3"/>
          </w:tcPr>
          <w:p>
            <w:pPr>
              <w:spacing w:after="0"/>
              <w:rPr>
                <w:sz w:val="20"/>
                <w:szCs w:val="20"/>
                <w:color w:val="auto"/>
              </w:rPr>
            </w:pPr>
            <w:r>
              <w:rPr>
                <w:rFonts w:ascii="Arial" w:cs="Arial" w:eastAsia="Arial" w:hAnsi="Arial"/>
                <w:sz w:val="11"/>
                <w:szCs w:val="11"/>
                <w:color w:val="auto"/>
              </w:rPr>
              <w:t>Arcfield Acquisition Corp.</w:t>
            </w:r>
          </w:p>
        </w:tc>
        <w:tc>
          <w:tcPr>
            <w:tcW w:w="1800" w:type="dxa"/>
            <w:vAlign w:val="bottom"/>
            <w:gridSpan w:val="2"/>
          </w:tcPr>
          <w:p>
            <w:pPr>
              <w:jc w:val="center"/>
              <w:ind w:right="320"/>
              <w:spacing w:after="0"/>
              <w:rPr>
                <w:sz w:val="20"/>
                <w:szCs w:val="20"/>
                <w:color w:val="auto"/>
              </w:rPr>
            </w:pPr>
            <w:r>
              <w:rPr>
                <w:rFonts w:ascii="Arial" w:cs="Arial" w:eastAsia="Arial" w:hAnsi="Arial"/>
                <w:sz w:val="11"/>
                <w:szCs w:val="11"/>
                <w:color w:val="auto"/>
                <w:w w:val="88"/>
              </w:rPr>
              <w:t>Aerospace and Defense</w:t>
            </w:r>
          </w:p>
        </w:tc>
        <w:tc>
          <w:tcPr>
            <w:tcW w:w="13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First Lien Secured</w:t>
            </w:r>
          </w:p>
        </w:tc>
        <w:tc>
          <w:tcPr>
            <w:tcW w:w="90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14"/>
        </w:trPr>
        <w:tc>
          <w:tcPr>
            <w:tcW w:w="3700" w:type="dxa"/>
            <w:vAlign w:val="bottom"/>
            <w:gridSpan w:val="3"/>
          </w:tcPr>
          <w:p>
            <w:pPr>
              <w:spacing w:after="0" w:line="114" w:lineRule="exact"/>
              <w:rPr>
                <w:sz w:val="20"/>
                <w:szCs w:val="20"/>
                <w:color w:val="auto"/>
              </w:rPr>
            </w:pPr>
            <w:r>
              <w:rPr>
                <w:rFonts w:ascii="Arial" w:cs="Arial" w:eastAsia="Arial" w:hAnsi="Arial"/>
                <w:sz w:val="11"/>
                <w:szCs w:val="11"/>
                <w:color w:val="auto"/>
              </w:rPr>
              <w:t>14295 Park Meadow Drive</w:t>
            </w:r>
          </w:p>
        </w:tc>
        <w:tc>
          <w:tcPr>
            <w:tcW w:w="1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gridSpan w:val="2"/>
          </w:tcPr>
          <w:p>
            <w:pPr>
              <w:jc w:val="center"/>
              <w:ind w:right="120"/>
              <w:spacing w:after="0" w:line="114" w:lineRule="exact"/>
              <w:rPr>
                <w:sz w:val="20"/>
                <w:szCs w:val="20"/>
                <w:color w:val="auto"/>
              </w:rPr>
            </w:pPr>
            <w:r>
              <w:rPr>
                <w:rFonts w:ascii="Arial" w:cs="Arial" w:eastAsia="Arial" w:hAnsi="Arial"/>
                <w:sz w:val="11"/>
                <w:szCs w:val="11"/>
                <w:color w:val="auto"/>
                <w:w w:val="95"/>
              </w:rPr>
              <w:t>Debt(4),</w:t>
            </w: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00" w:type="dxa"/>
            <w:vAlign w:val="bottom"/>
            <w:gridSpan w:val="3"/>
          </w:tcPr>
          <w:p>
            <w:pPr>
              <w:spacing w:after="0"/>
              <w:rPr>
                <w:sz w:val="20"/>
                <w:szCs w:val="20"/>
                <w:color w:val="auto"/>
              </w:rPr>
            </w:pPr>
            <w:r>
              <w:rPr>
                <w:rFonts w:ascii="Arial" w:cs="Arial" w:eastAsia="Arial" w:hAnsi="Arial"/>
                <w:sz w:val="11"/>
                <w:szCs w:val="11"/>
                <w:color w:val="auto"/>
              </w:rPr>
              <w:t>Chantilly, VA 20151</w:t>
            </w:r>
          </w:p>
        </w:tc>
        <w:tc>
          <w:tcPr>
            <w:tcW w:w="1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 03/07/2028</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68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Athletico Holdings, LLC</w:t>
            </w:r>
          </w:p>
        </w:tc>
        <w:tc>
          <w:tcPr>
            <w:tcW w:w="1800" w:type="dxa"/>
            <w:vAlign w:val="bottom"/>
            <w:gridSpan w:val="2"/>
            <w:shd w:val="clear" w:color="auto" w:fill="CCEEFF"/>
          </w:tcPr>
          <w:p>
            <w:pPr>
              <w:jc w:val="center"/>
              <w:ind w:right="320"/>
              <w:spacing w:after="0" w:line="101" w:lineRule="exact"/>
              <w:rPr>
                <w:sz w:val="20"/>
                <w:szCs w:val="20"/>
                <w:color w:val="auto"/>
              </w:rPr>
            </w:pPr>
            <w:r>
              <w:rPr>
                <w:rFonts w:ascii="Arial" w:cs="Arial" w:eastAsia="Arial" w:hAnsi="Arial"/>
                <w:sz w:val="11"/>
                <w:szCs w:val="11"/>
                <w:color w:val="auto"/>
                <w:w w:val="90"/>
              </w:rPr>
              <w:t>Healthcare Providers and</w:t>
            </w:r>
          </w:p>
        </w:tc>
        <w:tc>
          <w:tcPr>
            <w:tcW w:w="1300" w:type="dxa"/>
            <w:vAlign w:val="bottom"/>
            <w:gridSpan w:val="2"/>
            <w:shd w:val="clear" w:color="auto" w:fill="CCEEFF"/>
          </w:tcPr>
          <w:p>
            <w:pPr>
              <w:jc w:val="center"/>
              <w:ind w:right="120"/>
              <w:spacing w:after="0" w:line="101" w:lineRule="exact"/>
              <w:rPr>
                <w:sz w:val="20"/>
                <w:szCs w:val="20"/>
                <w:color w:val="auto"/>
              </w:rPr>
            </w:pPr>
            <w:r>
              <w:rPr>
                <w:rFonts w:ascii="Arial" w:cs="Arial" w:eastAsia="Arial" w:hAnsi="Arial"/>
                <w:sz w:val="11"/>
                <w:szCs w:val="11"/>
                <w:color w:val="auto"/>
                <w:w w:val="94"/>
              </w:rPr>
              <w:t>Common Equity</w:t>
            </w:r>
          </w:p>
        </w:tc>
        <w:tc>
          <w:tcPr>
            <w:tcW w:w="900" w:type="dxa"/>
            <w:vAlign w:val="bottom"/>
            <w:gridSpan w:val="2"/>
            <w:shd w:val="clear" w:color="auto" w:fill="CCEEFF"/>
          </w:tcPr>
          <w:p>
            <w:pPr>
              <w:jc w:val="right"/>
              <w:ind w:right="160"/>
              <w:spacing w:after="0" w:line="101" w:lineRule="exact"/>
              <w:rPr>
                <w:sz w:val="20"/>
                <w:szCs w:val="20"/>
                <w:color w:val="auto"/>
              </w:rPr>
            </w:pPr>
            <w:r>
              <w:rPr>
                <w:rFonts w:ascii="Arial" w:cs="Arial" w:eastAsia="Arial" w:hAnsi="Arial"/>
                <w:sz w:val="11"/>
                <w:szCs w:val="11"/>
                <w:color w:val="auto"/>
              </w:rPr>
              <w:t>1.6%</w:t>
            </w:r>
          </w:p>
        </w:tc>
        <w:tc>
          <w:tcPr>
            <w:tcW w:w="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11"/>
                <w:szCs w:val="11"/>
                <w:color w:val="auto"/>
              </w:rPr>
              <w:t>4,758</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8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2122 York Road, Ste. 300</w:t>
            </w:r>
          </w:p>
        </w:tc>
        <w:tc>
          <w:tcPr>
            <w:tcW w:w="1800" w:type="dxa"/>
            <w:vAlign w:val="bottom"/>
            <w:gridSpan w:val="2"/>
            <w:shd w:val="clear" w:color="auto" w:fill="CCEEFF"/>
          </w:tcPr>
          <w:p>
            <w:pPr>
              <w:jc w:val="center"/>
              <w:ind w:right="340"/>
              <w:spacing w:after="0" w:line="114" w:lineRule="exact"/>
              <w:rPr>
                <w:sz w:val="20"/>
                <w:szCs w:val="20"/>
                <w:color w:val="auto"/>
              </w:rPr>
            </w:pPr>
            <w:r>
              <w:rPr>
                <w:rFonts w:ascii="Arial" w:cs="Arial" w:eastAsia="Arial" w:hAnsi="Arial"/>
                <w:sz w:val="11"/>
                <w:szCs w:val="11"/>
                <w:color w:val="auto"/>
                <w:w w:val="89"/>
              </w:rPr>
              <w:t>Services</w:t>
            </w:r>
          </w:p>
        </w:tc>
        <w:tc>
          <w:tcPr>
            <w:tcW w:w="1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Oak Brook, IL 60523</w:t>
            </w:r>
          </w:p>
        </w:tc>
        <w:tc>
          <w:tcPr>
            <w:tcW w:w="1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00" w:type="dxa"/>
            <w:vAlign w:val="bottom"/>
            <w:gridSpan w:val="3"/>
          </w:tcPr>
          <w:p>
            <w:pPr>
              <w:spacing w:after="0"/>
              <w:rPr>
                <w:sz w:val="20"/>
                <w:szCs w:val="20"/>
                <w:color w:val="auto"/>
              </w:rPr>
            </w:pPr>
            <w:r>
              <w:rPr>
                <w:rFonts w:ascii="Arial" w:cs="Arial" w:eastAsia="Arial" w:hAnsi="Arial"/>
                <w:sz w:val="11"/>
                <w:szCs w:val="11"/>
                <w:color w:val="auto"/>
              </w:rPr>
              <w:t>Beta Plus Technologies, Inc.</w:t>
            </w:r>
          </w:p>
        </w:tc>
        <w:tc>
          <w:tcPr>
            <w:tcW w:w="1800" w:type="dxa"/>
            <w:vAlign w:val="bottom"/>
            <w:gridSpan w:val="2"/>
          </w:tcPr>
          <w:p>
            <w:pPr>
              <w:jc w:val="center"/>
              <w:ind w:right="320"/>
              <w:spacing w:after="0"/>
              <w:rPr>
                <w:sz w:val="20"/>
                <w:szCs w:val="20"/>
                <w:color w:val="auto"/>
              </w:rPr>
            </w:pPr>
            <w:r>
              <w:rPr>
                <w:rFonts w:ascii="Arial" w:cs="Arial" w:eastAsia="Arial" w:hAnsi="Arial"/>
                <w:sz w:val="11"/>
                <w:szCs w:val="11"/>
                <w:color w:val="auto"/>
                <w:w w:val="90"/>
              </w:rPr>
              <w:t>Internet Software and Services</w:t>
            </w:r>
          </w:p>
        </w:tc>
        <w:tc>
          <w:tcPr>
            <w:tcW w:w="130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First Lien Secured Debt,</w:t>
            </w:r>
          </w:p>
        </w:tc>
        <w:tc>
          <w:tcPr>
            <w:tcW w:w="90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4,900</w:t>
            </w:r>
          </w:p>
        </w:tc>
        <w:tc>
          <w:tcPr>
            <w:tcW w:w="0" w:type="dxa"/>
            <w:vAlign w:val="bottom"/>
          </w:tcPr>
          <w:p>
            <w:pPr>
              <w:spacing w:after="0"/>
              <w:rPr>
                <w:sz w:val="1"/>
                <w:szCs w:val="1"/>
                <w:color w:val="auto"/>
              </w:rPr>
            </w:pPr>
          </w:p>
        </w:tc>
      </w:tr>
      <w:tr>
        <w:trPr>
          <w:trHeight w:val="114"/>
        </w:trPr>
        <w:tc>
          <w:tcPr>
            <w:tcW w:w="3700" w:type="dxa"/>
            <w:vAlign w:val="bottom"/>
            <w:gridSpan w:val="3"/>
          </w:tcPr>
          <w:p>
            <w:pPr>
              <w:spacing w:after="0" w:line="114" w:lineRule="exact"/>
              <w:rPr>
                <w:sz w:val="20"/>
                <w:szCs w:val="20"/>
                <w:color w:val="auto"/>
              </w:rPr>
            </w:pPr>
            <w:r>
              <w:rPr>
                <w:rFonts w:ascii="Arial" w:cs="Arial" w:eastAsia="Arial" w:hAnsi="Arial"/>
                <w:sz w:val="11"/>
                <w:szCs w:val="11"/>
                <w:color w:val="auto"/>
              </w:rPr>
              <w:t>7 World Trade Center, 47th Floor</w:t>
            </w:r>
          </w:p>
        </w:tc>
        <w:tc>
          <w:tcPr>
            <w:tcW w:w="1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gridSpan w:val="2"/>
          </w:tcPr>
          <w:p>
            <w:pPr>
              <w:jc w:val="center"/>
              <w:ind w:right="140"/>
              <w:spacing w:after="0" w:line="114" w:lineRule="exact"/>
              <w:rPr>
                <w:sz w:val="20"/>
                <w:szCs w:val="20"/>
                <w:color w:val="auto"/>
              </w:rPr>
            </w:pPr>
            <w:r>
              <w:rPr>
                <w:rFonts w:ascii="Arial" w:cs="Arial" w:eastAsia="Arial" w:hAnsi="Arial"/>
                <w:sz w:val="11"/>
                <w:szCs w:val="11"/>
                <w:color w:val="auto"/>
                <w:w w:val="94"/>
              </w:rPr>
              <w:t>1M L+525, 07/01/2029</w:t>
            </w: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00" w:type="dxa"/>
            <w:vAlign w:val="bottom"/>
            <w:gridSpan w:val="3"/>
          </w:tcPr>
          <w:p>
            <w:pPr>
              <w:spacing w:after="0"/>
              <w:rPr>
                <w:sz w:val="20"/>
                <w:szCs w:val="20"/>
                <w:color w:val="auto"/>
              </w:rPr>
            </w:pPr>
            <w:r>
              <w:rPr>
                <w:rFonts w:ascii="Arial" w:cs="Arial" w:eastAsia="Arial" w:hAnsi="Arial"/>
                <w:sz w:val="11"/>
                <w:szCs w:val="11"/>
                <w:color w:val="auto"/>
              </w:rPr>
              <w:t>New York, NY 10007</w:t>
            </w:r>
          </w:p>
        </w:tc>
        <w:tc>
          <w:tcPr>
            <w:tcW w:w="1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68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Blackhawk Industrial Distribution, Inc.</w:t>
            </w:r>
          </w:p>
        </w:tc>
        <w:tc>
          <w:tcPr>
            <w:tcW w:w="1800" w:type="dxa"/>
            <w:vAlign w:val="bottom"/>
            <w:gridSpan w:val="2"/>
            <w:shd w:val="clear" w:color="auto" w:fill="CCEEFF"/>
          </w:tcPr>
          <w:p>
            <w:pPr>
              <w:jc w:val="center"/>
              <w:ind w:right="320"/>
              <w:spacing w:after="0" w:line="101" w:lineRule="exact"/>
              <w:rPr>
                <w:sz w:val="20"/>
                <w:szCs w:val="20"/>
                <w:color w:val="auto"/>
              </w:rPr>
            </w:pPr>
            <w:r>
              <w:rPr>
                <w:rFonts w:ascii="Arial" w:cs="Arial" w:eastAsia="Arial" w:hAnsi="Arial"/>
                <w:sz w:val="11"/>
                <w:szCs w:val="11"/>
                <w:color w:val="auto"/>
                <w:w w:val="93"/>
              </w:rPr>
              <w:t>Distributors</w:t>
            </w:r>
          </w:p>
        </w:tc>
        <w:tc>
          <w:tcPr>
            <w:tcW w:w="1300" w:type="dxa"/>
            <w:vAlign w:val="bottom"/>
            <w:gridSpan w:val="2"/>
            <w:shd w:val="clear" w:color="auto" w:fill="CCEEFF"/>
          </w:tcPr>
          <w:p>
            <w:pPr>
              <w:jc w:val="center"/>
              <w:ind w:right="120"/>
              <w:spacing w:after="0" w:line="101" w:lineRule="exact"/>
              <w:rPr>
                <w:sz w:val="20"/>
                <w:szCs w:val="20"/>
                <w:color w:val="auto"/>
              </w:rPr>
            </w:pPr>
            <w:r>
              <w:rPr>
                <w:rFonts w:ascii="Arial" w:cs="Arial" w:eastAsia="Arial" w:hAnsi="Arial"/>
                <w:sz w:val="11"/>
                <w:szCs w:val="11"/>
                <w:color w:val="auto"/>
                <w:w w:val="91"/>
              </w:rPr>
              <w:t>First Lien Secured</w:t>
            </w:r>
          </w:p>
        </w:tc>
        <w:tc>
          <w:tcPr>
            <w:tcW w:w="900" w:type="dxa"/>
            <w:vAlign w:val="bottom"/>
            <w:gridSpan w:val="2"/>
            <w:shd w:val="clear" w:color="auto" w:fill="CCEEFF"/>
          </w:tcPr>
          <w:p>
            <w:pPr>
              <w:ind w:left="480"/>
              <w:spacing w:after="0" w:line="10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11"/>
                <w:szCs w:val="11"/>
                <w:color w:val="auto"/>
              </w:rPr>
              <w:t>456</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8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1501 SW Expressway Drive</w:t>
            </w:r>
          </w:p>
        </w:tc>
        <w:tc>
          <w:tcPr>
            <w:tcW w:w="14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30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1"/>
                <w:szCs w:val="11"/>
                <w:color w:val="auto"/>
                <w:w w:val="95"/>
              </w:rPr>
              <w:t>Debt(4),</w:t>
            </w:r>
          </w:p>
        </w:tc>
        <w:tc>
          <w:tcPr>
            <w:tcW w:w="6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Broken Arrow, OK 74012</w:t>
            </w:r>
          </w:p>
        </w:tc>
        <w:tc>
          <w:tcPr>
            <w:tcW w:w="1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140"/>
              <w:spacing w:after="0"/>
              <w:rPr>
                <w:sz w:val="20"/>
                <w:szCs w:val="20"/>
                <w:color w:val="auto"/>
              </w:rPr>
            </w:pPr>
            <w:r>
              <w:rPr>
                <w:rFonts w:ascii="Arial" w:cs="Arial" w:eastAsia="Arial" w:hAnsi="Arial"/>
                <w:sz w:val="11"/>
                <w:szCs w:val="11"/>
                <w:color w:val="auto"/>
                <w:w w:val="93"/>
              </w:rPr>
              <w:t>3ML+500, 09/17/2024</w:t>
            </w: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00" w:type="dxa"/>
            <w:vAlign w:val="bottom"/>
            <w:gridSpan w:val="3"/>
          </w:tcPr>
          <w:p>
            <w:pPr>
              <w:spacing w:after="0"/>
              <w:rPr>
                <w:sz w:val="20"/>
                <w:szCs w:val="20"/>
                <w:color w:val="auto"/>
              </w:rPr>
            </w:pPr>
            <w:r>
              <w:rPr>
                <w:rFonts w:ascii="Arial" w:cs="Arial" w:eastAsia="Arial" w:hAnsi="Arial"/>
                <w:sz w:val="11"/>
                <w:szCs w:val="11"/>
                <w:color w:val="auto"/>
              </w:rPr>
              <w:t>Broder Bros., Co.</w:t>
            </w:r>
          </w:p>
        </w:tc>
        <w:tc>
          <w:tcPr>
            <w:tcW w:w="1800" w:type="dxa"/>
            <w:vAlign w:val="bottom"/>
            <w:gridSpan w:val="2"/>
          </w:tcPr>
          <w:p>
            <w:pPr>
              <w:jc w:val="center"/>
              <w:ind w:right="340"/>
              <w:spacing w:after="0"/>
              <w:rPr>
                <w:sz w:val="20"/>
                <w:szCs w:val="20"/>
                <w:color w:val="auto"/>
              </w:rPr>
            </w:pPr>
            <w:r>
              <w:rPr>
                <w:rFonts w:ascii="Arial" w:cs="Arial" w:eastAsia="Arial" w:hAnsi="Arial"/>
                <w:sz w:val="11"/>
                <w:szCs w:val="11"/>
                <w:color w:val="auto"/>
                <w:w w:val="93"/>
              </w:rPr>
              <w:t>Textiles, Apparel and Luxury</w:t>
            </w:r>
          </w:p>
        </w:tc>
        <w:tc>
          <w:tcPr>
            <w:tcW w:w="130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First Lien Secured Debt,</w:t>
            </w:r>
          </w:p>
        </w:tc>
        <w:tc>
          <w:tcPr>
            <w:tcW w:w="90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3,405</w:t>
            </w:r>
          </w:p>
        </w:tc>
        <w:tc>
          <w:tcPr>
            <w:tcW w:w="0" w:type="dxa"/>
            <w:vAlign w:val="bottom"/>
          </w:tcPr>
          <w:p>
            <w:pPr>
              <w:spacing w:after="0"/>
              <w:rPr>
                <w:sz w:val="1"/>
                <w:szCs w:val="1"/>
                <w:color w:val="auto"/>
              </w:rPr>
            </w:pPr>
          </w:p>
        </w:tc>
      </w:tr>
      <w:tr>
        <w:trPr>
          <w:trHeight w:val="114"/>
        </w:trPr>
        <w:tc>
          <w:tcPr>
            <w:tcW w:w="3700" w:type="dxa"/>
            <w:vAlign w:val="bottom"/>
            <w:gridSpan w:val="3"/>
          </w:tcPr>
          <w:p>
            <w:pPr>
              <w:spacing w:after="0" w:line="114" w:lineRule="exact"/>
              <w:rPr>
                <w:sz w:val="20"/>
                <w:szCs w:val="20"/>
                <w:color w:val="auto"/>
              </w:rPr>
            </w:pPr>
            <w:r>
              <w:rPr>
                <w:rFonts w:ascii="Arial" w:cs="Arial" w:eastAsia="Arial" w:hAnsi="Arial"/>
                <w:sz w:val="11"/>
                <w:szCs w:val="11"/>
                <w:color w:val="auto"/>
              </w:rPr>
              <w:t>Six Neshaminy Interplex, 6 Floor</w:t>
            </w:r>
          </w:p>
        </w:tc>
        <w:tc>
          <w:tcPr>
            <w:tcW w:w="1800" w:type="dxa"/>
            <w:vAlign w:val="bottom"/>
            <w:gridSpan w:val="2"/>
          </w:tcPr>
          <w:p>
            <w:pPr>
              <w:jc w:val="center"/>
              <w:ind w:right="320"/>
              <w:spacing w:after="0" w:line="114" w:lineRule="exact"/>
              <w:rPr>
                <w:sz w:val="20"/>
                <w:szCs w:val="20"/>
                <w:color w:val="auto"/>
              </w:rPr>
            </w:pPr>
            <w:r>
              <w:rPr>
                <w:rFonts w:ascii="Arial" w:cs="Arial" w:eastAsia="Arial" w:hAnsi="Arial"/>
                <w:sz w:val="11"/>
                <w:szCs w:val="11"/>
                <w:color w:val="auto"/>
                <w:w w:val="86"/>
              </w:rPr>
              <w:t>Goods</w:t>
            </w:r>
          </w:p>
        </w:tc>
        <w:tc>
          <w:tcPr>
            <w:tcW w:w="1300" w:type="dxa"/>
            <w:vAlign w:val="bottom"/>
            <w:gridSpan w:val="2"/>
          </w:tcPr>
          <w:p>
            <w:pPr>
              <w:jc w:val="center"/>
              <w:ind w:right="140"/>
              <w:spacing w:after="0" w:line="114" w:lineRule="exact"/>
              <w:rPr>
                <w:sz w:val="20"/>
                <w:szCs w:val="20"/>
                <w:color w:val="auto"/>
              </w:rPr>
            </w:pPr>
            <w:r>
              <w:rPr>
                <w:rFonts w:ascii="Arial" w:cs="Arial" w:eastAsia="Arial" w:hAnsi="Arial"/>
                <w:sz w:val="11"/>
                <w:szCs w:val="11"/>
                <w:color w:val="auto"/>
                <w:w w:val="94"/>
              </w:rPr>
              <w:t>3M L+600, 12/02/2022</w:t>
            </w: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00" w:type="dxa"/>
            <w:vAlign w:val="bottom"/>
            <w:gridSpan w:val="3"/>
          </w:tcPr>
          <w:p>
            <w:pPr>
              <w:spacing w:after="0"/>
              <w:rPr>
                <w:sz w:val="20"/>
                <w:szCs w:val="20"/>
                <w:color w:val="auto"/>
              </w:rPr>
            </w:pPr>
            <w:r>
              <w:rPr>
                <w:rFonts w:ascii="Arial" w:cs="Arial" w:eastAsia="Arial" w:hAnsi="Arial"/>
                <w:sz w:val="11"/>
                <w:szCs w:val="11"/>
                <w:color w:val="auto"/>
              </w:rPr>
              <w:t>Trevose, PA 19053</w:t>
            </w:r>
          </w:p>
        </w:tc>
        <w:tc>
          <w:tcPr>
            <w:tcW w:w="1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68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Burgess Point Holdings, LP</w:t>
            </w:r>
          </w:p>
        </w:tc>
        <w:tc>
          <w:tcPr>
            <w:tcW w:w="1800" w:type="dxa"/>
            <w:vAlign w:val="bottom"/>
            <w:gridSpan w:val="2"/>
            <w:shd w:val="clear" w:color="auto" w:fill="CCEEFF"/>
          </w:tcPr>
          <w:p>
            <w:pPr>
              <w:jc w:val="center"/>
              <w:ind w:right="320"/>
              <w:spacing w:after="0" w:line="101" w:lineRule="exact"/>
              <w:rPr>
                <w:sz w:val="20"/>
                <w:szCs w:val="20"/>
                <w:color w:val="auto"/>
              </w:rPr>
            </w:pPr>
            <w:r>
              <w:rPr>
                <w:rFonts w:ascii="Arial" w:cs="Arial" w:eastAsia="Arial" w:hAnsi="Arial"/>
                <w:sz w:val="11"/>
                <w:szCs w:val="11"/>
                <w:color w:val="auto"/>
                <w:w w:val="90"/>
              </w:rPr>
              <w:t>Auto Components</w:t>
            </w:r>
          </w:p>
        </w:tc>
        <w:tc>
          <w:tcPr>
            <w:tcW w:w="1300" w:type="dxa"/>
            <w:vAlign w:val="bottom"/>
            <w:gridSpan w:val="2"/>
            <w:shd w:val="clear" w:color="auto" w:fill="CCEEFF"/>
          </w:tcPr>
          <w:p>
            <w:pPr>
              <w:jc w:val="center"/>
              <w:ind w:right="120"/>
              <w:spacing w:after="0" w:line="101" w:lineRule="exact"/>
              <w:rPr>
                <w:sz w:val="20"/>
                <w:szCs w:val="20"/>
                <w:color w:val="auto"/>
              </w:rPr>
            </w:pPr>
            <w:r>
              <w:rPr>
                <w:rFonts w:ascii="Arial" w:cs="Arial" w:eastAsia="Arial" w:hAnsi="Arial"/>
                <w:sz w:val="11"/>
                <w:szCs w:val="11"/>
                <w:color w:val="auto"/>
                <w:w w:val="94"/>
              </w:rPr>
              <w:t>Common Equity</w:t>
            </w:r>
          </w:p>
        </w:tc>
        <w:tc>
          <w:tcPr>
            <w:tcW w:w="900" w:type="dxa"/>
            <w:vAlign w:val="bottom"/>
            <w:gridSpan w:val="2"/>
            <w:shd w:val="clear" w:color="auto" w:fill="CCEEFF"/>
          </w:tcPr>
          <w:p>
            <w:pPr>
              <w:jc w:val="right"/>
              <w:ind w:right="160"/>
              <w:spacing w:after="0" w:line="101" w:lineRule="exact"/>
              <w:rPr>
                <w:sz w:val="20"/>
                <w:szCs w:val="20"/>
                <w:color w:val="auto"/>
              </w:rPr>
            </w:pPr>
            <w:r>
              <w:rPr>
                <w:rFonts w:ascii="Arial" w:cs="Arial" w:eastAsia="Arial" w:hAnsi="Arial"/>
                <w:sz w:val="11"/>
                <w:szCs w:val="11"/>
                <w:color w:val="auto"/>
              </w:rPr>
              <w:t>0.2%</w:t>
            </w:r>
          </w:p>
        </w:tc>
        <w:tc>
          <w:tcPr>
            <w:tcW w:w="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11"/>
                <w:szCs w:val="11"/>
                <w:color w:val="auto"/>
              </w:rPr>
              <w:t>101</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8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29627 Renaissance Blvd</w:t>
            </w:r>
          </w:p>
        </w:tc>
        <w:tc>
          <w:tcPr>
            <w:tcW w:w="14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Daphne, Alabama 26526</w:t>
            </w:r>
          </w:p>
        </w:tc>
        <w:tc>
          <w:tcPr>
            <w:tcW w:w="1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00" w:type="dxa"/>
            <w:vAlign w:val="bottom"/>
            <w:gridSpan w:val="3"/>
          </w:tcPr>
          <w:p>
            <w:pPr>
              <w:spacing w:after="0"/>
              <w:rPr>
                <w:sz w:val="20"/>
                <w:szCs w:val="20"/>
                <w:color w:val="auto"/>
              </w:rPr>
            </w:pPr>
            <w:r>
              <w:rPr>
                <w:rFonts w:ascii="Arial" w:cs="Arial" w:eastAsia="Arial" w:hAnsi="Arial"/>
                <w:sz w:val="11"/>
                <w:szCs w:val="11"/>
                <w:color w:val="auto"/>
              </w:rPr>
              <w:t>By Light Professional IT Services, LLC</w:t>
            </w:r>
          </w:p>
        </w:tc>
        <w:tc>
          <w:tcPr>
            <w:tcW w:w="1800" w:type="dxa"/>
            <w:vAlign w:val="bottom"/>
            <w:gridSpan w:val="2"/>
          </w:tcPr>
          <w:p>
            <w:pPr>
              <w:jc w:val="center"/>
              <w:ind w:right="320"/>
              <w:spacing w:after="0"/>
              <w:rPr>
                <w:sz w:val="20"/>
                <w:szCs w:val="20"/>
                <w:color w:val="auto"/>
              </w:rPr>
            </w:pPr>
            <w:r>
              <w:rPr>
                <w:rFonts w:ascii="Arial" w:cs="Arial" w:eastAsia="Arial" w:hAnsi="Arial"/>
                <w:sz w:val="11"/>
                <w:szCs w:val="11"/>
                <w:color w:val="auto"/>
                <w:w w:val="91"/>
              </w:rPr>
              <w:t>High Tech Industries</w:t>
            </w:r>
          </w:p>
        </w:tc>
        <w:tc>
          <w:tcPr>
            <w:tcW w:w="13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First Lien Secured</w:t>
            </w: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2.5%</w:t>
            </w: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46,179</w:t>
            </w:r>
          </w:p>
        </w:tc>
        <w:tc>
          <w:tcPr>
            <w:tcW w:w="0" w:type="dxa"/>
            <w:vAlign w:val="bottom"/>
          </w:tcPr>
          <w:p>
            <w:pPr>
              <w:spacing w:after="0"/>
              <w:rPr>
                <w:sz w:val="1"/>
                <w:szCs w:val="1"/>
                <w:color w:val="auto"/>
              </w:rPr>
            </w:pPr>
          </w:p>
        </w:tc>
      </w:tr>
      <w:tr>
        <w:trPr>
          <w:trHeight w:val="114"/>
        </w:trPr>
        <w:tc>
          <w:tcPr>
            <w:tcW w:w="3700" w:type="dxa"/>
            <w:vAlign w:val="bottom"/>
            <w:gridSpan w:val="3"/>
          </w:tcPr>
          <w:p>
            <w:pPr>
              <w:spacing w:after="0" w:line="114" w:lineRule="exact"/>
              <w:rPr>
                <w:sz w:val="20"/>
                <w:szCs w:val="20"/>
                <w:color w:val="auto"/>
              </w:rPr>
            </w:pPr>
            <w:r>
              <w:rPr>
                <w:rFonts w:ascii="Arial" w:cs="Arial" w:eastAsia="Arial" w:hAnsi="Arial"/>
                <w:sz w:val="11"/>
                <w:szCs w:val="11"/>
                <w:color w:val="auto"/>
              </w:rPr>
              <w:t>(By Light Investco, LP(5))</w:t>
            </w:r>
          </w:p>
        </w:tc>
        <w:tc>
          <w:tcPr>
            <w:tcW w:w="1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gridSpan w:val="2"/>
          </w:tcPr>
          <w:p>
            <w:pPr>
              <w:jc w:val="center"/>
              <w:ind w:right="120"/>
              <w:spacing w:after="0" w:line="114" w:lineRule="exact"/>
              <w:rPr>
                <w:sz w:val="20"/>
                <w:szCs w:val="20"/>
                <w:color w:val="auto"/>
              </w:rPr>
            </w:pPr>
            <w:r>
              <w:rPr>
                <w:rFonts w:ascii="Arial" w:cs="Arial" w:eastAsia="Arial" w:hAnsi="Arial"/>
                <w:sz w:val="11"/>
                <w:szCs w:val="11"/>
                <w:color w:val="auto"/>
                <w:w w:val="95"/>
              </w:rPr>
              <w:t>Debt(4),</w:t>
            </w: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00" w:type="dxa"/>
            <w:vAlign w:val="bottom"/>
            <w:gridSpan w:val="3"/>
          </w:tcPr>
          <w:p>
            <w:pPr>
              <w:spacing w:after="0" w:line="114" w:lineRule="exact"/>
              <w:rPr>
                <w:sz w:val="20"/>
                <w:szCs w:val="20"/>
                <w:color w:val="auto"/>
              </w:rPr>
            </w:pPr>
            <w:r>
              <w:rPr>
                <w:rFonts w:ascii="Arial" w:cs="Arial" w:eastAsia="Arial" w:hAnsi="Arial"/>
                <w:sz w:val="11"/>
                <w:szCs w:val="11"/>
                <w:color w:val="auto"/>
              </w:rPr>
              <w:t>8484 Westpark Drive Suite 600</w:t>
            </w:r>
          </w:p>
        </w:tc>
        <w:tc>
          <w:tcPr>
            <w:tcW w:w="1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gridSpan w:val="2"/>
          </w:tcPr>
          <w:p>
            <w:pPr>
              <w:jc w:val="center"/>
              <w:ind w:right="140"/>
              <w:spacing w:after="0" w:line="114" w:lineRule="exact"/>
              <w:rPr>
                <w:sz w:val="20"/>
                <w:szCs w:val="20"/>
                <w:color w:val="auto"/>
              </w:rPr>
            </w:pPr>
            <w:r>
              <w:rPr>
                <w:rFonts w:ascii="Arial" w:cs="Arial" w:eastAsia="Arial" w:hAnsi="Arial"/>
                <w:sz w:val="11"/>
                <w:szCs w:val="11"/>
                <w:color w:val="auto"/>
                <w:w w:val="94"/>
              </w:rPr>
              <w:t>3M L+625, 05/16/2024</w:t>
            </w: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00" w:type="dxa"/>
            <w:vAlign w:val="bottom"/>
            <w:gridSpan w:val="3"/>
          </w:tcPr>
          <w:p>
            <w:pPr>
              <w:spacing w:after="0"/>
              <w:rPr>
                <w:sz w:val="20"/>
                <w:szCs w:val="20"/>
                <w:color w:val="auto"/>
              </w:rPr>
            </w:pPr>
            <w:r>
              <w:rPr>
                <w:rFonts w:ascii="Arial" w:cs="Arial" w:eastAsia="Arial" w:hAnsi="Arial"/>
                <w:sz w:val="11"/>
                <w:szCs w:val="11"/>
                <w:color w:val="auto"/>
              </w:rPr>
              <w:t>McLean, VA 22102</w:t>
            </w:r>
          </w:p>
        </w:tc>
        <w:tc>
          <w:tcPr>
            <w:tcW w:w="1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Common Equity(4)</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68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Cadence Aerospace, LLC</w:t>
            </w:r>
          </w:p>
        </w:tc>
        <w:tc>
          <w:tcPr>
            <w:tcW w:w="1800" w:type="dxa"/>
            <w:vAlign w:val="bottom"/>
            <w:gridSpan w:val="2"/>
            <w:shd w:val="clear" w:color="auto" w:fill="CCEEFF"/>
          </w:tcPr>
          <w:p>
            <w:pPr>
              <w:jc w:val="center"/>
              <w:ind w:right="320"/>
              <w:spacing w:after="0" w:line="101" w:lineRule="exact"/>
              <w:rPr>
                <w:sz w:val="20"/>
                <w:szCs w:val="20"/>
                <w:color w:val="auto"/>
              </w:rPr>
            </w:pPr>
            <w:r>
              <w:rPr>
                <w:rFonts w:ascii="Arial" w:cs="Arial" w:eastAsia="Arial" w:hAnsi="Arial"/>
                <w:sz w:val="11"/>
                <w:szCs w:val="11"/>
                <w:color w:val="auto"/>
                <w:w w:val="88"/>
              </w:rPr>
              <w:t>Aerospace and Defense</w:t>
            </w:r>
          </w:p>
        </w:tc>
        <w:tc>
          <w:tcPr>
            <w:tcW w:w="1300" w:type="dxa"/>
            <w:vAlign w:val="bottom"/>
            <w:gridSpan w:val="2"/>
            <w:shd w:val="clear" w:color="auto" w:fill="CCEEFF"/>
          </w:tcPr>
          <w:p>
            <w:pPr>
              <w:jc w:val="center"/>
              <w:ind w:right="140"/>
              <w:spacing w:after="0" w:line="101" w:lineRule="exact"/>
              <w:rPr>
                <w:sz w:val="20"/>
                <w:szCs w:val="20"/>
                <w:color w:val="auto"/>
              </w:rPr>
            </w:pPr>
            <w:r>
              <w:rPr>
                <w:rFonts w:ascii="Arial" w:cs="Arial" w:eastAsia="Arial" w:hAnsi="Arial"/>
                <w:sz w:val="11"/>
                <w:szCs w:val="11"/>
                <w:color w:val="auto"/>
                <w:w w:val="91"/>
              </w:rPr>
              <w:t>First Lien Secured Debt,</w:t>
            </w:r>
          </w:p>
        </w:tc>
        <w:tc>
          <w:tcPr>
            <w:tcW w:w="900" w:type="dxa"/>
            <w:vAlign w:val="bottom"/>
            <w:gridSpan w:val="2"/>
            <w:shd w:val="clear" w:color="auto" w:fill="CCEEFF"/>
          </w:tcPr>
          <w:p>
            <w:pPr>
              <w:ind w:left="480"/>
              <w:spacing w:after="0" w:line="10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11"/>
                <w:szCs w:val="11"/>
                <w:color w:val="auto"/>
              </w:rPr>
              <w:t>3,003</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8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3150 East Miraloma Avenue</w:t>
            </w:r>
          </w:p>
        </w:tc>
        <w:tc>
          <w:tcPr>
            <w:tcW w:w="14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30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1"/>
                <w:szCs w:val="11"/>
                <w:color w:val="auto"/>
                <w:w w:val="95"/>
              </w:rPr>
              <w:t>3M L+850 (PIK 9.50%),</w:t>
            </w:r>
          </w:p>
        </w:tc>
        <w:tc>
          <w:tcPr>
            <w:tcW w:w="6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Anaheim, CA 92806</w:t>
            </w:r>
          </w:p>
        </w:tc>
        <w:tc>
          <w:tcPr>
            <w:tcW w:w="1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11/14/2023</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00" w:type="dxa"/>
            <w:vAlign w:val="bottom"/>
            <w:gridSpan w:val="3"/>
          </w:tcPr>
          <w:p>
            <w:pPr>
              <w:spacing w:after="0"/>
              <w:rPr>
                <w:sz w:val="20"/>
                <w:szCs w:val="20"/>
                <w:color w:val="auto"/>
              </w:rPr>
            </w:pPr>
            <w:r>
              <w:rPr>
                <w:rFonts w:ascii="Arial" w:cs="Arial" w:eastAsia="Arial" w:hAnsi="Arial"/>
                <w:sz w:val="11"/>
                <w:szCs w:val="11"/>
                <w:color w:val="auto"/>
              </w:rPr>
              <w:t>Cartessa Aesthetics, LLC</w:t>
            </w:r>
          </w:p>
        </w:tc>
        <w:tc>
          <w:tcPr>
            <w:tcW w:w="1800" w:type="dxa"/>
            <w:vAlign w:val="bottom"/>
            <w:gridSpan w:val="2"/>
          </w:tcPr>
          <w:p>
            <w:pPr>
              <w:jc w:val="center"/>
              <w:ind w:right="320"/>
              <w:spacing w:after="0"/>
              <w:rPr>
                <w:sz w:val="20"/>
                <w:szCs w:val="20"/>
                <w:color w:val="auto"/>
              </w:rPr>
            </w:pPr>
            <w:r>
              <w:rPr>
                <w:rFonts w:ascii="Arial" w:cs="Arial" w:eastAsia="Arial" w:hAnsi="Arial"/>
                <w:sz w:val="11"/>
                <w:szCs w:val="11"/>
                <w:color w:val="auto"/>
                <w:w w:val="93"/>
              </w:rPr>
              <w:t>Distributors</w:t>
            </w:r>
          </w:p>
        </w:tc>
        <w:tc>
          <w:tcPr>
            <w:tcW w:w="13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First Lien Secured</w:t>
            </w: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0.8%</w:t>
            </w: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18,200</w:t>
            </w:r>
          </w:p>
        </w:tc>
        <w:tc>
          <w:tcPr>
            <w:tcW w:w="0" w:type="dxa"/>
            <w:vAlign w:val="bottom"/>
          </w:tcPr>
          <w:p>
            <w:pPr>
              <w:spacing w:after="0"/>
              <w:rPr>
                <w:sz w:val="1"/>
                <w:szCs w:val="1"/>
                <w:color w:val="auto"/>
              </w:rPr>
            </w:pPr>
          </w:p>
        </w:tc>
      </w:tr>
      <w:tr>
        <w:trPr>
          <w:trHeight w:val="114"/>
        </w:trPr>
        <w:tc>
          <w:tcPr>
            <w:tcW w:w="3700" w:type="dxa"/>
            <w:vAlign w:val="bottom"/>
            <w:gridSpan w:val="3"/>
          </w:tcPr>
          <w:p>
            <w:pPr>
              <w:spacing w:after="0" w:line="114" w:lineRule="exact"/>
              <w:rPr>
                <w:sz w:val="20"/>
                <w:szCs w:val="20"/>
                <w:color w:val="auto"/>
              </w:rPr>
            </w:pPr>
            <w:r>
              <w:rPr>
                <w:rFonts w:ascii="Arial" w:cs="Arial" w:eastAsia="Arial" w:hAnsi="Arial"/>
                <w:sz w:val="11"/>
                <w:szCs w:val="11"/>
                <w:color w:val="auto"/>
              </w:rPr>
              <w:t>175 Broadhollow Road</w:t>
            </w:r>
          </w:p>
        </w:tc>
        <w:tc>
          <w:tcPr>
            <w:tcW w:w="1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gridSpan w:val="2"/>
          </w:tcPr>
          <w:p>
            <w:pPr>
              <w:jc w:val="center"/>
              <w:ind w:right="120"/>
              <w:spacing w:after="0" w:line="114" w:lineRule="exact"/>
              <w:rPr>
                <w:sz w:val="20"/>
                <w:szCs w:val="20"/>
                <w:color w:val="auto"/>
              </w:rPr>
            </w:pPr>
            <w:r>
              <w:rPr>
                <w:rFonts w:ascii="Arial" w:cs="Arial" w:eastAsia="Arial" w:hAnsi="Arial"/>
                <w:sz w:val="11"/>
                <w:szCs w:val="11"/>
                <w:color w:val="auto"/>
                <w:w w:val="95"/>
              </w:rPr>
              <w:t>Debt(4),</w:t>
            </w: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00" w:type="dxa"/>
            <w:vAlign w:val="bottom"/>
            <w:gridSpan w:val="3"/>
          </w:tcPr>
          <w:p>
            <w:pPr>
              <w:spacing w:after="0" w:line="114" w:lineRule="exact"/>
              <w:rPr>
                <w:sz w:val="20"/>
                <w:szCs w:val="20"/>
                <w:color w:val="auto"/>
              </w:rPr>
            </w:pPr>
            <w:r>
              <w:rPr>
                <w:rFonts w:ascii="Arial" w:cs="Arial" w:eastAsia="Arial" w:hAnsi="Arial"/>
                <w:sz w:val="11"/>
                <w:szCs w:val="11"/>
                <w:color w:val="auto"/>
              </w:rPr>
              <w:t>Melville, NY 11747</w:t>
            </w:r>
          </w:p>
        </w:tc>
        <w:tc>
          <w:tcPr>
            <w:tcW w:w="1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gridSpan w:val="2"/>
          </w:tcPr>
          <w:p>
            <w:pPr>
              <w:jc w:val="center"/>
              <w:ind w:right="140"/>
              <w:spacing w:after="0" w:line="114" w:lineRule="exact"/>
              <w:rPr>
                <w:sz w:val="20"/>
                <w:szCs w:val="20"/>
                <w:color w:val="auto"/>
              </w:rPr>
            </w:pPr>
            <w:r>
              <w:rPr>
                <w:rFonts w:ascii="Arial" w:cs="Arial" w:eastAsia="Arial" w:hAnsi="Arial"/>
                <w:sz w:val="11"/>
                <w:szCs w:val="11"/>
                <w:color w:val="auto"/>
                <w:w w:val="94"/>
              </w:rPr>
              <w:t>1M L+600, 05/13/2028</w:t>
            </w: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Common Equity</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460" w:type="dxa"/>
            <w:vAlign w:val="bottom"/>
          </w:tcPr>
          <w:p>
            <w:pPr>
              <w:jc w:val="right"/>
              <w:ind w:right="826"/>
              <w:spacing w:after="0"/>
              <w:rPr>
                <w:sz w:val="20"/>
                <w:szCs w:val="20"/>
                <w:color w:val="auto"/>
              </w:rPr>
            </w:pPr>
            <w:r>
              <w:rPr>
                <w:rFonts w:ascii="Arial" w:cs="Arial" w:eastAsia="Arial" w:hAnsi="Arial"/>
                <w:sz w:val="11"/>
                <w:szCs w:val="11"/>
                <w:color w:val="auto"/>
              </w:rPr>
              <w:t>20</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45" w:right="1440" w:bottom="1440" w:gutter="0" w:footer="0" w:header="0"/>
        </w:sect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2805" cy="45720"/>
                    </a:xfrm>
                    <a:prstGeom prst="rect">
                      <a:avLst/>
                    </a:prstGeom>
                    <a:noFill/>
                  </pic:spPr>
                </pic:pic>
              </a:graphicData>
            </a:graphic>
          </wp:anchor>
        </w:drawing>
      </w:r>
    </w:p>
    <w:bookmarkStart w:id="24" w:name="page25"/>
    <w:bookmarkEnd w:id="24"/>
    <w:tbl>
      <w:tblPr>
        <w:tblLayout w:type="fixed"/>
        <w:tblInd w:w="280" w:type="dxa"/>
        <w:tblCellMar>
          <w:top w:w="0" w:type="dxa"/>
          <w:left w:w="0" w:type="dxa"/>
          <w:bottom w:w="0" w:type="dxa"/>
          <w:right w:w="0" w:type="dxa"/>
        </w:tblCellMar>
      </w:tblPr>
      <w:tr>
        <w:trPr>
          <w:trHeight w:val="126"/>
        </w:trPr>
        <w:tc>
          <w:tcPr>
            <w:tcW w:w="37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Name and</w:t>
            </w:r>
          </w:p>
        </w:tc>
        <w:tc>
          <w:tcPr>
            <w:tcW w:w="1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0"/>
              </w:rPr>
              <w:t>Type of Investment,</w:t>
            </w:r>
          </w:p>
        </w:tc>
        <w:tc>
          <w:tcPr>
            <w:tcW w:w="920" w:type="dxa"/>
            <w:vAlign w:val="bottom"/>
            <w:gridSpan w:val="2"/>
          </w:tcPr>
          <w:p>
            <w:pPr>
              <w:jc w:val="right"/>
              <w:ind w:right="401"/>
              <w:spacing w:after="0"/>
              <w:rPr>
                <w:sz w:val="20"/>
                <w:szCs w:val="20"/>
                <w:color w:val="auto"/>
              </w:rPr>
            </w:pPr>
            <w:r>
              <w:rPr>
                <w:rFonts w:ascii="Arial" w:cs="Arial" w:eastAsia="Arial" w:hAnsi="Arial"/>
                <w:sz w:val="11"/>
                <w:szCs w:val="11"/>
                <w:b w:val="1"/>
                <w:bCs w:val="1"/>
                <w:color w:val="auto"/>
              </w:rPr>
              <w:t>Voting</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72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920" w:type="dxa"/>
            <w:vAlign w:val="bottom"/>
            <w:gridSpan w:val="2"/>
          </w:tcPr>
          <w:p>
            <w:pPr>
              <w:jc w:val="right"/>
              <w:ind w:right="281"/>
              <w:spacing w:after="0" w:line="111" w:lineRule="exact"/>
              <w:rPr>
                <w:sz w:val="20"/>
                <w:szCs w:val="20"/>
                <w:color w:val="auto"/>
              </w:rPr>
            </w:pPr>
            <w:r>
              <w:rPr>
                <w:rFonts w:ascii="Arial" w:cs="Arial" w:eastAsia="Arial" w:hAnsi="Arial"/>
                <w:sz w:val="11"/>
                <w:szCs w:val="11"/>
                <w:b w:val="1"/>
                <w:bCs w:val="1"/>
                <w:color w:val="auto"/>
                <w:w w:val="97"/>
              </w:rPr>
              <w:t>Percentage</w:t>
            </w:r>
          </w:p>
        </w:tc>
        <w:tc>
          <w:tcPr>
            <w:tcW w:w="80" w:type="dxa"/>
            <w:vAlign w:val="bottom"/>
          </w:tcPr>
          <w:p>
            <w:pPr>
              <w:spacing w:after="0"/>
              <w:rPr>
                <w:sz w:val="9"/>
                <w:szCs w:val="9"/>
                <w:color w:val="auto"/>
              </w:rPr>
            </w:pPr>
          </w:p>
        </w:tc>
        <w:tc>
          <w:tcPr>
            <w:tcW w:w="640" w:type="dxa"/>
            <w:vAlign w:val="bottom"/>
            <w:gridSpan w:val="2"/>
          </w:tcPr>
          <w:p>
            <w:pPr>
              <w:jc w:val="right"/>
              <w:ind w:right="120"/>
              <w:spacing w:after="0" w:line="111" w:lineRule="exact"/>
              <w:rPr>
                <w:sz w:val="20"/>
                <w:szCs w:val="20"/>
                <w:color w:val="auto"/>
              </w:rPr>
            </w:pPr>
            <w:r>
              <w:rPr>
                <w:rFonts w:ascii="Arial" w:cs="Arial" w:eastAsia="Arial" w:hAnsi="Arial"/>
                <w:sz w:val="11"/>
                <w:szCs w:val="11"/>
                <w:b w:val="1"/>
                <w:bCs w:val="1"/>
                <w:color w:val="auto"/>
                <w:w w:val="94"/>
              </w:rPr>
              <w:t>Fair Value</w:t>
            </w:r>
          </w:p>
        </w:tc>
        <w:tc>
          <w:tcPr>
            <w:tcW w:w="0" w:type="dxa"/>
            <w:vAlign w:val="bottom"/>
          </w:tcPr>
          <w:p>
            <w:pPr>
              <w:spacing w:after="0"/>
              <w:rPr>
                <w:sz w:val="1"/>
                <w:szCs w:val="1"/>
                <w:color w:val="auto"/>
              </w:rPr>
            </w:pPr>
          </w:p>
        </w:tc>
      </w:tr>
      <w:tr>
        <w:trPr>
          <w:trHeight w:val="144"/>
        </w:trPr>
        <w:tc>
          <w:tcPr>
            <w:tcW w:w="37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Address of Portfolio Company</w:t>
            </w:r>
          </w:p>
        </w:tc>
        <w:tc>
          <w:tcPr>
            <w:tcW w:w="1480" w:type="dxa"/>
            <w:vAlign w:val="bottom"/>
            <w:gridSpan w:val="2"/>
          </w:tcPr>
          <w:p>
            <w:pPr>
              <w:jc w:val="center"/>
              <w:ind w:right="360"/>
              <w:spacing w:after="0" w:line="125" w:lineRule="exact"/>
              <w:rPr>
                <w:sz w:val="20"/>
                <w:szCs w:val="20"/>
                <w:color w:val="auto"/>
              </w:rPr>
            </w:pPr>
            <w:r>
              <w:rPr>
                <w:rFonts w:ascii="Arial" w:cs="Arial" w:eastAsia="Arial" w:hAnsi="Arial"/>
                <w:sz w:val="11"/>
                <w:szCs w:val="11"/>
                <w:b w:val="1"/>
                <w:bCs w:val="1"/>
                <w:color w:val="auto"/>
                <w:w w:val="87"/>
              </w:rPr>
              <w:t>Nature of Business</w:t>
            </w:r>
          </w:p>
        </w:tc>
        <w:tc>
          <w:tcPr>
            <w:tcW w:w="1620" w:type="dxa"/>
            <w:vAlign w:val="bottom"/>
            <w:gridSpan w:val="2"/>
          </w:tcPr>
          <w:p>
            <w:pPr>
              <w:jc w:val="center"/>
              <w:ind w:right="120"/>
              <w:spacing w:after="0" w:line="125" w:lineRule="exact"/>
              <w:rPr>
                <w:sz w:val="20"/>
                <w:szCs w:val="20"/>
                <w:color w:val="auto"/>
              </w:rPr>
            </w:pPr>
            <w:r>
              <w:rPr>
                <w:rFonts w:ascii="Arial" w:cs="Arial" w:eastAsia="Arial" w:hAnsi="Arial"/>
                <w:sz w:val="11"/>
                <w:szCs w:val="11"/>
                <w:b w:val="1"/>
                <w:bCs w:val="1"/>
                <w:color w:val="auto"/>
                <w:w w:val="95"/>
              </w:rPr>
              <w:t>Interest(1), Maturity</w:t>
            </w:r>
          </w:p>
        </w:tc>
        <w:tc>
          <w:tcPr>
            <w:tcW w:w="920" w:type="dxa"/>
            <w:vAlign w:val="bottom"/>
            <w:gridSpan w:val="2"/>
          </w:tcPr>
          <w:p>
            <w:pPr>
              <w:jc w:val="right"/>
              <w:ind w:right="221"/>
              <w:spacing w:after="0" w:line="125" w:lineRule="exact"/>
              <w:rPr>
                <w:sz w:val="20"/>
                <w:szCs w:val="20"/>
                <w:color w:val="auto"/>
              </w:rPr>
            </w:pPr>
            <w:r>
              <w:rPr>
                <w:rFonts w:ascii="Arial" w:cs="Arial" w:eastAsia="Arial" w:hAnsi="Arial"/>
                <w:sz w:val="11"/>
                <w:szCs w:val="11"/>
                <w:b w:val="1"/>
                <w:bCs w:val="1"/>
                <w:color w:val="auto"/>
                <w:w w:val="90"/>
              </w:rPr>
              <w:t>Ownership(2)</w:t>
            </w:r>
          </w:p>
        </w:tc>
        <w:tc>
          <w:tcPr>
            <w:tcW w:w="7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w w:val="89"/>
              </w:rPr>
              <w:t>(in thousands)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420" w:type="dxa"/>
            <w:vAlign w:val="bottom"/>
            <w:tcBorders>
              <w:top w:val="single" w:sz="8" w:color="auto"/>
            </w:tcBorders>
            <w:shd w:val="clear" w:color="auto" w:fill="CCEEFF"/>
          </w:tcPr>
          <w:p>
            <w:pPr>
              <w:spacing w:after="0" w:line="74" w:lineRule="exact"/>
              <w:rPr>
                <w:sz w:val="20"/>
                <w:szCs w:val="20"/>
                <w:color w:val="auto"/>
              </w:rPr>
            </w:pPr>
            <w:r>
              <w:rPr>
                <w:rFonts w:ascii="Arial" w:cs="Arial" w:eastAsia="Arial" w:hAnsi="Arial"/>
                <w:sz w:val="8"/>
                <w:szCs w:val="8"/>
                <w:color w:val="auto"/>
              </w:rPr>
              <w:t>CF512, Inc.</w:t>
            </w:r>
          </w:p>
        </w:tc>
        <w:tc>
          <w:tcPr>
            <w:tcW w:w="228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auto"/>
            </w:tcBorders>
            <w:shd w:val="clear" w:color="auto" w:fill="CCEEFF"/>
          </w:tcPr>
          <w:p>
            <w:pPr>
              <w:jc w:val="center"/>
              <w:spacing w:after="0" w:line="74" w:lineRule="exact"/>
              <w:rPr>
                <w:sz w:val="20"/>
                <w:szCs w:val="20"/>
                <w:color w:val="auto"/>
              </w:rPr>
            </w:pPr>
            <w:r>
              <w:rPr>
                <w:rFonts w:ascii="Arial" w:cs="Arial" w:eastAsia="Arial" w:hAnsi="Arial"/>
                <w:sz w:val="8"/>
                <w:szCs w:val="8"/>
                <w:color w:val="auto"/>
              </w:rPr>
              <w:t>Media</w:t>
            </w:r>
          </w:p>
        </w:tc>
        <w:tc>
          <w:tcPr>
            <w:tcW w:w="36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auto"/>
            </w:tcBorders>
            <w:shd w:val="clear" w:color="auto" w:fill="CCEEFF"/>
          </w:tcPr>
          <w:p>
            <w:pPr>
              <w:jc w:val="center"/>
              <w:spacing w:after="0" w:line="74" w:lineRule="exact"/>
              <w:rPr>
                <w:sz w:val="20"/>
                <w:szCs w:val="20"/>
                <w:color w:val="auto"/>
              </w:rPr>
            </w:pPr>
            <w:r>
              <w:rPr>
                <w:rFonts w:ascii="Arial" w:cs="Arial" w:eastAsia="Arial" w:hAnsi="Arial"/>
                <w:sz w:val="8"/>
                <w:szCs w:val="8"/>
                <w:color w:val="auto"/>
              </w:rPr>
              <w:t>First Lien Secured Debt(4),</w:t>
            </w:r>
          </w:p>
        </w:tc>
        <w:tc>
          <w:tcPr>
            <w:tcW w:w="1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jc w:val="right"/>
              <w:spacing w:after="0" w:line="74" w:lineRule="exact"/>
              <w:rPr>
                <w:sz w:val="20"/>
                <w:szCs w:val="20"/>
                <w:color w:val="auto"/>
              </w:rPr>
            </w:pPr>
            <w:r>
              <w:rPr>
                <w:rFonts w:ascii="Arial" w:cs="Arial" w:eastAsia="Arial" w:hAnsi="Arial"/>
                <w:sz w:val="8"/>
                <w:szCs w:val="8"/>
                <w:color w:val="auto"/>
              </w:rPr>
              <w:t>0.8</w:t>
            </w:r>
          </w:p>
        </w:tc>
        <w:tc>
          <w:tcPr>
            <w:tcW w:w="260" w:type="dxa"/>
            <w:vAlign w:val="bottom"/>
            <w:tcBorders>
              <w:top w:val="single" w:sz="8" w:color="CCEEFF"/>
            </w:tcBorders>
            <w:shd w:val="clear" w:color="auto" w:fill="CCEEFF"/>
          </w:tcPr>
          <w:p>
            <w:pPr>
              <w:jc w:val="right"/>
              <w:ind w:right="121"/>
              <w:spacing w:after="0" w:line="74" w:lineRule="exact"/>
              <w:rPr>
                <w:sz w:val="20"/>
                <w:szCs w:val="20"/>
                <w:color w:val="auto"/>
              </w:rPr>
            </w:pPr>
            <w:r>
              <w:rPr>
                <w:rFonts w:ascii="Arial" w:cs="Arial" w:eastAsia="Arial" w:hAnsi="Arial"/>
                <w:sz w:val="8"/>
                <w:szCs w:val="8"/>
                <w:color w:val="auto"/>
              </w:rPr>
              <w:t>%</w:t>
            </w:r>
          </w:p>
        </w:tc>
        <w:tc>
          <w:tcPr>
            <w:tcW w:w="80" w:type="dxa"/>
            <w:vAlign w:val="bottom"/>
            <w:tcBorders>
              <w:top w:val="single" w:sz="8" w:color="auto"/>
            </w:tcBorders>
            <w:shd w:val="clear" w:color="auto" w:fill="CCEEFF"/>
          </w:tcPr>
          <w:p>
            <w:pPr>
              <w:spacing w:after="0" w:line="74" w:lineRule="exact"/>
              <w:rPr>
                <w:sz w:val="20"/>
                <w:szCs w:val="20"/>
                <w:color w:val="auto"/>
              </w:rPr>
            </w:pPr>
            <w:r>
              <w:rPr>
                <w:rFonts w:ascii="Arial" w:cs="Arial" w:eastAsia="Arial" w:hAnsi="Arial"/>
                <w:sz w:val="8"/>
                <w:szCs w:val="8"/>
                <w:color w:val="auto"/>
              </w:rPr>
              <w:t>$</w:t>
            </w:r>
          </w:p>
        </w:tc>
        <w:tc>
          <w:tcPr>
            <w:tcW w:w="600" w:type="dxa"/>
            <w:vAlign w:val="bottom"/>
            <w:tcBorders>
              <w:top w:val="single" w:sz="8" w:color="auto"/>
            </w:tcBorders>
            <w:shd w:val="clear" w:color="auto" w:fill="CCEEFF"/>
          </w:tcPr>
          <w:p>
            <w:pPr>
              <w:jc w:val="right"/>
              <w:spacing w:after="0" w:line="74" w:lineRule="exact"/>
              <w:rPr>
                <w:sz w:val="20"/>
                <w:szCs w:val="20"/>
                <w:color w:val="auto"/>
              </w:rPr>
            </w:pPr>
            <w:r>
              <w:rPr>
                <w:rFonts w:ascii="Arial" w:cs="Arial" w:eastAsia="Arial" w:hAnsi="Arial"/>
                <w:sz w:val="8"/>
                <w:szCs w:val="8"/>
                <w:color w:val="auto"/>
              </w:rPr>
              <w:t>8,121</w:t>
            </w:r>
          </w:p>
        </w:tc>
        <w:tc>
          <w:tcPr>
            <w:tcW w:w="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(StellPen Holdings, LLC)</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Arial" w:cs="Arial" w:eastAsia="Arial" w:hAnsi="Arial"/>
                <w:sz w:val="11"/>
                <w:szCs w:val="11"/>
                <w:color w:val="auto"/>
                <w:w w:val="94"/>
              </w:rPr>
              <w:t>3M L+600, 08/20/2026</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960B Harvest Drive</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1"/>
                <w:szCs w:val="11"/>
                <w:color w:val="auto"/>
                <w:w w:val="94"/>
              </w:rPr>
              <w:t>Common Equity</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Blue Bell, PA 19422</w:t>
            </w:r>
          </w:p>
        </w:tc>
        <w:tc>
          <w:tcPr>
            <w:tcW w:w="1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20" w:type="dxa"/>
            <w:vAlign w:val="bottom"/>
            <w:gridSpan w:val="3"/>
          </w:tcPr>
          <w:p>
            <w:pPr>
              <w:spacing w:after="0"/>
              <w:rPr>
                <w:sz w:val="20"/>
                <w:szCs w:val="20"/>
                <w:color w:val="auto"/>
              </w:rPr>
            </w:pPr>
            <w:r>
              <w:rPr>
                <w:rFonts w:ascii="Arial" w:cs="Arial" w:eastAsia="Arial" w:hAnsi="Arial"/>
                <w:sz w:val="11"/>
                <w:szCs w:val="11"/>
                <w:color w:val="auto"/>
              </w:rPr>
              <w:t>CHA Holdings, Inc.</w:t>
            </w:r>
          </w:p>
        </w:tc>
        <w:tc>
          <w:tcPr>
            <w:tcW w:w="1480" w:type="dxa"/>
            <w:vAlign w:val="bottom"/>
            <w:gridSpan w:val="2"/>
          </w:tcPr>
          <w:p>
            <w:pPr>
              <w:jc w:val="center"/>
              <w:ind w:right="340"/>
              <w:spacing w:after="0"/>
              <w:rPr>
                <w:sz w:val="20"/>
                <w:szCs w:val="20"/>
                <w:color w:val="auto"/>
              </w:rPr>
            </w:pPr>
            <w:r>
              <w:rPr>
                <w:rFonts w:ascii="Arial" w:cs="Arial" w:eastAsia="Arial" w:hAnsi="Arial"/>
                <w:sz w:val="11"/>
                <w:szCs w:val="11"/>
                <w:color w:val="auto"/>
                <w:w w:val="93"/>
              </w:rPr>
              <w:t>Environmental</w:t>
            </w:r>
          </w:p>
        </w:tc>
        <w:tc>
          <w:tcPr>
            <w:tcW w:w="162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First Lien Secured Debt,</w:t>
            </w:r>
          </w:p>
        </w:tc>
        <w:tc>
          <w:tcPr>
            <w:tcW w:w="920" w:type="dxa"/>
            <w:vAlign w:val="bottom"/>
            <w:gridSpan w:val="2"/>
          </w:tcPr>
          <w:p>
            <w:pPr>
              <w:jc w:val="right"/>
              <w:ind w:right="281"/>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1,581</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Arial" w:cs="Arial" w:eastAsia="Arial" w:hAnsi="Arial"/>
                <w:sz w:val="11"/>
                <w:szCs w:val="11"/>
                <w:color w:val="auto"/>
              </w:rPr>
              <w:t>575 Broadway</w:t>
            </w:r>
          </w:p>
        </w:tc>
        <w:tc>
          <w:tcPr>
            <w:tcW w:w="1480" w:type="dxa"/>
            <w:vAlign w:val="bottom"/>
            <w:gridSpan w:val="2"/>
          </w:tcPr>
          <w:p>
            <w:pPr>
              <w:jc w:val="center"/>
              <w:ind w:right="360"/>
              <w:spacing w:after="0" w:line="114" w:lineRule="exact"/>
              <w:rPr>
                <w:sz w:val="20"/>
                <w:szCs w:val="20"/>
                <w:color w:val="auto"/>
              </w:rPr>
            </w:pPr>
            <w:r>
              <w:rPr>
                <w:rFonts w:ascii="Arial" w:cs="Arial" w:eastAsia="Arial" w:hAnsi="Arial"/>
                <w:sz w:val="11"/>
                <w:szCs w:val="11"/>
                <w:color w:val="auto"/>
                <w:w w:val="92"/>
              </w:rPr>
              <w:t>Industries</w:t>
            </w:r>
          </w:p>
        </w:tc>
        <w:tc>
          <w:tcPr>
            <w:tcW w:w="1620" w:type="dxa"/>
            <w:vAlign w:val="bottom"/>
            <w:gridSpan w:val="2"/>
          </w:tcPr>
          <w:p>
            <w:pPr>
              <w:jc w:val="center"/>
              <w:ind w:right="140"/>
              <w:spacing w:after="0" w:line="114" w:lineRule="exact"/>
              <w:rPr>
                <w:sz w:val="20"/>
                <w:szCs w:val="20"/>
                <w:color w:val="auto"/>
              </w:rPr>
            </w:pPr>
            <w:r>
              <w:rPr>
                <w:rFonts w:ascii="Arial" w:cs="Arial" w:eastAsia="Arial" w:hAnsi="Arial"/>
                <w:sz w:val="11"/>
                <w:szCs w:val="11"/>
                <w:color w:val="auto"/>
                <w:w w:val="94"/>
              </w:rPr>
              <w:t>3M L+450, 04/10/2025</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20" w:type="dxa"/>
            <w:vAlign w:val="bottom"/>
            <w:gridSpan w:val="3"/>
          </w:tcPr>
          <w:p>
            <w:pPr>
              <w:spacing w:after="0"/>
              <w:rPr>
                <w:sz w:val="20"/>
                <w:szCs w:val="20"/>
                <w:color w:val="auto"/>
              </w:rPr>
            </w:pPr>
            <w:r>
              <w:rPr>
                <w:rFonts w:ascii="Arial" w:cs="Arial" w:eastAsia="Arial" w:hAnsi="Arial"/>
                <w:sz w:val="11"/>
                <w:szCs w:val="11"/>
                <w:color w:val="auto"/>
              </w:rPr>
              <w:t>Albany, NY 12207</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70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Challenger Performance Optimization, Inc.</w:t>
            </w:r>
          </w:p>
        </w:tc>
        <w:tc>
          <w:tcPr>
            <w:tcW w:w="1480" w:type="dxa"/>
            <w:vAlign w:val="bottom"/>
            <w:gridSpan w:val="2"/>
            <w:shd w:val="clear" w:color="auto" w:fill="CCEEFF"/>
          </w:tcPr>
          <w:p>
            <w:pPr>
              <w:jc w:val="center"/>
              <w:ind w:right="360"/>
              <w:spacing w:after="0" w:line="101" w:lineRule="exact"/>
              <w:rPr>
                <w:sz w:val="20"/>
                <w:szCs w:val="20"/>
                <w:color w:val="auto"/>
              </w:rPr>
            </w:pPr>
            <w:r>
              <w:rPr>
                <w:rFonts w:ascii="Arial" w:cs="Arial" w:eastAsia="Arial" w:hAnsi="Arial"/>
                <w:sz w:val="11"/>
                <w:szCs w:val="11"/>
                <w:color w:val="auto"/>
                <w:w w:val="88"/>
              </w:rPr>
              <w:t>Business Services</w:t>
            </w:r>
          </w:p>
        </w:tc>
        <w:tc>
          <w:tcPr>
            <w:tcW w:w="1620" w:type="dxa"/>
            <w:vAlign w:val="bottom"/>
            <w:gridSpan w:val="2"/>
            <w:shd w:val="clear" w:color="auto" w:fill="CCEEFF"/>
          </w:tcPr>
          <w:p>
            <w:pPr>
              <w:jc w:val="center"/>
              <w:ind w:right="120"/>
              <w:spacing w:after="0" w:line="101" w:lineRule="exact"/>
              <w:rPr>
                <w:sz w:val="20"/>
                <w:szCs w:val="20"/>
                <w:color w:val="auto"/>
              </w:rPr>
            </w:pPr>
            <w:r>
              <w:rPr>
                <w:rFonts w:ascii="Arial" w:cs="Arial" w:eastAsia="Arial" w:hAnsi="Arial"/>
                <w:sz w:val="11"/>
                <w:szCs w:val="11"/>
                <w:color w:val="auto"/>
                <w:w w:val="92"/>
              </w:rPr>
              <w:t>First Lien Secured Debt(4),</w:t>
            </w:r>
          </w:p>
        </w:tc>
        <w:tc>
          <w:tcPr>
            <w:tcW w:w="920" w:type="dxa"/>
            <w:vAlign w:val="bottom"/>
            <w:gridSpan w:val="2"/>
            <w:shd w:val="clear" w:color="auto" w:fill="CCEEFF"/>
          </w:tcPr>
          <w:p>
            <w:pPr>
              <w:jc w:val="right"/>
              <w:ind w:right="281"/>
              <w:spacing w:after="0" w:line="10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Arial" w:cs="Arial" w:eastAsia="Arial" w:hAnsi="Arial"/>
                <w:sz w:val="11"/>
                <w:szCs w:val="11"/>
                <w:color w:val="auto"/>
              </w:rPr>
              <w:t>335</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1201 Wilson Blvd</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Arial" w:cs="Arial" w:eastAsia="Arial" w:hAnsi="Arial"/>
                <w:sz w:val="11"/>
                <w:szCs w:val="11"/>
                <w:color w:val="auto"/>
                <w:w w:val="94"/>
              </w:rPr>
              <w:t>1M L+675, 08/31/2023</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Arlington, VA 22209</w:t>
            </w:r>
          </w:p>
        </w:tc>
        <w:tc>
          <w:tcPr>
            <w:tcW w:w="1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20" w:type="dxa"/>
            <w:vAlign w:val="bottom"/>
            <w:gridSpan w:val="3"/>
          </w:tcPr>
          <w:p>
            <w:pPr>
              <w:spacing w:after="0"/>
              <w:rPr>
                <w:sz w:val="20"/>
                <w:szCs w:val="20"/>
                <w:color w:val="auto"/>
              </w:rPr>
            </w:pPr>
            <w:r>
              <w:rPr>
                <w:rFonts w:ascii="Arial" w:cs="Arial" w:eastAsia="Arial" w:hAnsi="Arial"/>
                <w:sz w:val="11"/>
                <w:szCs w:val="11"/>
                <w:color w:val="auto"/>
              </w:rPr>
              <w:t>Compex Legal Services, Inc.</w:t>
            </w:r>
          </w:p>
        </w:tc>
        <w:tc>
          <w:tcPr>
            <w:tcW w:w="1480" w:type="dxa"/>
            <w:vAlign w:val="bottom"/>
            <w:gridSpan w:val="2"/>
          </w:tcPr>
          <w:p>
            <w:pPr>
              <w:jc w:val="center"/>
              <w:ind w:right="340"/>
              <w:spacing w:after="0"/>
              <w:rPr>
                <w:sz w:val="20"/>
                <w:szCs w:val="20"/>
                <w:color w:val="auto"/>
              </w:rPr>
            </w:pPr>
            <w:r>
              <w:rPr>
                <w:rFonts w:ascii="Arial" w:cs="Arial" w:eastAsia="Arial" w:hAnsi="Arial"/>
                <w:sz w:val="11"/>
                <w:szCs w:val="11"/>
                <w:color w:val="auto"/>
                <w:w w:val="88"/>
              </w:rPr>
              <w:t>Professional Services</w:t>
            </w:r>
          </w:p>
        </w:tc>
        <w:tc>
          <w:tcPr>
            <w:tcW w:w="162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First Lien Secured Debt(4),</w:t>
            </w:r>
          </w:p>
        </w:tc>
        <w:tc>
          <w:tcPr>
            <w:tcW w:w="920" w:type="dxa"/>
            <w:vAlign w:val="bottom"/>
            <w:gridSpan w:val="2"/>
          </w:tcPr>
          <w:p>
            <w:pPr>
              <w:jc w:val="right"/>
              <w:ind w:right="281"/>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8,811</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Arial" w:cs="Arial" w:eastAsia="Arial" w:hAnsi="Arial"/>
                <w:sz w:val="11"/>
                <w:szCs w:val="11"/>
                <w:color w:val="auto"/>
              </w:rPr>
              <w:t>325 Maple Avenue</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Arial" w:cs="Arial" w:eastAsia="Arial" w:hAnsi="Arial"/>
                <w:sz w:val="11"/>
                <w:szCs w:val="11"/>
                <w:color w:val="auto"/>
                <w:w w:val="94"/>
              </w:rPr>
              <w:t>3M L+525, 02/09/2026</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20" w:type="dxa"/>
            <w:vAlign w:val="bottom"/>
            <w:gridSpan w:val="3"/>
          </w:tcPr>
          <w:p>
            <w:pPr>
              <w:spacing w:after="0"/>
              <w:rPr>
                <w:sz w:val="20"/>
                <w:szCs w:val="20"/>
                <w:color w:val="auto"/>
              </w:rPr>
            </w:pPr>
            <w:r>
              <w:rPr>
                <w:rFonts w:ascii="Arial" w:cs="Arial" w:eastAsia="Arial" w:hAnsi="Arial"/>
                <w:sz w:val="11"/>
                <w:szCs w:val="11"/>
                <w:color w:val="auto"/>
              </w:rPr>
              <w:t>Torrance, CA 90503</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70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Connatix Buyer, Inc.</w:t>
            </w:r>
          </w:p>
        </w:tc>
        <w:tc>
          <w:tcPr>
            <w:tcW w:w="1480" w:type="dxa"/>
            <w:vAlign w:val="bottom"/>
            <w:gridSpan w:val="2"/>
            <w:shd w:val="clear" w:color="auto" w:fill="CCEEFF"/>
          </w:tcPr>
          <w:p>
            <w:pPr>
              <w:jc w:val="center"/>
              <w:ind w:right="360"/>
              <w:spacing w:after="0" w:line="101" w:lineRule="exact"/>
              <w:rPr>
                <w:sz w:val="20"/>
                <w:szCs w:val="20"/>
                <w:color w:val="auto"/>
              </w:rPr>
            </w:pPr>
            <w:r>
              <w:rPr>
                <w:rFonts w:ascii="Arial" w:cs="Arial" w:eastAsia="Arial" w:hAnsi="Arial"/>
                <w:sz w:val="11"/>
                <w:szCs w:val="11"/>
                <w:color w:val="auto"/>
                <w:w w:val="93"/>
              </w:rPr>
              <w:t>Media</w:t>
            </w:r>
          </w:p>
        </w:tc>
        <w:tc>
          <w:tcPr>
            <w:tcW w:w="1620" w:type="dxa"/>
            <w:vAlign w:val="bottom"/>
            <w:gridSpan w:val="2"/>
            <w:shd w:val="clear" w:color="auto" w:fill="CCEEFF"/>
          </w:tcPr>
          <w:p>
            <w:pPr>
              <w:jc w:val="center"/>
              <w:ind w:right="120"/>
              <w:spacing w:after="0" w:line="101" w:lineRule="exact"/>
              <w:rPr>
                <w:sz w:val="20"/>
                <w:szCs w:val="20"/>
                <w:color w:val="auto"/>
              </w:rPr>
            </w:pPr>
            <w:r>
              <w:rPr>
                <w:rFonts w:ascii="Arial" w:cs="Arial" w:eastAsia="Arial" w:hAnsi="Arial"/>
                <w:sz w:val="11"/>
                <w:szCs w:val="11"/>
                <w:color w:val="auto"/>
                <w:w w:val="92"/>
              </w:rPr>
              <w:t>First Lien Secured Debt(4),</w:t>
            </w:r>
          </w:p>
        </w:tc>
        <w:tc>
          <w:tcPr>
            <w:tcW w:w="920" w:type="dxa"/>
            <w:vAlign w:val="bottom"/>
            <w:gridSpan w:val="2"/>
            <w:shd w:val="clear" w:color="auto" w:fill="CCEEFF"/>
          </w:tcPr>
          <w:p>
            <w:pPr>
              <w:jc w:val="right"/>
              <w:ind w:right="121"/>
              <w:spacing w:after="0" w:line="101" w:lineRule="exact"/>
              <w:rPr>
                <w:sz w:val="20"/>
                <w:szCs w:val="20"/>
                <w:color w:val="auto"/>
              </w:rPr>
            </w:pPr>
            <w:r>
              <w:rPr>
                <w:rFonts w:ascii="Arial" w:cs="Arial" w:eastAsia="Arial" w:hAnsi="Arial"/>
                <w:sz w:val="11"/>
                <w:szCs w:val="11"/>
                <w:color w:val="auto"/>
              </w:rPr>
              <w:t>0.3%</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4,206</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(Connatix Parent, LLC)</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Arial" w:cs="Arial" w:eastAsia="Arial" w:hAnsi="Arial"/>
                <w:sz w:val="11"/>
                <w:szCs w:val="11"/>
                <w:color w:val="auto"/>
                <w:w w:val="94"/>
              </w:rPr>
              <w:t>3M L+550, 07/13/2027</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666 Broadway, Floor 10</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1"/>
                <w:szCs w:val="11"/>
                <w:color w:val="auto"/>
                <w:w w:val="94"/>
              </w:rPr>
              <w:t>Common Equity</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New York, NY 10012</w:t>
            </w:r>
          </w:p>
        </w:tc>
        <w:tc>
          <w:tcPr>
            <w:tcW w:w="1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20" w:type="dxa"/>
            <w:vAlign w:val="bottom"/>
            <w:gridSpan w:val="3"/>
          </w:tcPr>
          <w:p>
            <w:pPr>
              <w:spacing w:after="0"/>
              <w:rPr>
                <w:sz w:val="20"/>
                <w:szCs w:val="20"/>
                <w:color w:val="auto"/>
              </w:rPr>
            </w:pPr>
            <w:r>
              <w:rPr>
                <w:rFonts w:ascii="Arial" w:cs="Arial" w:eastAsia="Arial" w:hAnsi="Arial"/>
                <w:sz w:val="11"/>
                <w:szCs w:val="11"/>
                <w:color w:val="auto"/>
              </w:rPr>
              <w:t>Crane 1 Services, Inc.</w:t>
            </w:r>
          </w:p>
        </w:tc>
        <w:tc>
          <w:tcPr>
            <w:tcW w:w="1480" w:type="dxa"/>
            <w:vAlign w:val="bottom"/>
            <w:gridSpan w:val="2"/>
          </w:tcPr>
          <w:p>
            <w:pPr>
              <w:jc w:val="center"/>
              <w:ind w:right="340"/>
              <w:spacing w:after="0"/>
              <w:rPr>
                <w:sz w:val="20"/>
                <w:szCs w:val="20"/>
                <w:color w:val="auto"/>
              </w:rPr>
            </w:pPr>
            <w:r>
              <w:rPr>
                <w:rFonts w:ascii="Arial" w:cs="Arial" w:eastAsia="Arial" w:hAnsi="Arial"/>
                <w:sz w:val="11"/>
                <w:szCs w:val="11"/>
                <w:color w:val="auto"/>
                <w:w w:val="92"/>
              </w:rPr>
              <w:t>Commercial Services &amp;</w:t>
            </w:r>
          </w:p>
        </w:tc>
        <w:tc>
          <w:tcPr>
            <w:tcW w:w="162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First Lien Secured Debt(4),</w:t>
            </w:r>
          </w:p>
        </w:tc>
        <w:tc>
          <w:tcPr>
            <w:tcW w:w="920" w:type="dxa"/>
            <w:vAlign w:val="bottom"/>
            <w:gridSpan w:val="2"/>
          </w:tcPr>
          <w:p>
            <w:pPr>
              <w:jc w:val="right"/>
              <w:ind w:right="121"/>
              <w:spacing w:after="0"/>
              <w:rPr>
                <w:sz w:val="20"/>
                <w:szCs w:val="20"/>
                <w:color w:val="auto"/>
              </w:rPr>
            </w:pPr>
            <w:r>
              <w:rPr>
                <w:rFonts w:ascii="Arial" w:cs="Arial" w:eastAsia="Arial" w:hAnsi="Arial"/>
                <w:sz w:val="11"/>
                <w:szCs w:val="11"/>
                <w:color w:val="auto"/>
              </w:rPr>
              <w:t>0.5%</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1,244</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Arial" w:cs="Arial" w:eastAsia="Arial" w:hAnsi="Arial"/>
                <w:sz w:val="11"/>
                <w:szCs w:val="11"/>
                <w:color w:val="auto"/>
              </w:rPr>
              <w:t>(Crane 1 Acquisition Parent Holdings, L.P.)</w:t>
            </w:r>
          </w:p>
        </w:tc>
        <w:tc>
          <w:tcPr>
            <w:tcW w:w="1480" w:type="dxa"/>
            <w:vAlign w:val="bottom"/>
            <w:gridSpan w:val="2"/>
          </w:tcPr>
          <w:p>
            <w:pPr>
              <w:jc w:val="center"/>
              <w:ind w:right="340"/>
              <w:spacing w:after="0" w:line="114" w:lineRule="exact"/>
              <w:rPr>
                <w:sz w:val="20"/>
                <w:szCs w:val="20"/>
                <w:color w:val="auto"/>
              </w:rPr>
            </w:pPr>
            <w:r>
              <w:rPr>
                <w:rFonts w:ascii="Arial" w:cs="Arial" w:eastAsia="Arial" w:hAnsi="Arial"/>
                <w:sz w:val="11"/>
                <w:szCs w:val="11"/>
                <w:color w:val="auto"/>
                <w:w w:val="89"/>
              </w:rPr>
              <w:t>Supplies</w:t>
            </w:r>
          </w:p>
        </w:tc>
        <w:tc>
          <w:tcPr>
            <w:tcW w:w="1620" w:type="dxa"/>
            <w:vAlign w:val="bottom"/>
            <w:gridSpan w:val="2"/>
          </w:tcPr>
          <w:p>
            <w:pPr>
              <w:jc w:val="center"/>
              <w:ind w:right="140"/>
              <w:spacing w:after="0" w:line="114" w:lineRule="exact"/>
              <w:rPr>
                <w:sz w:val="20"/>
                <w:szCs w:val="20"/>
                <w:color w:val="auto"/>
              </w:rPr>
            </w:pPr>
            <w:r>
              <w:rPr>
                <w:rFonts w:ascii="Arial" w:cs="Arial" w:eastAsia="Arial" w:hAnsi="Arial"/>
                <w:sz w:val="11"/>
                <w:szCs w:val="11"/>
                <w:color w:val="auto"/>
                <w:w w:val="94"/>
              </w:rPr>
              <w:t>3M L+575, 08/16/2027</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Arial" w:cs="Arial" w:eastAsia="Arial" w:hAnsi="Arial"/>
                <w:sz w:val="11"/>
                <w:szCs w:val="11"/>
                <w:color w:val="auto"/>
              </w:rPr>
              <w:t>1027 Byers Rd</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2"/>
          </w:tcPr>
          <w:p>
            <w:pPr>
              <w:jc w:val="center"/>
              <w:ind w:right="120"/>
              <w:spacing w:after="0" w:line="114" w:lineRule="exact"/>
              <w:rPr>
                <w:sz w:val="20"/>
                <w:szCs w:val="20"/>
                <w:color w:val="auto"/>
              </w:rPr>
            </w:pPr>
            <w:r>
              <w:rPr>
                <w:rFonts w:ascii="Arial" w:cs="Arial" w:eastAsia="Arial" w:hAnsi="Arial"/>
                <w:sz w:val="11"/>
                <w:szCs w:val="11"/>
                <w:color w:val="auto"/>
                <w:w w:val="94"/>
              </w:rPr>
              <w:t>Common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20" w:type="dxa"/>
            <w:vAlign w:val="bottom"/>
            <w:gridSpan w:val="3"/>
          </w:tcPr>
          <w:p>
            <w:pPr>
              <w:spacing w:after="0"/>
              <w:rPr>
                <w:sz w:val="20"/>
                <w:szCs w:val="20"/>
                <w:color w:val="auto"/>
              </w:rPr>
            </w:pPr>
            <w:r>
              <w:rPr>
                <w:rFonts w:ascii="Arial" w:cs="Arial" w:eastAsia="Arial" w:hAnsi="Arial"/>
                <w:sz w:val="11"/>
                <w:szCs w:val="11"/>
                <w:color w:val="auto"/>
              </w:rPr>
              <w:t>Miamisburg, OH 45342</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70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Douglas Products and Packaging Company, LLC</w:t>
            </w:r>
          </w:p>
        </w:tc>
        <w:tc>
          <w:tcPr>
            <w:tcW w:w="1480" w:type="dxa"/>
            <w:vAlign w:val="bottom"/>
            <w:gridSpan w:val="2"/>
            <w:shd w:val="clear" w:color="auto" w:fill="CCEEFF"/>
          </w:tcPr>
          <w:p>
            <w:pPr>
              <w:jc w:val="center"/>
              <w:ind w:right="360"/>
              <w:spacing w:after="0" w:line="101" w:lineRule="exact"/>
              <w:rPr>
                <w:sz w:val="20"/>
                <w:szCs w:val="20"/>
                <w:color w:val="auto"/>
              </w:rPr>
            </w:pPr>
            <w:r>
              <w:rPr>
                <w:rFonts w:ascii="Arial" w:cs="Arial" w:eastAsia="Arial" w:hAnsi="Arial"/>
                <w:sz w:val="11"/>
                <w:szCs w:val="11"/>
                <w:color w:val="auto"/>
                <w:w w:val="89"/>
              </w:rPr>
              <w:t>Chemicals, Plastics and</w:t>
            </w:r>
          </w:p>
        </w:tc>
        <w:tc>
          <w:tcPr>
            <w:tcW w:w="1620" w:type="dxa"/>
            <w:vAlign w:val="bottom"/>
            <w:gridSpan w:val="2"/>
            <w:shd w:val="clear" w:color="auto" w:fill="CCEEFF"/>
          </w:tcPr>
          <w:p>
            <w:pPr>
              <w:jc w:val="center"/>
              <w:ind w:right="120"/>
              <w:spacing w:after="0" w:line="101" w:lineRule="exact"/>
              <w:rPr>
                <w:sz w:val="20"/>
                <w:szCs w:val="20"/>
                <w:color w:val="auto"/>
              </w:rPr>
            </w:pPr>
            <w:r>
              <w:rPr>
                <w:rFonts w:ascii="Arial" w:cs="Arial" w:eastAsia="Arial" w:hAnsi="Arial"/>
                <w:sz w:val="11"/>
                <w:szCs w:val="11"/>
                <w:color w:val="auto"/>
                <w:w w:val="92"/>
              </w:rPr>
              <w:t>First Lien Secured Debt(4),</w:t>
            </w:r>
          </w:p>
        </w:tc>
        <w:tc>
          <w:tcPr>
            <w:tcW w:w="920" w:type="dxa"/>
            <w:vAlign w:val="bottom"/>
            <w:gridSpan w:val="2"/>
            <w:shd w:val="clear" w:color="auto" w:fill="CCEEFF"/>
          </w:tcPr>
          <w:p>
            <w:pPr>
              <w:jc w:val="right"/>
              <w:ind w:right="281"/>
              <w:spacing w:after="0" w:line="10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13,662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(Douglas Sewer Intermediate, LLC)</w:t>
            </w:r>
          </w:p>
        </w:tc>
        <w:tc>
          <w:tcPr>
            <w:tcW w:w="1480" w:type="dxa"/>
            <w:vAlign w:val="bottom"/>
            <w:gridSpan w:val="2"/>
            <w:shd w:val="clear" w:color="auto" w:fill="CCEEFF"/>
          </w:tcPr>
          <w:p>
            <w:pPr>
              <w:jc w:val="center"/>
              <w:ind w:right="360"/>
              <w:spacing w:after="0" w:line="114" w:lineRule="exact"/>
              <w:rPr>
                <w:sz w:val="20"/>
                <w:szCs w:val="20"/>
                <w:color w:val="auto"/>
              </w:rPr>
            </w:pPr>
            <w:r>
              <w:rPr>
                <w:rFonts w:ascii="Arial" w:cs="Arial" w:eastAsia="Arial" w:hAnsi="Arial"/>
                <w:sz w:val="11"/>
                <w:szCs w:val="11"/>
                <w:color w:val="auto"/>
                <w:w w:val="88"/>
              </w:rPr>
              <w:t>Rubber</w:t>
            </w:r>
          </w:p>
        </w:tc>
        <w:tc>
          <w:tcPr>
            <w:tcW w:w="1620" w:type="dxa"/>
            <w:vAlign w:val="bottom"/>
            <w:gridSpan w:val="2"/>
            <w:shd w:val="clear" w:color="auto" w:fill="CCEEFF"/>
          </w:tcPr>
          <w:p>
            <w:pPr>
              <w:jc w:val="center"/>
              <w:ind w:right="140"/>
              <w:spacing w:after="0" w:line="114" w:lineRule="exact"/>
              <w:rPr>
                <w:sz w:val="20"/>
                <w:szCs w:val="20"/>
                <w:color w:val="auto"/>
              </w:rPr>
            </w:pPr>
            <w:r>
              <w:rPr>
                <w:rFonts w:ascii="Arial" w:cs="Arial" w:eastAsia="Arial" w:hAnsi="Arial"/>
                <w:sz w:val="11"/>
                <w:szCs w:val="11"/>
                <w:color w:val="auto"/>
                <w:w w:val="94"/>
              </w:rPr>
              <w:t>3M L+575, 10/19/2022</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(Plant Health Intermediate, Inc.)</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1550 E. Old 210 Highway</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Liberty, MO 64068</w:t>
            </w:r>
          </w:p>
        </w:tc>
        <w:tc>
          <w:tcPr>
            <w:tcW w:w="1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20" w:type="dxa"/>
            <w:vAlign w:val="bottom"/>
            <w:gridSpan w:val="3"/>
          </w:tcPr>
          <w:p>
            <w:pPr>
              <w:spacing w:after="0"/>
              <w:rPr>
                <w:sz w:val="20"/>
                <w:szCs w:val="20"/>
                <w:color w:val="auto"/>
              </w:rPr>
            </w:pPr>
            <w:r>
              <w:rPr>
                <w:rFonts w:ascii="Arial" w:cs="Arial" w:eastAsia="Arial" w:hAnsi="Arial"/>
                <w:sz w:val="11"/>
                <w:szCs w:val="11"/>
                <w:color w:val="auto"/>
              </w:rPr>
              <w:t>Dr. Squatch, LLC</w:t>
            </w:r>
          </w:p>
        </w:tc>
        <w:tc>
          <w:tcPr>
            <w:tcW w:w="1480" w:type="dxa"/>
            <w:vAlign w:val="bottom"/>
            <w:gridSpan w:val="2"/>
          </w:tcPr>
          <w:p>
            <w:pPr>
              <w:jc w:val="center"/>
              <w:ind w:right="360"/>
              <w:spacing w:after="0"/>
              <w:rPr>
                <w:sz w:val="20"/>
                <w:szCs w:val="20"/>
                <w:color w:val="auto"/>
              </w:rPr>
            </w:pPr>
            <w:r>
              <w:rPr>
                <w:rFonts w:ascii="Arial" w:cs="Arial" w:eastAsia="Arial" w:hAnsi="Arial"/>
                <w:sz w:val="11"/>
                <w:szCs w:val="11"/>
                <w:color w:val="auto"/>
                <w:w w:val="88"/>
              </w:rPr>
              <w:t>Personal Products</w:t>
            </w:r>
          </w:p>
        </w:tc>
        <w:tc>
          <w:tcPr>
            <w:tcW w:w="162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First Lien Secured Debt(4),</w:t>
            </w:r>
          </w:p>
        </w:tc>
        <w:tc>
          <w:tcPr>
            <w:tcW w:w="920" w:type="dxa"/>
            <w:vAlign w:val="bottom"/>
            <w:gridSpan w:val="2"/>
          </w:tcPr>
          <w:p>
            <w:pPr>
              <w:jc w:val="right"/>
              <w:ind w:right="281"/>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5,429</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Arial" w:cs="Arial" w:eastAsia="Arial" w:hAnsi="Arial"/>
                <w:sz w:val="11"/>
                <w:szCs w:val="11"/>
                <w:color w:val="auto"/>
              </w:rPr>
              <w:t>2355 Westwood Blvd. #1834</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Arial" w:cs="Arial" w:eastAsia="Arial" w:hAnsi="Arial"/>
                <w:sz w:val="11"/>
                <w:szCs w:val="11"/>
                <w:color w:val="auto"/>
                <w:w w:val="94"/>
              </w:rPr>
              <w:t>3M L+600, 08/31/2027</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20" w:type="dxa"/>
            <w:vAlign w:val="bottom"/>
            <w:gridSpan w:val="3"/>
          </w:tcPr>
          <w:p>
            <w:pPr>
              <w:spacing w:after="0"/>
              <w:rPr>
                <w:sz w:val="20"/>
                <w:szCs w:val="20"/>
                <w:color w:val="auto"/>
              </w:rPr>
            </w:pPr>
            <w:r>
              <w:rPr>
                <w:rFonts w:ascii="Arial" w:cs="Arial" w:eastAsia="Arial" w:hAnsi="Arial"/>
                <w:sz w:val="11"/>
                <w:szCs w:val="11"/>
                <w:color w:val="auto"/>
              </w:rPr>
              <w:t>Los Angeles, CA 90064</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70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DRS Holdings III, Inc.</w:t>
            </w:r>
          </w:p>
        </w:tc>
        <w:tc>
          <w:tcPr>
            <w:tcW w:w="1480" w:type="dxa"/>
            <w:vAlign w:val="bottom"/>
            <w:gridSpan w:val="2"/>
            <w:shd w:val="clear" w:color="auto" w:fill="CCEEFF"/>
          </w:tcPr>
          <w:p>
            <w:pPr>
              <w:jc w:val="center"/>
              <w:ind w:right="360"/>
              <w:spacing w:after="0" w:line="101" w:lineRule="exact"/>
              <w:rPr>
                <w:sz w:val="20"/>
                <w:szCs w:val="20"/>
                <w:color w:val="auto"/>
              </w:rPr>
            </w:pPr>
            <w:r>
              <w:rPr>
                <w:rFonts w:ascii="Arial" w:cs="Arial" w:eastAsia="Arial" w:hAnsi="Arial"/>
                <w:sz w:val="11"/>
                <w:szCs w:val="11"/>
                <w:color w:val="auto"/>
                <w:w w:val="88"/>
              </w:rPr>
              <w:t>Personal Products</w:t>
            </w:r>
          </w:p>
        </w:tc>
        <w:tc>
          <w:tcPr>
            <w:tcW w:w="1620" w:type="dxa"/>
            <w:vAlign w:val="bottom"/>
            <w:gridSpan w:val="2"/>
            <w:shd w:val="clear" w:color="auto" w:fill="CCEEFF"/>
          </w:tcPr>
          <w:p>
            <w:pPr>
              <w:jc w:val="center"/>
              <w:ind w:right="120"/>
              <w:spacing w:after="0" w:line="101" w:lineRule="exact"/>
              <w:rPr>
                <w:sz w:val="20"/>
                <w:szCs w:val="20"/>
                <w:color w:val="auto"/>
              </w:rPr>
            </w:pPr>
            <w:r>
              <w:rPr>
                <w:rFonts w:ascii="Arial" w:cs="Arial" w:eastAsia="Arial" w:hAnsi="Arial"/>
                <w:sz w:val="11"/>
                <w:szCs w:val="11"/>
                <w:color w:val="auto"/>
                <w:w w:val="92"/>
              </w:rPr>
              <w:t>First Lien Secured Debt(4),</w:t>
            </w:r>
          </w:p>
        </w:tc>
        <w:tc>
          <w:tcPr>
            <w:tcW w:w="920" w:type="dxa"/>
            <w:vAlign w:val="bottom"/>
            <w:gridSpan w:val="2"/>
            <w:shd w:val="clear" w:color="auto" w:fill="CCEEFF"/>
          </w:tcPr>
          <w:p>
            <w:pPr>
              <w:jc w:val="right"/>
              <w:ind w:right="281"/>
              <w:spacing w:after="0" w:line="10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16,518</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225 State Street</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Arial" w:cs="Arial" w:eastAsia="Arial" w:hAnsi="Arial"/>
                <w:sz w:val="11"/>
                <w:szCs w:val="11"/>
                <w:color w:val="auto"/>
                <w:w w:val="94"/>
              </w:rPr>
              <w:t>3M L+575, 11/03/2025</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Boston MA 02109</w:t>
            </w:r>
          </w:p>
        </w:tc>
        <w:tc>
          <w:tcPr>
            <w:tcW w:w="1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20" w:type="dxa"/>
            <w:vAlign w:val="bottom"/>
            <w:gridSpan w:val="3"/>
          </w:tcPr>
          <w:p>
            <w:pPr>
              <w:spacing w:after="0"/>
              <w:rPr>
                <w:sz w:val="20"/>
                <w:szCs w:val="20"/>
                <w:color w:val="auto"/>
              </w:rPr>
            </w:pPr>
            <w:r>
              <w:rPr>
                <w:rFonts w:ascii="Arial" w:cs="Arial" w:eastAsia="Arial" w:hAnsi="Arial"/>
                <w:sz w:val="11"/>
                <w:szCs w:val="11"/>
                <w:color w:val="auto"/>
              </w:rPr>
              <w:t>Duraco Specialty Tapes LLC</w:t>
            </w:r>
          </w:p>
        </w:tc>
        <w:tc>
          <w:tcPr>
            <w:tcW w:w="1480" w:type="dxa"/>
            <w:vAlign w:val="bottom"/>
            <w:gridSpan w:val="2"/>
          </w:tcPr>
          <w:p>
            <w:pPr>
              <w:jc w:val="center"/>
              <w:ind w:right="340"/>
              <w:spacing w:after="0"/>
              <w:rPr>
                <w:sz w:val="20"/>
                <w:szCs w:val="20"/>
                <w:color w:val="auto"/>
              </w:rPr>
            </w:pPr>
            <w:r>
              <w:rPr>
                <w:rFonts w:ascii="Arial" w:cs="Arial" w:eastAsia="Arial" w:hAnsi="Arial"/>
                <w:sz w:val="11"/>
                <w:szCs w:val="11"/>
                <w:color w:val="auto"/>
                <w:w w:val="88"/>
              </w:rPr>
              <w:t>Containers and</w:t>
            </w:r>
          </w:p>
        </w:tc>
        <w:tc>
          <w:tcPr>
            <w:tcW w:w="162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First Lien Secured Debt,</w:t>
            </w:r>
          </w:p>
        </w:tc>
        <w:tc>
          <w:tcPr>
            <w:tcW w:w="920" w:type="dxa"/>
            <w:vAlign w:val="bottom"/>
            <w:gridSpan w:val="2"/>
          </w:tcPr>
          <w:p>
            <w:pPr>
              <w:jc w:val="right"/>
              <w:ind w:right="281"/>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3,169</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Arial" w:cs="Arial" w:eastAsia="Arial" w:hAnsi="Arial"/>
                <w:sz w:val="11"/>
                <w:szCs w:val="11"/>
                <w:color w:val="auto"/>
              </w:rPr>
              <w:t>7400 Industrial Dr.</w:t>
            </w:r>
          </w:p>
        </w:tc>
        <w:tc>
          <w:tcPr>
            <w:tcW w:w="1480" w:type="dxa"/>
            <w:vAlign w:val="bottom"/>
            <w:gridSpan w:val="2"/>
          </w:tcPr>
          <w:p>
            <w:pPr>
              <w:jc w:val="center"/>
              <w:ind w:right="340"/>
              <w:spacing w:after="0" w:line="114" w:lineRule="exact"/>
              <w:rPr>
                <w:sz w:val="20"/>
                <w:szCs w:val="20"/>
                <w:color w:val="auto"/>
              </w:rPr>
            </w:pPr>
            <w:r>
              <w:rPr>
                <w:rFonts w:ascii="Arial" w:cs="Arial" w:eastAsia="Arial" w:hAnsi="Arial"/>
                <w:sz w:val="11"/>
                <w:szCs w:val="11"/>
                <w:color w:val="auto"/>
                <w:w w:val="89"/>
              </w:rPr>
              <w:t>Packaging</w:t>
            </w:r>
          </w:p>
        </w:tc>
        <w:tc>
          <w:tcPr>
            <w:tcW w:w="1620" w:type="dxa"/>
            <w:vAlign w:val="bottom"/>
            <w:gridSpan w:val="2"/>
          </w:tcPr>
          <w:p>
            <w:pPr>
              <w:jc w:val="center"/>
              <w:ind w:right="140"/>
              <w:spacing w:after="0" w:line="114" w:lineRule="exact"/>
              <w:rPr>
                <w:sz w:val="20"/>
                <w:szCs w:val="20"/>
                <w:color w:val="auto"/>
              </w:rPr>
            </w:pPr>
            <w:r>
              <w:rPr>
                <w:rFonts w:ascii="Arial" w:cs="Arial" w:eastAsia="Arial" w:hAnsi="Arial"/>
                <w:sz w:val="11"/>
                <w:szCs w:val="11"/>
                <w:color w:val="auto"/>
                <w:w w:val="94"/>
              </w:rPr>
              <w:t>3M L+550, 06/30/2024</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20" w:type="dxa"/>
            <w:vAlign w:val="bottom"/>
            <w:gridSpan w:val="3"/>
          </w:tcPr>
          <w:p>
            <w:pPr>
              <w:spacing w:after="0"/>
              <w:rPr>
                <w:sz w:val="20"/>
                <w:szCs w:val="20"/>
                <w:color w:val="auto"/>
              </w:rPr>
            </w:pPr>
            <w:r>
              <w:rPr>
                <w:rFonts w:ascii="Arial" w:cs="Arial" w:eastAsia="Arial" w:hAnsi="Arial"/>
                <w:sz w:val="11"/>
                <w:szCs w:val="11"/>
                <w:color w:val="auto"/>
              </w:rPr>
              <w:t>Forest Park, IL 60130</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70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ECL Entertainment, LLC</w:t>
            </w:r>
          </w:p>
        </w:tc>
        <w:tc>
          <w:tcPr>
            <w:tcW w:w="1480" w:type="dxa"/>
            <w:vAlign w:val="bottom"/>
            <w:gridSpan w:val="2"/>
            <w:shd w:val="clear" w:color="auto" w:fill="CCEEFF"/>
          </w:tcPr>
          <w:p>
            <w:pPr>
              <w:jc w:val="center"/>
              <w:ind w:right="360"/>
              <w:spacing w:after="0" w:line="101" w:lineRule="exact"/>
              <w:rPr>
                <w:sz w:val="20"/>
                <w:szCs w:val="20"/>
                <w:color w:val="auto"/>
              </w:rPr>
            </w:pPr>
            <w:r>
              <w:rPr>
                <w:rFonts w:ascii="Arial" w:cs="Arial" w:eastAsia="Arial" w:hAnsi="Arial"/>
                <w:sz w:val="11"/>
                <w:szCs w:val="11"/>
                <w:color w:val="auto"/>
                <w:w w:val="88"/>
              </w:rPr>
              <w:t>Hotels, Restaurants and</w:t>
            </w:r>
          </w:p>
        </w:tc>
        <w:tc>
          <w:tcPr>
            <w:tcW w:w="1620" w:type="dxa"/>
            <w:vAlign w:val="bottom"/>
            <w:gridSpan w:val="2"/>
            <w:shd w:val="clear" w:color="auto" w:fill="CCEEFF"/>
          </w:tcPr>
          <w:p>
            <w:pPr>
              <w:jc w:val="center"/>
              <w:ind w:right="140"/>
              <w:spacing w:after="0" w:line="101" w:lineRule="exact"/>
              <w:rPr>
                <w:sz w:val="20"/>
                <w:szCs w:val="20"/>
                <w:color w:val="auto"/>
              </w:rPr>
            </w:pPr>
            <w:r>
              <w:rPr>
                <w:rFonts w:ascii="Arial" w:cs="Arial" w:eastAsia="Arial" w:hAnsi="Arial"/>
                <w:sz w:val="11"/>
                <w:szCs w:val="11"/>
                <w:color w:val="auto"/>
                <w:w w:val="91"/>
              </w:rPr>
              <w:t>First Lien Secured Debt,</w:t>
            </w:r>
          </w:p>
        </w:tc>
        <w:tc>
          <w:tcPr>
            <w:tcW w:w="920" w:type="dxa"/>
            <w:vAlign w:val="bottom"/>
            <w:gridSpan w:val="2"/>
            <w:shd w:val="clear" w:color="auto" w:fill="CCEEFF"/>
          </w:tcPr>
          <w:p>
            <w:pPr>
              <w:jc w:val="right"/>
              <w:ind w:right="281"/>
              <w:spacing w:after="0" w:line="10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6,086</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(Kentucky Racing Holdco, LLC(5))</w:t>
            </w:r>
          </w:p>
        </w:tc>
        <w:tc>
          <w:tcPr>
            <w:tcW w:w="1480" w:type="dxa"/>
            <w:vAlign w:val="bottom"/>
            <w:gridSpan w:val="2"/>
            <w:shd w:val="clear" w:color="auto" w:fill="CCEEFF"/>
          </w:tcPr>
          <w:p>
            <w:pPr>
              <w:jc w:val="center"/>
              <w:ind w:right="340"/>
              <w:spacing w:after="0" w:line="114" w:lineRule="exact"/>
              <w:rPr>
                <w:sz w:val="20"/>
                <w:szCs w:val="20"/>
                <w:color w:val="auto"/>
              </w:rPr>
            </w:pPr>
            <w:r>
              <w:rPr>
                <w:rFonts w:ascii="Arial" w:cs="Arial" w:eastAsia="Arial" w:hAnsi="Arial"/>
                <w:sz w:val="11"/>
                <w:szCs w:val="11"/>
                <w:color w:val="auto"/>
                <w:w w:val="94"/>
              </w:rPr>
              <w:t>Leisure</w:t>
            </w:r>
          </w:p>
        </w:tc>
        <w:tc>
          <w:tcPr>
            <w:tcW w:w="1620" w:type="dxa"/>
            <w:vAlign w:val="bottom"/>
            <w:gridSpan w:val="2"/>
            <w:shd w:val="clear" w:color="auto" w:fill="CCEEFF"/>
          </w:tcPr>
          <w:p>
            <w:pPr>
              <w:jc w:val="center"/>
              <w:ind w:right="140"/>
              <w:spacing w:after="0" w:line="114" w:lineRule="exact"/>
              <w:rPr>
                <w:sz w:val="20"/>
                <w:szCs w:val="20"/>
                <w:color w:val="auto"/>
              </w:rPr>
            </w:pPr>
            <w:r>
              <w:rPr>
                <w:rFonts w:ascii="Arial" w:cs="Arial" w:eastAsia="Arial" w:hAnsi="Arial"/>
                <w:sz w:val="11"/>
                <w:szCs w:val="11"/>
                <w:color w:val="auto"/>
                <w:w w:val="94"/>
              </w:rPr>
              <w:t>1M L+750, 05/01/2028</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5629 Nashville Road</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Arial" w:cs="Arial" w:eastAsia="Arial" w:hAnsi="Arial"/>
                <w:sz w:val="11"/>
                <w:szCs w:val="11"/>
                <w:color w:val="auto"/>
                <w:w w:val="89"/>
              </w:rPr>
              <w:t>Warrants</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Franklin, KY 42134</w:t>
            </w:r>
          </w:p>
        </w:tc>
        <w:tc>
          <w:tcPr>
            <w:tcW w:w="1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20" w:type="dxa"/>
            <w:vAlign w:val="bottom"/>
            <w:gridSpan w:val="3"/>
          </w:tcPr>
          <w:p>
            <w:pPr>
              <w:spacing w:after="0"/>
              <w:rPr>
                <w:sz w:val="20"/>
                <w:szCs w:val="20"/>
                <w:color w:val="auto"/>
              </w:rPr>
            </w:pPr>
            <w:r>
              <w:rPr>
                <w:rFonts w:ascii="Arial" w:cs="Arial" w:eastAsia="Arial" w:hAnsi="Arial"/>
                <w:sz w:val="11"/>
                <w:szCs w:val="11"/>
                <w:color w:val="auto"/>
              </w:rPr>
              <w:t>ECM Industries, LLC</w:t>
            </w:r>
          </w:p>
        </w:tc>
        <w:tc>
          <w:tcPr>
            <w:tcW w:w="1480" w:type="dxa"/>
            <w:vAlign w:val="bottom"/>
            <w:gridSpan w:val="2"/>
          </w:tcPr>
          <w:p>
            <w:pPr>
              <w:jc w:val="center"/>
              <w:ind w:right="360"/>
              <w:spacing w:after="0"/>
              <w:rPr>
                <w:sz w:val="20"/>
                <w:szCs w:val="20"/>
                <w:color w:val="auto"/>
              </w:rPr>
            </w:pPr>
            <w:r>
              <w:rPr>
                <w:rFonts w:ascii="Arial" w:cs="Arial" w:eastAsia="Arial" w:hAnsi="Arial"/>
                <w:sz w:val="11"/>
                <w:szCs w:val="11"/>
                <w:color w:val="auto"/>
                <w:w w:val="93"/>
              </w:rPr>
              <w:t>Electronic Equipment,</w:t>
            </w:r>
          </w:p>
        </w:tc>
        <w:tc>
          <w:tcPr>
            <w:tcW w:w="162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First Lien Secured Debt(4),</w:t>
            </w:r>
          </w:p>
        </w:tc>
        <w:tc>
          <w:tcPr>
            <w:tcW w:w="920" w:type="dxa"/>
            <w:vAlign w:val="bottom"/>
            <w:gridSpan w:val="2"/>
          </w:tcPr>
          <w:p>
            <w:pPr>
              <w:jc w:val="right"/>
              <w:ind w:right="121"/>
              <w:spacing w:after="0"/>
              <w:rPr>
                <w:sz w:val="20"/>
                <w:szCs w:val="20"/>
                <w:color w:val="auto"/>
              </w:rPr>
            </w:pPr>
            <w:r>
              <w:rPr>
                <w:rFonts w:ascii="Arial" w:cs="Arial" w:eastAsia="Arial" w:hAnsi="Arial"/>
                <w:sz w:val="11"/>
                <w:szCs w:val="11"/>
                <w:color w:val="auto"/>
              </w:rPr>
              <w:t>0.1%</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1,104</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Arial" w:cs="Arial" w:eastAsia="Arial" w:hAnsi="Arial"/>
                <w:sz w:val="11"/>
                <w:szCs w:val="11"/>
                <w:color w:val="auto"/>
              </w:rPr>
              <w:t>(ECM Investors, LLC (5))</w:t>
            </w:r>
          </w:p>
        </w:tc>
        <w:tc>
          <w:tcPr>
            <w:tcW w:w="1480" w:type="dxa"/>
            <w:vAlign w:val="bottom"/>
            <w:gridSpan w:val="2"/>
          </w:tcPr>
          <w:p>
            <w:pPr>
              <w:jc w:val="center"/>
              <w:ind w:right="340"/>
              <w:spacing w:after="0" w:line="114" w:lineRule="exact"/>
              <w:rPr>
                <w:sz w:val="20"/>
                <w:szCs w:val="20"/>
                <w:color w:val="auto"/>
              </w:rPr>
            </w:pPr>
            <w:r>
              <w:rPr>
                <w:rFonts w:ascii="Arial" w:cs="Arial" w:eastAsia="Arial" w:hAnsi="Arial"/>
                <w:sz w:val="11"/>
                <w:szCs w:val="11"/>
                <w:color w:val="auto"/>
                <w:w w:val="90"/>
              </w:rPr>
              <w:t>Instruments, and</w:t>
            </w:r>
          </w:p>
        </w:tc>
        <w:tc>
          <w:tcPr>
            <w:tcW w:w="1620" w:type="dxa"/>
            <w:vAlign w:val="bottom"/>
            <w:gridSpan w:val="2"/>
          </w:tcPr>
          <w:p>
            <w:pPr>
              <w:jc w:val="center"/>
              <w:ind w:right="140"/>
              <w:spacing w:after="0" w:line="114" w:lineRule="exact"/>
              <w:rPr>
                <w:sz w:val="20"/>
                <w:szCs w:val="20"/>
                <w:color w:val="auto"/>
              </w:rPr>
            </w:pPr>
            <w:r>
              <w:rPr>
                <w:rFonts w:ascii="Arial" w:cs="Arial" w:eastAsia="Arial" w:hAnsi="Arial"/>
                <w:sz w:val="11"/>
                <w:szCs w:val="11"/>
                <w:color w:val="auto"/>
                <w:w w:val="94"/>
              </w:rPr>
              <w:t>1M L+475, 12/23/2025</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Arial" w:cs="Arial" w:eastAsia="Arial" w:hAnsi="Arial"/>
                <w:sz w:val="11"/>
                <w:szCs w:val="11"/>
                <w:color w:val="auto"/>
              </w:rPr>
              <w:t>16250 W Woods Edge Rd</w:t>
            </w:r>
          </w:p>
        </w:tc>
        <w:tc>
          <w:tcPr>
            <w:tcW w:w="1480" w:type="dxa"/>
            <w:vAlign w:val="bottom"/>
            <w:gridSpan w:val="2"/>
          </w:tcPr>
          <w:p>
            <w:pPr>
              <w:jc w:val="center"/>
              <w:ind w:right="360"/>
              <w:spacing w:after="0" w:line="114" w:lineRule="exact"/>
              <w:rPr>
                <w:sz w:val="20"/>
                <w:szCs w:val="20"/>
                <w:color w:val="auto"/>
              </w:rPr>
            </w:pPr>
            <w:r>
              <w:rPr>
                <w:rFonts w:ascii="Arial" w:cs="Arial" w:eastAsia="Arial" w:hAnsi="Arial"/>
                <w:sz w:val="11"/>
                <w:szCs w:val="11"/>
                <w:color w:val="auto"/>
                <w:w w:val="89"/>
              </w:rPr>
              <w:t>Components</w:t>
            </w:r>
          </w:p>
        </w:tc>
        <w:tc>
          <w:tcPr>
            <w:tcW w:w="1620" w:type="dxa"/>
            <w:vAlign w:val="bottom"/>
            <w:gridSpan w:val="2"/>
          </w:tcPr>
          <w:p>
            <w:pPr>
              <w:jc w:val="center"/>
              <w:ind w:right="120"/>
              <w:spacing w:after="0" w:line="114" w:lineRule="exact"/>
              <w:rPr>
                <w:sz w:val="20"/>
                <w:szCs w:val="20"/>
                <w:color w:val="auto"/>
              </w:rPr>
            </w:pPr>
            <w:r>
              <w:rPr>
                <w:rFonts w:ascii="Arial" w:cs="Arial" w:eastAsia="Arial" w:hAnsi="Arial"/>
                <w:sz w:val="11"/>
                <w:szCs w:val="11"/>
                <w:color w:val="auto"/>
                <w:w w:val="94"/>
              </w:rPr>
              <w:t>Common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20" w:type="dxa"/>
            <w:vAlign w:val="bottom"/>
            <w:gridSpan w:val="3"/>
          </w:tcPr>
          <w:p>
            <w:pPr>
              <w:spacing w:after="0"/>
              <w:rPr>
                <w:sz w:val="20"/>
                <w:szCs w:val="20"/>
                <w:color w:val="auto"/>
              </w:rPr>
            </w:pPr>
            <w:r>
              <w:rPr>
                <w:rFonts w:ascii="Arial" w:cs="Arial" w:eastAsia="Arial" w:hAnsi="Arial"/>
                <w:sz w:val="11"/>
                <w:szCs w:val="11"/>
                <w:color w:val="auto"/>
              </w:rPr>
              <w:t>New Berlin, WI 53151</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70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eCommission Financial Services, Inc. (6)</w:t>
            </w:r>
          </w:p>
        </w:tc>
        <w:tc>
          <w:tcPr>
            <w:tcW w:w="1480" w:type="dxa"/>
            <w:vAlign w:val="bottom"/>
            <w:gridSpan w:val="2"/>
            <w:shd w:val="clear" w:color="auto" w:fill="CCEEFF"/>
          </w:tcPr>
          <w:p>
            <w:pPr>
              <w:jc w:val="center"/>
              <w:ind w:right="360"/>
              <w:spacing w:after="0" w:line="101" w:lineRule="exact"/>
              <w:rPr>
                <w:sz w:val="20"/>
                <w:szCs w:val="20"/>
                <w:color w:val="auto"/>
              </w:rPr>
            </w:pPr>
            <w:r>
              <w:rPr>
                <w:rFonts w:ascii="Arial" w:cs="Arial" w:eastAsia="Arial" w:hAnsi="Arial"/>
                <w:sz w:val="11"/>
                <w:szCs w:val="11"/>
                <w:color w:val="auto"/>
                <w:w w:val="90"/>
              </w:rPr>
              <w:t>Banking, Finance,</w:t>
            </w:r>
          </w:p>
        </w:tc>
        <w:tc>
          <w:tcPr>
            <w:tcW w:w="1620" w:type="dxa"/>
            <w:vAlign w:val="bottom"/>
            <w:gridSpan w:val="2"/>
            <w:shd w:val="clear" w:color="auto" w:fill="CCEEFF"/>
          </w:tcPr>
          <w:p>
            <w:pPr>
              <w:jc w:val="center"/>
              <w:ind w:right="120"/>
              <w:spacing w:after="0" w:line="101" w:lineRule="exact"/>
              <w:rPr>
                <w:sz w:val="20"/>
                <w:szCs w:val="20"/>
                <w:color w:val="auto"/>
              </w:rPr>
            </w:pPr>
            <w:r>
              <w:rPr>
                <w:rFonts w:ascii="Arial" w:cs="Arial" w:eastAsia="Arial" w:hAnsi="Arial"/>
                <w:sz w:val="11"/>
                <w:szCs w:val="11"/>
                <w:color w:val="auto"/>
                <w:w w:val="92"/>
              </w:rPr>
              <w:t>First Lien Secured Debt(4),</w:t>
            </w:r>
          </w:p>
        </w:tc>
        <w:tc>
          <w:tcPr>
            <w:tcW w:w="920" w:type="dxa"/>
            <w:vAlign w:val="bottom"/>
            <w:gridSpan w:val="2"/>
            <w:shd w:val="clear" w:color="auto" w:fill="CCEEFF"/>
          </w:tcPr>
          <w:p>
            <w:pPr>
              <w:jc w:val="right"/>
              <w:ind w:right="121"/>
              <w:spacing w:after="0" w:line="101" w:lineRule="exact"/>
              <w:rPr>
                <w:sz w:val="20"/>
                <w:szCs w:val="20"/>
                <w:color w:val="auto"/>
              </w:rPr>
            </w:pPr>
            <w:r>
              <w:rPr>
                <w:rFonts w:ascii="Arial" w:cs="Arial" w:eastAsia="Arial" w:hAnsi="Arial"/>
                <w:sz w:val="11"/>
                <w:szCs w:val="11"/>
                <w:color w:val="auto"/>
              </w:rPr>
              <w:t>1.3%</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8,685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(eCommission Holding Corporation(6))</w:t>
            </w:r>
          </w:p>
        </w:tc>
        <w:tc>
          <w:tcPr>
            <w:tcW w:w="1480" w:type="dxa"/>
            <w:vAlign w:val="bottom"/>
            <w:gridSpan w:val="2"/>
            <w:shd w:val="clear" w:color="auto" w:fill="CCEEFF"/>
          </w:tcPr>
          <w:p>
            <w:pPr>
              <w:jc w:val="center"/>
              <w:ind w:right="340"/>
              <w:spacing w:after="0" w:line="114" w:lineRule="exact"/>
              <w:rPr>
                <w:sz w:val="20"/>
                <w:szCs w:val="20"/>
                <w:color w:val="auto"/>
              </w:rPr>
            </w:pPr>
            <w:r>
              <w:rPr>
                <w:rFonts w:ascii="Arial" w:cs="Arial" w:eastAsia="Arial" w:hAnsi="Arial"/>
                <w:sz w:val="11"/>
                <w:szCs w:val="11"/>
                <w:color w:val="auto"/>
                <w:w w:val="89"/>
              </w:rPr>
              <w:t>Insurance &amp; Real Estate</w:t>
            </w:r>
          </w:p>
        </w:tc>
        <w:tc>
          <w:tcPr>
            <w:tcW w:w="1620" w:type="dxa"/>
            <w:vAlign w:val="bottom"/>
            <w:gridSpan w:val="2"/>
            <w:shd w:val="clear" w:color="auto" w:fill="CCEEFF"/>
          </w:tcPr>
          <w:p>
            <w:pPr>
              <w:jc w:val="center"/>
              <w:ind w:right="140"/>
              <w:spacing w:after="0" w:line="114" w:lineRule="exact"/>
              <w:rPr>
                <w:sz w:val="20"/>
                <w:szCs w:val="20"/>
                <w:color w:val="auto"/>
              </w:rPr>
            </w:pPr>
            <w:r>
              <w:rPr>
                <w:rFonts w:ascii="Arial" w:cs="Arial" w:eastAsia="Arial" w:hAnsi="Arial"/>
                <w:sz w:val="11"/>
                <w:szCs w:val="11"/>
                <w:color w:val="auto"/>
                <w:w w:val="94"/>
              </w:rPr>
              <w:t>1M L+500, 10/05/2023</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11612 Bee Caves Road, Building II,</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1"/>
                <w:szCs w:val="11"/>
                <w:color w:val="auto"/>
                <w:w w:val="94"/>
              </w:rPr>
              <w:t>Common Equity</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Suite 200 Austin, TX, 78738</w:t>
            </w:r>
          </w:p>
        </w:tc>
        <w:tc>
          <w:tcPr>
            <w:tcW w:w="1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20" w:type="dxa"/>
            <w:vAlign w:val="bottom"/>
            <w:gridSpan w:val="3"/>
          </w:tcPr>
          <w:p>
            <w:pPr>
              <w:spacing w:after="0"/>
              <w:rPr>
                <w:sz w:val="20"/>
                <w:szCs w:val="20"/>
                <w:color w:val="auto"/>
              </w:rPr>
            </w:pPr>
            <w:r>
              <w:rPr>
                <w:rFonts w:ascii="Arial" w:cs="Arial" w:eastAsia="Arial" w:hAnsi="Arial"/>
                <w:sz w:val="11"/>
                <w:szCs w:val="11"/>
                <w:color w:val="auto"/>
              </w:rPr>
              <w:t>Efficient Collaborative Retail Marketing</w:t>
            </w:r>
          </w:p>
        </w:tc>
        <w:tc>
          <w:tcPr>
            <w:tcW w:w="1480" w:type="dxa"/>
            <w:vAlign w:val="bottom"/>
            <w:gridSpan w:val="2"/>
          </w:tcPr>
          <w:p>
            <w:pPr>
              <w:jc w:val="center"/>
              <w:ind w:right="340"/>
              <w:spacing w:after="0"/>
              <w:rPr>
                <w:sz w:val="20"/>
                <w:szCs w:val="20"/>
                <w:color w:val="auto"/>
              </w:rPr>
            </w:pPr>
            <w:r>
              <w:rPr>
                <w:rFonts w:ascii="Arial" w:cs="Arial" w:eastAsia="Arial" w:hAnsi="Arial"/>
                <w:sz w:val="11"/>
                <w:szCs w:val="11"/>
                <w:color w:val="auto"/>
                <w:w w:val="93"/>
              </w:rPr>
              <w:t>Media: Diversified and</w:t>
            </w:r>
          </w:p>
        </w:tc>
        <w:tc>
          <w:tcPr>
            <w:tcW w:w="162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First Lien Secured Debt,</w:t>
            </w:r>
          </w:p>
        </w:tc>
        <w:tc>
          <w:tcPr>
            <w:tcW w:w="920" w:type="dxa"/>
            <w:vAlign w:val="bottom"/>
            <w:gridSpan w:val="2"/>
          </w:tcPr>
          <w:p>
            <w:pPr>
              <w:jc w:val="right"/>
              <w:ind w:right="281"/>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6,936</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Arial" w:cs="Arial" w:eastAsia="Arial" w:hAnsi="Arial"/>
                <w:sz w:val="11"/>
                <w:szCs w:val="11"/>
                <w:color w:val="auto"/>
              </w:rPr>
              <w:t>Company, LLC</w:t>
            </w:r>
          </w:p>
        </w:tc>
        <w:tc>
          <w:tcPr>
            <w:tcW w:w="1480" w:type="dxa"/>
            <w:vAlign w:val="bottom"/>
            <w:gridSpan w:val="2"/>
          </w:tcPr>
          <w:p>
            <w:pPr>
              <w:jc w:val="center"/>
              <w:ind w:right="360"/>
              <w:spacing w:after="0" w:line="114" w:lineRule="exact"/>
              <w:rPr>
                <w:sz w:val="20"/>
                <w:szCs w:val="20"/>
                <w:color w:val="auto"/>
              </w:rPr>
            </w:pPr>
            <w:r>
              <w:rPr>
                <w:rFonts w:ascii="Arial" w:cs="Arial" w:eastAsia="Arial" w:hAnsi="Arial"/>
                <w:sz w:val="11"/>
                <w:szCs w:val="11"/>
                <w:color w:val="auto"/>
                <w:w w:val="91"/>
              </w:rPr>
              <w:t>Production</w:t>
            </w:r>
          </w:p>
        </w:tc>
        <w:tc>
          <w:tcPr>
            <w:tcW w:w="1620" w:type="dxa"/>
            <w:vAlign w:val="bottom"/>
            <w:gridSpan w:val="2"/>
          </w:tcPr>
          <w:p>
            <w:pPr>
              <w:jc w:val="center"/>
              <w:ind w:right="140"/>
              <w:spacing w:after="0" w:line="114" w:lineRule="exact"/>
              <w:rPr>
                <w:sz w:val="20"/>
                <w:szCs w:val="20"/>
                <w:color w:val="auto"/>
              </w:rPr>
            </w:pPr>
            <w:r>
              <w:rPr>
                <w:rFonts w:ascii="Arial" w:cs="Arial" w:eastAsia="Arial" w:hAnsi="Arial"/>
                <w:sz w:val="11"/>
                <w:szCs w:val="11"/>
                <w:color w:val="auto"/>
                <w:w w:val="94"/>
              </w:rPr>
              <w:t>3M L+675, 06/15/2024</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Arial" w:cs="Arial" w:eastAsia="Arial" w:hAnsi="Arial"/>
                <w:sz w:val="11"/>
                <w:szCs w:val="11"/>
                <w:color w:val="auto"/>
              </w:rPr>
              <w:t>27070 Miles Road</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20" w:type="dxa"/>
            <w:vAlign w:val="bottom"/>
            <w:gridSpan w:val="3"/>
          </w:tcPr>
          <w:p>
            <w:pPr>
              <w:spacing w:after="0"/>
              <w:rPr>
                <w:sz w:val="20"/>
                <w:szCs w:val="20"/>
                <w:color w:val="auto"/>
              </w:rPr>
            </w:pPr>
            <w:r>
              <w:rPr>
                <w:rFonts w:ascii="Arial" w:cs="Arial" w:eastAsia="Arial" w:hAnsi="Arial"/>
                <w:sz w:val="11"/>
                <w:szCs w:val="11"/>
                <w:color w:val="auto"/>
              </w:rPr>
              <w:t>Solon, OH 44139</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2805" cy="4572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9019"/>
          </w:cols>
          <w:pgMar w:left="1440" w:top="245" w:right="1440" w:bottom="1440" w:gutter="0" w:footer="0" w:header="0"/>
        </w:sectPr>
      </w:pPr>
    </w:p>
    <w:bookmarkStart w:id="25" w:name="page26"/>
    <w:bookmarkEnd w:id="25"/>
    <w:tbl>
      <w:tblPr>
        <w:tblLayout w:type="fixed"/>
        <w:tblInd w:w="280" w:type="dxa"/>
        <w:tblCellMar>
          <w:top w:w="0" w:type="dxa"/>
          <w:left w:w="0" w:type="dxa"/>
          <w:bottom w:w="0" w:type="dxa"/>
          <w:right w:w="0" w:type="dxa"/>
        </w:tblCellMar>
      </w:tblPr>
      <w:tr>
        <w:trPr>
          <w:trHeight w:val="126"/>
        </w:trPr>
        <w:tc>
          <w:tcPr>
            <w:tcW w:w="34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Name and</w:t>
            </w:r>
          </w:p>
        </w:tc>
        <w:tc>
          <w:tcPr>
            <w:tcW w:w="1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8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9"/>
              </w:rPr>
              <w:t>Type of Investment,</w:t>
            </w:r>
          </w:p>
        </w:tc>
        <w:tc>
          <w:tcPr>
            <w:tcW w:w="98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rPr>
              <w:t>Voting</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48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980" w:type="dxa"/>
            <w:vAlign w:val="bottom"/>
            <w:gridSpan w:val="2"/>
          </w:tcPr>
          <w:p>
            <w:pPr>
              <w:jc w:val="right"/>
              <w:ind w:right="380"/>
              <w:spacing w:after="0" w:line="111" w:lineRule="exact"/>
              <w:rPr>
                <w:sz w:val="20"/>
                <w:szCs w:val="20"/>
                <w:color w:val="auto"/>
              </w:rPr>
            </w:pPr>
            <w:r>
              <w:rPr>
                <w:rFonts w:ascii="Arial" w:cs="Arial" w:eastAsia="Arial" w:hAnsi="Arial"/>
                <w:sz w:val="11"/>
                <w:szCs w:val="11"/>
                <w:b w:val="1"/>
                <w:bCs w:val="1"/>
                <w:color w:val="auto"/>
                <w:w w:val="97"/>
              </w:rPr>
              <w:t>Percentage</w:t>
            </w:r>
          </w:p>
        </w:tc>
        <w:tc>
          <w:tcPr>
            <w:tcW w:w="80" w:type="dxa"/>
            <w:vAlign w:val="bottom"/>
          </w:tcPr>
          <w:p>
            <w:pPr>
              <w:spacing w:after="0"/>
              <w:rPr>
                <w:sz w:val="9"/>
                <w:szCs w:val="9"/>
                <w:color w:val="auto"/>
              </w:rPr>
            </w:pPr>
          </w:p>
        </w:tc>
        <w:tc>
          <w:tcPr>
            <w:tcW w:w="640" w:type="dxa"/>
            <w:vAlign w:val="bottom"/>
            <w:gridSpan w:val="2"/>
          </w:tcPr>
          <w:p>
            <w:pPr>
              <w:jc w:val="right"/>
              <w:ind w:right="120"/>
              <w:spacing w:after="0" w:line="111" w:lineRule="exact"/>
              <w:rPr>
                <w:sz w:val="20"/>
                <w:szCs w:val="20"/>
                <w:color w:val="auto"/>
              </w:rPr>
            </w:pPr>
            <w:r>
              <w:rPr>
                <w:rFonts w:ascii="Arial" w:cs="Arial" w:eastAsia="Arial" w:hAnsi="Arial"/>
                <w:sz w:val="11"/>
                <w:szCs w:val="11"/>
                <w:b w:val="1"/>
                <w:bCs w:val="1"/>
                <w:color w:val="auto"/>
                <w:w w:val="94"/>
              </w:rPr>
              <w:t>Fair Value</w:t>
            </w:r>
          </w:p>
        </w:tc>
        <w:tc>
          <w:tcPr>
            <w:tcW w:w="0" w:type="dxa"/>
            <w:vAlign w:val="bottom"/>
          </w:tcPr>
          <w:p>
            <w:pPr>
              <w:spacing w:after="0"/>
              <w:rPr>
                <w:sz w:val="1"/>
                <w:szCs w:val="1"/>
                <w:color w:val="auto"/>
              </w:rPr>
            </w:pPr>
          </w:p>
        </w:tc>
      </w:tr>
      <w:tr>
        <w:trPr>
          <w:trHeight w:val="144"/>
        </w:trPr>
        <w:tc>
          <w:tcPr>
            <w:tcW w:w="34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Address of Portfolio Company</w:t>
            </w:r>
          </w:p>
        </w:tc>
        <w:tc>
          <w:tcPr>
            <w:tcW w:w="1600" w:type="dxa"/>
            <w:vAlign w:val="bottom"/>
            <w:gridSpan w:val="2"/>
          </w:tcPr>
          <w:p>
            <w:pPr>
              <w:jc w:val="center"/>
              <w:ind w:right="480"/>
              <w:spacing w:after="0" w:line="125" w:lineRule="exact"/>
              <w:rPr>
                <w:sz w:val="20"/>
                <w:szCs w:val="20"/>
                <w:color w:val="auto"/>
              </w:rPr>
            </w:pPr>
            <w:r>
              <w:rPr>
                <w:rFonts w:ascii="Arial" w:cs="Arial" w:eastAsia="Arial" w:hAnsi="Arial"/>
                <w:sz w:val="11"/>
                <w:szCs w:val="11"/>
                <w:b w:val="1"/>
                <w:bCs w:val="1"/>
                <w:color w:val="auto"/>
                <w:w w:val="87"/>
              </w:rPr>
              <w:t>Nature of Business</w:t>
            </w:r>
          </w:p>
        </w:tc>
        <w:tc>
          <w:tcPr>
            <w:tcW w:w="1680" w:type="dxa"/>
            <w:vAlign w:val="bottom"/>
            <w:gridSpan w:val="2"/>
          </w:tcPr>
          <w:p>
            <w:pPr>
              <w:jc w:val="center"/>
              <w:ind w:right="180"/>
              <w:spacing w:after="0" w:line="125" w:lineRule="exact"/>
              <w:rPr>
                <w:sz w:val="20"/>
                <w:szCs w:val="20"/>
                <w:color w:val="auto"/>
              </w:rPr>
            </w:pPr>
            <w:r>
              <w:rPr>
                <w:rFonts w:ascii="Arial" w:cs="Arial" w:eastAsia="Arial" w:hAnsi="Arial"/>
                <w:sz w:val="11"/>
                <w:szCs w:val="11"/>
                <w:b w:val="1"/>
                <w:bCs w:val="1"/>
                <w:color w:val="auto"/>
                <w:w w:val="95"/>
              </w:rPr>
              <w:t>Interest(1), Maturity</w:t>
            </w:r>
          </w:p>
        </w:tc>
        <w:tc>
          <w:tcPr>
            <w:tcW w:w="980" w:type="dxa"/>
            <w:vAlign w:val="bottom"/>
            <w:gridSpan w:val="2"/>
          </w:tcPr>
          <w:p>
            <w:pPr>
              <w:jc w:val="right"/>
              <w:ind w:right="320"/>
              <w:spacing w:after="0" w:line="125" w:lineRule="exact"/>
              <w:rPr>
                <w:sz w:val="20"/>
                <w:szCs w:val="20"/>
                <w:color w:val="auto"/>
              </w:rPr>
            </w:pPr>
            <w:r>
              <w:rPr>
                <w:rFonts w:ascii="Arial" w:cs="Arial" w:eastAsia="Arial" w:hAnsi="Arial"/>
                <w:sz w:val="11"/>
                <w:szCs w:val="11"/>
                <w:b w:val="1"/>
                <w:bCs w:val="1"/>
                <w:color w:val="auto"/>
                <w:w w:val="90"/>
              </w:rPr>
              <w:t>Ownership(2)</w:t>
            </w:r>
          </w:p>
        </w:tc>
        <w:tc>
          <w:tcPr>
            <w:tcW w:w="7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w w:val="89"/>
              </w:rPr>
              <w:t>(in thousands)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420" w:type="dxa"/>
            <w:vAlign w:val="bottom"/>
            <w:tcBorders>
              <w:top w:val="single" w:sz="8" w:color="auto"/>
            </w:tcBorders>
            <w:shd w:val="clear" w:color="auto" w:fill="CCEEFF"/>
          </w:tcPr>
          <w:p>
            <w:pPr>
              <w:spacing w:after="0" w:line="74" w:lineRule="exact"/>
              <w:rPr>
                <w:sz w:val="20"/>
                <w:szCs w:val="20"/>
                <w:color w:val="auto"/>
              </w:rPr>
            </w:pPr>
            <w:r>
              <w:rPr>
                <w:rFonts w:ascii="Arial" w:cs="Arial" w:eastAsia="Arial" w:hAnsi="Arial"/>
                <w:sz w:val="8"/>
                <w:szCs w:val="8"/>
                <w:color w:val="auto"/>
              </w:rPr>
              <w:t>Exigo Intermediate II, LLC</w:t>
            </w:r>
          </w:p>
        </w:tc>
        <w:tc>
          <w:tcPr>
            <w:tcW w:w="204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auto"/>
            </w:tcBorders>
            <w:shd w:val="clear" w:color="auto" w:fill="CCEEFF"/>
          </w:tcPr>
          <w:p>
            <w:pPr>
              <w:jc w:val="center"/>
              <w:spacing w:after="0" w:line="74" w:lineRule="exact"/>
              <w:rPr>
                <w:sz w:val="20"/>
                <w:szCs w:val="20"/>
                <w:color w:val="auto"/>
              </w:rPr>
            </w:pPr>
            <w:r>
              <w:rPr>
                <w:rFonts w:ascii="Arial" w:cs="Arial" w:eastAsia="Arial" w:hAnsi="Arial"/>
                <w:sz w:val="8"/>
                <w:szCs w:val="8"/>
                <w:color w:val="auto"/>
              </w:rPr>
              <w:t>Software</w:t>
            </w:r>
          </w:p>
        </w:tc>
        <w:tc>
          <w:tcPr>
            <w:tcW w:w="48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auto"/>
            </w:tcBorders>
            <w:shd w:val="clear" w:color="auto" w:fill="CCEEFF"/>
          </w:tcPr>
          <w:p>
            <w:pPr>
              <w:jc w:val="center"/>
              <w:spacing w:after="0" w:line="74" w:lineRule="exact"/>
              <w:rPr>
                <w:sz w:val="20"/>
                <w:szCs w:val="20"/>
                <w:color w:val="auto"/>
              </w:rPr>
            </w:pPr>
            <w:r>
              <w:rPr>
                <w:rFonts w:ascii="Arial" w:cs="Arial" w:eastAsia="Arial" w:hAnsi="Arial"/>
                <w:sz w:val="8"/>
                <w:szCs w:val="8"/>
                <w:color w:val="auto"/>
              </w:rPr>
              <w:t>First Lien Secured Debt(4),</w:t>
            </w:r>
          </w:p>
        </w:tc>
        <w:tc>
          <w:tcPr>
            <w:tcW w:w="20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jc w:val="right"/>
              <w:ind w:right="6"/>
              <w:spacing w:after="0" w:line="74" w:lineRule="exact"/>
              <w:rPr>
                <w:sz w:val="20"/>
                <w:szCs w:val="20"/>
                <w:color w:val="auto"/>
              </w:rPr>
            </w:pPr>
            <w:r>
              <w:rPr>
                <w:rFonts w:ascii="Arial" w:cs="Arial" w:eastAsia="Arial" w:hAnsi="Arial"/>
                <w:sz w:val="8"/>
                <w:szCs w:val="8"/>
                <w:color w:val="auto"/>
              </w:rPr>
              <w:t>—</w:t>
            </w:r>
          </w:p>
        </w:tc>
        <w:tc>
          <w:tcPr>
            <w:tcW w:w="3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line="74" w:lineRule="exact"/>
              <w:rPr>
                <w:sz w:val="20"/>
                <w:szCs w:val="20"/>
                <w:color w:val="auto"/>
              </w:rPr>
            </w:pPr>
            <w:r>
              <w:rPr>
                <w:rFonts w:ascii="Arial" w:cs="Arial" w:eastAsia="Arial" w:hAnsi="Arial"/>
                <w:sz w:val="8"/>
                <w:szCs w:val="8"/>
                <w:color w:val="auto"/>
              </w:rPr>
              <w:t>$</w:t>
            </w:r>
          </w:p>
        </w:tc>
        <w:tc>
          <w:tcPr>
            <w:tcW w:w="600" w:type="dxa"/>
            <w:vAlign w:val="bottom"/>
            <w:tcBorders>
              <w:top w:val="single" w:sz="8" w:color="auto"/>
            </w:tcBorders>
            <w:shd w:val="clear" w:color="auto" w:fill="CCEEFF"/>
          </w:tcPr>
          <w:p>
            <w:pPr>
              <w:jc w:val="right"/>
              <w:spacing w:after="0" w:line="74" w:lineRule="exact"/>
              <w:rPr>
                <w:sz w:val="20"/>
                <w:szCs w:val="20"/>
                <w:color w:val="auto"/>
              </w:rPr>
            </w:pPr>
            <w:r>
              <w:rPr>
                <w:rFonts w:ascii="Arial" w:cs="Arial" w:eastAsia="Arial" w:hAnsi="Arial"/>
                <w:sz w:val="8"/>
                <w:szCs w:val="8"/>
                <w:color w:val="auto"/>
              </w:rPr>
              <w:t>559</w:t>
            </w:r>
          </w:p>
        </w:tc>
        <w:tc>
          <w:tcPr>
            <w:tcW w:w="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(Exigo, LLC)</w:t>
            </w:r>
          </w:p>
        </w:tc>
        <w:tc>
          <w:tcPr>
            <w:tcW w:w="1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80" w:type="dxa"/>
            <w:vAlign w:val="bottom"/>
            <w:gridSpan w:val="2"/>
            <w:shd w:val="clear" w:color="auto" w:fill="CCEEFF"/>
          </w:tcPr>
          <w:p>
            <w:pPr>
              <w:jc w:val="center"/>
              <w:ind w:right="200"/>
              <w:spacing w:after="0" w:line="114" w:lineRule="exact"/>
              <w:rPr>
                <w:sz w:val="20"/>
                <w:szCs w:val="20"/>
                <w:color w:val="auto"/>
              </w:rPr>
            </w:pPr>
            <w:r>
              <w:rPr>
                <w:rFonts w:ascii="Arial" w:cs="Arial" w:eastAsia="Arial" w:hAnsi="Arial"/>
                <w:sz w:val="11"/>
                <w:szCs w:val="11"/>
                <w:color w:val="auto"/>
                <w:w w:val="94"/>
              </w:rPr>
              <w:t>3M L+575, 03/15/2027</w:t>
            </w: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1256 Main Street, Suite 256</w:t>
            </w:r>
          </w:p>
        </w:tc>
        <w:tc>
          <w:tcPr>
            <w:tcW w:w="1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80" w:type="dxa"/>
            <w:vAlign w:val="bottom"/>
            <w:gridSpan w:val="2"/>
            <w:shd w:val="clear" w:color="auto" w:fill="CCEEFF"/>
          </w:tcPr>
          <w:p>
            <w:pPr>
              <w:jc w:val="center"/>
              <w:ind w:right="200"/>
              <w:spacing w:after="0" w:line="114" w:lineRule="exact"/>
              <w:rPr>
                <w:sz w:val="20"/>
                <w:szCs w:val="20"/>
                <w:color w:val="auto"/>
              </w:rPr>
            </w:pPr>
            <w:r>
              <w:rPr>
                <w:rFonts w:ascii="Arial" w:cs="Arial" w:eastAsia="Arial" w:hAnsi="Arial"/>
                <w:sz w:val="11"/>
                <w:szCs w:val="11"/>
                <w:color w:val="auto"/>
                <w:w w:val="91"/>
              </w:rPr>
              <w:t>Common Equity</w:t>
            </w: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Southlake, TX 76092</w:t>
            </w:r>
          </w:p>
        </w:tc>
        <w:tc>
          <w:tcPr>
            <w:tcW w:w="1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480" w:type="dxa"/>
            <w:vAlign w:val="bottom"/>
            <w:gridSpan w:val="3"/>
          </w:tcPr>
          <w:p>
            <w:pPr>
              <w:spacing w:after="0"/>
              <w:rPr>
                <w:sz w:val="20"/>
                <w:szCs w:val="20"/>
                <w:color w:val="auto"/>
              </w:rPr>
            </w:pPr>
            <w:r>
              <w:rPr>
                <w:rFonts w:ascii="Arial" w:cs="Arial" w:eastAsia="Arial" w:hAnsi="Arial"/>
                <w:sz w:val="11"/>
                <w:szCs w:val="11"/>
                <w:color w:val="auto"/>
              </w:rPr>
              <w:t>Express Wash Topco, LLC</w:t>
            </w:r>
          </w:p>
        </w:tc>
        <w:tc>
          <w:tcPr>
            <w:tcW w:w="1600" w:type="dxa"/>
            <w:vAlign w:val="bottom"/>
            <w:gridSpan w:val="2"/>
          </w:tcPr>
          <w:p>
            <w:pPr>
              <w:jc w:val="center"/>
              <w:ind w:right="460"/>
              <w:spacing w:after="0"/>
              <w:rPr>
                <w:sz w:val="20"/>
                <w:szCs w:val="20"/>
                <w:color w:val="auto"/>
              </w:rPr>
            </w:pPr>
            <w:r>
              <w:rPr>
                <w:rFonts w:ascii="Arial" w:cs="Arial" w:eastAsia="Arial" w:hAnsi="Arial"/>
                <w:sz w:val="11"/>
                <w:szCs w:val="11"/>
                <w:color w:val="auto"/>
                <w:w w:val="95"/>
              </w:rPr>
              <w:t>Automobiles</w:t>
            </w:r>
          </w:p>
        </w:tc>
        <w:tc>
          <w:tcPr>
            <w:tcW w:w="1680" w:type="dxa"/>
            <w:vAlign w:val="bottom"/>
            <w:gridSpan w:val="2"/>
          </w:tcPr>
          <w:p>
            <w:pPr>
              <w:jc w:val="center"/>
              <w:ind w:right="200"/>
              <w:spacing w:after="0"/>
              <w:rPr>
                <w:sz w:val="20"/>
                <w:szCs w:val="20"/>
                <w:color w:val="auto"/>
              </w:rPr>
            </w:pPr>
            <w:r>
              <w:rPr>
                <w:rFonts w:ascii="Arial" w:cs="Arial" w:eastAsia="Arial" w:hAnsi="Arial"/>
                <w:sz w:val="11"/>
                <w:szCs w:val="11"/>
                <w:color w:val="auto"/>
                <w:w w:val="91"/>
              </w:rPr>
              <w:t>Common Equity</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Arial" w:cs="Arial" w:eastAsia="Arial" w:hAnsi="Arial"/>
                <w:sz w:val="11"/>
                <w:szCs w:val="11"/>
                <w:color w:val="auto"/>
              </w:rPr>
              <w:t>5821 Fairview Road</w:t>
            </w: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480" w:type="dxa"/>
            <w:vAlign w:val="bottom"/>
            <w:gridSpan w:val="3"/>
          </w:tcPr>
          <w:p>
            <w:pPr>
              <w:spacing w:after="0"/>
              <w:rPr>
                <w:sz w:val="20"/>
                <w:szCs w:val="20"/>
                <w:color w:val="auto"/>
              </w:rPr>
            </w:pPr>
            <w:r>
              <w:rPr>
                <w:rFonts w:ascii="Arial" w:cs="Arial" w:eastAsia="Arial" w:hAnsi="Arial"/>
                <w:sz w:val="11"/>
                <w:szCs w:val="11"/>
                <w:color w:val="auto"/>
              </w:rPr>
              <w:t>Charlotte, North Carolina 28209</w:t>
            </w: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FedHC InvestCo LP(5)</w:t>
            </w:r>
          </w:p>
        </w:tc>
        <w:tc>
          <w:tcPr>
            <w:tcW w:w="1600" w:type="dxa"/>
            <w:vAlign w:val="bottom"/>
            <w:gridSpan w:val="2"/>
            <w:shd w:val="clear" w:color="auto" w:fill="CCEEFF"/>
          </w:tcPr>
          <w:p>
            <w:pPr>
              <w:jc w:val="center"/>
              <w:ind w:right="480"/>
              <w:spacing w:after="0" w:line="101" w:lineRule="exact"/>
              <w:rPr>
                <w:sz w:val="20"/>
                <w:szCs w:val="20"/>
                <w:color w:val="auto"/>
              </w:rPr>
            </w:pPr>
            <w:r>
              <w:rPr>
                <w:rFonts w:ascii="Arial" w:cs="Arial" w:eastAsia="Arial" w:hAnsi="Arial"/>
                <w:sz w:val="11"/>
                <w:szCs w:val="11"/>
                <w:color w:val="auto"/>
                <w:w w:val="88"/>
              </w:rPr>
              <w:t>Aerospace and Defense</w:t>
            </w:r>
          </w:p>
        </w:tc>
        <w:tc>
          <w:tcPr>
            <w:tcW w:w="1680" w:type="dxa"/>
            <w:vAlign w:val="bottom"/>
            <w:gridSpan w:val="2"/>
            <w:shd w:val="clear" w:color="auto" w:fill="CCEEFF"/>
          </w:tcPr>
          <w:p>
            <w:pPr>
              <w:jc w:val="center"/>
              <w:ind w:right="200"/>
              <w:spacing w:after="0" w:line="101" w:lineRule="exact"/>
              <w:rPr>
                <w:sz w:val="20"/>
                <w:szCs w:val="20"/>
                <w:color w:val="auto"/>
              </w:rPr>
            </w:pPr>
            <w:r>
              <w:rPr>
                <w:rFonts w:ascii="Arial" w:cs="Arial" w:eastAsia="Arial" w:hAnsi="Arial"/>
                <w:sz w:val="11"/>
                <w:szCs w:val="11"/>
                <w:color w:val="auto"/>
                <w:w w:val="95"/>
              </w:rPr>
              <w:t>Common Equity(4)</w:t>
            </w:r>
          </w:p>
        </w:tc>
        <w:tc>
          <w:tcPr>
            <w:tcW w:w="980" w:type="dxa"/>
            <w:vAlign w:val="bottom"/>
            <w:gridSpan w:val="2"/>
            <w:shd w:val="clear" w:color="auto" w:fill="CCEEFF"/>
          </w:tcPr>
          <w:p>
            <w:pPr>
              <w:jc w:val="right"/>
              <w:ind w:right="220"/>
              <w:spacing w:after="0" w:line="101" w:lineRule="exact"/>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2,142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3100 Clarendon Blvd</w:t>
            </w:r>
          </w:p>
        </w:tc>
        <w:tc>
          <w:tcPr>
            <w:tcW w:w="1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Arlington, VA 22201</w:t>
            </w:r>
          </w:p>
        </w:tc>
        <w:tc>
          <w:tcPr>
            <w:tcW w:w="1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480" w:type="dxa"/>
            <w:vAlign w:val="bottom"/>
            <w:gridSpan w:val="3"/>
          </w:tcPr>
          <w:p>
            <w:pPr>
              <w:spacing w:after="0"/>
              <w:rPr>
                <w:sz w:val="20"/>
                <w:szCs w:val="20"/>
                <w:color w:val="auto"/>
              </w:rPr>
            </w:pPr>
            <w:r>
              <w:rPr>
                <w:rFonts w:ascii="Arial" w:cs="Arial" w:eastAsia="Arial" w:hAnsi="Arial"/>
                <w:sz w:val="11"/>
                <w:szCs w:val="11"/>
                <w:color w:val="auto"/>
              </w:rPr>
              <w:t>Findex Group Limited(6)</w:t>
            </w:r>
          </w:p>
        </w:tc>
        <w:tc>
          <w:tcPr>
            <w:tcW w:w="1600" w:type="dxa"/>
            <w:vAlign w:val="bottom"/>
            <w:gridSpan w:val="2"/>
          </w:tcPr>
          <w:p>
            <w:pPr>
              <w:jc w:val="center"/>
              <w:ind w:right="460"/>
              <w:spacing w:after="0"/>
              <w:rPr>
                <w:sz w:val="20"/>
                <w:szCs w:val="20"/>
                <w:color w:val="auto"/>
              </w:rPr>
            </w:pPr>
            <w:r>
              <w:rPr>
                <w:rFonts w:ascii="Arial" w:cs="Arial" w:eastAsia="Arial" w:hAnsi="Arial"/>
                <w:sz w:val="11"/>
                <w:szCs w:val="11"/>
                <w:color w:val="auto"/>
                <w:w w:val="95"/>
              </w:rPr>
              <w:t>Diversified Financial</w:t>
            </w:r>
          </w:p>
        </w:tc>
        <w:tc>
          <w:tcPr>
            <w:tcW w:w="1680" w:type="dxa"/>
            <w:vAlign w:val="bottom"/>
            <w:gridSpan w:val="2"/>
          </w:tcPr>
          <w:p>
            <w:pPr>
              <w:jc w:val="center"/>
              <w:ind w:right="200"/>
              <w:spacing w:after="0"/>
              <w:rPr>
                <w:sz w:val="20"/>
                <w:szCs w:val="20"/>
                <w:color w:val="auto"/>
              </w:rPr>
            </w:pPr>
            <w:r>
              <w:rPr>
                <w:rFonts w:ascii="Arial" w:cs="Arial" w:eastAsia="Arial" w:hAnsi="Arial"/>
                <w:sz w:val="11"/>
                <w:szCs w:val="11"/>
                <w:color w:val="auto"/>
                <w:w w:val="91"/>
              </w:rPr>
              <w:t>First Lien Secured Debt,</w:t>
            </w:r>
          </w:p>
        </w:tc>
        <w:tc>
          <w:tcPr>
            <w:tcW w:w="98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6,430</w:t>
            </w: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Arial" w:cs="Arial" w:eastAsia="Arial" w:hAnsi="Arial"/>
                <w:sz w:val="11"/>
                <w:szCs w:val="11"/>
                <w:color w:val="auto"/>
              </w:rPr>
              <w:t>1 O’Connell Street</w:t>
            </w:r>
          </w:p>
        </w:tc>
        <w:tc>
          <w:tcPr>
            <w:tcW w:w="1600" w:type="dxa"/>
            <w:vAlign w:val="bottom"/>
            <w:gridSpan w:val="2"/>
          </w:tcPr>
          <w:p>
            <w:pPr>
              <w:jc w:val="center"/>
              <w:ind w:right="460"/>
              <w:spacing w:after="0" w:line="114" w:lineRule="exact"/>
              <w:rPr>
                <w:sz w:val="20"/>
                <w:szCs w:val="20"/>
                <w:color w:val="auto"/>
              </w:rPr>
            </w:pPr>
            <w:r>
              <w:rPr>
                <w:rFonts w:ascii="Arial" w:cs="Arial" w:eastAsia="Arial" w:hAnsi="Arial"/>
                <w:sz w:val="11"/>
                <w:szCs w:val="11"/>
                <w:color w:val="auto"/>
                <w:w w:val="89"/>
              </w:rPr>
              <w:t>Services</w:t>
            </w:r>
          </w:p>
        </w:tc>
        <w:tc>
          <w:tcPr>
            <w:tcW w:w="1680" w:type="dxa"/>
            <w:vAlign w:val="bottom"/>
            <w:gridSpan w:val="2"/>
          </w:tcPr>
          <w:p>
            <w:pPr>
              <w:jc w:val="center"/>
              <w:ind w:right="200"/>
              <w:spacing w:after="0" w:line="114" w:lineRule="exact"/>
              <w:rPr>
                <w:sz w:val="20"/>
                <w:szCs w:val="20"/>
                <w:color w:val="auto"/>
              </w:rPr>
            </w:pPr>
            <w:r>
              <w:rPr>
                <w:rFonts w:ascii="Arial" w:cs="Arial" w:eastAsia="Arial" w:hAnsi="Arial"/>
                <w:sz w:val="11"/>
                <w:szCs w:val="11"/>
                <w:color w:val="auto"/>
                <w:w w:val="94"/>
              </w:rPr>
              <w:t>3M L+450, 05/31/2024</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480" w:type="dxa"/>
            <w:vAlign w:val="bottom"/>
            <w:gridSpan w:val="3"/>
          </w:tcPr>
          <w:p>
            <w:pPr>
              <w:spacing w:after="0"/>
              <w:rPr>
                <w:sz w:val="20"/>
                <w:szCs w:val="20"/>
                <w:color w:val="auto"/>
              </w:rPr>
            </w:pPr>
            <w:r>
              <w:rPr>
                <w:rFonts w:ascii="Arial" w:cs="Arial" w:eastAsia="Arial" w:hAnsi="Arial"/>
                <w:sz w:val="11"/>
                <w:szCs w:val="11"/>
                <w:color w:val="auto"/>
              </w:rPr>
              <w:t>Sydney NSW 2000, Australia</w:t>
            </w: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Gantech Acquisition Corp.</w:t>
            </w:r>
          </w:p>
        </w:tc>
        <w:tc>
          <w:tcPr>
            <w:tcW w:w="1600" w:type="dxa"/>
            <w:vAlign w:val="bottom"/>
            <w:gridSpan w:val="2"/>
            <w:shd w:val="clear" w:color="auto" w:fill="CCEEFF"/>
          </w:tcPr>
          <w:p>
            <w:pPr>
              <w:jc w:val="center"/>
              <w:ind w:right="460"/>
              <w:spacing w:after="0" w:line="101" w:lineRule="exact"/>
              <w:rPr>
                <w:sz w:val="20"/>
                <w:szCs w:val="20"/>
                <w:color w:val="auto"/>
              </w:rPr>
            </w:pPr>
            <w:r>
              <w:rPr>
                <w:rFonts w:ascii="Arial" w:cs="Arial" w:eastAsia="Arial" w:hAnsi="Arial"/>
                <w:sz w:val="11"/>
                <w:szCs w:val="11"/>
                <w:color w:val="auto"/>
                <w:w w:val="90"/>
              </w:rPr>
              <w:t>IT Services</w:t>
            </w:r>
          </w:p>
        </w:tc>
        <w:tc>
          <w:tcPr>
            <w:tcW w:w="1680" w:type="dxa"/>
            <w:vAlign w:val="bottom"/>
            <w:gridSpan w:val="2"/>
            <w:shd w:val="clear" w:color="auto" w:fill="CCEEFF"/>
          </w:tcPr>
          <w:p>
            <w:pPr>
              <w:jc w:val="center"/>
              <w:ind w:right="200"/>
              <w:spacing w:after="0" w:line="101" w:lineRule="exact"/>
              <w:rPr>
                <w:sz w:val="20"/>
                <w:szCs w:val="20"/>
                <w:color w:val="auto"/>
              </w:rPr>
            </w:pPr>
            <w:r>
              <w:rPr>
                <w:rFonts w:ascii="Arial" w:cs="Arial" w:eastAsia="Arial" w:hAnsi="Arial"/>
                <w:sz w:val="11"/>
                <w:szCs w:val="11"/>
                <w:color w:val="auto"/>
                <w:w w:val="90"/>
              </w:rPr>
              <w:t>First Lien Secured Debt(4),</w:t>
            </w:r>
          </w:p>
        </w:tc>
        <w:tc>
          <w:tcPr>
            <w:tcW w:w="980" w:type="dxa"/>
            <w:vAlign w:val="bottom"/>
            <w:gridSpan w:val="2"/>
            <w:shd w:val="clear" w:color="auto" w:fill="CCEEFF"/>
          </w:tcPr>
          <w:p>
            <w:pPr>
              <w:jc w:val="right"/>
              <w:ind w:right="220"/>
              <w:spacing w:after="0" w:line="101" w:lineRule="exact"/>
              <w:rPr>
                <w:sz w:val="20"/>
                <w:szCs w:val="20"/>
                <w:color w:val="auto"/>
              </w:rPr>
            </w:pPr>
            <w:r>
              <w:rPr>
                <w:rFonts w:ascii="Arial" w:cs="Arial" w:eastAsia="Arial" w:hAnsi="Arial"/>
                <w:sz w:val="11"/>
                <w:szCs w:val="11"/>
                <w:color w:val="auto"/>
              </w:rPr>
              <w:t>3.9%</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26,085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(GCOM InvestCo LP (5))</w:t>
            </w:r>
          </w:p>
        </w:tc>
        <w:tc>
          <w:tcPr>
            <w:tcW w:w="1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80" w:type="dxa"/>
            <w:vAlign w:val="bottom"/>
            <w:gridSpan w:val="2"/>
            <w:shd w:val="clear" w:color="auto" w:fill="CCEEFF"/>
          </w:tcPr>
          <w:p>
            <w:pPr>
              <w:jc w:val="center"/>
              <w:ind w:right="200"/>
              <w:spacing w:after="0" w:line="114" w:lineRule="exact"/>
              <w:rPr>
                <w:sz w:val="20"/>
                <w:szCs w:val="20"/>
                <w:color w:val="auto"/>
              </w:rPr>
            </w:pPr>
            <w:r>
              <w:rPr>
                <w:rFonts w:ascii="Arial" w:cs="Arial" w:eastAsia="Arial" w:hAnsi="Arial"/>
                <w:sz w:val="11"/>
                <w:szCs w:val="11"/>
                <w:color w:val="auto"/>
                <w:w w:val="94"/>
              </w:rPr>
              <w:t>1M L+625, 05/14/2026</w:t>
            </w: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9175 Guilford Road, Suite 101</w:t>
            </w:r>
          </w:p>
        </w:tc>
        <w:tc>
          <w:tcPr>
            <w:tcW w:w="1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80" w:type="dxa"/>
            <w:vAlign w:val="bottom"/>
            <w:gridSpan w:val="2"/>
            <w:shd w:val="clear" w:color="auto" w:fill="CCEEFF"/>
          </w:tcPr>
          <w:p>
            <w:pPr>
              <w:jc w:val="center"/>
              <w:ind w:right="200"/>
              <w:spacing w:after="0" w:line="114" w:lineRule="exact"/>
              <w:rPr>
                <w:sz w:val="20"/>
                <w:szCs w:val="20"/>
                <w:color w:val="auto"/>
              </w:rPr>
            </w:pPr>
            <w:r>
              <w:rPr>
                <w:rFonts w:ascii="Arial" w:cs="Arial" w:eastAsia="Arial" w:hAnsi="Arial"/>
                <w:sz w:val="11"/>
                <w:szCs w:val="11"/>
                <w:color w:val="auto"/>
                <w:w w:val="91"/>
              </w:rPr>
              <w:t>Common Equity</w:t>
            </w: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Columbia, MD 21046</w:t>
            </w:r>
          </w:p>
        </w:tc>
        <w:tc>
          <w:tcPr>
            <w:tcW w:w="1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480" w:type="dxa"/>
            <w:vAlign w:val="bottom"/>
            <w:gridSpan w:val="3"/>
          </w:tcPr>
          <w:p>
            <w:pPr>
              <w:spacing w:after="0"/>
              <w:rPr>
                <w:sz w:val="20"/>
                <w:szCs w:val="20"/>
                <w:color w:val="auto"/>
              </w:rPr>
            </w:pPr>
            <w:r>
              <w:rPr>
                <w:rFonts w:ascii="Arial" w:cs="Arial" w:eastAsia="Arial" w:hAnsi="Arial"/>
                <w:sz w:val="11"/>
                <w:szCs w:val="11"/>
                <w:color w:val="auto"/>
              </w:rPr>
              <w:t>Global Holdings InterCo LLC</w:t>
            </w:r>
          </w:p>
        </w:tc>
        <w:tc>
          <w:tcPr>
            <w:tcW w:w="1600" w:type="dxa"/>
            <w:vAlign w:val="bottom"/>
            <w:gridSpan w:val="2"/>
          </w:tcPr>
          <w:p>
            <w:pPr>
              <w:jc w:val="center"/>
              <w:ind w:right="460"/>
              <w:spacing w:after="0"/>
              <w:rPr>
                <w:sz w:val="20"/>
                <w:szCs w:val="20"/>
                <w:color w:val="auto"/>
              </w:rPr>
            </w:pPr>
            <w:r>
              <w:rPr>
                <w:rFonts w:ascii="Arial" w:cs="Arial" w:eastAsia="Arial" w:hAnsi="Arial"/>
                <w:sz w:val="11"/>
                <w:szCs w:val="11"/>
                <w:color w:val="auto"/>
                <w:w w:val="95"/>
              </w:rPr>
              <w:t>Diversified Financial</w:t>
            </w:r>
          </w:p>
        </w:tc>
        <w:tc>
          <w:tcPr>
            <w:tcW w:w="1680" w:type="dxa"/>
            <w:vAlign w:val="bottom"/>
            <w:gridSpan w:val="2"/>
          </w:tcPr>
          <w:p>
            <w:pPr>
              <w:jc w:val="center"/>
              <w:ind w:right="200"/>
              <w:spacing w:after="0"/>
              <w:rPr>
                <w:sz w:val="20"/>
                <w:szCs w:val="20"/>
                <w:color w:val="auto"/>
              </w:rPr>
            </w:pPr>
            <w:r>
              <w:rPr>
                <w:rFonts w:ascii="Arial" w:cs="Arial" w:eastAsia="Arial" w:hAnsi="Arial"/>
                <w:sz w:val="11"/>
                <w:szCs w:val="11"/>
                <w:color w:val="auto"/>
                <w:w w:val="91"/>
              </w:rPr>
              <w:t>First Lien Secured Debt,</w:t>
            </w:r>
          </w:p>
        </w:tc>
        <w:tc>
          <w:tcPr>
            <w:tcW w:w="98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3,273</w:t>
            </w: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Arial" w:cs="Arial" w:eastAsia="Arial" w:hAnsi="Arial"/>
                <w:sz w:val="11"/>
                <w:szCs w:val="11"/>
                <w:color w:val="auto"/>
              </w:rPr>
              <w:t>4343 South 118</w:t>
            </w:r>
            <w:r>
              <w:rPr>
                <w:rFonts w:ascii="Arial" w:cs="Arial" w:eastAsia="Arial" w:hAnsi="Arial"/>
                <w:sz w:val="6"/>
                <w:szCs w:val="6"/>
                <w:color w:val="auto"/>
              </w:rPr>
              <w:t>th</w:t>
            </w:r>
            <w:r>
              <w:rPr>
                <w:rFonts w:ascii="Arial" w:cs="Arial" w:eastAsia="Arial" w:hAnsi="Arial"/>
                <w:sz w:val="11"/>
                <w:szCs w:val="11"/>
                <w:color w:val="auto"/>
              </w:rPr>
              <w:t xml:space="preserve"> East Ave Suite 220</w:t>
            </w:r>
          </w:p>
        </w:tc>
        <w:tc>
          <w:tcPr>
            <w:tcW w:w="1600" w:type="dxa"/>
            <w:vAlign w:val="bottom"/>
            <w:gridSpan w:val="2"/>
          </w:tcPr>
          <w:p>
            <w:pPr>
              <w:jc w:val="center"/>
              <w:ind w:right="460"/>
              <w:spacing w:after="0" w:line="114" w:lineRule="exact"/>
              <w:rPr>
                <w:sz w:val="20"/>
                <w:szCs w:val="20"/>
                <w:color w:val="auto"/>
              </w:rPr>
            </w:pPr>
            <w:r>
              <w:rPr>
                <w:rFonts w:ascii="Arial" w:cs="Arial" w:eastAsia="Arial" w:hAnsi="Arial"/>
                <w:sz w:val="11"/>
                <w:szCs w:val="11"/>
                <w:color w:val="auto"/>
                <w:w w:val="89"/>
              </w:rPr>
              <w:t>Services</w:t>
            </w:r>
          </w:p>
        </w:tc>
        <w:tc>
          <w:tcPr>
            <w:tcW w:w="1680" w:type="dxa"/>
            <w:vAlign w:val="bottom"/>
            <w:gridSpan w:val="2"/>
          </w:tcPr>
          <w:p>
            <w:pPr>
              <w:jc w:val="center"/>
              <w:ind w:right="200"/>
              <w:spacing w:after="0" w:line="114" w:lineRule="exact"/>
              <w:rPr>
                <w:sz w:val="20"/>
                <w:szCs w:val="20"/>
                <w:color w:val="auto"/>
              </w:rPr>
            </w:pPr>
            <w:r>
              <w:rPr>
                <w:rFonts w:ascii="Arial" w:cs="Arial" w:eastAsia="Arial" w:hAnsi="Arial"/>
                <w:sz w:val="11"/>
                <w:szCs w:val="11"/>
                <w:color w:val="auto"/>
                <w:w w:val="94"/>
              </w:rPr>
              <w:t>3M L+600, 03/16/2026</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480" w:type="dxa"/>
            <w:vAlign w:val="bottom"/>
            <w:gridSpan w:val="3"/>
          </w:tcPr>
          <w:p>
            <w:pPr>
              <w:spacing w:after="0"/>
              <w:rPr>
                <w:sz w:val="20"/>
                <w:szCs w:val="20"/>
                <w:color w:val="auto"/>
              </w:rPr>
            </w:pPr>
            <w:r>
              <w:rPr>
                <w:rFonts w:ascii="Arial" w:cs="Arial" w:eastAsia="Arial" w:hAnsi="Arial"/>
                <w:sz w:val="11"/>
                <w:szCs w:val="11"/>
                <w:color w:val="auto"/>
              </w:rPr>
              <w:t>Tulsa, OK 74146</w:t>
            </w: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Graffiti Buyer, Inc.</w:t>
            </w:r>
          </w:p>
        </w:tc>
        <w:tc>
          <w:tcPr>
            <w:tcW w:w="1600" w:type="dxa"/>
            <w:vAlign w:val="bottom"/>
            <w:gridSpan w:val="2"/>
            <w:shd w:val="clear" w:color="auto" w:fill="CCEEFF"/>
          </w:tcPr>
          <w:p>
            <w:pPr>
              <w:jc w:val="center"/>
              <w:ind w:right="460"/>
              <w:spacing w:after="0" w:line="101" w:lineRule="exact"/>
              <w:rPr>
                <w:sz w:val="20"/>
                <w:szCs w:val="20"/>
                <w:color w:val="auto"/>
              </w:rPr>
            </w:pPr>
            <w:r>
              <w:rPr>
                <w:rFonts w:ascii="Arial" w:cs="Arial" w:eastAsia="Arial" w:hAnsi="Arial"/>
                <w:sz w:val="11"/>
                <w:szCs w:val="11"/>
                <w:color w:val="auto"/>
                <w:w w:val="92"/>
              </w:rPr>
              <w:t>Trading Companies &amp;</w:t>
            </w:r>
          </w:p>
        </w:tc>
        <w:tc>
          <w:tcPr>
            <w:tcW w:w="1680" w:type="dxa"/>
            <w:vAlign w:val="bottom"/>
            <w:gridSpan w:val="2"/>
            <w:shd w:val="clear" w:color="auto" w:fill="CCEEFF"/>
          </w:tcPr>
          <w:p>
            <w:pPr>
              <w:jc w:val="center"/>
              <w:ind w:right="200"/>
              <w:spacing w:after="0" w:line="101" w:lineRule="exact"/>
              <w:rPr>
                <w:sz w:val="20"/>
                <w:szCs w:val="20"/>
                <w:color w:val="auto"/>
              </w:rPr>
            </w:pPr>
            <w:r>
              <w:rPr>
                <w:rFonts w:ascii="Arial" w:cs="Arial" w:eastAsia="Arial" w:hAnsi="Arial"/>
                <w:sz w:val="11"/>
                <w:szCs w:val="11"/>
                <w:color w:val="auto"/>
                <w:w w:val="90"/>
              </w:rPr>
              <w:t>First Lien Secured Debt(4),</w:t>
            </w:r>
          </w:p>
        </w:tc>
        <w:tc>
          <w:tcPr>
            <w:tcW w:w="980" w:type="dxa"/>
            <w:vAlign w:val="bottom"/>
            <w:gridSpan w:val="2"/>
            <w:shd w:val="clear" w:color="auto" w:fill="CCEEFF"/>
          </w:tcPr>
          <w:p>
            <w:pPr>
              <w:jc w:val="right"/>
              <w:ind w:right="380"/>
              <w:spacing w:after="0" w:line="10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Arial" w:cs="Arial" w:eastAsia="Arial" w:hAnsi="Arial"/>
                <w:sz w:val="11"/>
                <w:szCs w:val="11"/>
                <w:color w:val="auto"/>
              </w:rPr>
              <w:t>359</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25195 Brest Road</w:t>
            </w:r>
          </w:p>
        </w:tc>
        <w:tc>
          <w:tcPr>
            <w:tcW w:w="1600" w:type="dxa"/>
            <w:vAlign w:val="bottom"/>
            <w:gridSpan w:val="2"/>
            <w:shd w:val="clear" w:color="auto" w:fill="CCEEFF"/>
          </w:tcPr>
          <w:p>
            <w:pPr>
              <w:jc w:val="center"/>
              <w:ind w:right="460"/>
              <w:spacing w:after="0" w:line="114" w:lineRule="exact"/>
              <w:rPr>
                <w:sz w:val="20"/>
                <w:szCs w:val="20"/>
                <w:color w:val="auto"/>
              </w:rPr>
            </w:pPr>
            <w:r>
              <w:rPr>
                <w:rFonts w:ascii="Arial" w:cs="Arial" w:eastAsia="Arial" w:hAnsi="Arial"/>
                <w:sz w:val="11"/>
                <w:szCs w:val="11"/>
                <w:color w:val="auto"/>
                <w:w w:val="97"/>
              </w:rPr>
              <w:t>Distributors</w:t>
            </w:r>
          </w:p>
        </w:tc>
        <w:tc>
          <w:tcPr>
            <w:tcW w:w="1680" w:type="dxa"/>
            <w:vAlign w:val="bottom"/>
            <w:gridSpan w:val="2"/>
            <w:shd w:val="clear" w:color="auto" w:fill="CCEEFF"/>
          </w:tcPr>
          <w:p>
            <w:pPr>
              <w:jc w:val="center"/>
              <w:ind w:right="200"/>
              <w:spacing w:after="0" w:line="114" w:lineRule="exact"/>
              <w:rPr>
                <w:sz w:val="20"/>
                <w:szCs w:val="20"/>
                <w:color w:val="auto"/>
              </w:rPr>
            </w:pPr>
            <w:r>
              <w:rPr>
                <w:rFonts w:ascii="Arial" w:cs="Arial" w:eastAsia="Arial" w:hAnsi="Arial"/>
                <w:sz w:val="11"/>
                <w:szCs w:val="11"/>
                <w:color w:val="auto"/>
                <w:w w:val="94"/>
              </w:rPr>
              <w:t>3M L+575, 08/10/2027</w:t>
            </w: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Taylor, MI 48180</w:t>
            </w:r>
          </w:p>
        </w:tc>
        <w:tc>
          <w:tcPr>
            <w:tcW w:w="1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480" w:type="dxa"/>
            <w:vAlign w:val="bottom"/>
            <w:gridSpan w:val="3"/>
          </w:tcPr>
          <w:p>
            <w:pPr>
              <w:spacing w:after="0"/>
              <w:rPr>
                <w:sz w:val="20"/>
                <w:szCs w:val="20"/>
                <w:color w:val="auto"/>
              </w:rPr>
            </w:pPr>
            <w:r>
              <w:rPr>
                <w:rFonts w:ascii="Arial" w:cs="Arial" w:eastAsia="Arial" w:hAnsi="Arial"/>
                <w:sz w:val="11"/>
                <w:szCs w:val="11"/>
                <w:color w:val="auto"/>
              </w:rPr>
              <w:t>Hancock Roofing and Construction L.L.C.</w:t>
            </w:r>
          </w:p>
        </w:tc>
        <w:tc>
          <w:tcPr>
            <w:tcW w:w="1600" w:type="dxa"/>
            <w:vAlign w:val="bottom"/>
            <w:gridSpan w:val="2"/>
          </w:tcPr>
          <w:p>
            <w:pPr>
              <w:jc w:val="center"/>
              <w:ind w:right="460"/>
              <w:spacing w:after="0"/>
              <w:rPr>
                <w:sz w:val="20"/>
                <w:szCs w:val="20"/>
                <w:color w:val="auto"/>
              </w:rPr>
            </w:pPr>
            <w:r>
              <w:rPr>
                <w:rFonts w:ascii="Arial" w:cs="Arial" w:eastAsia="Arial" w:hAnsi="Arial"/>
                <w:sz w:val="11"/>
                <w:szCs w:val="11"/>
                <w:color w:val="auto"/>
                <w:w w:val="86"/>
              </w:rPr>
              <w:t>Insurance</w:t>
            </w:r>
          </w:p>
        </w:tc>
        <w:tc>
          <w:tcPr>
            <w:tcW w:w="1680" w:type="dxa"/>
            <w:vAlign w:val="bottom"/>
            <w:gridSpan w:val="2"/>
          </w:tcPr>
          <w:p>
            <w:pPr>
              <w:jc w:val="center"/>
              <w:ind w:right="200"/>
              <w:spacing w:after="0"/>
              <w:rPr>
                <w:sz w:val="20"/>
                <w:szCs w:val="20"/>
                <w:color w:val="auto"/>
              </w:rPr>
            </w:pPr>
            <w:r>
              <w:rPr>
                <w:rFonts w:ascii="Arial" w:cs="Arial" w:eastAsia="Arial" w:hAnsi="Arial"/>
                <w:sz w:val="11"/>
                <w:szCs w:val="11"/>
                <w:color w:val="auto"/>
                <w:w w:val="90"/>
              </w:rPr>
              <w:t>First Lien Secured Debt(4),</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0.4%</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5,104</w:t>
            </w: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Arial" w:cs="Arial" w:eastAsia="Arial" w:hAnsi="Arial"/>
                <w:sz w:val="11"/>
                <w:szCs w:val="11"/>
                <w:color w:val="auto"/>
              </w:rPr>
              <w:t>(Hancock Claims Consultants</w:t>
            </w: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80" w:type="dxa"/>
            <w:vAlign w:val="bottom"/>
            <w:gridSpan w:val="2"/>
          </w:tcPr>
          <w:p>
            <w:pPr>
              <w:jc w:val="center"/>
              <w:ind w:right="200"/>
              <w:spacing w:after="0" w:line="114" w:lineRule="exact"/>
              <w:rPr>
                <w:sz w:val="20"/>
                <w:szCs w:val="20"/>
                <w:color w:val="auto"/>
              </w:rPr>
            </w:pPr>
            <w:r>
              <w:rPr>
                <w:rFonts w:ascii="Arial" w:cs="Arial" w:eastAsia="Arial" w:hAnsi="Arial"/>
                <w:sz w:val="11"/>
                <w:szCs w:val="11"/>
                <w:color w:val="auto"/>
                <w:w w:val="94"/>
              </w:rPr>
              <w:t>3M L+500, 12/31/2026</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Arial" w:cs="Arial" w:eastAsia="Arial" w:hAnsi="Arial"/>
                <w:sz w:val="11"/>
                <w:szCs w:val="11"/>
                <w:color w:val="auto"/>
              </w:rPr>
              <w:t>Investors, LLC (5))</w:t>
            </w: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80" w:type="dxa"/>
            <w:vAlign w:val="bottom"/>
            <w:gridSpan w:val="2"/>
          </w:tcPr>
          <w:p>
            <w:pPr>
              <w:jc w:val="center"/>
              <w:ind w:right="200"/>
              <w:spacing w:after="0" w:line="114" w:lineRule="exact"/>
              <w:rPr>
                <w:sz w:val="20"/>
                <w:szCs w:val="20"/>
                <w:color w:val="auto"/>
              </w:rPr>
            </w:pPr>
            <w:r>
              <w:rPr>
                <w:rFonts w:ascii="Arial" w:cs="Arial" w:eastAsia="Arial" w:hAnsi="Arial"/>
                <w:sz w:val="11"/>
                <w:szCs w:val="11"/>
                <w:color w:val="auto"/>
                <w:w w:val="91"/>
              </w:rPr>
              <w:t>Common Equity</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Arial" w:cs="Arial" w:eastAsia="Arial" w:hAnsi="Arial"/>
                <w:sz w:val="11"/>
                <w:szCs w:val="11"/>
                <w:color w:val="auto"/>
              </w:rPr>
              <w:t>6875 Shiloh Rd. East</w:t>
            </w: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480" w:type="dxa"/>
            <w:vAlign w:val="bottom"/>
            <w:gridSpan w:val="3"/>
          </w:tcPr>
          <w:p>
            <w:pPr>
              <w:spacing w:after="0"/>
              <w:rPr>
                <w:sz w:val="20"/>
                <w:szCs w:val="20"/>
                <w:color w:val="auto"/>
              </w:rPr>
            </w:pPr>
            <w:r>
              <w:rPr>
                <w:rFonts w:ascii="Arial" w:cs="Arial" w:eastAsia="Arial" w:hAnsi="Arial"/>
                <w:sz w:val="11"/>
                <w:szCs w:val="11"/>
                <w:color w:val="auto"/>
              </w:rPr>
              <w:t>Alpharetta, GA 30005</w:t>
            </w: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Holdco Sands Intermediate, LLC</w:t>
            </w:r>
          </w:p>
        </w:tc>
        <w:tc>
          <w:tcPr>
            <w:tcW w:w="1600" w:type="dxa"/>
            <w:vAlign w:val="bottom"/>
            <w:gridSpan w:val="2"/>
            <w:shd w:val="clear" w:color="auto" w:fill="CCEEFF"/>
          </w:tcPr>
          <w:p>
            <w:pPr>
              <w:jc w:val="center"/>
              <w:ind w:right="480"/>
              <w:spacing w:after="0" w:line="101" w:lineRule="exact"/>
              <w:rPr>
                <w:sz w:val="20"/>
                <w:szCs w:val="20"/>
                <w:color w:val="auto"/>
              </w:rPr>
            </w:pPr>
            <w:r>
              <w:rPr>
                <w:rFonts w:ascii="Arial" w:cs="Arial" w:eastAsia="Arial" w:hAnsi="Arial"/>
                <w:sz w:val="11"/>
                <w:szCs w:val="11"/>
                <w:color w:val="auto"/>
                <w:w w:val="88"/>
              </w:rPr>
              <w:t>Aerospace and Defense</w:t>
            </w:r>
          </w:p>
        </w:tc>
        <w:tc>
          <w:tcPr>
            <w:tcW w:w="1680" w:type="dxa"/>
            <w:vAlign w:val="bottom"/>
            <w:gridSpan w:val="2"/>
            <w:shd w:val="clear" w:color="auto" w:fill="CCEEFF"/>
          </w:tcPr>
          <w:p>
            <w:pPr>
              <w:jc w:val="center"/>
              <w:ind w:right="200"/>
              <w:spacing w:after="0" w:line="101" w:lineRule="exact"/>
              <w:rPr>
                <w:sz w:val="20"/>
                <w:szCs w:val="20"/>
                <w:color w:val="auto"/>
              </w:rPr>
            </w:pPr>
            <w:r>
              <w:rPr>
                <w:rFonts w:ascii="Arial" w:cs="Arial" w:eastAsia="Arial" w:hAnsi="Arial"/>
                <w:sz w:val="11"/>
                <w:szCs w:val="11"/>
                <w:color w:val="auto"/>
                <w:w w:val="90"/>
              </w:rPr>
              <w:t>First Lien Secured Debt(4),</w:t>
            </w:r>
          </w:p>
        </w:tc>
        <w:tc>
          <w:tcPr>
            <w:tcW w:w="980" w:type="dxa"/>
            <w:vAlign w:val="bottom"/>
            <w:gridSpan w:val="2"/>
            <w:shd w:val="clear" w:color="auto" w:fill="CCEEFF"/>
          </w:tcPr>
          <w:p>
            <w:pPr>
              <w:jc w:val="right"/>
              <w:ind w:right="220"/>
              <w:spacing w:after="0" w:line="101" w:lineRule="exact"/>
              <w:rPr>
                <w:sz w:val="20"/>
                <w:szCs w:val="20"/>
                <w:color w:val="auto"/>
              </w:rPr>
            </w:pPr>
            <w:r>
              <w:rPr>
                <w:rFonts w:ascii="Arial" w:cs="Arial" w:eastAsia="Arial" w:hAnsi="Arial"/>
                <w:sz w:val="11"/>
                <w:szCs w:val="11"/>
                <w:color w:val="auto"/>
              </w:rPr>
              <w:t>2.1%</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7,744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(OceanSound Discovery Equity, LP (5))</w:t>
            </w:r>
          </w:p>
        </w:tc>
        <w:tc>
          <w:tcPr>
            <w:tcW w:w="1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80" w:type="dxa"/>
            <w:vAlign w:val="bottom"/>
            <w:gridSpan w:val="2"/>
            <w:shd w:val="clear" w:color="auto" w:fill="CCEEFF"/>
          </w:tcPr>
          <w:p>
            <w:pPr>
              <w:jc w:val="center"/>
              <w:ind w:right="200"/>
              <w:spacing w:after="0" w:line="114" w:lineRule="exact"/>
              <w:rPr>
                <w:sz w:val="20"/>
                <w:szCs w:val="20"/>
                <w:color w:val="auto"/>
              </w:rPr>
            </w:pPr>
            <w:r>
              <w:rPr>
                <w:rFonts w:ascii="Arial" w:cs="Arial" w:eastAsia="Arial" w:hAnsi="Arial"/>
                <w:sz w:val="11"/>
                <w:szCs w:val="11"/>
                <w:color w:val="auto"/>
                <w:w w:val="94"/>
              </w:rPr>
              <w:t>3M L+600, 11/23/2028</w:t>
            </w: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44150 Smartronix Way, STE 200</w:t>
            </w:r>
          </w:p>
        </w:tc>
        <w:tc>
          <w:tcPr>
            <w:tcW w:w="1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80" w:type="dxa"/>
            <w:vAlign w:val="bottom"/>
            <w:gridSpan w:val="2"/>
            <w:shd w:val="clear" w:color="auto" w:fill="CCEEFF"/>
          </w:tcPr>
          <w:p>
            <w:pPr>
              <w:jc w:val="center"/>
              <w:ind w:right="200"/>
              <w:spacing w:after="0" w:line="114" w:lineRule="exact"/>
              <w:rPr>
                <w:sz w:val="20"/>
                <w:szCs w:val="20"/>
                <w:color w:val="auto"/>
              </w:rPr>
            </w:pPr>
            <w:r>
              <w:rPr>
                <w:rFonts w:ascii="Arial" w:cs="Arial" w:eastAsia="Arial" w:hAnsi="Arial"/>
                <w:sz w:val="11"/>
                <w:szCs w:val="11"/>
                <w:color w:val="auto"/>
                <w:w w:val="91"/>
              </w:rPr>
              <w:t>Common Equity</w:t>
            </w: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Hollywood, MD 20636</w:t>
            </w:r>
          </w:p>
        </w:tc>
        <w:tc>
          <w:tcPr>
            <w:tcW w:w="1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480" w:type="dxa"/>
            <w:vAlign w:val="bottom"/>
            <w:gridSpan w:val="3"/>
          </w:tcPr>
          <w:p>
            <w:pPr>
              <w:spacing w:after="0"/>
              <w:rPr>
                <w:sz w:val="20"/>
                <w:szCs w:val="20"/>
                <w:color w:val="auto"/>
              </w:rPr>
            </w:pPr>
            <w:r>
              <w:rPr>
                <w:rFonts w:ascii="Arial" w:cs="Arial" w:eastAsia="Arial" w:hAnsi="Arial"/>
                <w:sz w:val="11"/>
                <w:szCs w:val="11"/>
                <w:color w:val="auto"/>
              </w:rPr>
              <w:t>HV Watterson Holdings, LLC</w:t>
            </w:r>
          </w:p>
        </w:tc>
        <w:tc>
          <w:tcPr>
            <w:tcW w:w="1600" w:type="dxa"/>
            <w:vAlign w:val="bottom"/>
            <w:gridSpan w:val="2"/>
          </w:tcPr>
          <w:p>
            <w:pPr>
              <w:jc w:val="center"/>
              <w:ind w:right="460"/>
              <w:spacing w:after="0"/>
              <w:rPr>
                <w:sz w:val="20"/>
                <w:szCs w:val="20"/>
                <w:color w:val="auto"/>
              </w:rPr>
            </w:pPr>
            <w:r>
              <w:rPr>
                <w:rFonts w:ascii="Arial" w:cs="Arial" w:eastAsia="Arial" w:hAnsi="Arial"/>
                <w:sz w:val="11"/>
                <w:szCs w:val="11"/>
                <w:color w:val="auto"/>
                <w:w w:val="88"/>
              </w:rPr>
              <w:t>Professional Services</w:t>
            </w:r>
          </w:p>
        </w:tc>
        <w:tc>
          <w:tcPr>
            <w:tcW w:w="1680" w:type="dxa"/>
            <w:vAlign w:val="bottom"/>
            <w:gridSpan w:val="2"/>
          </w:tcPr>
          <w:p>
            <w:pPr>
              <w:jc w:val="center"/>
              <w:ind w:right="200"/>
              <w:spacing w:after="0"/>
              <w:rPr>
                <w:sz w:val="20"/>
                <w:szCs w:val="20"/>
                <w:color w:val="auto"/>
              </w:rPr>
            </w:pPr>
            <w:r>
              <w:rPr>
                <w:rFonts w:ascii="Arial" w:cs="Arial" w:eastAsia="Arial" w:hAnsi="Arial"/>
                <w:sz w:val="11"/>
                <w:szCs w:val="11"/>
                <w:color w:val="auto"/>
                <w:w w:val="91"/>
              </w:rPr>
              <w:t>Common Equity</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0.1%</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Arial" w:cs="Arial" w:eastAsia="Arial" w:hAnsi="Arial"/>
                <w:sz w:val="11"/>
                <w:szCs w:val="11"/>
                <w:color w:val="auto"/>
              </w:rPr>
              <w:t>1821 Walden Office Square Unit 111</w:t>
            </w: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480" w:type="dxa"/>
            <w:vAlign w:val="bottom"/>
            <w:gridSpan w:val="3"/>
          </w:tcPr>
          <w:p>
            <w:pPr>
              <w:spacing w:after="0"/>
              <w:rPr>
                <w:sz w:val="20"/>
                <w:szCs w:val="20"/>
                <w:color w:val="auto"/>
              </w:rPr>
            </w:pPr>
            <w:r>
              <w:rPr>
                <w:rFonts w:ascii="Arial" w:cs="Arial" w:eastAsia="Arial" w:hAnsi="Arial"/>
                <w:sz w:val="11"/>
                <w:szCs w:val="11"/>
                <w:color w:val="auto"/>
              </w:rPr>
              <w:t>Schaumburg, IL 60173</w:t>
            </w: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HW Holdco, LLC</w:t>
            </w:r>
          </w:p>
        </w:tc>
        <w:tc>
          <w:tcPr>
            <w:tcW w:w="1600" w:type="dxa"/>
            <w:vAlign w:val="bottom"/>
            <w:gridSpan w:val="2"/>
            <w:shd w:val="clear" w:color="auto" w:fill="CCEEFF"/>
          </w:tcPr>
          <w:p>
            <w:pPr>
              <w:jc w:val="center"/>
              <w:ind w:right="480"/>
              <w:spacing w:after="0" w:line="101" w:lineRule="exact"/>
              <w:rPr>
                <w:sz w:val="20"/>
                <w:szCs w:val="20"/>
                <w:color w:val="auto"/>
              </w:rPr>
            </w:pPr>
            <w:r>
              <w:rPr>
                <w:rFonts w:ascii="Arial" w:cs="Arial" w:eastAsia="Arial" w:hAnsi="Arial"/>
                <w:sz w:val="11"/>
                <w:szCs w:val="11"/>
                <w:color w:val="auto"/>
                <w:w w:val="93"/>
              </w:rPr>
              <w:t>Media</w:t>
            </w:r>
          </w:p>
        </w:tc>
        <w:tc>
          <w:tcPr>
            <w:tcW w:w="1680" w:type="dxa"/>
            <w:vAlign w:val="bottom"/>
            <w:gridSpan w:val="2"/>
            <w:shd w:val="clear" w:color="auto" w:fill="CCEEFF"/>
          </w:tcPr>
          <w:p>
            <w:pPr>
              <w:jc w:val="center"/>
              <w:ind w:right="200"/>
              <w:spacing w:after="0" w:line="101" w:lineRule="exact"/>
              <w:rPr>
                <w:sz w:val="20"/>
                <w:szCs w:val="20"/>
                <w:color w:val="auto"/>
              </w:rPr>
            </w:pPr>
            <w:r>
              <w:rPr>
                <w:rFonts w:ascii="Arial" w:cs="Arial" w:eastAsia="Arial" w:hAnsi="Arial"/>
                <w:sz w:val="11"/>
                <w:szCs w:val="11"/>
                <w:color w:val="auto"/>
                <w:w w:val="90"/>
              </w:rPr>
              <w:t>First Lien Secured Debt(4),</w:t>
            </w:r>
          </w:p>
        </w:tc>
        <w:tc>
          <w:tcPr>
            <w:tcW w:w="980" w:type="dxa"/>
            <w:vAlign w:val="bottom"/>
            <w:gridSpan w:val="2"/>
            <w:shd w:val="clear" w:color="auto" w:fill="CCEEFF"/>
          </w:tcPr>
          <w:p>
            <w:pPr>
              <w:jc w:val="right"/>
              <w:ind w:right="380"/>
              <w:spacing w:after="0" w:line="10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8,329</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4000 MacArthur, Suite 400</w:t>
            </w:r>
          </w:p>
        </w:tc>
        <w:tc>
          <w:tcPr>
            <w:tcW w:w="1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80" w:type="dxa"/>
            <w:vAlign w:val="bottom"/>
            <w:gridSpan w:val="2"/>
            <w:shd w:val="clear" w:color="auto" w:fill="CCEEFF"/>
          </w:tcPr>
          <w:p>
            <w:pPr>
              <w:jc w:val="center"/>
              <w:ind w:right="200"/>
              <w:spacing w:after="0" w:line="114" w:lineRule="exact"/>
              <w:rPr>
                <w:sz w:val="20"/>
                <w:szCs w:val="20"/>
                <w:color w:val="auto"/>
              </w:rPr>
            </w:pPr>
            <w:r>
              <w:rPr>
                <w:rFonts w:ascii="Arial" w:cs="Arial" w:eastAsia="Arial" w:hAnsi="Arial"/>
                <w:sz w:val="11"/>
                <w:szCs w:val="11"/>
                <w:color w:val="auto"/>
                <w:w w:val="94"/>
              </w:rPr>
              <w:t>1M L+500, 12/10/2024</w:t>
            </w: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Newport Beach, CA 92660</w:t>
            </w:r>
          </w:p>
        </w:tc>
        <w:tc>
          <w:tcPr>
            <w:tcW w:w="1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480" w:type="dxa"/>
            <w:vAlign w:val="bottom"/>
            <w:gridSpan w:val="3"/>
          </w:tcPr>
          <w:p>
            <w:pPr>
              <w:spacing w:after="0"/>
              <w:rPr>
                <w:sz w:val="20"/>
                <w:szCs w:val="20"/>
                <w:color w:val="auto"/>
              </w:rPr>
            </w:pPr>
            <w:r>
              <w:rPr>
                <w:rFonts w:ascii="Arial" w:cs="Arial" w:eastAsia="Arial" w:hAnsi="Arial"/>
                <w:sz w:val="11"/>
                <w:szCs w:val="11"/>
                <w:color w:val="auto"/>
              </w:rPr>
              <w:t>Icon Partners V C, L.P.</w:t>
            </w:r>
          </w:p>
        </w:tc>
        <w:tc>
          <w:tcPr>
            <w:tcW w:w="1600" w:type="dxa"/>
            <w:vAlign w:val="bottom"/>
            <w:gridSpan w:val="2"/>
          </w:tcPr>
          <w:p>
            <w:pPr>
              <w:jc w:val="center"/>
              <w:ind w:right="480"/>
              <w:spacing w:after="0"/>
              <w:rPr>
                <w:sz w:val="20"/>
                <w:szCs w:val="20"/>
                <w:color w:val="auto"/>
              </w:rPr>
            </w:pPr>
            <w:r>
              <w:rPr>
                <w:rFonts w:ascii="Arial" w:cs="Arial" w:eastAsia="Arial" w:hAnsi="Arial"/>
                <w:sz w:val="11"/>
                <w:szCs w:val="11"/>
                <w:color w:val="auto"/>
                <w:w w:val="91"/>
              </w:rPr>
              <w:t>Internet Software and</w:t>
            </w:r>
          </w:p>
        </w:tc>
        <w:tc>
          <w:tcPr>
            <w:tcW w:w="1680" w:type="dxa"/>
            <w:vAlign w:val="bottom"/>
            <w:gridSpan w:val="2"/>
          </w:tcPr>
          <w:p>
            <w:pPr>
              <w:jc w:val="center"/>
              <w:ind w:right="200"/>
              <w:spacing w:after="0"/>
              <w:rPr>
                <w:sz w:val="20"/>
                <w:szCs w:val="20"/>
                <w:color w:val="auto"/>
              </w:rPr>
            </w:pPr>
            <w:r>
              <w:rPr>
                <w:rFonts w:ascii="Arial" w:cs="Arial" w:eastAsia="Arial" w:hAnsi="Arial"/>
                <w:sz w:val="11"/>
                <w:szCs w:val="11"/>
                <w:color w:val="auto"/>
                <w:w w:val="95"/>
              </w:rPr>
              <w:t>Common Equity(4)</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0.1%</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1,989</w:t>
            </w: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Arial" w:cs="Arial" w:eastAsia="Arial" w:hAnsi="Arial"/>
                <w:sz w:val="11"/>
                <w:szCs w:val="11"/>
                <w:color w:val="auto"/>
              </w:rPr>
              <w:t>315 Capitol St Suite 100</w:t>
            </w:r>
          </w:p>
        </w:tc>
        <w:tc>
          <w:tcPr>
            <w:tcW w:w="1600" w:type="dxa"/>
            <w:vAlign w:val="bottom"/>
            <w:gridSpan w:val="2"/>
          </w:tcPr>
          <w:p>
            <w:pPr>
              <w:jc w:val="center"/>
              <w:ind w:right="460"/>
              <w:spacing w:after="0" w:line="114" w:lineRule="exact"/>
              <w:rPr>
                <w:sz w:val="20"/>
                <w:szCs w:val="20"/>
                <w:color w:val="auto"/>
              </w:rPr>
            </w:pPr>
            <w:r>
              <w:rPr>
                <w:rFonts w:ascii="Arial" w:cs="Arial" w:eastAsia="Arial" w:hAnsi="Arial"/>
                <w:sz w:val="11"/>
                <w:szCs w:val="11"/>
                <w:color w:val="auto"/>
                <w:w w:val="89"/>
              </w:rPr>
              <w:t>Services</w:t>
            </w: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480" w:type="dxa"/>
            <w:vAlign w:val="bottom"/>
            <w:gridSpan w:val="3"/>
          </w:tcPr>
          <w:p>
            <w:pPr>
              <w:spacing w:after="0"/>
              <w:rPr>
                <w:sz w:val="20"/>
                <w:szCs w:val="20"/>
                <w:color w:val="auto"/>
              </w:rPr>
            </w:pPr>
            <w:r>
              <w:rPr>
                <w:rFonts w:ascii="Arial" w:cs="Arial" w:eastAsia="Arial" w:hAnsi="Arial"/>
                <w:sz w:val="11"/>
                <w:szCs w:val="11"/>
                <w:color w:val="auto"/>
              </w:rPr>
              <w:t>Houston, TX 77002</w:t>
            </w: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IDC Infusion Services, Inc.</w:t>
            </w:r>
          </w:p>
        </w:tc>
        <w:tc>
          <w:tcPr>
            <w:tcW w:w="1600" w:type="dxa"/>
            <w:vAlign w:val="bottom"/>
            <w:gridSpan w:val="2"/>
            <w:shd w:val="clear" w:color="auto" w:fill="CCEEFF"/>
          </w:tcPr>
          <w:p>
            <w:pPr>
              <w:jc w:val="center"/>
              <w:ind w:right="460"/>
              <w:spacing w:after="0" w:line="101" w:lineRule="exact"/>
              <w:rPr>
                <w:sz w:val="20"/>
                <w:szCs w:val="20"/>
                <w:color w:val="auto"/>
              </w:rPr>
            </w:pPr>
            <w:r>
              <w:rPr>
                <w:rFonts w:ascii="Arial" w:cs="Arial" w:eastAsia="Arial" w:hAnsi="Arial"/>
                <w:sz w:val="11"/>
                <w:szCs w:val="11"/>
                <w:color w:val="auto"/>
                <w:w w:val="90"/>
              </w:rPr>
              <w:t>Healthcare Equipment</w:t>
            </w:r>
          </w:p>
        </w:tc>
        <w:tc>
          <w:tcPr>
            <w:tcW w:w="1680" w:type="dxa"/>
            <w:vAlign w:val="bottom"/>
            <w:gridSpan w:val="2"/>
            <w:shd w:val="clear" w:color="auto" w:fill="CCEEFF"/>
          </w:tcPr>
          <w:p>
            <w:pPr>
              <w:jc w:val="center"/>
              <w:ind w:right="200"/>
              <w:spacing w:after="0" w:line="101" w:lineRule="exact"/>
              <w:rPr>
                <w:sz w:val="20"/>
                <w:szCs w:val="20"/>
                <w:color w:val="auto"/>
              </w:rPr>
            </w:pPr>
            <w:r>
              <w:rPr>
                <w:rFonts w:ascii="Arial" w:cs="Arial" w:eastAsia="Arial" w:hAnsi="Arial"/>
                <w:sz w:val="11"/>
                <w:szCs w:val="11"/>
                <w:color w:val="auto"/>
                <w:w w:val="90"/>
              </w:rPr>
              <w:t>First Lien Secured Debt(4),</w:t>
            </w:r>
          </w:p>
        </w:tc>
        <w:tc>
          <w:tcPr>
            <w:tcW w:w="980" w:type="dxa"/>
            <w:vAlign w:val="bottom"/>
            <w:gridSpan w:val="2"/>
            <w:shd w:val="clear" w:color="auto" w:fill="CCEEFF"/>
          </w:tcPr>
          <w:p>
            <w:pPr>
              <w:jc w:val="right"/>
              <w:ind w:right="220"/>
              <w:spacing w:after="0" w:line="101" w:lineRule="exact"/>
              <w:rPr>
                <w:sz w:val="20"/>
                <w:szCs w:val="20"/>
                <w:color w:val="auto"/>
              </w:rPr>
            </w:pPr>
            <w:r>
              <w:rPr>
                <w:rFonts w:ascii="Arial" w:cs="Arial" w:eastAsia="Arial" w:hAnsi="Arial"/>
                <w:sz w:val="11"/>
                <w:szCs w:val="11"/>
                <w:color w:val="auto"/>
              </w:rPr>
              <w:t>3.4%</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6,175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(ITC Infusion Co-Invest, LP)</w:t>
            </w:r>
          </w:p>
        </w:tc>
        <w:tc>
          <w:tcPr>
            <w:tcW w:w="1600" w:type="dxa"/>
            <w:vAlign w:val="bottom"/>
            <w:gridSpan w:val="2"/>
            <w:shd w:val="clear" w:color="auto" w:fill="CCEEFF"/>
          </w:tcPr>
          <w:p>
            <w:pPr>
              <w:jc w:val="center"/>
              <w:ind w:right="460"/>
              <w:spacing w:after="0" w:line="114" w:lineRule="exact"/>
              <w:rPr>
                <w:sz w:val="20"/>
                <w:szCs w:val="20"/>
                <w:color w:val="auto"/>
              </w:rPr>
            </w:pPr>
            <w:r>
              <w:rPr>
                <w:rFonts w:ascii="Arial" w:cs="Arial" w:eastAsia="Arial" w:hAnsi="Arial"/>
                <w:sz w:val="11"/>
                <w:szCs w:val="11"/>
                <w:color w:val="auto"/>
                <w:w w:val="91"/>
              </w:rPr>
              <w:t>and Supplies</w:t>
            </w:r>
          </w:p>
        </w:tc>
        <w:tc>
          <w:tcPr>
            <w:tcW w:w="1680" w:type="dxa"/>
            <w:vAlign w:val="bottom"/>
            <w:gridSpan w:val="2"/>
            <w:shd w:val="clear" w:color="auto" w:fill="CCEEFF"/>
          </w:tcPr>
          <w:p>
            <w:pPr>
              <w:jc w:val="center"/>
              <w:ind w:right="200"/>
              <w:spacing w:after="0" w:line="114" w:lineRule="exact"/>
              <w:rPr>
                <w:sz w:val="20"/>
                <w:szCs w:val="20"/>
                <w:color w:val="auto"/>
              </w:rPr>
            </w:pPr>
            <w:r>
              <w:rPr>
                <w:rFonts w:ascii="Arial" w:cs="Arial" w:eastAsia="Arial" w:hAnsi="Arial"/>
                <w:sz w:val="11"/>
                <w:szCs w:val="11"/>
                <w:color w:val="auto"/>
                <w:w w:val="94"/>
              </w:rPr>
              <w:t>3M L+700, 12/30/2026</w:t>
            </w: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3609 Park East Drive</w:t>
            </w:r>
          </w:p>
        </w:tc>
        <w:tc>
          <w:tcPr>
            <w:tcW w:w="1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Beachwood, OH 44122</w:t>
            </w:r>
          </w:p>
        </w:tc>
        <w:tc>
          <w:tcPr>
            <w:tcW w:w="1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480" w:type="dxa"/>
            <w:vAlign w:val="bottom"/>
            <w:gridSpan w:val="3"/>
          </w:tcPr>
          <w:p>
            <w:pPr>
              <w:spacing w:after="0"/>
              <w:rPr>
                <w:sz w:val="20"/>
                <w:szCs w:val="20"/>
                <w:color w:val="auto"/>
              </w:rPr>
            </w:pPr>
            <w:r>
              <w:rPr>
                <w:rFonts w:ascii="Arial" w:cs="Arial" w:eastAsia="Arial" w:hAnsi="Arial"/>
                <w:sz w:val="11"/>
                <w:szCs w:val="11"/>
                <w:color w:val="auto"/>
              </w:rPr>
              <w:t>IG Investments Holdings, LLC</w:t>
            </w:r>
          </w:p>
        </w:tc>
        <w:tc>
          <w:tcPr>
            <w:tcW w:w="1600" w:type="dxa"/>
            <w:vAlign w:val="bottom"/>
            <w:gridSpan w:val="2"/>
          </w:tcPr>
          <w:p>
            <w:pPr>
              <w:jc w:val="center"/>
              <w:ind w:right="460"/>
              <w:spacing w:after="0"/>
              <w:rPr>
                <w:sz w:val="20"/>
                <w:szCs w:val="20"/>
                <w:color w:val="auto"/>
              </w:rPr>
            </w:pPr>
            <w:r>
              <w:rPr>
                <w:rFonts w:ascii="Arial" w:cs="Arial" w:eastAsia="Arial" w:hAnsi="Arial"/>
                <w:sz w:val="11"/>
                <w:szCs w:val="11"/>
                <w:color w:val="auto"/>
                <w:w w:val="88"/>
              </w:rPr>
              <w:t>Professional Services</w:t>
            </w:r>
          </w:p>
        </w:tc>
        <w:tc>
          <w:tcPr>
            <w:tcW w:w="1680" w:type="dxa"/>
            <w:vAlign w:val="bottom"/>
            <w:gridSpan w:val="2"/>
          </w:tcPr>
          <w:p>
            <w:pPr>
              <w:jc w:val="center"/>
              <w:ind w:right="200"/>
              <w:spacing w:after="0"/>
              <w:rPr>
                <w:sz w:val="20"/>
                <w:szCs w:val="20"/>
                <w:color w:val="auto"/>
              </w:rPr>
            </w:pPr>
            <w:r>
              <w:rPr>
                <w:rFonts w:ascii="Arial" w:cs="Arial" w:eastAsia="Arial" w:hAnsi="Arial"/>
                <w:sz w:val="11"/>
                <w:szCs w:val="11"/>
                <w:color w:val="auto"/>
                <w:w w:val="90"/>
              </w:rPr>
              <w:t>First Lien Secured Debt(4),</w:t>
            </w:r>
          </w:p>
        </w:tc>
        <w:tc>
          <w:tcPr>
            <w:tcW w:w="98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4,424</w:t>
            </w: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Arial" w:cs="Arial" w:eastAsia="Arial" w:hAnsi="Arial"/>
                <w:sz w:val="11"/>
                <w:szCs w:val="11"/>
                <w:color w:val="auto"/>
              </w:rPr>
              <w:t>1224 Hammond Drive, Suite 1500</w:t>
            </w: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80" w:type="dxa"/>
            <w:vAlign w:val="bottom"/>
            <w:gridSpan w:val="2"/>
          </w:tcPr>
          <w:p>
            <w:pPr>
              <w:jc w:val="center"/>
              <w:ind w:right="200"/>
              <w:spacing w:after="0" w:line="114" w:lineRule="exact"/>
              <w:rPr>
                <w:sz w:val="20"/>
                <w:szCs w:val="20"/>
                <w:color w:val="auto"/>
              </w:rPr>
            </w:pPr>
            <w:r>
              <w:rPr>
                <w:rFonts w:ascii="Arial" w:cs="Arial" w:eastAsia="Arial" w:hAnsi="Arial"/>
                <w:sz w:val="11"/>
                <w:szCs w:val="11"/>
                <w:color w:val="auto"/>
                <w:w w:val="94"/>
              </w:rPr>
              <w:t>3M L+600, 09/22/2028</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480" w:type="dxa"/>
            <w:vAlign w:val="bottom"/>
            <w:gridSpan w:val="3"/>
          </w:tcPr>
          <w:p>
            <w:pPr>
              <w:spacing w:after="0"/>
              <w:rPr>
                <w:sz w:val="20"/>
                <w:szCs w:val="20"/>
                <w:color w:val="auto"/>
              </w:rPr>
            </w:pPr>
            <w:r>
              <w:rPr>
                <w:rFonts w:ascii="Arial" w:cs="Arial" w:eastAsia="Arial" w:hAnsi="Arial"/>
                <w:sz w:val="11"/>
                <w:szCs w:val="11"/>
                <w:color w:val="auto"/>
              </w:rPr>
              <w:t>Atlanta, GA 30346</w:t>
            </w: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2805" cy="4572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9019"/>
          </w:cols>
          <w:pgMar w:left="1440" w:top="245" w:right="1440" w:bottom="1440" w:gutter="0" w:footer="0" w:header="0"/>
        </w:sectPr>
      </w:pPr>
    </w:p>
    <w:bookmarkStart w:id="26" w:name="page27"/>
    <w:bookmarkEnd w:id="26"/>
    <w:tbl>
      <w:tblPr>
        <w:tblLayout w:type="fixed"/>
        <w:tblInd w:w="280" w:type="dxa"/>
        <w:tblCellMar>
          <w:top w:w="0" w:type="dxa"/>
          <w:left w:w="0" w:type="dxa"/>
          <w:bottom w:w="0" w:type="dxa"/>
          <w:right w:w="0" w:type="dxa"/>
        </w:tblCellMar>
      </w:tblPr>
      <w:tr>
        <w:trPr>
          <w:trHeight w:val="126"/>
        </w:trPr>
        <w:tc>
          <w:tcPr>
            <w:tcW w:w="37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Name and</w:t>
            </w:r>
          </w:p>
        </w:tc>
        <w:tc>
          <w:tcPr>
            <w:tcW w:w="1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0"/>
              </w:rPr>
              <w:t>Type of Investment,</w:t>
            </w:r>
          </w:p>
        </w:tc>
        <w:tc>
          <w:tcPr>
            <w:tcW w:w="920" w:type="dxa"/>
            <w:vAlign w:val="bottom"/>
            <w:gridSpan w:val="2"/>
          </w:tcPr>
          <w:p>
            <w:pPr>
              <w:jc w:val="right"/>
              <w:ind w:right="401"/>
              <w:spacing w:after="0"/>
              <w:rPr>
                <w:sz w:val="20"/>
                <w:szCs w:val="20"/>
                <w:color w:val="auto"/>
              </w:rPr>
            </w:pPr>
            <w:r>
              <w:rPr>
                <w:rFonts w:ascii="Arial" w:cs="Arial" w:eastAsia="Arial" w:hAnsi="Arial"/>
                <w:sz w:val="11"/>
                <w:szCs w:val="11"/>
                <w:b w:val="1"/>
                <w:bCs w:val="1"/>
                <w:color w:val="auto"/>
              </w:rPr>
              <w:t>Voting</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72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920" w:type="dxa"/>
            <w:vAlign w:val="bottom"/>
            <w:gridSpan w:val="2"/>
          </w:tcPr>
          <w:p>
            <w:pPr>
              <w:jc w:val="right"/>
              <w:ind w:right="281"/>
              <w:spacing w:after="0" w:line="111" w:lineRule="exact"/>
              <w:rPr>
                <w:sz w:val="20"/>
                <w:szCs w:val="20"/>
                <w:color w:val="auto"/>
              </w:rPr>
            </w:pPr>
            <w:r>
              <w:rPr>
                <w:rFonts w:ascii="Arial" w:cs="Arial" w:eastAsia="Arial" w:hAnsi="Arial"/>
                <w:sz w:val="11"/>
                <w:szCs w:val="11"/>
                <w:b w:val="1"/>
                <w:bCs w:val="1"/>
                <w:color w:val="auto"/>
                <w:w w:val="97"/>
              </w:rPr>
              <w:t>Percentage</w:t>
            </w:r>
          </w:p>
        </w:tc>
        <w:tc>
          <w:tcPr>
            <w:tcW w:w="80" w:type="dxa"/>
            <w:vAlign w:val="bottom"/>
          </w:tcPr>
          <w:p>
            <w:pPr>
              <w:spacing w:after="0"/>
              <w:rPr>
                <w:sz w:val="9"/>
                <w:szCs w:val="9"/>
                <w:color w:val="auto"/>
              </w:rPr>
            </w:pPr>
          </w:p>
        </w:tc>
        <w:tc>
          <w:tcPr>
            <w:tcW w:w="640" w:type="dxa"/>
            <w:vAlign w:val="bottom"/>
            <w:gridSpan w:val="2"/>
          </w:tcPr>
          <w:p>
            <w:pPr>
              <w:jc w:val="right"/>
              <w:ind w:right="120"/>
              <w:spacing w:after="0" w:line="111" w:lineRule="exact"/>
              <w:rPr>
                <w:sz w:val="20"/>
                <w:szCs w:val="20"/>
                <w:color w:val="auto"/>
              </w:rPr>
            </w:pPr>
            <w:r>
              <w:rPr>
                <w:rFonts w:ascii="Arial" w:cs="Arial" w:eastAsia="Arial" w:hAnsi="Arial"/>
                <w:sz w:val="11"/>
                <w:szCs w:val="11"/>
                <w:b w:val="1"/>
                <w:bCs w:val="1"/>
                <w:color w:val="auto"/>
                <w:w w:val="94"/>
              </w:rPr>
              <w:t>Fair Value</w:t>
            </w:r>
          </w:p>
        </w:tc>
        <w:tc>
          <w:tcPr>
            <w:tcW w:w="0" w:type="dxa"/>
            <w:vAlign w:val="bottom"/>
          </w:tcPr>
          <w:p>
            <w:pPr>
              <w:spacing w:after="0"/>
              <w:rPr>
                <w:sz w:val="1"/>
                <w:szCs w:val="1"/>
                <w:color w:val="auto"/>
              </w:rPr>
            </w:pPr>
          </w:p>
        </w:tc>
      </w:tr>
      <w:tr>
        <w:trPr>
          <w:trHeight w:val="144"/>
        </w:trPr>
        <w:tc>
          <w:tcPr>
            <w:tcW w:w="37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Address of Portfolio Company</w:t>
            </w:r>
          </w:p>
        </w:tc>
        <w:tc>
          <w:tcPr>
            <w:tcW w:w="1480" w:type="dxa"/>
            <w:vAlign w:val="bottom"/>
            <w:gridSpan w:val="2"/>
          </w:tcPr>
          <w:p>
            <w:pPr>
              <w:jc w:val="center"/>
              <w:ind w:right="360"/>
              <w:spacing w:after="0" w:line="125" w:lineRule="exact"/>
              <w:rPr>
                <w:sz w:val="20"/>
                <w:szCs w:val="20"/>
                <w:color w:val="auto"/>
              </w:rPr>
            </w:pPr>
            <w:r>
              <w:rPr>
                <w:rFonts w:ascii="Arial" w:cs="Arial" w:eastAsia="Arial" w:hAnsi="Arial"/>
                <w:sz w:val="11"/>
                <w:szCs w:val="11"/>
                <w:b w:val="1"/>
                <w:bCs w:val="1"/>
                <w:color w:val="auto"/>
                <w:w w:val="87"/>
              </w:rPr>
              <w:t>Nature of Business</w:t>
            </w:r>
          </w:p>
        </w:tc>
        <w:tc>
          <w:tcPr>
            <w:tcW w:w="1620" w:type="dxa"/>
            <w:vAlign w:val="bottom"/>
            <w:gridSpan w:val="2"/>
          </w:tcPr>
          <w:p>
            <w:pPr>
              <w:jc w:val="center"/>
              <w:ind w:right="120"/>
              <w:spacing w:after="0" w:line="125" w:lineRule="exact"/>
              <w:rPr>
                <w:sz w:val="20"/>
                <w:szCs w:val="20"/>
                <w:color w:val="auto"/>
              </w:rPr>
            </w:pPr>
            <w:r>
              <w:rPr>
                <w:rFonts w:ascii="Arial" w:cs="Arial" w:eastAsia="Arial" w:hAnsi="Arial"/>
                <w:sz w:val="11"/>
                <w:szCs w:val="11"/>
                <w:b w:val="1"/>
                <w:bCs w:val="1"/>
                <w:color w:val="auto"/>
                <w:w w:val="95"/>
              </w:rPr>
              <w:t>Interest(1), Maturity</w:t>
            </w:r>
          </w:p>
        </w:tc>
        <w:tc>
          <w:tcPr>
            <w:tcW w:w="920" w:type="dxa"/>
            <w:vAlign w:val="bottom"/>
            <w:gridSpan w:val="2"/>
          </w:tcPr>
          <w:p>
            <w:pPr>
              <w:jc w:val="right"/>
              <w:ind w:right="221"/>
              <w:spacing w:after="0" w:line="125" w:lineRule="exact"/>
              <w:rPr>
                <w:sz w:val="20"/>
                <w:szCs w:val="20"/>
                <w:color w:val="auto"/>
              </w:rPr>
            </w:pPr>
            <w:r>
              <w:rPr>
                <w:rFonts w:ascii="Arial" w:cs="Arial" w:eastAsia="Arial" w:hAnsi="Arial"/>
                <w:sz w:val="11"/>
                <w:szCs w:val="11"/>
                <w:b w:val="1"/>
                <w:bCs w:val="1"/>
                <w:color w:val="auto"/>
                <w:w w:val="90"/>
              </w:rPr>
              <w:t>Ownership(2)</w:t>
            </w:r>
          </w:p>
        </w:tc>
        <w:tc>
          <w:tcPr>
            <w:tcW w:w="7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w w:val="89"/>
              </w:rPr>
              <w:t>(in thousands)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420" w:type="dxa"/>
            <w:vAlign w:val="bottom"/>
            <w:tcBorders>
              <w:top w:val="single" w:sz="8" w:color="auto"/>
            </w:tcBorders>
            <w:shd w:val="clear" w:color="auto" w:fill="CCEEFF"/>
          </w:tcPr>
          <w:p>
            <w:pPr>
              <w:spacing w:after="0" w:line="74" w:lineRule="exact"/>
              <w:rPr>
                <w:sz w:val="20"/>
                <w:szCs w:val="20"/>
                <w:color w:val="auto"/>
              </w:rPr>
            </w:pPr>
            <w:r>
              <w:rPr>
                <w:rFonts w:ascii="Arial" w:cs="Arial" w:eastAsia="Arial" w:hAnsi="Arial"/>
                <w:sz w:val="8"/>
                <w:szCs w:val="8"/>
                <w:color w:val="auto"/>
              </w:rPr>
              <w:t>Imagine Acquisitionco, LLC</w:t>
            </w:r>
          </w:p>
        </w:tc>
        <w:tc>
          <w:tcPr>
            <w:tcW w:w="228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auto"/>
            </w:tcBorders>
            <w:shd w:val="clear" w:color="auto" w:fill="CCEEFF"/>
          </w:tcPr>
          <w:p>
            <w:pPr>
              <w:jc w:val="center"/>
              <w:spacing w:after="0" w:line="74" w:lineRule="exact"/>
              <w:rPr>
                <w:sz w:val="20"/>
                <w:szCs w:val="20"/>
                <w:color w:val="auto"/>
              </w:rPr>
            </w:pPr>
            <w:r>
              <w:rPr>
                <w:rFonts w:ascii="Arial" w:cs="Arial" w:eastAsia="Arial" w:hAnsi="Arial"/>
                <w:sz w:val="8"/>
                <w:szCs w:val="8"/>
                <w:color w:val="auto"/>
              </w:rPr>
              <w:t>Software</w:t>
            </w:r>
          </w:p>
        </w:tc>
        <w:tc>
          <w:tcPr>
            <w:tcW w:w="36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auto"/>
            </w:tcBorders>
            <w:shd w:val="clear" w:color="auto" w:fill="CCEEFF"/>
          </w:tcPr>
          <w:p>
            <w:pPr>
              <w:jc w:val="center"/>
              <w:spacing w:after="0" w:line="74" w:lineRule="exact"/>
              <w:rPr>
                <w:sz w:val="20"/>
                <w:szCs w:val="20"/>
                <w:color w:val="auto"/>
              </w:rPr>
            </w:pPr>
            <w:r>
              <w:rPr>
                <w:rFonts w:ascii="Arial" w:cs="Arial" w:eastAsia="Arial" w:hAnsi="Arial"/>
                <w:sz w:val="8"/>
                <w:szCs w:val="8"/>
                <w:color w:val="auto"/>
              </w:rPr>
              <w:t>First Lien Secured Debt(4),</w:t>
            </w:r>
          </w:p>
        </w:tc>
        <w:tc>
          <w:tcPr>
            <w:tcW w:w="1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jc w:val="right"/>
              <w:spacing w:after="0" w:line="74" w:lineRule="exact"/>
              <w:rPr>
                <w:sz w:val="20"/>
                <w:szCs w:val="20"/>
                <w:color w:val="auto"/>
              </w:rPr>
            </w:pPr>
            <w:r>
              <w:rPr>
                <w:rFonts w:ascii="Arial" w:cs="Arial" w:eastAsia="Arial" w:hAnsi="Arial"/>
                <w:sz w:val="8"/>
                <w:szCs w:val="8"/>
                <w:color w:val="auto"/>
              </w:rPr>
              <w:t>0.3</w:t>
            </w:r>
          </w:p>
        </w:tc>
        <w:tc>
          <w:tcPr>
            <w:tcW w:w="260" w:type="dxa"/>
            <w:vAlign w:val="bottom"/>
            <w:tcBorders>
              <w:top w:val="single" w:sz="8" w:color="CCEEFF"/>
            </w:tcBorders>
            <w:shd w:val="clear" w:color="auto" w:fill="CCEEFF"/>
          </w:tcPr>
          <w:p>
            <w:pPr>
              <w:jc w:val="right"/>
              <w:ind w:right="121"/>
              <w:spacing w:after="0" w:line="74" w:lineRule="exact"/>
              <w:rPr>
                <w:sz w:val="20"/>
                <w:szCs w:val="20"/>
                <w:color w:val="auto"/>
              </w:rPr>
            </w:pPr>
            <w:r>
              <w:rPr>
                <w:rFonts w:ascii="Arial" w:cs="Arial" w:eastAsia="Arial" w:hAnsi="Arial"/>
                <w:sz w:val="8"/>
                <w:szCs w:val="8"/>
                <w:color w:val="auto"/>
              </w:rPr>
              <w:t>%</w:t>
            </w:r>
          </w:p>
        </w:tc>
        <w:tc>
          <w:tcPr>
            <w:tcW w:w="80" w:type="dxa"/>
            <w:vAlign w:val="bottom"/>
            <w:tcBorders>
              <w:top w:val="single" w:sz="8" w:color="auto"/>
            </w:tcBorders>
            <w:shd w:val="clear" w:color="auto" w:fill="CCEEFF"/>
          </w:tcPr>
          <w:p>
            <w:pPr>
              <w:spacing w:after="0" w:line="74" w:lineRule="exact"/>
              <w:rPr>
                <w:sz w:val="20"/>
                <w:szCs w:val="20"/>
                <w:color w:val="auto"/>
              </w:rPr>
            </w:pPr>
            <w:r>
              <w:rPr>
                <w:rFonts w:ascii="Arial" w:cs="Arial" w:eastAsia="Arial" w:hAnsi="Arial"/>
                <w:sz w:val="8"/>
                <w:szCs w:val="8"/>
                <w:color w:val="auto"/>
              </w:rPr>
              <w:t>$</w:t>
            </w:r>
          </w:p>
        </w:tc>
        <w:tc>
          <w:tcPr>
            <w:tcW w:w="600" w:type="dxa"/>
            <w:vAlign w:val="bottom"/>
            <w:tcBorders>
              <w:top w:val="single" w:sz="8" w:color="auto"/>
            </w:tcBorders>
            <w:shd w:val="clear" w:color="auto" w:fill="CCEEFF"/>
          </w:tcPr>
          <w:p>
            <w:pPr>
              <w:jc w:val="right"/>
              <w:spacing w:after="0" w:line="74" w:lineRule="exact"/>
              <w:rPr>
                <w:sz w:val="20"/>
                <w:szCs w:val="20"/>
                <w:color w:val="auto"/>
              </w:rPr>
            </w:pPr>
            <w:r>
              <w:rPr>
                <w:rFonts w:ascii="Arial" w:cs="Arial" w:eastAsia="Arial" w:hAnsi="Arial"/>
                <w:sz w:val="8"/>
                <w:szCs w:val="8"/>
                <w:color w:val="auto"/>
              </w:rPr>
              <w:t>4,994</w:t>
            </w:r>
          </w:p>
        </w:tc>
        <w:tc>
          <w:tcPr>
            <w:tcW w:w="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(Imagine Topco, LP)</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Arial" w:cs="Arial" w:eastAsia="Arial" w:hAnsi="Arial"/>
                <w:sz w:val="11"/>
                <w:szCs w:val="11"/>
                <w:color w:val="auto"/>
                <w:w w:val="94"/>
              </w:rPr>
              <w:t>3M L+550, 11/15/2027</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8757 Red Oak Blvd,</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1"/>
                <w:szCs w:val="11"/>
                <w:color w:val="auto"/>
                <w:w w:val="93"/>
              </w:rPr>
              <w:t>Preferred Equity</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Charlotte, NC 28217</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4"/>
              </w:rPr>
              <w:t>Common Equity</w:t>
            </w: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720" w:type="dxa"/>
            <w:vAlign w:val="bottom"/>
            <w:gridSpan w:val="3"/>
          </w:tcPr>
          <w:p>
            <w:pPr>
              <w:spacing w:after="0"/>
              <w:rPr>
                <w:sz w:val="20"/>
                <w:szCs w:val="20"/>
                <w:color w:val="auto"/>
              </w:rPr>
            </w:pPr>
            <w:r>
              <w:rPr>
                <w:rFonts w:ascii="Arial" w:cs="Arial" w:eastAsia="Arial" w:hAnsi="Arial"/>
                <w:sz w:val="11"/>
                <w:szCs w:val="11"/>
                <w:color w:val="auto"/>
              </w:rPr>
              <w:t>Inception Fertility Ventures, LLC</w:t>
            </w:r>
          </w:p>
        </w:tc>
        <w:tc>
          <w:tcPr>
            <w:tcW w:w="1480" w:type="dxa"/>
            <w:vAlign w:val="bottom"/>
            <w:gridSpan w:val="2"/>
          </w:tcPr>
          <w:p>
            <w:pPr>
              <w:jc w:val="center"/>
              <w:ind w:right="360"/>
              <w:spacing w:after="0"/>
              <w:rPr>
                <w:sz w:val="20"/>
                <w:szCs w:val="20"/>
                <w:color w:val="auto"/>
              </w:rPr>
            </w:pPr>
            <w:r>
              <w:rPr>
                <w:rFonts w:ascii="Arial" w:cs="Arial" w:eastAsia="Arial" w:hAnsi="Arial"/>
                <w:sz w:val="11"/>
                <w:szCs w:val="11"/>
                <w:color w:val="auto"/>
                <w:w w:val="90"/>
              </w:rPr>
              <w:t>Healthcare Providers and</w:t>
            </w:r>
          </w:p>
        </w:tc>
        <w:tc>
          <w:tcPr>
            <w:tcW w:w="162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First Lien Secured Debt,</w:t>
            </w:r>
          </w:p>
        </w:tc>
        <w:tc>
          <w:tcPr>
            <w:tcW w:w="920" w:type="dxa"/>
            <w:vAlign w:val="bottom"/>
            <w:gridSpan w:val="2"/>
          </w:tcPr>
          <w:p>
            <w:pPr>
              <w:jc w:val="right"/>
              <w:ind w:right="281"/>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14,804</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Arial" w:cs="Arial" w:eastAsia="Arial" w:hAnsi="Arial"/>
                <w:sz w:val="11"/>
                <w:szCs w:val="11"/>
                <w:color w:val="auto"/>
              </w:rPr>
              <w:t>650 Madison Avenue, 21st Floor</w:t>
            </w:r>
          </w:p>
        </w:tc>
        <w:tc>
          <w:tcPr>
            <w:tcW w:w="1480" w:type="dxa"/>
            <w:vAlign w:val="bottom"/>
            <w:gridSpan w:val="2"/>
          </w:tcPr>
          <w:p>
            <w:pPr>
              <w:jc w:val="center"/>
              <w:ind w:right="340"/>
              <w:spacing w:after="0" w:line="114" w:lineRule="exact"/>
              <w:rPr>
                <w:sz w:val="20"/>
                <w:szCs w:val="20"/>
                <w:color w:val="auto"/>
              </w:rPr>
            </w:pPr>
            <w:r>
              <w:rPr>
                <w:rFonts w:ascii="Arial" w:cs="Arial" w:eastAsia="Arial" w:hAnsi="Arial"/>
                <w:sz w:val="11"/>
                <w:szCs w:val="11"/>
                <w:color w:val="auto"/>
                <w:w w:val="89"/>
              </w:rPr>
              <w:t>Services</w:t>
            </w:r>
          </w:p>
        </w:tc>
        <w:tc>
          <w:tcPr>
            <w:tcW w:w="1620" w:type="dxa"/>
            <w:vAlign w:val="bottom"/>
            <w:gridSpan w:val="2"/>
          </w:tcPr>
          <w:p>
            <w:pPr>
              <w:jc w:val="center"/>
              <w:ind w:right="140"/>
              <w:spacing w:after="0" w:line="114" w:lineRule="exact"/>
              <w:rPr>
                <w:sz w:val="20"/>
                <w:szCs w:val="20"/>
                <w:color w:val="auto"/>
              </w:rPr>
            </w:pPr>
            <w:r>
              <w:rPr>
                <w:rFonts w:ascii="Arial" w:cs="Arial" w:eastAsia="Arial" w:hAnsi="Arial"/>
                <w:sz w:val="11"/>
                <w:szCs w:val="11"/>
                <w:color w:val="auto"/>
                <w:w w:val="94"/>
              </w:rPr>
              <w:t>3M L+715, 12/07/2023</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20" w:type="dxa"/>
            <w:vAlign w:val="bottom"/>
            <w:gridSpan w:val="3"/>
          </w:tcPr>
          <w:p>
            <w:pPr>
              <w:spacing w:after="0"/>
              <w:rPr>
                <w:sz w:val="20"/>
                <w:szCs w:val="20"/>
                <w:color w:val="auto"/>
              </w:rPr>
            </w:pPr>
            <w:r>
              <w:rPr>
                <w:rFonts w:ascii="Arial" w:cs="Arial" w:eastAsia="Arial" w:hAnsi="Arial"/>
                <w:sz w:val="11"/>
                <w:szCs w:val="11"/>
                <w:color w:val="auto"/>
              </w:rPr>
              <w:t>New York, NY 10022</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70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Infolinks Media Buyco, LLC</w:t>
            </w:r>
          </w:p>
        </w:tc>
        <w:tc>
          <w:tcPr>
            <w:tcW w:w="1480" w:type="dxa"/>
            <w:vAlign w:val="bottom"/>
            <w:gridSpan w:val="2"/>
            <w:shd w:val="clear" w:color="auto" w:fill="CCEEFF"/>
          </w:tcPr>
          <w:p>
            <w:pPr>
              <w:jc w:val="center"/>
              <w:ind w:right="360"/>
              <w:spacing w:after="0" w:line="101" w:lineRule="exact"/>
              <w:rPr>
                <w:sz w:val="20"/>
                <w:szCs w:val="20"/>
                <w:color w:val="auto"/>
              </w:rPr>
            </w:pPr>
            <w:r>
              <w:rPr>
                <w:rFonts w:ascii="Arial" w:cs="Arial" w:eastAsia="Arial" w:hAnsi="Arial"/>
                <w:sz w:val="11"/>
                <w:szCs w:val="11"/>
                <w:color w:val="auto"/>
                <w:w w:val="93"/>
              </w:rPr>
              <w:t>Media</w:t>
            </w:r>
          </w:p>
        </w:tc>
        <w:tc>
          <w:tcPr>
            <w:tcW w:w="1620" w:type="dxa"/>
            <w:vAlign w:val="bottom"/>
            <w:gridSpan w:val="2"/>
            <w:shd w:val="clear" w:color="auto" w:fill="CCEEFF"/>
          </w:tcPr>
          <w:p>
            <w:pPr>
              <w:jc w:val="center"/>
              <w:ind w:right="120"/>
              <w:spacing w:after="0" w:line="101" w:lineRule="exact"/>
              <w:rPr>
                <w:sz w:val="20"/>
                <w:szCs w:val="20"/>
                <w:color w:val="auto"/>
              </w:rPr>
            </w:pPr>
            <w:r>
              <w:rPr>
                <w:rFonts w:ascii="Arial" w:cs="Arial" w:eastAsia="Arial" w:hAnsi="Arial"/>
                <w:sz w:val="11"/>
                <w:szCs w:val="11"/>
                <w:color w:val="auto"/>
                <w:w w:val="92"/>
              </w:rPr>
              <w:t>First Lien Secured Debt(4),</w:t>
            </w:r>
          </w:p>
        </w:tc>
        <w:tc>
          <w:tcPr>
            <w:tcW w:w="920" w:type="dxa"/>
            <w:vAlign w:val="bottom"/>
            <w:gridSpan w:val="2"/>
            <w:shd w:val="clear" w:color="auto" w:fill="CCEEFF"/>
          </w:tcPr>
          <w:p>
            <w:pPr>
              <w:jc w:val="right"/>
              <w:ind w:right="121"/>
              <w:spacing w:after="0" w:line="101" w:lineRule="exact"/>
              <w:rPr>
                <w:sz w:val="20"/>
                <w:szCs w:val="20"/>
                <w:color w:val="auto"/>
              </w:rPr>
            </w:pPr>
            <w:r>
              <w:rPr>
                <w:rFonts w:ascii="Arial" w:cs="Arial" w:eastAsia="Arial" w:hAnsi="Arial"/>
                <w:sz w:val="11"/>
                <w:szCs w:val="11"/>
                <w:color w:val="auto"/>
              </w:rPr>
              <w:t>0.4%</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3,000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(Tower Arch Infolinks Media, LP (5))</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Arial" w:cs="Arial" w:eastAsia="Arial" w:hAnsi="Arial"/>
                <w:sz w:val="11"/>
                <w:szCs w:val="11"/>
                <w:color w:val="auto"/>
                <w:w w:val="94"/>
              </w:rPr>
              <w:t>3M L+575, 11/01/2026</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45 North Broad Street</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1"/>
                <w:szCs w:val="11"/>
                <w:color w:val="auto"/>
                <w:w w:val="93"/>
              </w:rPr>
              <w:t>Common Equity(4)</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Ridgewood, NJ 07450</w:t>
            </w:r>
          </w:p>
        </w:tc>
        <w:tc>
          <w:tcPr>
            <w:tcW w:w="1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20" w:type="dxa"/>
            <w:vAlign w:val="bottom"/>
            <w:gridSpan w:val="3"/>
          </w:tcPr>
          <w:p>
            <w:pPr>
              <w:spacing w:after="0"/>
              <w:rPr>
                <w:sz w:val="20"/>
                <w:szCs w:val="20"/>
                <w:color w:val="auto"/>
              </w:rPr>
            </w:pPr>
            <w:r>
              <w:rPr>
                <w:rFonts w:ascii="Arial" w:cs="Arial" w:eastAsia="Arial" w:hAnsi="Arial"/>
                <w:sz w:val="11"/>
                <w:szCs w:val="11"/>
                <w:color w:val="auto"/>
              </w:rPr>
              <w:t>Integrative Nutrition, LLC</w:t>
            </w:r>
          </w:p>
        </w:tc>
        <w:tc>
          <w:tcPr>
            <w:tcW w:w="1480" w:type="dxa"/>
            <w:vAlign w:val="bottom"/>
            <w:gridSpan w:val="2"/>
          </w:tcPr>
          <w:p>
            <w:pPr>
              <w:jc w:val="center"/>
              <w:ind w:right="340"/>
              <w:spacing w:after="0"/>
              <w:rPr>
                <w:sz w:val="20"/>
                <w:szCs w:val="20"/>
                <w:color w:val="auto"/>
              </w:rPr>
            </w:pPr>
            <w:r>
              <w:rPr>
                <w:rFonts w:ascii="Arial" w:cs="Arial" w:eastAsia="Arial" w:hAnsi="Arial"/>
                <w:sz w:val="11"/>
                <w:szCs w:val="11"/>
                <w:color w:val="auto"/>
                <w:w w:val="89"/>
              </w:rPr>
              <w:t>Consumer Services</w:t>
            </w:r>
          </w:p>
        </w:tc>
        <w:tc>
          <w:tcPr>
            <w:tcW w:w="162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First Lien Secured Debt(4),</w:t>
            </w:r>
          </w:p>
        </w:tc>
        <w:tc>
          <w:tcPr>
            <w:tcW w:w="920" w:type="dxa"/>
            <w:vAlign w:val="bottom"/>
            <w:gridSpan w:val="2"/>
          </w:tcPr>
          <w:p>
            <w:pPr>
              <w:jc w:val="right"/>
              <w:ind w:right="121"/>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15,378</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Arial" w:cs="Arial" w:eastAsia="Arial" w:hAnsi="Arial"/>
                <w:sz w:val="11"/>
                <w:szCs w:val="11"/>
                <w:color w:val="auto"/>
              </w:rPr>
              <w:t>(IIN Group Holdings, LLC(5))</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Arial" w:cs="Arial" w:eastAsia="Arial" w:hAnsi="Arial"/>
                <w:sz w:val="11"/>
                <w:szCs w:val="11"/>
                <w:color w:val="auto"/>
                <w:w w:val="94"/>
              </w:rPr>
              <w:t>3M L+450, 09/29/2023</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Arial" w:cs="Arial" w:eastAsia="Arial" w:hAnsi="Arial"/>
                <w:sz w:val="11"/>
                <w:szCs w:val="11"/>
                <w:color w:val="auto"/>
              </w:rPr>
              <w:t>245 5</w:t>
            </w:r>
            <w:r>
              <w:rPr>
                <w:rFonts w:ascii="Arial" w:cs="Arial" w:eastAsia="Arial" w:hAnsi="Arial"/>
                <w:sz w:val="6"/>
                <w:szCs w:val="6"/>
                <w:color w:val="auto"/>
              </w:rPr>
              <w:t>th</w:t>
            </w:r>
            <w:r>
              <w:rPr>
                <w:rFonts w:ascii="Arial" w:cs="Arial" w:eastAsia="Arial" w:hAnsi="Arial"/>
                <w:sz w:val="11"/>
                <w:szCs w:val="11"/>
                <w:color w:val="auto"/>
              </w:rPr>
              <w:t xml:space="preserve"> Avenue</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2"/>
          </w:tcPr>
          <w:p>
            <w:pPr>
              <w:jc w:val="center"/>
              <w:ind w:right="120"/>
              <w:spacing w:after="0" w:line="114" w:lineRule="exact"/>
              <w:rPr>
                <w:sz w:val="20"/>
                <w:szCs w:val="20"/>
                <w:color w:val="auto"/>
              </w:rPr>
            </w:pPr>
            <w:r>
              <w:rPr>
                <w:rFonts w:ascii="Arial" w:cs="Arial" w:eastAsia="Arial" w:hAnsi="Arial"/>
                <w:sz w:val="11"/>
                <w:szCs w:val="11"/>
                <w:color w:val="auto"/>
                <w:w w:val="94"/>
              </w:rPr>
              <w:t>Common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20" w:type="dxa"/>
            <w:vAlign w:val="bottom"/>
            <w:gridSpan w:val="3"/>
          </w:tcPr>
          <w:p>
            <w:pPr>
              <w:spacing w:after="0"/>
              <w:rPr>
                <w:sz w:val="20"/>
                <w:szCs w:val="20"/>
                <w:color w:val="auto"/>
              </w:rPr>
            </w:pPr>
            <w:r>
              <w:rPr>
                <w:rFonts w:ascii="Arial" w:cs="Arial" w:eastAsia="Arial" w:hAnsi="Arial"/>
                <w:sz w:val="11"/>
                <w:szCs w:val="11"/>
                <w:color w:val="auto"/>
              </w:rPr>
              <w:t>New York, New York 10016</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70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Integrity Marketing Acquisition, LLC</w:t>
            </w:r>
          </w:p>
        </w:tc>
        <w:tc>
          <w:tcPr>
            <w:tcW w:w="1480" w:type="dxa"/>
            <w:vAlign w:val="bottom"/>
            <w:gridSpan w:val="2"/>
            <w:shd w:val="clear" w:color="auto" w:fill="CCEEFF"/>
          </w:tcPr>
          <w:p>
            <w:pPr>
              <w:jc w:val="center"/>
              <w:ind w:right="340"/>
              <w:spacing w:after="0" w:line="101" w:lineRule="exact"/>
              <w:rPr>
                <w:sz w:val="20"/>
                <w:szCs w:val="20"/>
                <w:color w:val="auto"/>
              </w:rPr>
            </w:pPr>
            <w:r>
              <w:rPr>
                <w:rFonts w:ascii="Arial" w:cs="Arial" w:eastAsia="Arial" w:hAnsi="Arial"/>
                <w:sz w:val="11"/>
                <w:szCs w:val="11"/>
                <w:color w:val="auto"/>
                <w:w w:val="86"/>
              </w:rPr>
              <w:t>Insurance</w:t>
            </w:r>
          </w:p>
        </w:tc>
        <w:tc>
          <w:tcPr>
            <w:tcW w:w="1620" w:type="dxa"/>
            <w:vAlign w:val="bottom"/>
            <w:gridSpan w:val="2"/>
            <w:shd w:val="clear" w:color="auto" w:fill="CCEEFF"/>
          </w:tcPr>
          <w:p>
            <w:pPr>
              <w:jc w:val="center"/>
              <w:ind w:right="140"/>
              <w:spacing w:after="0" w:line="101" w:lineRule="exact"/>
              <w:rPr>
                <w:sz w:val="20"/>
                <w:szCs w:val="20"/>
                <w:color w:val="auto"/>
              </w:rPr>
            </w:pPr>
            <w:r>
              <w:rPr>
                <w:rFonts w:ascii="Arial" w:cs="Arial" w:eastAsia="Arial" w:hAnsi="Arial"/>
                <w:sz w:val="11"/>
                <w:szCs w:val="11"/>
                <w:color w:val="auto"/>
                <w:w w:val="91"/>
              </w:rPr>
              <w:t>First Lien Secured Debt,</w:t>
            </w:r>
          </w:p>
        </w:tc>
        <w:tc>
          <w:tcPr>
            <w:tcW w:w="920" w:type="dxa"/>
            <w:vAlign w:val="bottom"/>
            <w:gridSpan w:val="2"/>
            <w:shd w:val="clear" w:color="auto" w:fill="CCEEFF"/>
          </w:tcPr>
          <w:p>
            <w:pPr>
              <w:jc w:val="right"/>
              <w:ind w:right="281"/>
              <w:spacing w:after="0" w:line="10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15,667</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1445 Ross Avenue, 22nd Floor</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1"/>
                <w:szCs w:val="11"/>
                <w:color w:val="auto"/>
                <w:w w:val="90"/>
              </w:rPr>
              <w:t>SOFR+550, 08/27/2025</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Dallas, TX 75202</w:t>
            </w:r>
          </w:p>
        </w:tc>
        <w:tc>
          <w:tcPr>
            <w:tcW w:w="1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20" w:type="dxa"/>
            <w:vAlign w:val="bottom"/>
            <w:gridSpan w:val="3"/>
          </w:tcPr>
          <w:p>
            <w:pPr>
              <w:spacing w:after="0"/>
              <w:rPr>
                <w:sz w:val="20"/>
                <w:szCs w:val="20"/>
                <w:color w:val="auto"/>
              </w:rPr>
            </w:pPr>
            <w:r>
              <w:rPr>
                <w:rFonts w:ascii="Arial" w:cs="Arial" w:eastAsia="Arial" w:hAnsi="Arial"/>
                <w:sz w:val="11"/>
                <w:szCs w:val="11"/>
                <w:color w:val="auto"/>
              </w:rPr>
              <w:t>ITC Rumba, LLC(5)</w:t>
            </w:r>
          </w:p>
        </w:tc>
        <w:tc>
          <w:tcPr>
            <w:tcW w:w="1480" w:type="dxa"/>
            <w:vAlign w:val="bottom"/>
            <w:gridSpan w:val="2"/>
          </w:tcPr>
          <w:p>
            <w:pPr>
              <w:jc w:val="center"/>
              <w:ind w:right="340"/>
              <w:spacing w:after="0"/>
              <w:rPr>
                <w:sz w:val="20"/>
                <w:szCs w:val="20"/>
                <w:color w:val="auto"/>
              </w:rPr>
            </w:pPr>
            <w:r>
              <w:rPr>
                <w:rFonts w:ascii="Arial" w:cs="Arial" w:eastAsia="Arial" w:hAnsi="Arial"/>
                <w:sz w:val="11"/>
                <w:szCs w:val="11"/>
                <w:color w:val="auto"/>
                <w:w w:val="88"/>
              </w:rPr>
              <w:t>Healthcare and</w:t>
            </w:r>
          </w:p>
        </w:tc>
        <w:tc>
          <w:tcPr>
            <w:tcW w:w="162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Common Equity</w:t>
            </w:r>
          </w:p>
        </w:tc>
        <w:tc>
          <w:tcPr>
            <w:tcW w:w="920" w:type="dxa"/>
            <w:vAlign w:val="bottom"/>
            <w:gridSpan w:val="2"/>
          </w:tcPr>
          <w:p>
            <w:pPr>
              <w:jc w:val="right"/>
              <w:ind w:right="121"/>
              <w:spacing w:after="0"/>
              <w:rPr>
                <w:sz w:val="20"/>
                <w:szCs w:val="20"/>
                <w:color w:val="auto"/>
              </w:rPr>
            </w:pPr>
            <w:r>
              <w:rPr>
                <w:rFonts w:ascii="Arial" w:cs="Arial" w:eastAsia="Arial" w:hAnsi="Arial"/>
                <w:sz w:val="11"/>
                <w:szCs w:val="11"/>
                <w:color w:val="auto"/>
              </w:rPr>
              <w:t>0.3%</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5,232</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Arial" w:cs="Arial" w:eastAsia="Arial" w:hAnsi="Arial"/>
                <w:sz w:val="11"/>
                <w:szCs w:val="11"/>
                <w:color w:val="auto"/>
              </w:rPr>
              <w:t>9725 NW 117th Ave #200,</w:t>
            </w:r>
          </w:p>
        </w:tc>
        <w:tc>
          <w:tcPr>
            <w:tcW w:w="1480" w:type="dxa"/>
            <w:vAlign w:val="bottom"/>
            <w:gridSpan w:val="2"/>
          </w:tcPr>
          <w:p>
            <w:pPr>
              <w:jc w:val="center"/>
              <w:ind w:right="360"/>
              <w:spacing w:after="0" w:line="114" w:lineRule="exact"/>
              <w:rPr>
                <w:sz w:val="20"/>
                <w:szCs w:val="20"/>
                <w:color w:val="auto"/>
              </w:rPr>
            </w:pPr>
            <w:r>
              <w:rPr>
                <w:rFonts w:ascii="Arial" w:cs="Arial" w:eastAsia="Arial" w:hAnsi="Arial"/>
                <w:sz w:val="11"/>
                <w:szCs w:val="11"/>
                <w:color w:val="auto"/>
                <w:w w:val="88"/>
              </w:rPr>
              <w:t>Pharmaceuticals</w:t>
            </w:r>
          </w:p>
        </w:tc>
        <w:tc>
          <w:tcPr>
            <w:tcW w:w="1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20" w:type="dxa"/>
            <w:vAlign w:val="bottom"/>
            <w:gridSpan w:val="3"/>
          </w:tcPr>
          <w:p>
            <w:pPr>
              <w:spacing w:after="0"/>
              <w:rPr>
                <w:sz w:val="20"/>
                <w:szCs w:val="20"/>
                <w:color w:val="auto"/>
              </w:rPr>
            </w:pPr>
            <w:r>
              <w:rPr>
                <w:rFonts w:ascii="Arial" w:cs="Arial" w:eastAsia="Arial" w:hAnsi="Arial"/>
                <w:sz w:val="11"/>
                <w:szCs w:val="11"/>
                <w:color w:val="auto"/>
              </w:rPr>
              <w:t>Miami, FL 33178</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70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ITI Holdings, Inc.</w:t>
            </w:r>
          </w:p>
        </w:tc>
        <w:tc>
          <w:tcPr>
            <w:tcW w:w="1480" w:type="dxa"/>
            <w:vAlign w:val="bottom"/>
            <w:gridSpan w:val="2"/>
            <w:shd w:val="clear" w:color="auto" w:fill="CCEEFF"/>
          </w:tcPr>
          <w:p>
            <w:pPr>
              <w:jc w:val="center"/>
              <w:ind w:right="340"/>
              <w:spacing w:after="0" w:line="101" w:lineRule="exact"/>
              <w:rPr>
                <w:sz w:val="20"/>
                <w:szCs w:val="20"/>
                <w:color w:val="auto"/>
              </w:rPr>
            </w:pPr>
            <w:r>
              <w:rPr>
                <w:rFonts w:ascii="Arial" w:cs="Arial" w:eastAsia="Arial" w:hAnsi="Arial"/>
                <w:sz w:val="11"/>
                <w:szCs w:val="11"/>
                <w:color w:val="auto"/>
                <w:w w:val="90"/>
              </w:rPr>
              <w:t>IT Services</w:t>
            </w:r>
          </w:p>
        </w:tc>
        <w:tc>
          <w:tcPr>
            <w:tcW w:w="1620" w:type="dxa"/>
            <w:vAlign w:val="bottom"/>
            <w:gridSpan w:val="2"/>
            <w:shd w:val="clear" w:color="auto" w:fill="CCEEFF"/>
          </w:tcPr>
          <w:p>
            <w:pPr>
              <w:jc w:val="center"/>
              <w:ind w:right="120"/>
              <w:spacing w:after="0" w:line="101" w:lineRule="exact"/>
              <w:rPr>
                <w:sz w:val="20"/>
                <w:szCs w:val="20"/>
                <w:color w:val="auto"/>
              </w:rPr>
            </w:pPr>
            <w:r>
              <w:rPr>
                <w:rFonts w:ascii="Arial" w:cs="Arial" w:eastAsia="Arial" w:hAnsi="Arial"/>
                <w:sz w:val="11"/>
                <w:szCs w:val="11"/>
                <w:color w:val="auto"/>
                <w:w w:val="92"/>
              </w:rPr>
              <w:t>First Lien Secured Debt(4),</w:t>
            </w:r>
          </w:p>
        </w:tc>
        <w:tc>
          <w:tcPr>
            <w:tcW w:w="920" w:type="dxa"/>
            <w:vAlign w:val="bottom"/>
            <w:gridSpan w:val="2"/>
            <w:shd w:val="clear" w:color="auto" w:fill="CCEEFF"/>
          </w:tcPr>
          <w:p>
            <w:pPr>
              <w:jc w:val="right"/>
              <w:ind w:right="281"/>
              <w:spacing w:after="0" w:line="10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Arial" w:cs="Arial" w:eastAsia="Arial" w:hAnsi="Arial"/>
                <w:sz w:val="11"/>
                <w:szCs w:val="11"/>
                <w:color w:val="auto"/>
              </w:rPr>
              <w:t>120</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2980 E. Coliseum Blvd.</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Arial" w:cs="Arial" w:eastAsia="Arial" w:hAnsi="Arial"/>
                <w:sz w:val="11"/>
                <w:szCs w:val="11"/>
                <w:color w:val="auto"/>
                <w:w w:val="94"/>
              </w:rPr>
              <w:t>3M L+550, 03/03/2028</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Fort Wayne, IN 46805</w:t>
            </w:r>
          </w:p>
        </w:tc>
        <w:tc>
          <w:tcPr>
            <w:tcW w:w="1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20" w:type="dxa"/>
            <w:vAlign w:val="bottom"/>
            <w:gridSpan w:val="3"/>
          </w:tcPr>
          <w:p>
            <w:pPr>
              <w:spacing w:after="0"/>
              <w:rPr>
                <w:sz w:val="20"/>
                <w:szCs w:val="20"/>
                <w:color w:val="auto"/>
              </w:rPr>
            </w:pPr>
            <w:r>
              <w:rPr>
                <w:rFonts w:ascii="Arial" w:cs="Arial" w:eastAsia="Arial" w:hAnsi="Arial"/>
                <w:sz w:val="11"/>
                <w:szCs w:val="11"/>
                <w:color w:val="auto"/>
              </w:rPr>
              <w:t>K2 Pure Solutions NoCal, L.P.</w:t>
            </w:r>
          </w:p>
        </w:tc>
        <w:tc>
          <w:tcPr>
            <w:tcW w:w="1480" w:type="dxa"/>
            <w:vAlign w:val="bottom"/>
            <w:gridSpan w:val="2"/>
          </w:tcPr>
          <w:p>
            <w:pPr>
              <w:jc w:val="center"/>
              <w:ind w:right="340"/>
              <w:spacing w:after="0"/>
              <w:rPr>
                <w:sz w:val="20"/>
                <w:szCs w:val="20"/>
                <w:color w:val="auto"/>
              </w:rPr>
            </w:pPr>
            <w:r>
              <w:rPr>
                <w:rFonts w:ascii="Arial" w:cs="Arial" w:eastAsia="Arial" w:hAnsi="Arial"/>
                <w:sz w:val="11"/>
                <w:szCs w:val="11"/>
                <w:color w:val="auto"/>
                <w:w w:val="91"/>
              </w:rPr>
              <w:t>Chemicals,</w:t>
            </w:r>
          </w:p>
        </w:tc>
        <w:tc>
          <w:tcPr>
            <w:tcW w:w="162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First Lien Secured Debt(4),</w:t>
            </w:r>
          </w:p>
        </w:tc>
        <w:tc>
          <w:tcPr>
            <w:tcW w:w="920" w:type="dxa"/>
            <w:vAlign w:val="bottom"/>
            <w:gridSpan w:val="2"/>
          </w:tcPr>
          <w:p>
            <w:pPr>
              <w:jc w:val="right"/>
              <w:ind w:right="281"/>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Arial" w:cs="Arial" w:eastAsia="Arial" w:hAnsi="Arial"/>
                <w:sz w:val="11"/>
                <w:szCs w:val="11"/>
                <w:color w:val="auto"/>
              </w:rPr>
              <w:t>3515 Massillion Road, Ste. 290</w:t>
            </w:r>
          </w:p>
        </w:tc>
        <w:tc>
          <w:tcPr>
            <w:tcW w:w="1480" w:type="dxa"/>
            <w:vAlign w:val="bottom"/>
            <w:gridSpan w:val="2"/>
          </w:tcPr>
          <w:p>
            <w:pPr>
              <w:jc w:val="center"/>
              <w:ind w:right="360"/>
              <w:spacing w:after="0" w:line="114" w:lineRule="exact"/>
              <w:rPr>
                <w:sz w:val="20"/>
                <w:szCs w:val="20"/>
                <w:color w:val="auto"/>
              </w:rPr>
            </w:pPr>
            <w:r>
              <w:rPr>
                <w:rFonts w:ascii="Arial" w:cs="Arial" w:eastAsia="Arial" w:hAnsi="Arial"/>
                <w:sz w:val="11"/>
                <w:szCs w:val="11"/>
                <w:color w:val="auto"/>
                <w:w w:val="89"/>
              </w:rPr>
              <w:t>Plastics and Rubber</w:t>
            </w:r>
          </w:p>
        </w:tc>
        <w:tc>
          <w:tcPr>
            <w:tcW w:w="1620" w:type="dxa"/>
            <w:vAlign w:val="bottom"/>
            <w:gridSpan w:val="2"/>
          </w:tcPr>
          <w:p>
            <w:pPr>
              <w:jc w:val="center"/>
              <w:ind w:right="120"/>
              <w:spacing w:after="0" w:line="114" w:lineRule="exact"/>
              <w:rPr>
                <w:sz w:val="20"/>
                <w:szCs w:val="20"/>
                <w:color w:val="auto"/>
              </w:rPr>
            </w:pPr>
            <w:r>
              <w:rPr>
                <w:rFonts w:ascii="Arial" w:cs="Arial" w:eastAsia="Arial" w:hAnsi="Arial"/>
                <w:sz w:val="11"/>
                <w:szCs w:val="11"/>
                <w:color w:val="auto"/>
                <w:w w:val="91"/>
              </w:rPr>
              <w:t>—, 12/20/2023</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20" w:type="dxa"/>
            <w:vAlign w:val="bottom"/>
            <w:gridSpan w:val="3"/>
          </w:tcPr>
          <w:p>
            <w:pPr>
              <w:spacing w:after="0"/>
              <w:rPr>
                <w:sz w:val="20"/>
                <w:szCs w:val="20"/>
                <w:color w:val="auto"/>
              </w:rPr>
            </w:pPr>
            <w:r>
              <w:rPr>
                <w:rFonts w:ascii="Arial" w:cs="Arial" w:eastAsia="Arial" w:hAnsi="Arial"/>
                <w:sz w:val="11"/>
                <w:szCs w:val="11"/>
                <w:color w:val="auto"/>
              </w:rPr>
              <w:t>Uniontown, OH 44685</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70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Kinetic Purchaser, LLC</w:t>
            </w:r>
          </w:p>
        </w:tc>
        <w:tc>
          <w:tcPr>
            <w:tcW w:w="1480" w:type="dxa"/>
            <w:vAlign w:val="bottom"/>
            <w:gridSpan w:val="2"/>
            <w:shd w:val="clear" w:color="auto" w:fill="CCEEFF"/>
          </w:tcPr>
          <w:p>
            <w:pPr>
              <w:jc w:val="center"/>
              <w:ind w:right="360"/>
              <w:spacing w:after="0" w:line="101" w:lineRule="exact"/>
              <w:rPr>
                <w:sz w:val="20"/>
                <w:szCs w:val="20"/>
                <w:color w:val="auto"/>
              </w:rPr>
            </w:pPr>
            <w:r>
              <w:rPr>
                <w:rFonts w:ascii="Arial" w:cs="Arial" w:eastAsia="Arial" w:hAnsi="Arial"/>
                <w:sz w:val="11"/>
                <w:szCs w:val="11"/>
                <w:color w:val="auto"/>
                <w:w w:val="88"/>
              </w:rPr>
              <w:t>Personal Products</w:t>
            </w:r>
          </w:p>
        </w:tc>
        <w:tc>
          <w:tcPr>
            <w:tcW w:w="1620" w:type="dxa"/>
            <w:vAlign w:val="bottom"/>
            <w:gridSpan w:val="2"/>
            <w:shd w:val="clear" w:color="auto" w:fill="CCEEFF"/>
          </w:tcPr>
          <w:p>
            <w:pPr>
              <w:jc w:val="center"/>
              <w:ind w:right="120"/>
              <w:spacing w:after="0" w:line="101" w:lineRule="exact"/>
              <w:rPr>
                <w:sz w:val="20"/>
                <w:szCs w:val="20"/>
                <w:color w:val="auto"/>
              </w:rPr>
            </w:pPr>
            <w:r>
              <w:rPr>
                <w:rFonts w:ascii="Arial" w:cs="Arial" w:eastAsia="Arial" w:hAnsi="Arial"/>
                <w:sz w:val="11"/>
                <w:szCs w:val="11"/>
                <w:color w:val="auto"/>
                <w:w w:val="92"/>
              </w:rPr>
              <w:t>First Lien Secured Debt(4),</w:t>
            </w:r>
          </w:p>
        </w:tc>
        <w:tc>
          <w:tcPr>
            <w:tcW w:w="920" w:type="dxa"/>
            <w:vAlign w:val="bottom"/>
            <w:gridSpan w:val="2"/>
            <w:shd w:val="clear" w:color="auto" w:fill="CCEEFF"/>
          </w:tcPr>
          <w:p>
            <w:pPr>
              <w:jc w:val="right"/>
              <w:ind w:right="281"/>
              <w:spacing w:after="0" w:line="10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22,903</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12552 S. 125 West</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Arial" w:cs="Arial" w:eastAsia="Arial" w:hAnsi="Arial"/>
                <w:sz w:val="11"/>
                <w:szCs w:val="11"/>
                <w:color w:val="auto"/>
                <w:w w:val="94"/>
              </w:rPr>
              <w:t>3M L+600, 11/10/2027</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Draper, UT 84020</w:t>
            </w:r>
          </w:p>
        </w:tc>
        <w:tc>
          <w:tcPr>
            <w:tcW w:w="1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4"/>
              </w:rPr>
              <w:t>Common Equity</w:t>
            </w: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20" w:type="dxa"/>
            <w:vAlign w:val="bottom"/>
            <w:gridSpan w:val="3"/>
          </w:tcPr>
          <w:p>
            <w:pPr>
              <w:spacing w:after="0"/>
              <w:rPr>
                <w:sz w:val="20"/>
                <w:szCs w:val="20"/>
                <w:color w:val="auto"/>
              </w:rPr>
            </w:pPr>
            <w:r>
              <w:rPr>
                <w:rFonts w:ascii="Arial" w:cs="Arial" w:eastAsia="Arial" w:hAnsi="Arial"/>
                <w:sz w:val="11"/>
                <w:szCs w:val="11"/>
                <w:color w:val="auto"/>
              </w:rPr>
              <w:t>Lash OpCo, LLC</w:t>
            </w:r>
          </w:p>
        </w:tc>
        <w:tc>
          <w:tcPr>
            <w:tcW w:w="1480" w:type="dxa"/>
            <w:vAlign w:val="bottom"/>
            <w:gridSpan w:val="2"/>
          </w:tcPr>
          <w:p>
            <w:pPr>
              <w:jc w:val="center"/>
              <w:ind w:right="360"/>
              <w:spacing w:after="0"/>
              <w:rPr>
                <w:sz w:val="20"/>
                <w:szCs w:val="20"/>
                <w:color w:val="auto"/>
              </w:rPr>
            </w:pPr>
            <w:r>
              <w:rPr>
                <w:rFonts w:ascii="Arial" w:cs="Arial" w:eastAsia="Arial" w:hAnsi="Arial"/>
                <w:sz w:val="11"/>
                <w:szCs w:val="11"/>
                <w:color w:val="auto"/>
                <w:w w:val="88"/>
              </w:rPr>
              <w:t>Personal Products</w:t>
            </w:r>
          </w:p>
        </w:tc>
        <w:tc>
          <w:tcPr>
            <w:tcW w:w="162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First Lien Secured Debt(4),</w:t>
            </w:r>
          </w:p>
        </w:tc>
        <w:tc>
          <w:tcPr>
            <w:tcW w:w="920" w:type="dxa"/>
            <w:vAlign w:val="bottom"/>
            <w:gridSpan w:val="2"/>
          </w:tcPr>
          <w:p>
            <w:pPr>
              <w:jc w:val="right"/>
              <w:ind w:right="121"/>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17,891</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Arial" w:cs="Arial" w:eastAsia="Arial" w:hAnsi="Arial"/>
                <w:sz w:val="11"/>
                <w:szCs w:val="11"/>
                <w:color w:val="auto"/>
              </w:rPr>
              <w:t>(Gauge Lash Coinvest LLC)</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Arial" w:cs="Arial" w:eastAsia="Arial" w:hAnsi="Arial"/>
                <w:sz w:val="11"/>
                <w:szCs w:val="11"/>
                <w:color w:val="auto"/>
                <w:w w:val="94"/>
              </w:rPr>
              <w:t>1M L+700, 02/18/2027</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Arial" w:cs="Arial" w:eastAsia="Arial" w:hAnsi="Arial"/>
                <w:sz w:val="11"/>
                <w:szCs w:val="11"/>
                <w:color w:val="auto"/>
              </w:rPr>
              <w:t>1256 Main Street, Suite 256</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2"/>
          </w:tcPr>
          <w:p>
            <w:pPr>
              <w:jc w:val="center"/>
              <w:ind w:right="120"/>
              <w:spacing w:after="0" w:line="114" w:lineRule="exact"/>
              <w:rPr>
                <w:sz w:val="20"/>
                <w:szCs w:val="20"/>
                <w:color w:val="auto"/>
              </w:rPr>
            </w:pPr>
            <w:r>
              <w:rPr>
                <w:rFonts w:ascii="Arial" w:cs="Arial" w:eastAsia="Arial" w:hAnsi="Arial"/>
                <w:sz w:val="11"/>
                <w:szCs w:val="11"/>
                <w:color w:val="auto"/>
                <w:w w:val="94"/>
              </w:rPr>
              <w:t>Common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20" w:type="dxa"/>
            <w:vAlign w:val="bottom"/>
            <w:gridSpan w:val="3"/>
          </w:tcPr>
          <w:p>
            <w:pPr>
              <w:spacing w:after="0"/>
              <w:rPr>
                <w:sz w:val="20"/>
                <w:szCs w:val="20"/>
                <w:color w:val="auto"/>
              </w:rPr>
            </w:pPr>
            <w:r>
              <w:rPr>
                <w:rFonts w:ascii="Arial" w:cs="Arial" w:eastAsia="Arial" w:hAnsi="Arial"/>
                <w:sz w:val="11"/>
                <w:szCs w:val="11"/>
                <w:color w:val="auto"/>
              </w:rPr>
              <w:t>Southlake, TX 76092</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70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LAV Gear Holdings, Inc.</w:t>
            </w:r>
          </w:p>
        </w:tc>
        <w:tc>
          <w:tcPr>
            <w:tcW w:w="1480" w:type="dxa"/>
            <w:vAlign w:val="bottom"/>
            <w:gridSpan w:val="2"/>
            <w:shd w:val="clear" w:color="auto" w:fill="CCEEFF"/>
          </w:tcPr>
          <w:p>
            <w:pPr>
              <w:jc w:val="center"/>
              <w:ind w:right="340"/>
              <w:spacing w:after="0" w:line="101" w:lineRule="exact"/>
              <w:rPr>
                <w:sz w:val="20"/>
                <w:szCs w:val="20"/>
                <w:color w:val="auto"/>
              </w:rPr>
            </w:pPr>
            <w:r>
              <w:rPr>
                <w:rFonts w:ascii="Arial" w:cs="Arial" w:eastAsia="Arial" w:hAnsi="Arial"/>
                <w:sz w:val="11"/>
                <w:szCs w:val="11"/>
                <w:color w:val="auto"/>
                <w:w w:val="91"/>
              </w:rPr>
              <w:t>Capital Equipment</w:t>
            </w:r>
          </w:p>
        </w:tc>
        <w:tc>
          <w:tcPr>
            <w:tcW w:w="1620" w:type="dxa"/>
            <w:vAlign w:val="bottom"/>
            <w:gridSpan w:val="2"/>
            <w:shd w:val="clear" w:color="auto" w:fill="CCEEFF"/>
          </w:tcPr>
          <w:p>
            <w:pPr>
              <w:jc w:val="center"/>
              <w:ind w:right="120"/>
              <w:spacing w:after="0" w:line="101" w:lineRule="exact"/>
              <w:rPr>
                <w:sz w:val="20"/>
                <w:szCs w:val="20"/>
                <w:color w:val="auto"/>
              </w:rPr>
            </w:pPr>
            <w:r>
              <w:rPr>
                <w:rFonts w:ascii="Arial" w:cs="Arial" w:eastAsia="Arial" w:hAnsi="Arial"/>
                <w:sz w:val="11"/>
                <w:szCs w:val="11"/>
                <w:color w:val="auto"/>
                <w:w w:val="92"/>
              </w:rPr>
              <w:t>First Lien Secured Debt(4),</w:t>
            </w:r>
          </w:p>
        </w:tc>
        <w:tc>
          <w:tcPr>
            <w:tcW w:w="920" w:type="dxa"/>
            <w:vAlign w:val="bottom"/>
            <w:gridSpan w:val="2"/>
            <w:shd w:val="clear" w:color="auto" w:fill="CCEEFF"/>
          </w:tcPr>
          <w:p>
            <w:pPr>
              <w:jc w:val="right"/>
              <w:ind w:right="281"/>
              <w:spacing w:after="0" w:line="10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11,027</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3165 W Sunset Rd,</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1"/>
                <w:szCs w:val="11"/>
                <w:color w:val="auto"/>
                <w:w w:val="95"/>
              </w:rPr>
              <w:t>1M L+750 (PIK 5.50%),</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Las Vegas, NV 89118</w:t>
            </w:r>
          </w:p>
        </w:tc>
        <w:tc>
          <w:tcPr>
            <w:tcW w:w="1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10/31/2024</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20" w:type="dxa"/>
            <w:vAlign w:val="bottom"/>
            <w:gridSpan w:val="3"/>
          </w:tcPr>
          <w:p>
            <w:pPr>
              <w:spacing w:after="0"/>
              <w:rPr>
                <w:sz w:val="20"/>
                <w:szCs w:val="20"/>
                <w:color w:val="auto"/>
              </w:rPr>
            </w:pPr>
            <w:r>
              <w:rPr>
                <w:rFonts w:ascii="Arial" w:cs="Arial" w:eastAsia="Arial" w:hAnsi="Arial"/>
                <w:sz w:val="11"/>
                <w:szCs w:val="11"/>
                <w:color w:val="auto"/>
              </w:rPr>
              <w:t>Ledge Lounger, Inc.</w:t>
            </w:r>
          </w:p>
        </w:tc>
        <w:tc>
          <w:tcPr>
            <w:tcW w:w="1480" w:type="dxa"/>
            <w:vAlign w:val="bottom"/>
            <w:gridSpan w:val="2"/>
          </w:tcPr>
          <w:p>
            <w:pPr>
              <w:jc w:val="center"/>
              <w:ind w:right="340"/>
              <w:spacing w:after="0"/>
              <w:rPr>
                <w:sz w:val="20"/>
                <w:szCs w:val="20"/>
                <w:color w:val="auto"/>
              </w:rPr>
            </w:pPr>
            <w:r>
              <w:rPr>
                <w:rFonts w:ascii="Arial" w:cs="Arial" w:eastAsia="Arial" w:hAnsi="Arial"/>
                <w:sz w:val="11"/>
                <w:szCs w:val="11"/>
                <w:color w:val="auto"/>
                <w:w w:val="89"/>
              </w:rPr>
              <w:t>Leisure Products</w:t>
            </w:r>
          </w:p>
        </w:tc>
        <w:tc>
          <w:tcPr>
            <w:tcW w:w="162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First Lien Secured Debt(4),</w:t>
            </w:r>
          </w:p>
        </w:tc>
        <w:tc>
          <w:tcPr>
            <w:tcW w:w="920" w:type="dxa"/>
            <w:vAlign w:val="bottom"/>
            <w:gridSpan w:val="2"/>
          </w:tcPr>
          <w:p>
            <w:pPr>
              <w:jc w:val="right"/>
              <w:ind w:right="121"/>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4,052</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Arial" w:cs="Arial" w:eastAsia="Arial" w:hAnsi="Arial"/>
                <w:sz w:val="11"/>
                <w:szCs w:val="11"/>
                <w:color w:val="auto"/>
              </w:rPr>
              <w:t>(SP L2 Holdings, LLC)</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Arial" w:cs="Arial" w:eastAsia="Arial" w:hAnsi="Arial"/>
                <w:sz w:val="11"/>
                <w:szCs w:val="11"/>
                <w:color w:val="auto"/>
                <w:w w:val="94"/>
              </w:rPr>
              <w:t>3M L+625, 11/09/2026</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Arial" w:cs="Arial" w:eastAsia="Arial" w:hAnsi="Arial"/>
                <w:sz w:val="11"/>
                <w:szCs w:val="11"/>
                <w:color w:val="auto"/>
              </w:rPr>
              <w:t>616 Cane Island Pkwy Suite 200</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2"/>
          </w:tcPr>
          <w:p>
            <w:pPr>
              <w:jc w:val="center"/>
              <w:ind w:right="120"/>
              <w:spacing w:after="0" w:line="114" w:lineRule="exact"/>
              <w:rPr>
                <w:sz w:val="20"/>
                <w:szCs w:val="20"/>
                <w:color w:val="auto"/>
              </w:rPr>
            </w:pPr>
            <w:r>
              <w:rPr>
                <w:rFonts w:ascii="Arial" w:cs="Arial" w:eastAsia="Arial" w:hAnsi="Arial"/>
                <w:sz w:val="11"/>
                <w:szCs w:val="11"/>
                <w:color w:val="auto"/>
                <w:w w:val="94"/>
              </w:rPr>
              <w:t>Common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20" w:type="dxa"/>
            <w:vAlign w:val="bottom"/>
            <w:gridSpan w:val="3"/>
          </w:tcPr>
          <w:p>
            <w:pPr>
              <w:spacing w:after="0"/>
              <w:rPr>
                <w:sz w:val="20"/>
                <w:szCs w:val="20"/>
                <w:color w:val="auto"/>
              </w:rPr>
            </w:pPr>
            <w:r>
              <w:rPr>
                <w:rFonts w:ascii="Arial" w:cs="Arial" w:eastAsia="Arial" w:hAnsi="Arial"/>
                <w:sz w:val="11"/>
                <w:szCs w:val="11"/>
                <w:color w:val="auto"/>
              </w:rPr>
              <w:t>Katy, TX 77494</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70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Lightspeed Buyer Inc.</w:t>
            </w:r>
          </w:p>
        </w:tc>
        <w:tc>
          <w:tcPr>
            <w:tcW w:w="1480" w:type="dxa"/>
            <w:vAlign w:val="bottom"/>
            <w:gridSpan w:val="2"/>
            <w:shd w:val="clear" w:color="auto" w:fill="CCEEFF"/>
          </w:tcPr>
          <w:p>
            <w:pPr>
              <w:jc w:val="center"/>
              <w:ind w:right="340"/>
              <w:spacing w:after="0" w:line="101" w:lineRule="exact"/>
              <w:rPr>
                <w:sz w:val="20"/>
                <w:szCs w:val="20"/>
                <w:color w:val="auto"/>
              </w:rPr>
            </w:pPr>
            <w:r>
              <w:rPr>
                <w:rFonts w:ascii="Arial" w:cs="Arial" w:eastAsia="Arial" w:hAnsi="Arial"/>
                <w:sz w:val="11"/>
                <w:szCs w:val="11"/>
                <w:color w:val="auto"/>
                <w:w w:val="90"/>
              </w:rPr>
              <w:t>Healthcare Technology</w:t>
            </w:r>
          </w:p>
        </w:tc>
        <w:tc>
          <w:tcPr>
            <w:tcW w:w="1620" w:type="dxa"/>
            <w:vAlign w:val="bottom"/>
            <w:gridSpan w:val="2"/>
            <w:shd w:val="clear" w:color="auto" w:fill="CCEEFF"/>
          </w:tcPr>
          <w:p>
            <w:pPr>
              <w:jc w:val="center"/>
              <w:ind w:right="120"/>
              <w:spacing w:after="0" w:line="101" w:lineRule="exact"/>
              <w:rPr>
                <w:sz w:val="20"/>
                <w:szCs w:val="20"/>
                <w:color w:val="auto"/>
              </w:rPr>
            </w:pPr>
            <w:r>
              <w:rPr>
                <w:rFonts w:ascii="Arial" w:cs="Arial" w:eastAsia="Arial" w:hAnsi="Arial"/>
                <w:sz w:val="11"/>
                <w:szCs w:val="11"/>
                <w:color w:val="auto"/>
                <w:w w:val="92"/>
              </w:rPr>
              <w:t>First Lien Secured Debt(4),</w:t>
            </w:r>
          </w:p>
        </w:tc>
        <w:tc>
          <w:tcPr>
            <w:tcW w:w="920" w:type="dxa"/>
            <w:vAlign w:val="bottom"/>
            <w:gridSpan w:val="2"/>
            <w:shd w:val="clear" w:color="auto" w:fill="CCEEFF"/>
          </w:tcPr>
          <w:p>
            <w:pPr>
              <w:jc w:val="right"/>
              <w:ind w:right="121"/>
              <w:spacing w:after="0" w:line="101" w:lineRule="exact"/>
              <w:rPr>
                <w:sz w:val="20"/>
                <w:szCs w:val="20"/>
                <w:color w:val="auto"/>
              </w:rPr>
            </w:pPr>
            <w:r>
              <w:rPr>
                <w:rFonts w:ascii="Arial" w:cs="Arial" w:eastAsia="Arial" w:hAnsi="Arial"/>
                <w:sz w:val="11"/>
                <w:szCs w:val="11"/>
                <w:color w:val="auto"/>
              </w:rPr>
              <w:t>0.2%</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25,367</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(Lightspeed Investment Holdco LLC)</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Arial" w:cs="Arial" w:eastAsia="Arial" w:hAnsi="Arial"/>
                <w:sz w:val="11"/>
                <w:szCs w:val="11"/>
                <w:color w:val="auto"/>
                <w:w w:val="94"/>
              </w:rPr>
              <w:t>1M L+575, 02/03/2026</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1457 East 40th Street</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1"/>
                <w:szCs w:val="11"/>
                <w:color w:val="auto"/>
                <w:w w:val="94"/>
              </w:rPr>
              <w:t>Common Equity</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Cleveland, OH 44103</w:t>
            </w:r>
          </w:p>
        </w:tc>
        <w:tc>
          <w:tcPr>
            <w:tcW w:w="1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20" w:type="dxa"/>
            <w:vAlign w:val="bottom"/>
            <w:gridSpan w:val="3"/>
          </w:tcPr>
          <w:p>
            <w:pPr>
              <w:spacing w:after="0"/>
              <w:rPr>
                <w:sz w:val="20"/>
                <w:szCs w:val="20"/>
                <w:color w:val="auto"/>
              </w:rPr>
            </w:pPr>
            <w:r>
              <w:rPr>
                <w:rFonts w:ascii="Arial" w:cs="Arial" w:eastAsia="Arial" w:hAnsi="Arial"/>
                <w:sz w:val="11"/>
                <w:szCs w:val="11"/>
                <w:color w:val="auto"/>
              </w:rPr>
              <w:t>Lucky Bucks, LLC</w:t>
            </w:r>
          </w:p>
        </w:tc>
        <w:tc>
          <w:tcPr>
            <w:tcW w:w="1480" w:type="dxa"/>
            <w:vAlign w:val="bottom"/>
            <w:gridSpan w:val="2"/>
          </w:tcPr>
          <w:p>
            <w:pPr>
              <w:jc w:val="center"/>
              <w:ind w:right="360"/>
              <w:spacing w:after="0"/>
              <w:rPr>
                <w:sz w:val="20"/>
                <w:szCs w:val="20"/>
                <w:color w:val="auto"/>
              </w:rPr>
            </w:pPr>
            <w:r>
              <w:rPr>
                <w:rFonts w:ascii="Arial" w:cs="Arial" w:eastAsia="Arial" w:hAnsi="Arial"/>
                <w:sz w:val="11"/>
                <w:szCs w:val="11"/>
                <w:color w:val="auto"/>
                <w:w w:val="88"/>
              </w:rPr>
              <w:t>Hotels, Restaurants and</w:t>
            </w:r>
          </w:p>
        </w:tc>
        <w:tc>
          <w:tcPr>
            <w:tcW w:w="162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First Lien Secured Debt,</w:t>
            </w:r>
          </w:p>
        </w:tc>
        <w:tc>
          <w:tcPr>
            <w:tcW w:w="920" w:type="dxa"/>
            <w:vAlign w:val="bottom"/>
            <w:gridSpan w:val="2"/>
          </w:tcPr>
          <w:p>
            <w:pPr>
              <w:jc w:val="right"/>
              <w:ind w:right="281"/>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3,183</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Arial" w:cs="Arial" w:eastAsia="Arial" w:hAnsi="Arial"/>
                <w:sz w:val="11"/>
                <w:szCs w:val="11"/>
                <w:color w:val="auto"/>
              </w:rPr>
              <w:t>5820 Live Oak Parkway #300</w:t>
            </w:r>
          </w:p>
        </w:tc>
        <w:tc>
          <w:tcPr>
            <w:tcW w:w="1480" w:type="dxa"/>
            <w:vAlign w:val="bottom"/>
            <w:gridSpan w:val="2"/>
          </w:tcPr>
          <w:p>
            <w:pPr>
              <w:jc w:val="center"/>
              <w:ind w:right="340"/>
              <w:spacing w:after="0" w:line="114" w:lineRule="exact"/>
              <w:rPr>
                <w:sz w:val="20"/>
                <w:szCs w:val="20"/>
                <w:color w:val="auto"/>
              </w:rPr>
            </w:pPr>
            <w:r>
              <w:rPr>
                <w:rFonts w:ascii="Arial" w:cs="Arial" w:eastAsia="Arial" w:hAnsi="Arial"/>
                <w:sz w:val="11"/>
                <w:szCs w:val="11"/>
                <w:color w:val="auto"/>
                <w:w w:val="94"/>
              </w:rPr>
              <w:t>Leisure</w:t>
            </w:r>
          </w:p>
        </w:tc>
        <w:tc>
          <w:tcPr>
            <w:tcW w:w="1620" w:type="dxa"/>
            <w:vAlign w:val="bottom"/>
            <w:gridSpan w:val="2"/>
          </w:tcPr>
          <w:p>
            <w:pPr>
              <w:jc w:val="center"/>
              <w:ind w:right="140"/>
              <w:spacing w:after="0" w:line="114" w:lineRule="exact"/>
              <w:rPr>
                <w:sz w:val="20"/>
                <w:szCs w:val="20"/>
                <w:color w:val="auto"/>
              </w:rPr>
            </w:pPr>
            <w:r>
              <w:rPr>
                <w:rFonts w:ascii="Arial" w:cs="Arial" w:eastAsia="Arial" w:hAnsi="Arial"/>
                <w:sz w:val="11"/>
                <w:szCs w:val="11"/>
                <w:color w:val="auto"/>
                <w:w w:val="94"/>
              </w:rPr>
              <w:t>3M L+550, 07/20/2027</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20" w:type="dxa"/>
            <w:vAlign w:val="bottom"/>
            <w:gridSpan w:val="3"/>
          </w:tcPr>
          <w:p>
            <w:pPr>
              <w:spacing w:after="0"/>
              <w:rPr>
                <w:sz w:val="20"/>
                <w:szCs w:val="20"/>
                <w:color w:val="auto"/>
              </w:rPr>
            </w:pPr>
            <w:r>
              <w:rPr>
                <w:rFonts w:ascii="Arial" w:cs="Arial" w:eastAsia="Arial" w:hAnsi="Arial"/>
                <w:sz w:val="11"/>
                <w:szCs w:val="11"/>
                <w:color w:val="auto"/>
              </w:rPr>
              <w:t>Norcross, GA 30093</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2805" cy="4572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9019"/>
          </w:cols>
          <w:pgMar w:left="1440" w:top="245" w:right="1440" w:bottom="1440" w:gutter="0" w:footer="0" w:header="0"/>
        </w:sectPr>
      </w:pPr>
    </w:p>
    <w:bookmarkStart w:id="27" w:name="page28"/>
    <w:bookmarkEnd w:id="27"/>
    <w:tbl>
      <w:tblPr>
        <w:tblLayout w:type="fixed"/>
        <w:tblInd w:w="280" w:type="dxa"/>
        <w:tblCellMar>
          <w:top w:w="0" w:type="dxa"/>
          <w:left w:w="0" w:type="dxa"/>
          <w:bottom w:w="0" w:type="dxa"/>
          <w:right w:w="0" w:type="dxa"/>
        </w:tblCellMar>
      </w:tblPr>
      <w:tr>
        <w:trPr>
          <w:trHeight w:val="126"/>
        </w:trPr>
        <w:tc>
          <w:tcPr>
            <w:tcW w:w="25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Name and</w:t>
            </w:r>
          </w:p>
        </w:tc>
        <w:tc>
          <w:tcPr>
            <w:tcW w:w="1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2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0"/>
              </w:rPr>
              <w:t>Type of Investment,</w:t>
            </w:r>
          </w:p>
        </w:tc>
        <w:tc>
          <w:tcPr>
            <w:tcW w:w="1100" w:type="dxa"/>
            <w:vAlign w:val="bottom"/>
            <w:gridSpan w:val="2"/>
          </w:tcPr>
          <w:p>
            <w:pPr>
              <w:jc w:val="right"/>
              <w:ind w:right="561"/>
              <w:spacing w:after="0"/>
              <w:rPr>
                <w:sz w:val="20"/>
                <w:szCs w:val="20"/>
                <w:color w:val="auto"/>
              </w:rPr>
            </w:pPr>
            <w:r>
              <w:rPr>
                <w:rFonts w:ascii="Arial" w:cs="Arial" w:eastAsia="Arial" w:hAnsi="Arial"/>
                <w:sz w:val="11"/>
                <w:szCs w:val="11"/>
                <w:b w:val="1"/>
                <w:bCs w:val="1"/>
                <w:color w:val="auto"/>
              </w:rPr>
              <w:t>Voting</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52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1100" w:type="dxa"/>
            <w:vAlign w:val="bottom"/>
            <w:gridSpan w:val="2"/>
          </w:tcPr>
          <w:p>
            <w:pPr>
              <w:jc w:val="right"/>
              <w:ind w:right="461"/>
              <w:spacing w:after="0" w:line="111" w:lineRule="exact"/>
              <w:rPr>
                <w:sz w:val="20"/>
                <w:szCs w:val="20"/>
                <w:color w:val="auto"/>
              </w:rPr>
            </w:pPr>
            <w:r>
              <w:rPr>
                <w:rFonts w:ascii="Arial" w:cs="Arial" w:eastAsia="Arial" w:hAnsi="Arial"/>
                <w:sz w:val="11"/>
                <w:szCs w:val="11"/>
                <w:b w:val="1"/>
                <w:bCs w:val="1"/>
                <w:color w:val="auto"/>
                <w:w w:val="97"/>
              </w:rPr>
              <w:t>Percentage</w:t>
            </w:r>
          </w:p>
        </w:tc>
        <w:tc>
          <w:tcPr>
            <w:tcW w:w="80" w:type="dxa"/>
            <w:vAlign w:val="bottom"/>
          </w:tcPr>
          <w:p>
            <w:pPr>
              <w:spacing w:after="0"/>
              <w:rPr>
                <w:sz w:val="9"/>
                <w:szCs w:val="9"/>
                <w:color w:val="auto"/>
              </w:rPr>
            </w:pPr>
          </w:p>
        </w:tc>
        <w:tc>
          <w:tcPr>
            <w:tcW w:w="680" w:type="dxa"/>
            <w:vAlign w:val="bottom"/>
            <w:gridSpan w:val="2"/>
          </w:tcPr>
          <w:p>
            <w:pPr>
              <w:jc w:val="right"/>
              <w:ind w:right="160"/>
              <w:spacing w:after="0" w:line="111" w:lineRule="exact"/>
              <w:rPr>
                <w:sz w:val="20"/>
                <w:szCs w:val="20"/>
                <w:color w:val="auto"/>
              </w:rPr>
            </w:pPr>
            <w:r>
              <w:rPr>
                <w:rFonts w:ascii="Arial" w:cs="Arial" w:eastAsia="Arial" w:hAnsi="Arial"/>
                <w:sz w:val="11"/>
                <w:szCs w:val="11"/>
                <w:b w:val="1"/>
                <w:bCs w:val="1"/>
                <w:color w:val="auto"/>
                <w:w w:val="94"/>
              </w:rPr>
              <w:t>Fair Value</w:t>
            </w:r>
          </w:p>
        </w:tc>
        <w:tc>
          <w:tcPr>
            <w:tcW w:w="0" w:type="dxa"/>
            <w:vAlign w:val="bottom"/>
          </w:tcPr>
          <w:p>
            <w:pPr>
              <w:spacing w:after="0"/>
              <w:rPr>
                <w:sz w:val="1"/>
                <w:szCs w:val="1"/>
                <w:color w:val="auto"/>
              </w:rPr>
            </w:pPr>
          </w:p>
        </w:tc>
      </w:tr>
      <w:tr>
        <w:trPr>
          <w:trHeight w:val="144"/>
        </w:trPr>
        <w:tc>
          <w:tcPr>
            <w:tcW w:w="25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Address of Portfolio Company</w:t>
            </w:r>
          </w:p>
        </w:tc>
        <w:tc>
          <w:tcPr>
            <w:tcW w:w="2460" w:type="dxa"/>
            <w:vAlign w:val="bottom"/>
            <w:gridSpan w:val="2"/>
          </w:tcPr>
          <w:p>
            <w:pPr>
              <w:jc w:val="center"/>
              <w:ind w:right="1380"/>
              <w:spacing w:after="0" w:line="125" w:lineRule="exact"/>
              <w:rPr>
                <w:sz w:val="20"/>
                <w:szCs w:val="20"/>
                <w:color w:val="auto"/>
              </w:rPr>
            </w:pPr>
            <w:r>
              <w:rPr>
                <w:rFonts w:ascii="Arial" w:cs="Arial" w:eastAsia="Arial" w:hAnsi="Arial"/>
                <w:sz w:val="11"/>
                <w:szCs w:val="11"/>
                <w:b w:val="1"/>
                <w:bCs w:val="1"/>
                <w:color w:val="auto"/>
                <w:w w:val="87"/>
              </w:rPr>
              <w:t>Nature of Business</w:t>
            </w:r>
          </w:p>
        </w:tc>
        <w:tc>
          <w:tcPr>
            <w:tcW w:w="1620" w:type="dxa"/>
            <w:vAlign w:val="bottom"/>
            <w:gridSpan w:val="2"/>
          </w:tcPr>
          <w:p>
            <w:pPr>
              <w:jc w:val="center"/>
              <w:ind w:right="200"/>
              <w:spacing w:after="0" w:line="125" w:lineRule="exact"/>
              <w:rPr>
                <w:sz w:val="20"/>
                <w:szCs w:val="20"/>
                <w:color w:val="auto"/>
              </w:rPr>
            </w:pPr>
            <w:r>
              <w:rPr>
                <w:rFonts w:ascii="Arial" w:cs="Arial" w:eastAsia="Arial" w:hAnsi="Arial"/>
                <w:sz w:val="11"/>
                <w:szCs w:val="11"/>
                <w:b w:val="1"/>
                <w:bCs w:val="1"/>
                <w:color w:val="auto"/>
                <w:w w:val="95"/>
              </w:rPr>
              <w:t>Interest(1), Maturity</w:t>
            </w:r>
          </w:p>
        </w:tc>
        <w:tc>
          <w:tcPr>
            <w:tcW w:w="1100" w:type="dxa"/>
            <w:vAlign w:val="bottom"/>
            <w:gridSpan w:val="2"/>
          </w:tcPr>
          <w:p>
            <w:pPr>
              <w:jc w:val="right"/>
              <w:ind w:right="401"/>
              <w:spacing w:after="0" w:line="125" w:lineRule="exact"/>
              <w:rPr>
                <w:sz w:val="20"/>
                <w:szCs w:val="20"/>
                <w:color w:val="auto"/>
              </w:rPr>
            </w:pPr>
            <w:r>
              <w:rPr>
                <w:rFonts w:ascii="Arial" w:cs="Arial" w:eastAsia="Arial" w:hAnsi="Arial"/>
                <w:sz w:val="11"/>
                <w:szCs w:val="11"/>
                <w:b w:val="1"/>
                <w:bCs w:val="1"/>
                <w:color w:val="auto"/>
                <w:w w:val="90"/>
              </w:rPr>
              <w:t>Ownership(2)</w:t>
            </w:r>
          </w:p>
        </w:tc>
        <w:tc>
          <w:tcPr>
            <w:tcW w:w="7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w w:val="97"/>
              </w:rPr>
              <w:t>(in thousands)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420" w:type="dxa"/>
            <w:vAlign w:val="bottom"/>
            <w:tcBorders>
              <w:top w:val="single" w:sz="8" w:color="auto"/>
            </w:tcBorders>
            <w:shd w:val="clear" w:color="auto" w:fill="CCEEFF"/>
          </w:tcPr>
          <w:p>
            <w:pPr>
              <w:spacing w:after="0" w:line="74" w:lineRule="exact"/>
              <w:rPr>
                <w:sz w:val="20"/>
                <w:szCs w:val="20"/>
                <w:color w:val="auto"/>
              </w:rPr>
            </w:pPr>
            <w:r>
              <w:rPr>
                <w:rFonts w:ascii="Arial" w:cs="Arial" w:eastAsia="Arial" w:hAnsi="Arial"/>
                <w:sz w:val="8"/>
                <w:szCs w:val="8"/>
                <w:color w:val="auto"/>
              </w:rPr>
              <w:t>MailSouth, Inc.</w:t>
            </w:r>
          </w:p>
        </w:tc>
        <w:tc>
          <w:tcPr>
            <w:tcW w:w="108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auto"/>
            </w:tcBorders>
            <w:shd w:val="clear" w:color="auto" w:fill="CCEEFF"/>
          </w:tcPr>
          <w:p>
            <w:pPr>
              <w:jc w:val="center"/>
              <w:spacing w:after="0" w:line="74" w:lineRule="exact"/>
              <w:rPr>
                <w:sz w:val="20"/>
                <w:szCs w:val="20"/>
                <w:color w:val="auto"/>
              </w:rPr>
            </w:pPr>
            <w:r>
              <w:rPr>
                <w:rFonts w:ascii="Arial" w:cs="Arial" w:eastAsia="Arial" w:hAnsi="Arial"/>
                <w:sz w:val="8"/>
                <w:szCs w:val="8"/>
                <w:color w:val="auto"/>
              </w:rPr>
              <w:t>Media: Advertising,</w:t>
            </w:r>
          </w:p>
        </w:tc>
        <w:tc>
          <w:tcPr>
            <w:tcW w:w="1360" w:type="dxa"/>
            <w:vAlign w:val="bottom"/>
            <w:tcBorders>
              <w:top w:val="single" w:sz="8" w:color="CCEEFF"/>
            </w:tcBorders>
            <w:shd w:val="clear" w:color="auto" w:fill="CCEEFF"/>
          </w:tcPr>
          <w:p>
            <w:pPr>
              <w:spacing w:after="0"/>
              <w:rPr>
                <w:sz w:val="6"/>
                <w:szCs w:val="6"/>
                <w:color w:val="auto"/>
              </w:rPr>
            </w:pPr>
          </w:p>
        </w:tc>
        <w:tc>
          <w:tcPr>
            <w:tcW w:w="1440" w:type="dxa"/>
            <w:vAlign w:val="bottom"/>
            <w:tcBorders>
              <w:top w:val="single" w:sz="8" w:color="auto"/>
            </w:tcBorders>
            <w:shd w:val="clear" w:color="auto" w:fill="CCEEFF"/>
          </w:tcPr>
          <w:p>
            <w:pPr>
              <w:jc w:val="center"/>
              <w:spacing w:after="0" w:line="74" w:lineRule="exact"/>
              <w:rPr>
                <w:sz w:val="20"/>
                <w:szCs w:val="20"/>
                <w:color w:val="auto"/>
              </w:rPr>
            </w:pPr>
            <w:r>
              <w:rPr>
                <w:rFonts w:ascii="Arial" w:cs="Arial" w:eastAsia="Arial" w:hAnsi="Arial"/>
                <w:sz w:val="8"/>
                <w:szCs w:val="8"/>
                <w:color w:val="auto"/>
              </w:rPr>
              <w:t>Second Lien Secured Debt,</w:t>
            </w:r>
          </w:p>
        </w:tc>
        <w:tc>
          <w:tcPr>
            <w:tcW w:w="18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jc w:val="right"/>
              <w:spacing w:after="0" w:line="74" w:lineRule="exact"/>
              <w:rPr>
                <w:sz w:val="20"/>
                <w:szCs w:val="20"/>
                <w:color w:val="auto"/>
              </w:rPr>
            </w:pPr>
            <w:r>
              <w:rPr>
                <w:rFonts w:ascii="Arial" w:cs="Arial" w:eastAsia="Arial" w:hAnsi="Arial"/>
                <w:sz w:val="8"/>
                <w:szCs w:val="8"/>
                <w:color w:val="auto"/>
              </w:rPr>
              <w:t>4.0</w:t>
            </w:r>
          </w:p>
        </w:tc>
        <w:tc>
          <w:tcPr>
            <w:tcW w:w="440" w:type="dxa"/>
            <w:vAlign w:val="bottom"/>
            <w:tcBorders>
              <w:top w:val="single" w:sz="8" w:color="CCEEFF"/>
            </w:tcBorders>
            <w:shd w:val="clear" w:color="auto" w:fill="CCEEFF"/>
          </w:tcPr>
          <w:p>
            <w:pPr>
              <w:jc w:val="right"/>
              <w:ind w:right="181"/>
              <w:spacing w:after="0" w:line="74" w:lineRule="exact"/>
              <w:rPr>
                <w:sz w:val="20"/>
                <w:szCs w:val="20"/>
                <w:color w:val="auto"/>
              </w:rPr>
            </w:pPr>
            <w:r>
              <w:rPr>
                <w:rFonts w:ascii="Arial" w:cs="Arial" w:eastAsia="Arial" w:hAnsi="Arial"/>
                <w:sz w:val="8"/>
                <w:szCs w:val="8"/>
                <w:color w:val="auto"/>
              </w:rPr>
              <w:t>%(3)</w:t>
            </w:r>
          </w:p>
        </w:tc>
        <w:tc>
          <w:tcPr>
            <w:tcW w:w="80" w:type="dxa"/>
            <w:vAlign w:val="bottom"/>
            <w:tcBorders>
              <w:top w:val="single" w:sz="8" w:color="auto"/>
            </w:tcBorders>
            <w:shd w:val="clear" w:color="auto" w:fill="CCEEFF"/>
          </w:tcPr>
          <w:p>
            <w:pPr>
              <w:spacing w:after="0" w:line="74" w:lineRule="exact"/>
              <w:rPr>
                <w:sz w:val="20"/>
                <w:szCs w:val="20"/>
                <w:color w:val="auto"/>
              </w:rPr>
            </w:pPr>
            <w:r>
              <w:rPr>
                <w:rFonts w:ascii="Arial" w:cs="Arial" w:eastAsia="Arial" w:hAnsi="Arial"/>
                <w:sz w:val="8"/>
                <w:szCs w:val="8"/>
                <w:color w:val="auto"/>
              </w:rPr>
              <w:t>$</w:t>
            </w:r>
          </w:p>
        </w:tc>
        <w:tc>
          <w:tcPr>
            <w:tcW w:w="600" w:type="dxa"/>
            <w:vAlign w:val="bottom"/>
            <w:tcBorders>
              <w:top w:val="single" w:sz="8" w:color="auto"/>
            </w:tcBorders>
            <w:shd w:val="clear" w:color="auto" w:fill="CCEEFF"/>
          </w:tcPr>
          <w:p>
            <w:pPr>
              <w:ind w:left="440"/>
              <w:spacing w:after="0" w:line="74" w:lineRule="exact"/>
              <w:rPr>
                <w:sz w:val="20"/>
                <w:szCs w:val="20"/>
                <w:color w:val="auto"/>
              </w:rPr>
            </w:pPr>
            <w:r>
              <w:rPr>
                <w:rFonts w:ascii="Arial" w:cs="Arial" w:eastAsia="Arial" w:hAnsi="Arial"/>
                <w:sz w:val="8"/>
                <w:szCs w:val="8"/>
                <w:color w:val="auto"/>
              </w:rPr>
              <w:t>—</w:t>
            </w:r>
          </w:p>
        </w:tc>
        <w:tc>
          <w:tcPr>
            <w:tcW w:w="8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(MSpark, LLC)</w:t>
            </w:r>
          </w:p>
        </w:tc>
        <w:tc>
          <w:tcPr>
            <w:tcW w:w="2460" w:type="dxa"/>
            <w:vAlign w:val="bottom"/>
            <w:gridSpan w:val="2"/>
            <w:shd w:val="clear" w:color="auto" w:fill="CCEEFF"/>
          </w:tcPr>
          <w:p>
            <w:pPr>
              <w:jc w:val="center"/>
              <w:ind w:right="1380"/>
              <w:spacing w:after="0" w:line="114" w:lineRule="exact"/>
              <w:rPr>
                <w:sz w:val="20"/>
                <w:szCs w:val="20"/>
                <w:color w:val="auto"/>
              </w:rPr>
            </w:pPr>
            <w:r>
              <w:rPr>
                <w:rFonts w:ascii="Arial" w:cs="Arial" w:eastAsia="Arial" w:hAnsi="Arial"/>
                <w:sz w:val="11"/>
                <w:szCs w:val="11"/>
                <w:color w:val="auto"/>
                <w:w w:val="92"/>
              </w:rPr>
              <w:t>Printing and Publishing</w:t>
            </w:r>
          </w:p>
        </w:tc>
        <w:tc>
          <w:tcPr>
            <w:tcW w:w="1620" w:type="dxa"/>
            <w:vAlign w:val="bottom"/>
            <w:gridSpan w:val="2"/>
            <w:shd w:val="clear" w:color="auto" w:fill="CCEEFF"/>
          </w:tcPr>
          <w:p>
            <w:pPr>
              <w:jc w:val="center"/>
              <w:ind w:right="200"/>
              <w:spacing w:after="0" w:line="114" w:lineRule="exact"/>
              <w:rPr>
                <w:sz w:val="20"/>
                <w:szCs w:val="20"/>
                <w:color w:val="auto"/>
              </w:rPr>
            </w:pPr>
            <w:r>
              <w:rPr>
                <w:rFonts w:ascii="Arial" w:cs="Arial" w:eastAsia="Arial" w:hAnsi="Arial"/>
                <w:sz w:val="11"/>
                <w:szCs w:val="11"/>
                <w:color w:val="auto"/>
                <w:w w:val="92"/>
              </w:rPr>
              <w:t>—(PIK 15.0%), 04/23/2025</w:t>
            </w:r>
          </w:p>
        </w:tc>
        <w:tc>
          <w:tcPr>
            <w:tcW w:w="6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5901 Highway 52 East</w:t>
            </w:r>
          </w:p>
        </w:tc>
        <w:tc>
          <w:tcPr>
            <w:tcW w:w="1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200"/>
              <w:spacing w:after="0" w:line="114" w:lineRule="exact"/>
              <w:rPr>
                <w:sz w:val="20"/>
                <w:szCs w:val="20"/>
                <w:color w:val="auto"/>
              </w:rPr>
            </w:pPr>
            <w:r>
              <w:rPr>
                <w:rFonts w:ascii="Arial" w:cs="Arial" w:eastAsia="Arial" w:hAnsi="Arial"/>
                <w:sz w:val="11"/>
                <w:szCs w:val="11"/>
                <w:color w:val="auto"/>
                <w:w w:val="94"/>
              </w:rPr>
              <w:t>Common Equity</w:t>
            </w:r>
          </w:p>
        </w:tc>
        <w:tc>
          <w:tcPr>
            <w:tcW w:w="6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Helena, AL 35080</w:t>
            </w:r>
          </w:p>
        </w:tc>
        <w:tc>
          <w:tcPr>
            <w:tcW w:w="11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520" w:type="dxa"/>
            <w:vAlign w:val="bottom"/>
            <w:gridSpan w:val="3"/>
          </w:tcPr>
          <w:p>
            <w:pPr>
              <w:spacing w:after="0"/>
              <w:rPr>
                <w:sz w:val="20"/>
                <w:szCs w:val="20"/>
                <w:color w:val="auto"/>
              </w:rPr>
            </w:pPr>
            <w:r>
              <w:rPr>
                <w:rFonts w:ascii="Arial" w:cs="Arial" w:eastAsia="Arial" w:hAnsi="Arial"/>
                <w:sz w:val="11"/>
                <w:szCs w:val="11"/>
                <w:color w:val="auto"/>
              </w:rPr>
              <w:t>MAG DS Corp.</w:t>
            </w:r>
          </w:p>
        </w:tc>
        <w:tc>
          <w:tcPr>
            <w:tcW w:w="2460" w:type="dxa"/>
            <w:vAlign w:val="bottom"/>
            <w:gridSpan w:val="2"/>
          </w:tcPr>
          <w:p>
            <w:pPr>
              <w:jc w:val="center"/>
              <w:ind w:right="1380"/>
              <w:spacing w:after="0"/>
              <w:rPr>
                <w:sz w:val="20"/>
                <w:szCs w:val="20"/>
                <w:color w:val="auto"/>
              </w:rPr>
            </w:pPr>
            <w:r>
              <w:rPr>
                <w:rFonts w:ascii="Arial" w:cs="Arial" w:eastAsia="Arial" w:hAnsi="Arial"/>
                <w:sz w:val="11"/>
                <w:szCs w:val="11"/>
                <w:color w:val="auto"/>
                <w:w w:val="88"/>
              </w:rPr>
              <w:t>Aerospace and Defense</w:t>
            </w:r>
          </w:p>
        </w:tc>
        <w:tc>
          <w:tcPr>
            <w:tcW w:w="1620" w:type="dxa"/>
            <w:vAlign w:val="bottom"/>
            <w:gridSpan w:val="2"/>
          </w:tcPr>
          <w:p>
            <w:pPr>
              <w:jc w:val="center"/>
              <w:ind w:right="200"/>
              <w:spacing w:after="0"/>
              <w:rPr>
                <w:sz w:val="20"/>
                <w:szCs w:val="20"/>
                <w:color w:val="auto"/>
              </w:rPr>
            </w:pPr>
            <w:r>
              <w:rPr>
                <w:rFonts w:ascii="Arial" w:cs="Arial" w:eastAsia="Arial" w:hAnsi="Arial"/>
                <w:sz w:val="11"/>
                <w:szCs w:val="11"/>
                <w:color w:val="auto"/>
                <w:w w:val="92"/>
              </w:rPr>
              <w:t>First Lien Secured Debt,</w:t>
            </w:r>
          </w:p>
        </w:tc>
        <w:tc>
          <w:tcPr>
            <w:tcW w:w="1100" w:type="dxa"/>
            <w:vAlign w:val="bottom"/>
            <w:gridSpan w:val="2"/>
          </w:tcPr>
          <w:p>
            <w:pPr>
              <w:jc w:val="right"/>
              <w:ind w:right="461"/>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3,379</w:t>
            </w:r>
          </w:p>
        </w:tc>
        <w:tc>
          <w:tcPr>
            <w:tcW w:w="0" w:type="dxa"/>
            <w:vAlign w:val="bottom"/>
          </w:tcPr>
          <w:p>
            <w:pPr>
              <w:spacing w:after="0"/>
              <w:rPr>
                <w:sz w:val="1"/>
                <w:szCs w:val="1"/>
                <w:color w:val="auto"/>
              </w:rPr>
            </w:pPr>
          </w:p>
        </w:tc>
      </w:tr>
      <w:tr>
        <w:trPr>
          <w:trHeight w:val="114"/>
        </w:trPr>
        <w:tc>
          <w:tcPr>
            <w:tcW w:w="2520" w:type="dxa"/>
            <w:vAlign w:val="bottom"/>
            <w:gridSpan w:val="3"/>
          </w:tcPr>
          <w:p>
            <w:pPr>
              <w:spacing w:after="0" w:line="114" w:lineRule="exact"/>
              <w:rPr>
                <w:sz w:val="20"/>
                <w:szCs w:val="20"/>
                <w:color w:val="auto"/>
              </w:rPr>
            </w:pPr>
            <w:r>
              <w:rPr>
                <w:rFonts w:ascii="Arial" w:cs="Arial" w:eastAsia="Arial" w:hAnsi="Arial"/>
                <w:sz w:val="11"/>
                <w:szCs w:val="11"/>
                <w:color w:val="auto"/>
              </w:rPr>
              <w:t>12730 Fair Lakes Cir Suite 600</w:t>
            </w:r>
          </w:p>
        </w:tc>
        <w:tc>
          <w:tcPr>
            <w:tcW w:w="1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20" w:type="dxa"/>
            <w:vAlign w:val="bottom"/>
            <w:gridSpan w:val="2"/>
          </w:tcPr>
          <w:p>
            <w:pPr>
              <w:jc w:val="center"/>
              <w:ind w:right="200"/>
              <w:spacing w:after="0" w:line="114" w:lineRule="exact"/>
              <w:rPr>
                <w:sz w:val="20"/>
                <w:szCs w:val="20"/>
                <w:color w:val="auto"/>
              </w:rPr>
            </w:pPr>
            <w:r>
              <w:rPr>
                <w:rFonts w:ascii="Arial" w:cs="Arial" w:eastAsia="Arial" w:hAnsi="Arial"/>
                <w:sz w:val="11"/>
                <w:szCs w:val="11"/>
                <w:color w:val="auto"/>
                <w:w w:val="92"/>
              </w:rPr>
              <w:t>1M L+550, 04/01/2027</w:t>
            </w: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520" w:type="dxa"/>
            <w:vAlign w:val="bottom"/>
            <w:gridSpan w:val="3"/>
          </w:tcPr>
          <w:p>
            <w:pPr>
              <w:spacing w:after="0"/>
              <w:rPr>
                <w:sz w:val="20"/>
                <w:szCs w:val="20"/>
                <w:color w:val="auto"/>
              </w:rPr>
            </w:pPr>
            <w:r>
              <w:rPr>
                <w:rFonts w:ascii="Arial" w:cs="Arial" w:eastAsia="Arial" w:hAnsi="Arial"/>
                <w:sz w:val="11"/>
                <w:szCs w:val="11"/>
                <w:color w:val="auto"/>
              </w:rPr>
              <w:t>Fairfax, VA 22033</w:t>
            </w: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250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Mars Acquisition Holdings Corp.</w:t>
            </w:r>
          </w:p>
        </w:tc>
        <w:tc>
          <w:tcPr>
            <w:tcW w:w="2460" w:type="dxa"/>
            <w:vAlign w:val="bottom"/>
            <w:gridSpan w:val="2"/>
            <w:shd w:val="clear" w:color="auto" w:fill="CCEEFF"/>
          </w:tcPr>
          <w:p>
            <w:pPr>
              <w:jc w:val="center"/>
              <w:ind w:right="1380"/>
              <w:spacing w:after="0" w:line="101" w:lineRule="exact"/>
              <w:rPr>
                <w:sz w:val="20"/>
                <w:szCs w:val="20"/>
                <w:color w:val="auto"/>
              </w:rPr>
            </w:pPr>
            <w:r>
              <w:rPr>
                <w:rFonts w:ascii="Arial" w:cs="Arial" w:eastAsia="Arial" w:hAnsi="Arial"/>
                <w:sz w:val="11"/>
                <w:szCs w:val="11"/>
                <w:color w:val="auto"/>
                <w:w w:val="93"/>
              </w:rPr>
              <w:t>Media</w:t>
            </w:r>
          </w:p>
        </w:tc>
        <w:tc>
          <w:tcPr>
            <w:tcW w:w="1620" w:type="dxa"/>
            <w:vAlign w:val="bottom"/>
            <w:gridSpan w:val="2"/>
            <w:shd w:val="clear" w:color="auto" w:fill="CCEEFF"/>
          </w:tcPr>
          <w:p>
            <w:pPr>
              <w:jc w:val="center"/>
              <w:ind w:right="200"/>
              <w:spacing w:after="0" w:line="101" w:lineRule="exact"/>
              <w:rPr>
                <w:sz w:val="20"/>
                <w:szCs w:val="20"/>
                <w:color w:val="auto"/>
              </w:rPr>
            </w:pPr>
            <w:r>
              <w:rPr>
                <w:rFonts w:ascii="Arial" w:cs="Arial" w:eastAsia="Arial" w:hAnsi="Arial"/>
                <w:sz w:val="11"/>
                <w:szCs w:val="11"/>
                <w:color w:val="auto"/>
                <w:w w:val="92"/>
              </w:rPr>
              <w:t>First Lien Secured Debt(4),</w:t>
            </w:r>
          </w:p>
        </w:tc>
        <w:tc>
          <w:tcPr>
            <w:tcW w:w="1100" w:type="dxa"/>
            <w:vAlign w:val="bottom"/>
            <w:gridSpan w:val="2"/>
            <w:shd w:val="clear" w:color="auto" w:fill="CCEEFF"/>
          </w:tcPr>
          <w:p>
            <w:pPr>
              <w:jc w:val="right"/>
              <w:ind w:right="461"/>
              <w:spacing w:after="0" w:line="10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11"/>
                <w:szCs w:val="11"/>
                <w:color w:val="auto"/>
              </w:rPr>
              <w:t>7,244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(Mars Intermediate Holdings II, Inc.)</w:t>
            </w:r>
          </w:p>
        </w:tc>
        <w:tc>
          <w:tcPr>
            <w:tcW w:w="1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200"/>
              <w:spacing w:after="0" w:line="114" w:lineRule="exact"/>
              <w:rPr>
                <w:sz w:val="20"/>
                <w:szCs w:val="20"/>
                <w:color w:val="auto"/>
              </w:rPr>
            </w:pPr>
            <w:r>
              <w:rPr>
                <w:rFonts w:ascii="Arial" w:cs="Arial" w:eastAsia="Arial" w:hAnsi="Arial"/>
                <w:sz w:val="11"/>
                <w:szCs w:val="11"/>
                <w:color w:val="auto"/>
                <w:w w:val="92"/>
              </w:rPr>
              <w:t>3M L+550, 05/14/2026</w:t>
            </w:r>
          </w:p>
        </w:tc>
        <w:tc>
          <w:tcPr>
            <w:tcW w:w="6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25200 Telegraph Rd., 5th Floor</w:t>
            </w:r>
          </w:p>
        </w:tc>
        <w:tc>
          <w:tcPr>
            <w:tcW w:w="1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200"/>
              <w:spacing w:after="0" w:line="114" w:lineRule="exact"/>
              <w:rPr>
                <w:sz w:val="20"/>
                <w:szCs w:val="20"/>
                <w:color w:val="auto"/>
              </w:rPr>
            </w:pPr>
            <w:r>
              <w:rPr>
                <w:rFonts w:ascii="Arial" w:cs="Arial" w:eastAsia="Arial" w:hAnsi="Arial"/>
                <w:sz w:val="11"/>
                <w:szCs w:val="11"/>
                <w:color w:val="auto"/>
                <w:w w:val="93"/>
              </w:rPr>
              <w:t>Preferred Equity</w:t>
            </w:r>
          </w:p>
        </w:tc>
        <w:tc>
          <w:tcPr>
            <w:tcW w:w="6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Southfield, MI 48033</w:t>
            </w:r>
          </w:p>
        </w:tc>
        <w:tc>
          <w:tcPr>
            <w:tcW w:w="11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20" w:type="dxa"/>
            <w:vAlign w:val="bottom"/>
            <w:gridSpan w:val="2"/>
            <w:shd w:val="clear" w:color="auto" w:fill="CCEEFF"/>
          </w:tcPr>
          <w:p>
            <w:pPr>
              <w:jc w:val="center"/>
              <w:ind w:right="200"/>
              <w:spacing w:after="0"/>
              <w:rPr>
                <w:sz w:val="20"/>
                <w:szCs w:val="20"/>
                <w:color w:val="auto"/>
              </w:rPr>
            </w:pPr>
            <w:r>
              <w:rPr>
                <w:rFonts w:ascii="Arial" w:cs="Arial" w:eastAsia="Arial" w:hAnsi="Arial"/>
                <w:sz w:val="11"/>
                <w:szCs w:val="11"/>
                <w:color w:val="auto"/>
                <w:w w:val="94"/>
              </w:rPr>
              <w:t>Common Equity</w:t>
            </w: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520" w:type="dxa"/>
            <w:vAlign w:val="bottom"/>
            <w:gridSpan w:val="3"/>
          </w:tcPr>
          <w:p>
            <w:pPr>
              <w:spacing w:after="0"/>
              <w:rPr>
                <w:sz w:val="20"/>
                <w:szCs w:val="20"/>
                <w:color w:val="auto"/>
              </w:rPr>
            </w:pPr>
            <w:r>
              <w:rPr>
                <w:rFonts w:ascii="Arial" w:cs="Arial" w:eastAsia="Arial" w:hAnsi="Arial"/>
                <w:sz w:val="11"/>
                <w:szCs w:val="11"/>
                <w:color w:val="auto"/>
              </w:rPr>
              <w:t>MBS Holdings, Inc.</w:t>
            </w:r>
          </w:p>
        </w:tc>
        <w:tc>
          <w:tcPr>
            <w:tcW w:w="2460" w:type="dxa"/>
            <w:vAlign w:val="bottom"/>
            <w:gridSpan w:val="2"/>
          </w:tcPr>
          <w:p>
            <w:pPr>
              <w:jc w:val="center"/>
              <w:ind w:right="1380"/>
              <w:spacing w:after="0"/>
              <w:rPr>
                <w:sz w:val="20"/>
                <w:szCs w:val="20"/>
                <w:color w:val="auto"/>
              </w:rPr>
            </w:pPr>
            <w:r>
              <w:rPr>
                <w:rFonts w:ascii="Arial" w:cs="Arial" w:eastAsia="Arial" w:hAnsi="Arial"/>
                <w:sz w:val="11"/>
                <w:szCs w:val="11"/>
                <w:color w:val="auto"/>
                <w:w w:val="91"/>
              </w:rPr>
              <w:t>Internet Software and</w:t>
            </w:r>
          </w:p>
        </w:tc>
        <w:tc>
          <w:tcPr>
            <w:tcW w:w="1620" w:type="dxa"/>
            <w:vAlign w:val="bottom"/>
            <w:gridSpan w:val="2"/>
          </w:tcPr>
          <w:p>
            <w:pPr>
              <w:jc w:val="center"/>
              <w:ind w:right="200"/>
              <w:spacing w:after="0"/>
              <w:rPr>
                <w:sz w:val="20"/>
                <w:szCs w:val="20"/>
                <w:color w:val="auto"/>
              </w:rPr>
            </w:pPr>
            <w:r>
              <w:rPr>
                <w:rFonts w:ascii="Arial" w:cs="Arial" w:eastAsia="Arial" w:hAnsi="Arial"/>
                <w:sz w:val="11"/>
                <w:szCs w:val="11"/>
                <w:color w:val="auto"/>
                <w:w w:val="92"/>
              </w:rPr>
              <w:t>First Lien Secured Debt(4),</w:t>
            </w:r>
          </w:p>
        </w:tc>
        <w:tc>
          <w:tcPr>
            <w:tcW w:w="1100" w:type="dxa"/>
            <w:vAlign w:val="bottom"/>
            <w:gridSpan w:val="2"/>
          </w:tcPr>
          <w:p>
            <w:pPr>
              <w:jc w:val="right"/>
              <w:ind w:right="461"/>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14"/>
        </w:trPr>
        <w:tc>
          <w:tcPr>
            <w:tcW w:w="2520" w:type="dxa"/>
            <w:vAlign w:val="bottom"/>
            <w:gridSpan w:val="3"/>
          </w:tcPr>
          <w:p>
            <w:pPr>
              <w:spacing w:after="0" w:line="114" w:lineRule="exact"/>
              <w:rPr>
                <w:sz w:val="20"/>
                <w:szCs w:val="20"/>
                <w:color w:val="auto"/>
              </w:rPr>
            </w:pPr>
            <w:r>
              <w:rPr>
                <w:rFonts w:ascii="Arial" w:cs="Arial" w:eastAsia="Arial" w:hAnsi="Arial"/>
                <w:sz w:val="11"/>
                <w:szCs w:val="11"/>
                <w:color w:val="auto"/>
              </w:rPr>
              <w:t>880 Montclair Road Suite 400</w:t>
            </w:r>
          </w:p>
        </w:tc>
        <w:tc>
          <w:tcPr>
            <w:tcW w:w="2460" w:type="dxa"/>
            <w:vAlign w:val="bottom"/>
            <w:gridSpan w:val="2"/>
          </w:tcPr>
          <w:p>
            <w:pPr>
              <w:jc w:val="center"/>
              <w:ind w:right="1380"/>
              <w:spacing w:after="0" w:line="114" w:lineRule="exact"/>
              <w:rPr>
                <w:sz w:val="20"/>
                <w:szCs w:val="20"/>
                <w:color w:val="auto"/>
              </w:rPr>
            </w:pPr>
            <w:r>
              <w:rPr>
                <w:rFonts w:ascii="Arial" w:cs="Arial" w:eastAsia="Arial" w:hAnsi="Arial"/>
                <w:sz w:val="11"/>
                <w:szCs w:val="11"/>
                <w:color w:val="auto"/>
                <w:w w:val="85"/>
              </w:rPr>
              <w:t>Services</w:t>
            </w:r>
          </w:p>
        </w:tc>
        <w:tc>
          <w:tcPr>
            <w:tcW w:w="1620" w:type="dxa"/>
            <w:vAlign w:val="bottom"/>
            <w:gridSpan w:val="2"/>
          </w:tcPr>
          <w:p>
            <w:pPr>
              <w:jc w:val="center"/>
              <w:ind w:right="200"/>
              <w:spacing w:after="0" w:line="114" w:lineRule="exact"/>
              <w:rPr>
                <w:sz w:val="20"/>
                <w:szCs w:val="20"/>
                <w:color w:val="auto"/>
              </w:rPr>
            </w:pPr>
            <w:r>
              <w:rPr>
                <w:rFonts w:ascii="Arial" w:cs="Arial" w:eastAsia="Arial" w:hAnsi="Arial"/>
                <w:sz w:val="11"/>
                <w:szCs w:val="11"/>
                <w:color w:val="auto"/>
                <w:w w:val="91"/>
              </w:rPr>
              <w:t>—, 04/16/2027</w:t>
            </w: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520" w:type="dxa"/>
            <w:vAlign w:val="bottom"/>
            <w:gridSpan w:val="3"/>
          </w:tcPr>
          <w:p>
            <w:pPr>
              <w:spacing w:after="0"/>
              <w:rPr>
                <w:sz w:val="20"/>
                <w:szCs w:val="20"/>
                <w:color w:val="auto"/>
              </w:rPr>
            </w:pPr>
            <w:r>
              <w:rPr>
                <w:rFonts w:ascii="Arial" w:cs="Arial" w:eastAsia="Arial" w:hAnsi="Arial"/>
                <w:sz w:val="11"/>
                <w:szCs w:val="11"/>
                <w:color w:val="auto"/>
              </w:rPr>
              <w:t>Birmingham, AL 35213</w:t>
            </w: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250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MDI Buyer, Inc.</w:t>
            </w:r>
          </w:p>
        </w:tc>
        <w:tc>
          <w:tcPr>
            <w:tcW w:w="2460" w:type="dxa"/>
            <w:vAlign w:val="bottom"/>
            <w:gridSpan w:val="2"/>
            <w:shd w:val="clear" w:color="auto" w:fill="CCEEFF"/>
          </w:tcPr>
          <w:p>
            <w:pPr>
              <w:jc w:val="center"/>
              <w:ind w:right="1360"/>
              <w:spacing w:after="0" w:line="101" w:lineRule="exact"/>
              <w:rPr>
                <w:sz w:val="20"/>
                <w:szCs w:val="20"/>
                <w:color w:val="auto"/>
              </w:rPr>
            </w:pPr>
            <w:r>
              <w:rPr>
                <w:rFonts w:ascii="Arial" w:cs="Arial" w:eastAsia="Arial" w:hAnsi="Arial"/>
                <w:sz w:val="11"/>
                <w:szCs w:val="11"/>
                <w:color w:val="auto"/>
                <w:w w:val="92"/>
              </w:rPr>
              <w:t>Commodity Chemicals</w:t>
            </w:r>
          </w:p>
        </w:tc>
        <w:tc>
          <w:tcPr>
            <w:tcW w:w="1620" w:type="dxa"/>
            <w:vAlign w:val="bottom"/>
            <w:gridSpan w:val="2"/>
            <w:shd w:val="clear" w:color="auto" w:fill="CCEEFF"/>
          </w:tcPr>
          <w:p>
            <w:pPr>
              <w:jc w:val="center"/>
              <w:ind w:right="200"/>
              <w:spacing w:after="0" w:line="101" w:lineRule="exact"/>
              <w:rPr>
                <w:sz w:val="20"/>
                <w:szCs w:val="20"/>
                <w:color w:val="auto"/>
              </w:rPr>
            </w:pPr>
            <w:r>
              <w:rPr>
                <w:rFonts w:ascii="Arial" w:cs="Arial" w:eastAsia="Arial" w:hAnsi="Arial"/>
                <w:sz w:val="11"/>
                <w:szCs w:val="11"/>
                <w:color w:val="auto"/>
                <w:w w:val="92"/>
              </w:rPr>
              <w:t>First Lien Secured Debt(4),</w:t>
            </w:r>
          </w:p>
        </w:tc>
        <w:tc>
          <w:tcPr>
            <w:tcW w:w="1100" w:type="dxa"/>
            <w:vAlign w:val="bottom"/>
            <w:gridSpan w:val="2"/>
            <w:shd w:val="clear" w:color="auto" w:fill="CCEEFF"/>
          </w:tcPr>
          <w:p>
            <w:pPr>
              <w:jc w:val="right"/>
              <w:ind w:right="301"/>
              <w:spacing w:after="0" w:line="101" w:lineRule="exact"/>
              <w:rPr>
                <w:sz w:val="20"/>
                <w:szCs w:val="20"/>
                <w:color w:val="auto"/>
              </w:rPr>
            </w:pPr>
            <w:r>
              <w:rPr>
                <w:rFonts w:ascii="Arial" w:cs="Arial" w:eastAsia="Arial" w:hAnsi="Arial"/>
                <w:sz w:val="11"/>
                <w:szCs w:val="11"/>
                <w:color w:val="auto"/>
              </w:rPr>
              <w:t>0.6%</w:t>
            </w:r>
          </w:p>
        </w:tc>
        <w:tc>
          <w:tcPr>
            <w:tcW w:w="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11"/>
                <w:szCs w:val="11"/>
                <w:color w:val="auto"/>
              </w:rPr>
              <w:t>643</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(MDI Aggregator, LP)</w:t>
            </w:r>
          </w:p>
        </w:tc>
        <w:tc>
          <w:tcPr>
            <w:tcW w:w="1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200"/>
              <w:spacing w:after="0" w:line="114" w:lineRule="exact"/>
              <w:rPr>
                <w:sz w:val="20"/>
                <w:szCs w:val="20"/>
                <w:color w:val="auto"/>
              </w:rPr>
            </w:pPr>
            <w:r>
              <w:rPr>
                <w:rFonts w:ascii="Arial" w:cs="Arial" w:eastAsia="Arial" w:hAnsi="Arial"/>
                <w:sz w:val="11"/>
                <w:szCs w:val="11"/>
                <w:color w:val="auto"/>
                <w:w w:val="91"/>
              </w:rPr>
              <w:t>—, 07/25/2028</w:t>
            </w:r>
          </w:p>
        </w:tc>
        <w:tc>
          <w:tcPr>
            <w:tcW w:w="6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740 W Knox Road</w:t>
            </w:r>
          </w:p>
        </w:tc>
        <w:tc>
          <w:tcPr>
            <w:tcW w:w="1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200"/>
              <w:spacing w:after="0" w:line="114" w:lineRule="exact"/>
              <w:rPr>
                <w:sz w:val="20"/>
                <w:szCs w:val="20"/>
                <w:color w:val="auto"/>
              </w:rPr>
            </w:pPr>
            <w:r>
              <w:rPr>
                <w:rFonts w:ascii="Arial" w:cs="Arial" w:eastAsia="Arial" w:hAnsi="Arial"/>
                <w:sz w:val="11"/>
                <w:szCs w:val="11"/>
                <w:color w:val="auto"/>
                <w:w w:val="94"/>
              </w:rPr>
              <w:t>Common Equity</w:t>
            </w:r>
          </w:p>
        </w:tc>
        <w:tc>
          <w:tcPr>
            <w:tcW w:w="6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Tempe, AZ 85284</w:t>
            </w:r>
          </w:p>
        </w:tc>
        <w:tc>
          <w:tcPr>
            <w:tcW w:w="11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520" w:type="dxa"/>
            <w:vAlign w:val="bottom"/>
            <w:gridSpan w:val="3"/>
          </w:tcPr>
          <w:p>
            <w:pPr>
              <w:spacing w:after="0"/>
              <w:rPr>
                <w:sz w:val="20"/>
                <w:szCs w:val="20"/>
                <w:color w:val="auto"/>
              </w:rPr>
            </w:pPr>
            <w:r>
              <w:rPr>
                <w:rFonts w:ascii="Arial" w:cs="Arial" w:eastAsia="Arial" w:hAnsi="Arial"/>
                <w:sz w:val="11"/>
                <w:szCs w:val="11"/>
                <w:color w:val="auto"/>
              </w:rPr>
              <w:t>Meadowlark Acquirer, LLC</w:t>
            </w:r>
          </w:p>
        </w:tc>
        <w:tc>
          <w:tcPr>
            <w:tcW w:w="2460" w:type="dxa"/>
            <w:vAlign w:val="bottom"/>
            <w:gridSpan w:val="2"/>
          </w:tcPr>
          <w:p>
            <w:pPr>
              <w:jc w:val="center"/>
              <w:ind w:right="1380"/>
              <w:spacing w:after="0"/>
              <w:rPr>
                <w:sz w:val="20"/>
                <w:szCs w:val="20"/>
                <w:color w:val="auto"/>
              </w:rPr>
            </w:pPr>
            <w:r>
              <w:rPr>
                <w:rFonts w:ascii="Arial" w:cs="Arial" w:eastAsia="Arial" w:hAnsi="Arial"/>
                <w:sz w:val="11"/>
                <w:szCs w:val="11"/>
                <w:color w:val="auto"/>
                <w:w w:val="90"/>
              </w:rPr>
              <w:t>Professional Services</w:t>
            </w:r>
          </w:p>
        </w:tc>
        <w:tc>
          <w:tcPr>
            <w:tcW w:w="1620" w:type="dxa"/>
            <w:vAlign w:val="bottom"/>
            <w:gridSpan w:val="2"/>
          </w:tcPr>
          <w:p>
            <w:pPr>
              <w:jc w:val="center"/>
              <w:ind w:right="200"/>
              <w:spacing w:after="0"/>
              <w:rPr>
                <w:sz w:val="20"/>
                <w:szCs w:val="20"/>
                <w:color w:val="auto"/>
              </w:rPr>
            </w:pPr>
            <w:r>
              <w:rPr>
                <w:rFonts w:ascii="Arial" w:cs="Arial" w:eastAsia="Arial" w:hAnsi="Arial"/>
                <w:sz w:val="11"/>
                <w:szCs w:val="11"/>
                <w:color w:val="auto"/>
                <w:w w:val="92"/>
              </w:rPr>
              <w:t>First Lien Secured Debt(4),</w:t>
            </w:r>
          </w:p>
        </w:tc>
        <w:tc>
          <w:tcPr>
            <w:tcW w:w="1100" w:type="dxa"/>
            <w:vAlign w:val="bottom"/>
            <w:gridSpan w:val="2"/>
          </w:tcPr>
          <w:p>
            <w:pPr>
              <w:jc w:val="right"/>
              <w:ind w:right="181"/>
              <w:spacing w:after="0"/>
              <w:rPr>
                <w:sz w:val="20"/>
                <w:szCs w:val="20"/>
                <w:color w:val="auto"/>
              </w:rPr>
            </w:pPr>
            <w:r>
              <w:rPr>
                <w:rFonts w:ascii="Arial" w:cs="Arial" w:eastAsia="Arial" w:hAnsi="Arial"/>
                <w:sz w:val="11"/>
                <w:szCs w:val="11"/>
                <w:color w:val="auto"/>
              </w:rPr>
              <w:t>0.8%(3)</w:t>
            </w: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2,190</w:t>
            </w:r>
          </w:p>
        </w:tc>
        <w:tc>
          <w:tcPr>
            <w:tcW w:w="0" w:type="dxa"/>
            <w:vAlign w:val="bottom"/>
          </w:tcPr>
          <w:p>
            <w:pPr>
              <w:spacing w:after="0"/>
              <w:rPr>
                <w:sz w:val="1"/>
                <w:szCs w:val="1"/>
                <w:color w:val="auto"/>
              </w:rPr>
            </w:pPr>
          </w:p>
        </w:tc>
      </w:tr>
      <w:tr>
        <w:trPr>
          <w:trHeight w:val="114"/>
        </w:trPr>
        <w:tc>
          <w:tcPr>
            <w:tcW w:w="2520" w:type="dxa"/>
            <w:vAlign w:val="bottom"/>
            <w:gridSpan w:val="3"/>
          </w:tcPr>
          <w:p>
            <w:pPr>
              <w:spacing w:after="0" w:line="114" w:lineRule="exact"/>
              <w:rPr>
                <w:sz w:val="20"/>
                <w:szCs w:val="20"/>
                <w:color w:val="auto"/>
              </w:rPr>
            </w:pPr>
            <w:r>
              <w:rPr>
                <w:rFonts w:ascii="Arial" w:cs="Arial" w:eastAsia="Arial" w:hAnsi="Arial"/>
                <w:sz w:val="11"/>
                <w:szCs w:val="11"/>
                <w:color w:val="auto"/>
              </w:rPr>
              <w:t>(Meadowlark Title, LLC)</w:t>
            </w:r>
          </w:p>
        </w:tc>
        <w:tc>
          <w:tcPr>
            <w:tcW w:w="1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20" w:type="dxa"/>
            <w:vAlign w:val="bottom"/>
            <w:gridSpan w:val="2"/>
          </w:tcPr>
          <w:p>
            <w:pPr>
              <w:jc w:val="center"/>
              <w:ind w:right="200"/>
              <w:spacing w:after="0" w:line="114" w:lineRule="exact"/>
              <w:rPr>
                <w:sz w:val="20"/>
                <w:szCs w:val="20"/>
                <w:color w:val="auto"/>
              </w:rPr>
            </w:pPr>
            <w:r>
              <w:rPr>
                <w:rFonts w:ascii="Arial" w:cs="Arial" w:eastAsia="Arial" w:hAnsi="Arial"/>
                <w:sz w:val="11"/>
                <w:szCs w:val="11"/>
                <w:color w:val="auto"/>
                <w:w w:val="92"/>
              </w:rPr>
              <w:t>3M L+550, 12/10/2027</w:t>
            </w: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520" w:type="dxa"/>
            <w:vAlign w:val="bottom"/>
            <w:gridSpan w:val="3"/>
          </w:tcPr>
          <w:p>
            <w:pPr>
              <w:spacing w:after="0" w:line="114" w:lineRule="exact"/>
              <w:rPr>
                <w:sz w:val="20"/>
                <w:szCs w:val="20"/>
                <w:color w:val="auto"/>
              </w:rPr>
            </w:pPr>
            <w:r>
              <w:rPr>
                <w:rFonts w:ascii="Arial" w:cs="Arial" w:eastAsia="Arial" w:hAnsi="Arial"/>
                <w:sz w:val="11"/>
                <w:szCs w:val="11"/>
                <w:color w:val="auto"/>
              </w:rPr>
              <w:t>888 Boylston, Ste. 1600,</w:t>
            </w:r>
          </w:p>
        </w:tc>
        <w:tc>
          <w:tcPr>
            <w:tcW w:w="1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20" w:type="dxa"/>
            <w:vAlign w:val="bottom"/>
            <w:gridSpan w:val="2"/>
          </w:tcPr>
          <w:p>
            <w:pPr>
              <w:jc w:val="center"/>
              <w:ind w:right="200"/>
              <w:spacing w:after="0" w:line="114" w:lineRule="exact"/>
              <w:rPr>
                <w:sz w:val="20"/>
                <w:szCs w:val="20"/>
                <w:color w:val="auto"/>
              </w:rPr>
            </w:pPr>
            <w:r>
              <w:rPr>
                <w:rFonts w:ascii="Arial" w:cs="Arial" w:eastAsia="Arial" w:hAnsi="Arial"/>
                <w:sz w:val="11"/>
                <w:szCs w:val="11"/>
                <w:color w:val="auto"/>
                <w:w w:val="94"/>
              </w:rPr>
              <w:t>Common Equity</w:t>
            </w: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520" w:type="dxa"/>
            <w:vAlign w:val="bottom"/>
            <w:gridSpan w:val="3"/>
          </w:tcPr>
          <w:p>
            <w:pPr>
              <w:spacing w:after="0"/>
              <w:rPr>
                <w:sz w:val="20"/>
                <w:szCs w:val="20"/>
                <w:color w:val="auto"/>
              </w:rPr>
            </w:pPr>
            <w:r>
              <w:rPr>
                <w:rFonts w:ascii="Arial" w:cs="Arial" w:eastAsia="Arial" w:hAnsi="Arial"/>
                <w:sz w:val="11"/>
                <w:szCs w:val="11"/>
                <w:color w:val="auto"/>
              </w:rPr>
              <w:t>Boston, MA, 02199</w:t>
            </w: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250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Mission Critical Electronics, Inc.</w:t>
            </w:r>
          </w:p>
        </w:tc>
        <w:tc>
          <w:tcPr>
            <w:tcW w:w="2460" w:type="dxa"/>
            <w:vAlign w:val="bottom"/>
            <w:gridSpan w:val="2"/>
            <w:shd w:val="clear" w:color="auto" w:fill="CCEEFF"/>
          </w:tcPr>
          <w:p>
            <w:pPr>
              <w:jc w:val="center"/>
              <w:ind w:right="1380"/>
              <w:spacing w:after="0" w:line="101" w:lineRule="exact"/>
              <w:rPr>
                <w:sz w:val="20"/>
                <w:szCs w:val="20"/>
                <w:color w:val="auto"/>
              </w:rPr>
            </w:pPr>
            <w:r>
              <w:rPr>
                <w:rFonts w:ascii="Arial" w:cs="Arial" w:eastAsia="Arial" w:hAnsi="Arial"/>
                <w:sz w:val="11"/>
                <w:szCs w:val="11"/>
                <w:color w:val="auto"/>
                <w:w w:val="93"/>
              </w:rPr>
              <w:t>Capital Equipment</w:t>
            </w:r>
          </w:p>
        </w:tc>
        <w:tc>
          <w:tcPr>
            <w:tcW w:w="1620" w:type="dxa"/>
            <w:vAlign w:val="bottom"/>
            <w:gridSpan w:val="2"/>
            <w:shd w:val="clear" w:color="auto" w:fill="CCEEFF"/>
          </w:tcPr>
          <w:p>
            <w:pPr>
              <w:jc w:val="center"/>
              <w:ind w:right="200"/>
              <w:spacing w:after="0" w:line="101" w:lineRule="exact"/>
              <w:rPr>
                <w:sz w:val="20"/>
                <w:szCs w:val="20"/>
                <w:color w:val="auto"/>
              </w:rPr>
            </w:pPr>
            <w:r>
              <w:rPr>
                <w:rFonts w:ascii="Arial" w:cs="Arial" w:eastAsia="Arial" w:hAnsi="Arial"/>
                <w:sz w:val="11"/>
                <w:szCs w:val="11"/>
                <w:color w:val="auto"/>
                <w:w w:val="92"/>
              </w:rPr>
              <w:t>First Lien Secured Debt(4),</w:t>
            </w:r>
          </w:p>
        </w:tc>
        <w:tc>
          <w:tcPr>
            <w:tcW w:w="1100" w:type="dxa"/>
            <w:vAlign w:val="bottom"/>
            <w:gridSpan w:val="2"/>
            <w:shd w:val="clear" w:color="auto" w:fill="CCEEFF"/>
          </w:tcPr>
          <w:p>
            <w:pPr>
              <w:jc w:val="right"/>
              <w:ind w:right="461"/>
              <w:spacing w:after="0" w:line="10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11"/>
                <w:szCs w:val="11"/>
                <w:color w:val="auto"/>
              </w:rPr>
              <w:t>3,922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15272 Newsboy Circle</w:t>
            </w:r>
          </w:p>
        </w:tc>
        <w:tc>
          <w:tcPr>
            <w:tcW w:w="1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200"/>
              <w:spacing w:after="0" w:line="114" w:lineRule="exact"/>
              <w:rPr>
                <w:sz w:val="20"/>
                <w:szCs w:val="20"/>
                <w:color w:val="auto"/>
              </w:rPr>
            </w:pPr>
            <w:r>
              <w:rPr>
                <w:rFonts w:ascii="Arial" w:cs="Arial" w:eastAsia="Arial" w:hAnsi="Arial"/>
                <w:sz w:val="11"/>
                <w:szCs w:val="11"/>
                <w:color w:val="auto"/>
                <w:w w:val="90"/>
              </w:rPr>
              <w:t>SOFR+500, 03/28/2024</w:t>
            </w:r>
          </w:p>
        </w:tc>
        <w:tc>
          <w:tcPr>
            <w:tcW w:w="6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Huntington, CA 92649</w:t>
            </w:r>
          </w:p>
        </w:tc>
        <w:tc>
          <w:tcPr>
            <w:tcW w:w="11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520" w:type="dxa"/>
            <w:vAlign w:val="bottom"/>
            <w:gridSpan w:val="3"/>
          </w:tcPr>
          <w:p>
            <w:pPr>
              <w:spacing w:after="0"/>
              <w:rPr>
                <w:sz w:val="20"/>
                <w:szCs w:val="20"/>
                <w:color w:val="auto"/>
              </w:rPr>
            </w:pPr>
            <w:r>
              <w:rPr>
                <w:rFonts w:ascii="Arial" w:cs="Arial" w:eastAsia="Arial" w:hAnsi="Arial"/>
                <w:sz w:val="11"/>
                <w:szCs w:val="11"/>
                <w:color w:val="auto"/>
              </w:rPr>
              <w:t>Municipal Emergency Services, Inc.</w:t>
            </w:r>
          </w:p>
        </w:tc>
        <w:tc>
          <w:tcPr>
            <w:tcW w:w="2460" w:type="dxa"/>
            <w:vAlign w:val="bottom"/>
            <w:gridSpan w:val="2"/>
          </w:tcPr>
          <w:p>
            <w:pPr>
              <w:jc w:val="center"/>
              <w:ind w:right="1380"/>
              <w:spacing w:after="0"/>
              <w:rPr>
                <w:sz w:val="20"/>
                <w:szCs w:val="20"/>
                <w:color w:val="auto"/>
              </w:rPr>
            </w:pPr>
            <w:r>
              <w:rPr>
                <w:rFonts w:ascii="Arial" w:cs="Arial" w:eastAsia="Arial" w:hAnsi="Arial"/>
                <w:sz w:val="11"/>
                <w:szCs w:val="11"/>
                <w:color w:val="auto"/>
                <w:w w:val="93"/>
              </w:rPr>
              <w:t>Distributors</w:t>
            </w:r>
          </w:p>
        </w:tc>
        <w:tc>
          <w:tcPr>
            <w:tcW w:w="1620" w:type="dxa"/>
            <w:vAlign w:val="bottom"/>
            <w:gridSpan w:val="2"/>
          </w:tcPr>
          <w:p>
            <w:pPr>
              <w:jc w:val="center"/>
              <w:ind w:right="200"/>
              <w:spacing w:after="0"/>
              <w:rPr>
                <w:sz w:val="20"/>
                <w:szCs w:val="20"/>
                <w:color w:val="auto"/>
              </w:rPr>
            </w:pPr>
            <w:r>
              <w:rPr>
                <w:rFonts w:ascii="Arial" w:cs="Arial" w:eastAsia="Arial" w:hAnsi="Arial"/>
                <w:sz w:val="11"/>
                <w:szCs w:val="11"/>
                <w:color w:val="auto"/>
                <w:w w:val="92"/>
              </w:rPr>
              <w:t>First Lien Secured Debt(4),</w:t>
            </w:r>
          </w:p>
        </w:tc>
        <w:tc>
          <w:tcPr>
            <w:tcW w:w="1100" w:type="dxa"/>
            <w:vAlign w:val="bottom"/>
            <w:gridSpan w:val="2"/>
          </w:tcPr>
          <w:p>
            <w:pPr>
              <w:jc w:val="right"/>
              <w:ind w:right="301"/>
              <w:spacing w:after="0"/>
              <w:rPr>
                <w:sz w:val="20"/>
                <w:szCs w:val="20"/>
                <w:color w:val="auto"/>
              </w:rPr>
            </w:pPr>
            <w:r>
              <w:rPr>
                <w:rFonts w:ascii="Arial" w:cs="Arial" w:eastAsia="Arial" w:hAnsi="Arial"/>
                <w:sz w:val="11"/>
                <w:szCs w:val="11"/>
                <w:color w:val="auto"/>
              </w:rPr>
              <w:t>2.1%</w:t>
            </w: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1,897</w:t>
            </w:r>
          </w:p>
        </w:tc>
        <w:tc>
          <w:tcPr>
            <w:tcW w:w="0" w:type="dxa"/>
            <w:vAlign w:val="bottom"/>
          </w:tcPr>
          <w:p>
            <w:pPr>
              <w:spacing w:after="0"/>
              <w:rPr>
                <w:sz w:val="1"/>
                <w:szCs w:val="1"/>
                <w:color w:val="auto"/>
              </w:rPr>
            </w:pPr>
          </w:p>
        </w:tc>
      </w:tr>
      <w:tr>
        <w:trPr>
          <w:trHeight w:val="114"/>
        </w:trPr>
        <w:tc>
          <w:tcPr>
            <w:tcW w:w="2520" w:type="dxa"/>
            <w:vAlign w:val="bottom"/>
            <w:gridSpan w:val="3"/>
          </w:tcPr>
          <w:p>
            <w:pPr>
              <w:spacing w:after="0" w:line="114" w:lineRule="exact"/>
              <w:rPr>
                <w:sz w:val="20"/>
                <w:szCs w:val="20"/>
                <w:color w:val="auto"/>
              </w:rPr>
            </w:pPr>
            <w:r>
              <w:rPr>
                <w:rFonts w:ascii="Arial" w:cs="Arial" w:eastAsia="Arial" w:hAnsi="Arial"/>
                <w:sz w:val="11"/>
                <w:szCs w:val="11"/>
                <w:color w:val="auto"/>
              </w:rPr>
              <w:t>12 Turnberry Ln</w:t>
            </w:r>
          </w:p>
        </w:tc>
        <w:tc>
          <w:tcPr>
            <w:tcW w:w="1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20" w:type="dxa"/>
            <w:vAlign w:val="bottom"/>
            <w:gridSpan w:val="2"/>
          </w:tcPr>
          <w:p>
            <w:pPr>
              <w:jc w:val="center"/>
              <w:ind w:right="200"/>
              <w:spacing w:after="0" w:line="114" w:lineRule="exact"/>
              <w:rPr>
                <w:sz w:val="20"/>
                <w:szCs w:val="20"/>
                <w:color w:val="auto"/>
              </w:rPr>
            </w:pPr>
            <w:r>
              <w:rPr>
                <w:rFonts w:ascii="Arial" w:cs="Arial" w:eastAsia="Arial" w:hAnsi="Arial"/>
                <w:sz w:val="11"/>
                <w:szCs w:val="11"/>
                <w:color w:val="auto"/>
                <w:w w:val="92"/>
              </w:rPr>
              <w:t>3M L+500, 09/28/2027</w:t>
            </w: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520" w:type="dxa"/>
            <w:vAlign w:val="bottom"/>
            <w:gridSpan w:val="3"/>
          </w:tcPr>
          <w:p>
            <w:pPr>
              <w:spacing w:after="0"/>
              <w:rPr>
                <w:sz w:val="20"/>
                <w:szCs w:val="20"/>
                <w:color w:val="auto"/>
              </w:rPr>
            </w:pPr>
            <w:r>
              <w:rPr>
                <w:rFonts w:ascii="Arial" w:cs="Arial" w:eastAsia="Arial" w:hAnsi="Arial"/>
                <w:sz w:val="11"/>
                <w:szCs w:val="11"/>
                <w:color w:val="auto"/>
              </w:rPr>
              <w:t>Sandy Hook, CT 06482</w:t>
            </w: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1"/>
                <w:szCs w:val="11"/>
                <w:color w:val="auto"/>
                <w:w w:val="94"/>
              </w:rPr>
              <w:t>Common Equity</w:t>
            </w: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250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NBH Group LLC</w:t>
            </w:r>
          </w:p>
        </w:tc>
        <w:tc>
          <w:tcPr>
            <w:tcW w:w="2460" w:type="dxa"/>
            <w:vAlign w:val="bottom"/>
            <w:gridSpan w:val="2"/>
            <w:shd w:val="clear" w:color="auto" w:fill="CCEEFF"/>
          </w:tcPr>
          <w:p>
            <w:pPr>
              <w:jc w:val="center"/>
              <w:ind w:right="1380"/>
              <w:spacing w:after="0" w:line="101" w:lineRule="exact"/>
              <w:rPr>
                <w:sz w:val="20"/>
                <w:szCs w:val="20"/>
                <w:color w:val="auto"/>
              </w:rPr>
            </w:pPr>
            <w:r>
              <w:rPr>
                <w:rFonts w:ascii="Arial" w:cs="Arial" w:eastAsia="Arial" w:hAnsi="Arial"/>
                <w:sz w:val="11"/>
                <w:szCs w:val="11"/>
                <w:color w:val="auto"/>
                <w:w w:val="91"/>
              </w:rPr>
              <w:t>Healthcare Equipment</w:t>
            </w:r>
          </w:p>
        </w:tc>
        <w:tc>
          <w:tcPr>
            <w:tcW w:w="1620" w:type="dxa"/>
            <w:vAlign w:val="bottom"/>
            <w:gridSpan w:val="2"/>
            <w:shd w:val="clear" w:color="auto" w:fill="CCEEFF"/>
          </w:tcPr>
          <w:p>
            <w:pPr>
              <w:jc w:val="center"/>
              <w:ind w:right="200"/>
              <w:spacing w:after="0" w:line="101" w:lineRule="exact"/>
              <w:rPr>
                <w:sz w:val="20"/>
                <w:szCs w:val="20"/>
                <w:color w:val="auto"/>
              </w:rPr>
            </w:pPr>
            <w:r>
              <w:rPr>
                <w:rFonts w:ascii="Arial" w:cs="Arial" w:eastAsia="Arial" w:hAnsi="Arial"/>
                <w:sz w:val="11"/>
                <w:szCs w:val="11"/>
                <w:color w:val="auto"/>
                <w:w w:val="92"/>
              </w:rPr>
              <w:t>First Lien Secured Debt(4),</w:t>
            </w:r>
          </w:p>
        </w:tc>
        <w:tc>
          <w:tcPr>
            <w:tcW w:w="1100" w:type="dxa"/>
            <w:vAlign w:val="bottom"/>
            <w:gridSpan w:val="2"/>
            <w:shd w:val="clear" w:color="auto" w:fill="CCEEFF"/>
          </w:tcPr>
          <w:p>
            <w:pPr>
              <w:jc w:val="right"/>
              <w:ind w:right="461"/>
              <w:spacing w:after="0" w:line="10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80" w:type="dxa"/>
            <w:vAlign w:val="bottom"/>
            <w:gridSpan w:val="2"/>
            <w:shd w:val="clear" w:color="auto" w:fill="CCEEFF"/>
          </w:tcPr>
          <w:p>
            <w:pPr>
              <w:ind w:left="440"/>
              <w:spacing w:after="0" w:line="10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3035 S Maryland Pkwy #110</w:t>
            </w:r>
          </w:p>
        </w:tc>
        <w:tc>
          <w:tcPr>
            <w:tcW w:w="2460" w:type="dxa"/>
            <w:vAlign w:val="bottom"/>
            <w:gridSpan w:val="2"/>
            <w:shd w:val="clear" w:color="auto" w:fill="CCEEFF"/>
          </w:tcPr>
          <w:p>
            <w:pPr>
              <w:jc w:val="center"/>
              <w:ind w:right="1380"/>
              <w:spacing w:after="0" w:line="114" w:lineRule="exact"/>
              <w:rPr>
                <w:sz w:val="20"/>
                <w:szCs w:val="20"/>
                <w:color w:val="auto"/>
              </w:rPr>
            </w:pPr>
            <w:r>
              <w:rPr>
                <w:rFonts w:ascii="Arial" w:cs="Arial" w:eastAsia="Arial" w:hAnsi="Arial"/>
                <w:sz w:val="11"/>
                <w:szCs w:val="11"/>
                <w:color w:val="auto"/>
                <w:w w:val="87"/>
              </w:rPr>
              <w:t>and Supplies</w:t>
            </w:r>
          </w:p>
        </w:tc>
        <w:tc>
          <w:tcPr>
            <w:tcW w:w="1620" w:type="dxa"/>
            <w:vAlign w:val="bottom"/>
            <w:gridSpan w:val="2"/>
            <w:shd w:val="clear" w:color="auto" w:fill="CCEEFF"/>
          </w:tcPr>
          <w:p>
            <w:pPr>
              <w:jc w:val="center"/>
              <w:ind w:right="200"/>
              <w:spacing w:after="0" w:line="114" w:lineRule="exact"/>
              <w:rPr>
                <w:sz w:val="20"/>
                <w:szCs w:val="20"/>
                <w:color w:val="auto"/>
              </w:rPr>
            </w:pPr>
            <w:r>
              <w:rPr>
                <w:rFonts w:ascii="Arial" w:cs="Arial" w:eastAsia="Arial" w:hAnsi="Arial"/>
                <w:sz w:val="11"/>
                <w:szCs w:val="11"/>
                <w:color w:val="auto"/>
                <w:w w:val="91"/>
              </w:rPr>
              <w:t>—, 08/19/2026</w:t>
            </w:r>
          </w:p>
        </w:tc>
        <w:tc>
          <w:tcPr>
            <w:tcW w:w="6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Las Vegas, NV 89109</w:t>
            </w:r>
          </w:p>
        </w:tc>
        <w:tc>
          <w:tcPr>
            <w:tcW w:w="11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520" w:type="dxa"/>
            <w:vAlign w:val="bottom"/>
            <w:gridSpan w:val="3"/>
          </w:tcPr>
          <w:p>
            <w:pPr>
              <w:spacing w:after="0"/>
              <w:rPr>
                <w:sz w:val="20"/>
                <w:szCs w:val="20"/>
                <w:color w:val="auto"/>
              </w:rPr>
            </w:pPr>
            <w:r>
              <w:rPr>
                <w:rFonts w:ascii="Arial" w:cs="Arial" w:eastAsia="Arial" w:hAnsi="Arial"/>
                <w:sz w:val="11"/>
                <w:szCs w:val="11"/>
                <w:color w:val="auto"/>
              </w:rPr>
              <w:t>OHCP V BC COI, L.P.(5)</w:t>
            </w:r>
          </w:p>
        </w:tc>
        <w:tc>
          <w:tcPr>
            <w:tcW w:w="2460" w:type="dxa"/>
            <w:vAlign w:val="bottom"/>
            <w:gridSpan w:val="2"/>
          </w:tcPr>
          <w:p>
            <w:pPr>
              <w:jc w:val="center"/>
              <w:ind w:right="1380"/>
              <w:spacing w:after="0"/>
              <w:rPr>
                <w:sz w:val="20"/>
                <w:szCs w:val="20"/>
                <w:color w:val="auto"/>
              </w:rPr>
            </w:pPr>
            <w:r>
              <w:rPr>
                <w:rFonts w:ascii="Arial" w:cs="Arial" w:eastAsia="Arial" w:hAnsi="Arial"/>
                <w:sz w:val="11"/>
                <w:szCs w:val="11"/>
                <w:color w:val="auto"/>
                <w:w w:val="93"/>
              </w:rPr>
              <w:t>Distributors</w:t>
            </w:r>
          </w:p>
        </w:tc>
        <w:tc>
          <w:tcPr>
            <w:tcW w:w="1620" w:type="dxa"/>
            <w:vAlign w:val="bottom"/>
            <w:gridSpan w:val="2"/>
          </w:tcPr>
          <w:p>
            <w:pPr>
              <w:jc w:val="center"/>
              <w:ind w:right="200"/>
              <w:spacing w:after="0"/>
              <w:rPr>
                <w:sz w:val="20"/>
                <w:szCs w:val="20"/>
                <w:color w:val="auto"/>
              </w:rPr>
            </w:pPr>
            <w:r>
              <w:rPr>
                <w:rFonts w:ascii="Arial" w:cs="Arial" w:eastAsia="Arial" w:hAnsi="Arial"/>
                <w:sz w:val="11"/>
                <w:szCs w:val="11"/>
                <w:color w:val="auto"/>
                <w:w w:val="93"/>
              </w:rPr>
              <w:t>Common Equity(4)</w:t>
            </w:r>
          </w:p>
        </w:tc>
        <w:tc>
          <w:tcPr>
            <w:tcW w:w="1100" w:type="dxa"/>
            <w:vAlign w:val="bottom"/>
            <w:gridSpan w:val="2"/>
          </w:tcPr>
          <w:p>
            <w:pPr>
              <w:jc w:val="right"/>
              <w:ind w:right="561"/>
              <w:spacing w:after="0"/>
              <w:rPr>
                <w:sz w:val="20"/>
                <w:szCs w:val="20"/>
                <w:color w:val="auto"/>
              </w:rPr>
            </w:pPr>
            <w:r>
              <w:rPr>
                <w:rFonts w:ascii="Arial" w:cs="Arial" w:eastAsia="Arial" w:hAnsi="Arial"/>
                <w:sz w:val="11"/>
                <w:szCs w:val="11"/>
                <w:color w:val="auto"/>
              </w:rPr>
              <w:t>— (7)</w:t>
            </w: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563</w:t>
            </w:r>
          </w:p>
        </w:tc>
        <w:tc>
          <w:tcPr>
            <w:tcW w:w="0" w:type="dxa"/>
            <w:vAlign w:val="bottom"/>
          </w:tcPr>
          <w:p>
            <w:pPr>
              <w:spacing w:after="0"/>
              <w:rPr>
                <w:sz w:val="1"/>
                <w:szCs w:val="1"/>
                <w:color w:val="auto"/>
              </w:rPr>
            </w:pPr>
          </w:p>
        </w:tc>
      </w:tr>
      <w:tr>
        <w:trPr>
          <w:trHeight w:val="114"/>
        </w:trPr>
        <w:tc>
          <w:tcPr>
            <w:tcW w:w="2520" w:type="dxa"/>
            <w:vAlign w:val="bottom"/>
            <w:gridSpan w:val="3"/>
          </w:tcPr>
          <w:p>
            <w:pPr>
              <w:spacing w:after="0" w:line="114" w:lineRule="exact"/>
              <w:rPr>
                <w:sz w:val="20"/>
                <w:szCs w:val="20"/>
                <w:color w:val="auto"/>
              </w:rPr>
            </w:pPr>
            <w:r>
              <w:rPr>
                <w:rFonts w:ascii="Arial" w:cs="Arial" w:eastAsia="Arial" w:hAnsi="Arial"/>
                <w:sz w:val="11"/>
                <w:szCs w:val="11"/>
                <w:color w:val="auto"/>
              </w:rPr>
              <w:t>525 West Monroe Street</w:t>
            </w:r>
          </w:p>
        </w:tc>
        <w:tc>
          <w:tcPr>
            <w:tcW w:w="1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520" w:type="dxa"/>
            <w:vAlign w:val="bottom"/>
            <w:gridSpan w:val="3"/>
          </w:tcPr>
          <w:p>
            <w:pPr>
              <w:spacing w:after="0"/>
              <w:rPr>
                <w:sz w:val="20"/>
                <w:szCs w:val="20"/>
                <w:color w:val="auto"/>
              </w:rPr>
            </w:pPr>
            <w:r>
              <w:rPr>
                <w:rFonts w:ascii="Arial" w:cs="Arial" w:eastAsia="Arial" w:hAnsi="Arial"/>
                <w:sz w:val="11"/>
                <w:szCs w:val="11"/>
                <w:color w:val="auto"/>
              </w:rPr>
              <w:t>Chicago, IL 60661</w:t>
            </w: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250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OIS Management Services, LLC</w:t>
            </w:r>
          </w:p>
        </w:tc>
        <w:tc>
          <w:tcPr>
            <w:tcW w:w="2460" w:type="dxa"/>
            <w:vAlign w:val="bottom"/>
            <w:gridSpan w:val="2"/>
            <w:shd w:val="clear" w:color="auto" w:fill="CCEEFF"/>
          </w:tcPr>
          <w:p>
            <w:pPr>
              <w:jc w:val="center"/>
              <w:ind w:right="1380"/>
              <w:spacing w:after="0" w:line="101" w:lineRule="exact"/>
              <w:rPr>
                <w:sz w:val="20"/>
                <w:szCs w:val="20"/>
                <w:color w:val="auto"/>
              </w:rPr>
            </w:pPr>
            <w:r>
              <w:rPr>
                <w:rFonts w:ascii="Arial" w:cs="Arial" w:eastAsia="Arial" w:hAnsi="Arial"/>
                <w:sz w:val="11"/>
                <w:szCs w:val="11"/>
                <w:color w:val="auto"/>
                <w:w w:val="91"/>
              </w:rPr>
              <w:t>Healthcare Equipment</w:t>
            </w:r>
          </w:p>
        </w:tc>
        <w:tc>
          <w:tcPr>
            <w:tcW w:w="1620" w:type="dxa"/>
            <w:vAlign w:val="bottom"/>
            <w:gridSpan w:val="2"/>
            <w:shd w:val="clear" w:color="auto" w:fill="CCEEFF"/>
          </w:tcPr>
          <w:p>
            <w:pPr>
              <w:jc w:val="center"/>
              <w:ind w:right="200"/>
              <w:spacing w:after="0" w:line="101" w:lineRule="exact"/>
              <w:rPr>
                <w:sz w:val="20"/>
                <w:szCs w:val="20"/>
                <w:color w:val="auto"/>
              </w:rPr>
            </w:pPr>
            <w:r>
              <w:rPr>
                <w:rFonts w:ascii="Arial" w:cs="Arial" w:eastAsia="Arial" w:hAnsi="Arial"/>
                <w:sz w:val="11"/>
                <w:szCs w:val="11"/>
                <w:color w:val="auto"/>
                <w:w w:val="92"/>
              </w:rPr>
              <w:t>First Lien Secured Debt(4),</w:t>
            </w:r>
          </w:p>
        </w:tc>
        <w:tc>
          <w:tcPr>
            <w:tcW w:w="1100" w:type="dxa"/>
            <w:vAlign w:val="bottom"/>
            <w:gridSpan w:val="2"/>
            <w:shd w:val="clear" w:color="auto" w:fill="CCEEFF"/>
          </w:tcPr>
          <w:p>
            <w:pPr>
              <w:jc w:val="right"/>
              <w:ind w:right="301"/>
              <w:spacing w:after="0" w:line="101" w:lineRule="exact"/>
              <w:rPr>
                <w:sz w:val="20"/>
                <w:szCs w:val="20"/>
                <w:color w:val="auto"/>
              </w:rPr>
            </w:pPr>
            <w:r>
              <w:rPr>
                <w:rFonts w:ascii="Arial" w:cs="Arial" w:eastAsia="Arial" w:hAnsi="Arial"/>
                <w:sz w:val="11"/>
                <w:szCs w:val="11"/>
                <w:color w:val="auto"/>
              </w:rPr>
              <w:t>0.1%</w:t>
            </w:r>
          </w:p>
        </w:tc>
        <w:tc>
          <w:tcPr>
            <w:tcW w:w="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11"/>
                <w:szCs w:val="11"/>
                <w:color w:val="auto"/>
              </w:rPr>
              <w:t>2,206</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(Oral Surgery (ITC) Holdings,</w:t>
            </w:r>
          </w:p>
        </w:tc>
        <w:tc>
          <w:tcPr>
            <w:tcW w:w="2460" w:type="dxa"/>
            <w:vAlign w:val="bottom"/>
            <w:gridSpan w:val="2"/>
            <w:shd w:val="clear" w:color="auto" w:fill="CCEEFF"/>
          </w:tcPr>
          <w:p>
            <w:pPr>
              <w:jc w:val="center"/>
              <w:ind w:right="1380"/>
              <w:spacing w:after="0" w:line="114" w:lineRule="exact"/>
              <w:rPr>
                <w:sz w:val="20"/>
                <w:szCs w:val="20"/>
                <w:color w:val="auto"/>
              </w:rPr>
            </w:pPr>
            <w:r>
              <w:rPr>
                <w:rFonts w:ascii="Arial" w:cs="Arial" w:eastAsia="Arial" w:hAnsi="Arial"/>
                <w:sz w:val="11"/>
                <w:szCs w:val="11"/>
                <w:color w:val="auto"/>
                <w:w w:val="87"/>
              </w:rPr>
              <w:t>and Supplies</w:t>
            </w:r>
          </w:p>
        </w:tc>
        <w:tc>
          <w:tcPr>
            <w:tcW w:w="1620" w:type="dxa"/>
            <w:vAlign w:val="bottom"/>
            <w:gridSpan w:val="2"/>
            <w:shd w:val="clear" w:color="auto" w:fill="CCEEFF"/>
          </w:tcPr>
          <w:p>
            <w:pPr>
              <w:jc w:val="center"/>
              <w:ind w:right="200"/>
              <w:spacing w:after="0" w:line="114" w:lineRule="exact"/>
              <w:rPr>
                <w:sz w:val="20"/>
                <w:szCs w:val="20"/>
                <w:color w:val="auto"/>
              </w:rPr>
            </w:pPr>
            <w:r>
              <w:rPr>
                <w:rFonts w:ascii="Arial" w:cs="Arial" w:eastAsia="Arial" w:hAnsi="Arial"/>
                <w:sz w:val="11"/>
                <w:szCs w:val="11"/>
                <w:color w:val="auto"/>
                <w:w w:val="90"/>
              </w:rPr>
              <w:t>SOFR+575, 07/09/2026</w:t>
            </w:r>
          </w:p>
        </w:tc>
        <w:tc>
          <w:tcPr>
            <w:tcW w:w="6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LLC (5))</w:t>
            </w:r>
          </w:p>
        </w:tc>
        <w:tc>
          <w:tcPr>
            <w:tcW w:w="1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200"/>
              <w:spacing w:after="0" w:line="114" w:lineRule="exact"/>
              <w:rPr>
                <w:sz w:val="20"/>
                <w:szCs w:val="20"/>
                <w:color w:val="auto"/>
              </w:rPr>
            </w:pPr>
            <w:r>
              <w:rPr>
                <w:rFonts w:ascii="Arial" w:cs="Arial" w:eastAsia="Arial" w:hAnsi="Arial"/>
                <w:sz w:val="11"/>
                <w:szCs w:val="11"/>
                <w:color w:val="auto"/>
                <w:w w:val="94"/>
              </w:rPr>
              <w:t>Common Equity</w:t>
            </w:r>
          </w:p>
        </w:tc>
        <w:tc>
          <w:tcPr>
            <w:tcW w:w="6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2600 S 56th Street A</w:t>
            </w:r>
          </w:p>
        </w:tc>
        <w:tc>
          <w:tcPr>
            <w:tcW w:w="1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Lincoln, NE 68506</w:t>
            </w:r>
          </w:p>
        </w:tc>
        <w:tc>
          <w:tcPr>
            <w:tcW w:w="11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520" w:type="dxa"/>
            <w:vAlign w:val="bottom"/>
            <w:gridSpan w:val="3"/>
          </w:tcPr>
          <w:p>
            <w:pPr>
              <w:spacing w:after="0"/>
              <w:rPr>
                <w:sz w:val="20"/>
                <w:szCs w:val="20"/>
                <w:color w:val="auto"/>
              </w:rPr>
            </w:pPr>
            <w:r>
              <w:rPr>
                <w:rFonts w:ascii="Arial" w:cs="Arial" w:eastAsia="Arial" w:hAnsi="Arial"/>
                <w:sz w:val="11"/>
                <w:szCs w:val="11"/>
                <w:color w:val="auto"/>
              </w:rPr>
              <w:t>One Stop Mailing, LLC</w:t>
            </w:r>
          </w:p>
        </w:tc>
        <w:tc>
          <w:tcPr>
            <w:tcW w:w="2460" w:type="dxa"/>
            <w:vAlign w:val="bottom"/>
            <w:gridSpan w:val="2"/>
          </w:tcPr>
          <w:p>
            <w:pPr>
              <w:jc w:val="center"/>
              <w:ind w:right="1380"/>
              <w:spacing w:after="0"/>
              <w:rPr>
                <w:sz w:val="20"/>
                <w:szCs w:val="20"/>
                <w:color w:val="auto"/>
              </w:rPr>
            </w:pPr>
            <w:r>
              <w:rPr>
                <w:rFonts w:ascii="Arial" w:cs="Arial" w:eastAsia="Arial" w:hAnsi="Arial"/>
                <w:sz w:val="11"/>
                <w:szCs w:val="11"/>
                <w:color w:val="auto"/>
                <w:w w:val="94"/>
              </w:rPr>
              <w:t>Air Freight and</w:t>
            </w:r>
          </w:p>
        </w:tc>
        <w:tc>
          <w:tcPr>
            <w:tcW w:w="1620" w:type="dxa"/>
            <w:vAlign w:val="bottom"/>
            <w:gridSpan w:val="2"/>
          </w:tcPr>
          <w:p>
            <w:pPr>
              <w:jc w:val="center"/>
              <w:ind w:right="200"/>
              <w:spacing w:after="0"/>
              <w:rPr>
                <w:sz w:val="20"/>
                <w:szCs w:val="20"/>
                <w:color w:val="auto"/>
              </w:rPr>
            </w:pPr>
            <w:r>
              <w:rPr>
                <w:rFonts w:ascii="Arial" w:cs="Arial" w:eastAsia="Arial" w:hAnsi="Arial"/>
                <w:sz w:val="11"/>
                <w:szCs w:val="11"/>
                <w:color w:val="auto"/>
                <w:w w:val="92"/>
              </w:rPr>
              <w:t>First Lien Secured Debt,</w:t>
            </w:r>
          </w:p>
        </w:tc>
        <w:tc>
          <w:tcPr>
            <w:tcW w:w="1100" w:type="dxa"/>
            <w:vAlign w:val="bottom"/>
            <w:gridSpan w:val="2"/>
          </w:tcPr>
          <w:p>
            <w:pPr>
              <w:jc w:val="right"/>
              <w:ind w:right="401"/>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8,496</w:t>
            </w:r>
          </w:p>
        </w:tc>
        <w:tc>
          <w:tcPr>
            <w:tcW w:w="0" w:type="dxa"/>
            <w:vAlign w:val="bottom"/>
          </w:tcPr>
          <w:p>
            <w:pPr>
              <w:spacing w:after="0"/>
              <w:rPr>
                <w:sz w:val="1"/>
                <w:szCs w:val="1"/>
                <w:color w:val="auto"/>
              </w:rPr>
            </w:pPr>
          </w:p>
        </w:tc>
      </w:tr>
      <w:tr>
        <w:trPr>
          <w:trHeight w:val="114"/>
        </w:trPr>
        <w:tc>
          <w:tcPr>
            <w:tcW w:w="2520" w:type="dxa"/>
            <w:vAlign w:val="bottom"/>
            <w:gridSpan w:val="3"/>
          </w:tcPr>
          <w:p>
            <w:pPr>
              <w:spacing w:after="0" w:line="114" w:lineRule="exact"/>
              <w:rPr>
                <w:sz w:val="20"/>
                <w:szCs w:val="20"/>
                <w:color w:val="auto"/>
              </w:rPr>
            </w:pPr>
            <w:r>
              <w:rPr>
                <w:rFonts w:ascii="Arial" w:cs="Arial" w:eastAsia="Arial" w:hAnsi="Arial"/>
                <w:sz w:val="11"/>
                <w:szCs w:val="11"/>
                <w:color w:val="auto"/>
              </w:rPr>
              <w:t>601 Regency Drive</w:t>
            </w:r>
          </w:p>
        </w:tc>
        <w:tc>
          <w:tcPr>
            <w:tcW w:w="2460" w:type="dxa"/>
            <w:vAlign w:val="bottom"/>
            <w:gridSpan w:val="2"/>
          </w:tcPr>
          <w:p>
            <w:pPr>
              <w:jc w:val="center"/>
              <w:ind w:right="1380"/>
              <w:spacing w:after="0" w:line="114" w:lineRule="exact"/>
              <w:rPr>
                <w:sz w:val="20"/>
                <w:szCs w:val="20"/>
                <w:color w:val="auto"/>
              </w:rPr>
            </w:pPr>
            <w:r>
              <w:rPr>
                <w:rFonts w:ascii="Arial" w:cs="Arial" w:eastAsia="Arial" w:hAnsi="Arial"/>
                <w:sz w:val="11"/>
                <w:szCs w:val="11"/>
                <w:color w:val="auto"/>
                <w:w w:val="93"/>
              </w:rPr>
              <w:t>Logistics</w:t>
            </w:r>
          </w:p>
        </w:tc>
        <w:tc>
          <w:tcPr>
            <w:tcW w:w="1620" w:type="dxa"/>
            <w:vAlign w:val="bottom"/>
            <w:gridSpan w:val="2"/>
          </w:tcPr>
          <w:p>
            <w:pPr>
              <w:jc w:val="center"/>
              <w:ind w:right="200"/>
              <w:spacing w:after="0" w:line="114" w:lineRule="exact"/>
              <w:rPr>
                <w:sz w:val="20"/>
                <w:szCs w:val="20"/>
                <w:color w:val="auto"/>
              </w:rPr>
            </w:pPr>
            <w:r>
              <w:rPr>
                <w:rFonts w:ascii="Arial" w:cs="Arial" w:eastAsia="Arial" w:hAnsi="Arial"/>
                <w:sz w:val="11"/>
                <w:szCs w:val="11"/>
                <w:color w:val="auto"/>
                <w:w w:val="92"/>
              </w:rPr>
              <w:t>3M L+625, 05/07/2027</w:t>
            </w: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520" w:type="dxa"/>
            <w:vAlign w:val="bottom"/>
            <w:gridSpan w:val="3"/>
          </w:tcPr>
          <w:p>
            <w:pPr>
              <w:spacing w:after="0"/>
              <w:rPr>
                <w:sz w:val="20"/>
                <w:szCs w:val="20"/>
                <w:color w:val="auto"/>
              </w:rPr>
            </w:pPr>
            <w:r>
              <w:rPr>
                <w:rFonts w:ascii="Arial" w:cs="Arial" w:eastAsia="Arial" w:hAnsi="Arial"/>
                <w:sz w:val="11"/>
                <w:szCs w:val="11"/>
                <w:color w:val="auto"/>
              </w:rPr>
              <w:t>Glendale Heights, IL 60139</w:t>
            </w: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250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ORL Acquisition, Inc.</w:t>
            </w:r>
          </w:p>
        </w:tc>
        <w:tc>
          <w:tcPr>
            <w:tcW w:w="2460" w:type="dxa"/>
            <w:vAlign w:val="bottom"/>
            <w:gridSpan w:val="2"/>
            <w:shd w:val="clear" w:color="auto" w:fill="CCEEFF"/>
          </w:tcPr>
          <w:p>
            <w:pPr>
              <w:jc w:val="center"/>
              <w:ind w:right="1380"/>
              <w:spacing w:after="0" w:line="101" w:lineRule="exact"/>
              <w:rPr>
                <w:sz w:val="20"/>
                <w:szCs w:val="20"/>
                <w:color w:val="auto"/>
              </w:rPr>
            </w:pPr>
            <w:r>
              <w:rPr>
                <w:rFonts w:ascii="Arial" w:cs="Arial" w:eastAsia="Arial" w:hAnsi="Arial"/>
                <w:sz w:val="11"/>
                <w:szCs w:val="11"/>
                <w:color w:val="auto"/>
                <w:w w:val="90"/>
              </w:rPr>
              <w:t>Consumer Finance</w:t>
            </w:r>
          </w:p>
        </w:tc>
        <w:tc>
          <w:tcPr>
            <w:tcW w:w="1620" w:type="dxa"/>
            <w:vAlign w:val="bottom"/>
            <w:gridSpan w:val="2"/>
            <w:shd w:val="clear" w:color="auto" w:fill="CCEEFF"/>
          </w:tcPr>
          <w:p>
            <w:pPr>
              <w:jc w:val="center"/>
              <w:ind w:right="200"/>
              <w:spacing w:after="0" w:line="101" w:lineRule="exact"/>
              <w:rPr>
                <w:sz w:val="20"/>
                <w:szCs w:val="20"/>
                <w:color w:val="auto"/>
              </w:rPr>
            </w:pPr>
            <w:r>
              <w:rPr>
                <w:rFonts w:ascii="Arial" w:cs="Arial" w:eastAsia="Arial" w:hAnsi="Arial"/>
                <w:sz w:val="11"/>
                <w:szCs w:val="11"/>
                <w:color w:val="auto"/>
                <w:w w:val="92"/>
              </w:rPr>
              <w:t>First Lien Secured Debt(4),</w:t>
            </w:r>
          </w:p>
        </w:tc>
        <w:tc>
          <w:tcPr>
            <w:tcW w:w="1100" w:type="dxa"/>
            <w:vAlign w:val="bottom"/>
            <w:gridSpan w:val="2"/>
            <w:shd w:val="clear" w:color="auto" w:fill="CCEEFF"/>
          </w:tcPr>
          <w:p>
            <w:pPr>
              <w:jc w:val="right"/>
              <w:ind w:right="301"/>
              <w:spacing w:after="0" w:line="101" w:lineRule="exact"/>
              <w:rPr>
                <w:sz w:val="20"/>
                <w:szCs w:val="20"/>
                <w:color w:val="auto"/>
              </w:rPr>
            </w:pPr>
            <w:r>
              <w:rPr>
                <w:rFonts w:ascii="Arial" w:cs="Arial" w:eastAsia="Arial" w:hAnsi="Arial"/>
                <w:sz w:val="11"/>
                <w:szCs w:val="11"/>
                <w:color w:val="auto"/>
              </w:rPr>
              <w:t>0.3%</w:t>
            </w:r>
          </w:p>
        </w:tc>
        <w:tc>
          <w:tcPr>
            <w:tcW w:w="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11"/>
                <w:szCs w:val="11"/>
                <w:color w:val="auto"/>
              </w:rPr>
              <w:t>7,600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(ORL Holdco, Inc.)</w:t>
            </w:r>
          </w:p>
        </w:tc>
        <w:tc>
          <w:tcPr>
            <w:tcW w:w="1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200"/>
              <w:spacing w:after="0" w:line="114" w:lineRule="exact"/>
              <w:rPr>
                <w:sz w:val="20"/>
                <w:szCs w:val="20"/>
                <w:color w:val="auto"/>
              </w:rPr>
            </w:pPr>
            <w:r>
              <w:rPr>
                <w:rFonts w:ascii="Arial" w:cs="Arial" w:eastAsia="Arial" w:hAnsi="Arial"/>
                <w:sz w:val="11"/>
                <w:szCs w:val="11"/>
                <w:color w:val="auto"/>
                <w:w w:val="92"/>
              </w:rPr>
              <w:t>3M L+525, 09/03/2027</w:t>
            </w:r>
          </w:p>
        </w:tc>
        <w:tc>
          <w:tcPr>
            <w:tcW w:w="6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5555 N Beach St #4100,</w:t>
            </w:r>
          </w:p>
        </w:tc>
        <w:tc>
          <w:tcPr>
            <w:tcW w:w="1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200"/>
              <w:spacing w:after="0" w:line="114" w:lineRule="exact"/>
              <w:rPr>
                <w:sz w:val="20"/>
                <w:szCs w:val="20"/>
                <w:color w:val="auto"/>
              </w:rPr>
            </w:pPr>
            <w:r>
              <w:rPr>
                <w:rFonts w:ascii="Arial" w:cs="Arial" w:eastAsia="Arial" w:hAnsi="Arial"/>
                <w:sz w:val="11"/>
                <w:szCs w:val="11"/>
                <w:color w:val="auto"/>
                <w:w w:val="93"/>
              </w:rPr>
              <w:t>Preferred Equity</w:t>
            </w:r>
          </w:p>
        </w:tc>
        <w:tc>
          <w:tcPr>
            <w:tcW w:w="6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Fort Worth, TX 76137</w:t>
            </w:r>
          </w:p>
        </w:tc>
        <w:tc>
          <w:tcPr>
            <w:tcW w:w="11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20" w:type="dxa"/>
            <w:vAlign w:val="bottom"/>
            <w:gridSpan w:val="2"/>
            <w:shd w:val="clear" w:color="auto" w:fill="CCEEFF"/>
          </w:tcPr>
          <w:p>
            <w:pPr>
              <w:jc w:val="center"/>
              <w:ind w:right="200"/>
              <w:spacing w:after="0"/>
              <w:rPr>
                <w:sz w:val="20"/>
                <w:szCs w:val="20"/>
                <w:color w:val="auto"/>
              </w:rPr>
            </w:pPr>
            <w:r>
              <w:rPr>
                <w:rFonts w:ascii="Arial" w:cs="Arial" w:eastAsia="Arial" w:hAnsi="Arial"/>
                <w:sz w:val="11"/>
                <w:szCs w:val="11"/>
                <w:color w:val="auto"/>
                <w:w w:val="94"/>
              </w:rPr>
              <w:t>Common Equity</w:t>
            </w: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2805" cy="4572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9019"/>
          </w:cols>
          <w:pgMar w:left="1440" w:top="245" w:right="1440" w:bottom="1440" w:gutter="0" w:footer="0" w:header="0"/>
        </w:sectPr>
      </w:pPr>
    </w:p>
    <w:bookmarkStart w:id="28" w:name="page29"/>
    <w:bookmarkEnd w:id="28"/>
    <w:tbl>
      <w:tblPr>
        <w:tblLayout w:type="fixed"/>
        <w:tblInd w:w="280" w:type="dxa"/>
        <w:tblCellMar>
          <w:top w:w="0" w:type="dxa"/>
          <w:left w:w="0" w:type="dxa"/>
          <w:bottom w:w="0" w:type="dxa"/>
          <w:right w:w="0" w:type="dxa"/>
        </w:tblCellMar>
      </w:tblPr>
      <w:tr>
        <w:trPr>
          <w:trHeight w:val="126"/>
        </w:trPr>
        <w:tc>
          <w:tcPr>
            <w:tcW w:w="34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Name and</w:t>
            </w: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0"/>
              </w:rPr>
              <w:t>Type of Investment,</w:t>
            </w:r>
          </w:p>
        </w:tc>
        <w:tc>
          <w:tcPr>
            <w:tcW w:w="106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Voting</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48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060" w:type="dxa"/>
            <w:vAlign w:val="bottom"/>
            <w:gridSpan w:val="2"/>
          </w:tcPr>
          <w:p>
            <w:pPr>
              <w:jc w:val="right"/>
              <w:ind w:right="480"/>
              <w:spacing w:after="0" w:line="111" w:lineRule="exact"/>
              <w:rPr>
                <w:sz w:val="20"/>
                <w:szCs w:val="20"/>
                <w:color w:val="auto"/>
              </w:rPr>
            </w:pPr>
            <w:r>
              <w:rPr>
                <w:rFonts w:ascii="Arial" w:cs="Arial" w:eastAsia="Arial" w:hAnsi="Arial"/>
                <w:sz w:val="11"/>
                <w:szCs w:val="11"/>
                <w:b w:val="1"/>
                <w:bCs w:val="1"/>
                <w:color w:val="auto"/>
                <w:w w:val="94"/>
              </w:rPr>
              <w:t>Percentage</w:t>
            </w:r>
          </w:p>
        </w:tc>
        <w:tc>
          <w:tcPr>
            <w:tcW w:w="80" w:type="dxa"/>
            <w:vAlign w:val="bottom"/>
          </w:tcPr>
          <w:p>
            <w:pPr>
              <w:spacing w:after="0"/>
              <w:rPr>
                <w:sz w:val="9"/>
                <w:szCs w:val="9"/>
                <w:color w:val="auto"/>
              </w:rPr>
            </w:pPr>
          </w:p>
        </w:tc>
        <w:tc>
          <w:tcPr>
            <w:tcW w:w="640" w:type="dxa"/>
            <w:vAlign w:val="bottom"/>
            <w:gridSpan w:val="2"/>
          </w:tcPr>
          <w:p>
            <w:pPr>
              <w:jc w:val="right"/>
              <w:ind w:right="120"/>
              <w:spacing w:after="0" w:line="111" w:lineRule="exact"/>
              <w:rPr>
                <w:sz w:val="20"/>
                <w:szCs w:val="20"/>
                <w:color w:val="auto"/>
              </w:rPr>
            </w:pPr>
            <w:r>
              <w:rPr>
                <w:rFonts w:ascii="Arial" w:cs="Arial" w:eastAsia="Arial" w:hAnsi="Arial"/>
                <w:sz w:val="11"/>
                <w:szCs w:val="11"/>
                <w:b w:val="1"/>
                <w:bCs w:val="1"/>
                <w:color w:val="auto"/>
                <w:w w:val="94"/>
              </w:rPr>
              <w:t>Fair Value</w:t>
            </w:r>
          </w:p>
        </w:tc>
        <w:tc>
          <w:tcPr>
            <w:tcW w:w="0" w:type="dxa"/>
            <w:vAlign w:val="bottom"/>
          </w:tcPr>
          <w:p>
            <w:pPr>
              <w:spacing w:after="0"/>
              <w:rPr>
                <w:sz w:val="1"/>
                <w:szCs w:val="1"/>
                <w:color w:val="auto"/>
              </w:rPr>
            </w:pPr>
          </w:p>
        </w:tc>
      </w:tr>
      <w:tr>
        <w:trPr>
          <w:trHeight w:val="144"/>
        </w:trPr>
        <w:tc>
          <w:tcPr>
            <w:tcW w:w="34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Address of Portfolio Company</w:t>
            </w:r>
          </w:p>
        </w:tc>
        <w:tc>
          <w:tcPr>
            <w:tcW w:w="1540" w:type="dxa"/>
            <w:vAlign w:val="bottom"/>
            <w:gridSpan w:val="2"/>
          </w:tcPr>
          <w:p>
            <w:pPr>
              <w:jc w:val="center"/>
              <w:ind w:right="420"/>
              <w:spacing w:after="0" w:line="125" w:lineRule="exact"/>
              <w:rPr>
                <w:sz w:val="20"/>
                <w:szCs w:val="20"/>
                <w:color w:val="auto"/>
              </w:rPr>
            </w:pPr>
            <w:r>
              <w:rPr>
                <w:rFonts w:ascii="Arial" w:cs="Arial" w:eastAsia="Arial" w:hAnsi="Arial"/>
                <w:sz w:val="11"/>
                <w:szCs w:val="11"/>
                <w:b w:val="1"/>
                <w:bCs w:val="1"/>
                <w:color w:val="auto"/>
                <w:w w:val="87"/>
              </w:rPr>
              <w:t>Nature of Business</w:t>
            </w:r>
          </w:p>
        </w:tc>
        <w:tc>
          <w:tcPr>
            <w:tcW w:w="1660" w:type="dxa"/>
            <w:vAlign w:val="bottom"/>
            <w:gridSpan w:val="2"/>
          </w:tcPr>
          <w:p>
            <w:pPr>
              <w:jc w:val="center"/>
              <w:ind w:right="200"/>
              <w:spacing w:after="0" w:line="125" w:lineRule="exact"/>
              <w:rPr>
                <w:sz w:val="20"/>
                <w:szCs w:val="20"/>
                <w:color w:val="auto"/>
              </w:rPr>
            </w:pPr>
            <w:r>
              <w:rPr>
                <w:rFonts w:ascii="Arial" w:cs="Arial" w:eastAsia="Arial" w:hAnsi="Arial"/>
                <w:sz w:val="11"/>
                <w:szCs w:val="11"/>
                <w:b w:val="1"/>
                <w:bCs w:val="1"/>
                <w:color w:val="auto"/>
                <w:w w:val="95"/>
              </w:rPr>
              <w:t>Interest(1), Maturity</w:t>
            </w:r>
          </w:p>
        </w:tc>
        <w:tc>
          <w:tcPr>
            <w:tcW w:w="1060" w:type="dxa"/>
            <w:vAlign w:val="bottom"/>
            <w:gridSpan w:val="2"/>
          </w:tcPr>
          <w:p>
            <w:pPr>
              <w:jc w:val="right"/>
              <w:ind w:right="420"/>
              <w:spacing w:after="0" w:line="125" w:lineRule="exact"/>
              <w:rPr>
                <w:sz w:val="20"/>
                <w:szCs w:val="20"/>
                <w:color w:val="auto"/>
              </w:rPr>
            </w:pPr>
            <w:r>
              <w:rPr>
                <w:rFonts w:ascii="Arial" w:cs="Arial" w:eastAsia="Arial" w:hAnsi="Arial"/>
                <w:sz w:val="11"/>
                <w:szCs w:val="11"/>
                <w:b w:val="1"/>
                <w:bCs w:val="1"/>
                <w:color w:val="auto"/>
                <w:w w:val="88"/>
              </w:rPr>
              <w:t>Ownership(2)</w:t>
            </w:r>
          </w:p>
        </w:tc>
        <w:tc>
          <w:tcPr>
            <w:tcW w:w="7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w w:val="89"/>
              </w:rPr>
              <w:t>(in thousands)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420" w:type="dxa"/>
            <w:vAlign w:val="bottom"/>
            <w:tcBorders>
              <w:top w:val="single" w:sz="8" w:color="auto"/>
            </w:tcBorders>
            <w:shd w:val="clear" w:color="auto" w:fill="CCEEFF"/>
          </w:tcPr>
          <w:p>
            <w:pPr>
              <w:spacing w:after="0" w:line="74" w:lineRule="exact"/>
              <w:rPr>
                <w:sz w:val="20"/>
                <w:szCs w:val="20"/>
                <w:color w:val="auto"/>
              </w:rPr>
            </w:pPr>
            <w:r>
              <w:rPr>
                <w:rFonts w:ascii="Arial" w:cs="Arial" w:eastAsia="Arial" w:hAnsi="Arial"/>
                <w:sz w:val="8"/>
                <w:szCs w:val="8"/>
                <w:color w:val="auto"/>
              </w:rPr>
              <w:t>Output Services Group, Inc.</w:t>
            </w:r>
          </w:p>
        </w:tc>
        <w:tc>
          <w:tcPr>
            <w:tcW w:w="204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auto"/>
            </w:tcBorders>
            <w:shd w:val="clear" w:color="auto" w:fill="CCEEFF"/>
          </w:tcPr>
          <w:p>
            <w:pPr>
              <w:jc w:val="center"/>
              <w:spacing w:after="0" w:line="74" w:lineRule="exact"/>
              <w:rPr>
                <w:sz w:val="20"/>
                <w:szCs w:val="20"/>
                <w:color w:val="auto"/>
              </w:rPr>
            </w:pPr>
            <w:r>
              <w:rPr>
                <w:rFonts w:ascii="Arial" w:cs="Arial" w:eastAsia="Arial" w:hAnsi="Arial"/>
                <w:sz w:val="8"/>
                <w:szCs w:val="8"/>
                <w:color w:val="auto"/>
              </w:rPr>
              <w:t>Business Services</w:t>
            </w:r>
          </w:p>
        </w:tc>
        <w:tc>
          <w:tcPr>
            <w:tcW w:w="42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auto"/>
            </w:tcBorders>
            <w:shd w:val="clear" w:color="auto" w:fill="CCEEFF"/>
          </w:tcPr>
          <w:p>
            <w:pPr>
              <w:jc w:val="center"/>
              <w:spacing w:after="0" w:line="74" w:lineRule="exact"/>
              <w:rPr>
                <w:sz w:val="20"/>
                <w:szCs w:val="20"/>
                <w:color w:val="auto"/>
              </w:rPr>
            </w:pPr>
            <w:r>
              <w:rPr>
                <w:rFonts w:ascii="Arial" w:cs="Arial" w:eastAsia="Arial" w:hAnsi="Arial"/>
                <w:sz w:val="8"/>
                <w:szCs w:val="8"/>
                <w:color w:val="auto"/>
              </w:rPr>
              <w:t>First Lien Secured Debt,</w:t>
            </w:r>
          </w:p>
        </w:tc>
        <w:tc>
          <w:tcPr>
            <w:tcW w:w="2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ind w:left="480"/>
              <w:spacing w:after="0" w:line="74" w:lineRule="exact"/>
              <w:rPr>
                <w:sz w:val="20"/>
                <w:szCs w:val="20"/>
                <w:color w:val="auto"/>
              </w:rPr>
            </w:pPr>
            <w:r>
              <w:rPr>
                <w:rFonts w:ascii="Arial" w:cs="Arial" w:eastAsia="Arial" w:hAnsi="Arial"/>
                <w:sz w:val="8"/>
                <w:szCs w:val="8"/>
                <w:color w:val="auto"/>
              </w:rPr>
              <w:t>—</w:t>
            </w:r>
          </w:p>
        </w:tc>
        <w:tc>
          <w:tcPr>
            <w:tcW w:w="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line="74" w:lineRule="exact"/>
              <w:rPr>
                <w:sz w:val="20"/>
                <w:szCs w:val="20"/>
                <w:color w:val="auto"/>
              </w:rPr>
            </w:pPr>
            <w:r>
              <w:rPr>
                <w:rFonts w:ascii="Arial" w:cs="Arial" w:eastAsia="Arial" w:hAnsi="Arial"/>
                <w:sz w:val="8"/>
                <w:szCs w:val="8"/>
                <w:color w:val="auto"/>
              </w:rPr>
              <w:t>$</w:t>
            </w:r>
          </w:p>
        </w:tc>
        <w:tc>
          <w:tcPr>
            <w:tcW w:w="600" w:type="dxa"/>
            <w:vAlign w:val="bottom"/>
            <w:tcBorders>
              <w:top w:val="single" w:sz="8" w:color="auto"/>
            </w:tcBorders>
            <w:shd w:val="clear" w:color="auto" w:fill="CCEEFF"/>
          </w:tcPr>
          <w:p>
            <w:pPr>
              <w:jc w:val="right"/>
              <w:spacing w:after="0" w:line="74" w:lineRule="exact"/>
              <w:rPr>
                <w:sz w:val="20"/>
                <w:szCs w:val="20"/>
                <w:color w:val="auto"/>
              </w:rPr>
            </w:pPr>
            <w:r>
              <w:rPr>
                <w:rFonts w:ascii="Arial" w:cs="Arial" w:eastAsia="Arial" w:hAnsi="Arial"/>
                <w:sz w:val="8"/>
                <w:szCs w:val="8"/>
                <w:color w:val="auto"/>
              </w:rPr>
              <w:t>3,704</w:t>
            </w:r>
          </w:p>
        </w:tc>
        <w:tc>
          <w:tcPr>
            <w:tcW w:w="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775 Washington Ave</w:t>
            </w:r>
          </w:p>
        </w:tc>
        <w:tc>
          <w:tcPr>
            <w:tcW w:w="1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60" w:type="dxa"/>
            <w:vAlign w:val="bottom"/>
            <w:gridSpan w:val="2"/>
            <w:shd w:val="clear" w:color="auto" w:fill="CCEEFF"/>
          </w:tcPr>
          <w:p>
            <w:pPr>
              <w:jc w:val="center"/>
              <w:ind w:right="200"/>
              <w:spacing w:after="0" w:line="114" w:lineRule="exact"/>
              <w:rPr>
                <w:sz w:val="20"/>
                <w:szCs w:val="20"/>
                <w:color w:val="auto"/>
              </w:rPr>
            </w:pPr>
            <w:r>
              <w:rPr>
                <w:rFonts w:ascii="Arial" w:cs="Arial" w:eastAsia="Arial" w:hAnsi="Arial"/>
                <w:sz w:val="11"/>
                <w:szCs w:val="11"/>
                <w:color w:val="auto"/>
                <w:w w:val="92"/>
              </w:rPr>
              <w:t>1M L+675, 03/27/2024</w:t>
            </w:r>
          </w:p>
        </w:tc>
        <w:tc>
          <w:tcPr>
            <w:tcW w:w="6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Carlstadt, NJ 07072</w:t>
            </w:r>
          </w:p>
        </w:tc>
        <w:tc>
          <w:tcPr>
            <w:tcW w:w="1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480" w:type="dxa"/>
            <w:vAlign w:val="bottom"/>
            <w:gridSpan w:val="3"/>
          </w:tcPr>
          <w:p>
            <w:pPr>
              <w:spacing w:after="0"/>
              <w:rPr>
                <w:sz w:val="20"/>
                <w:szCs w:val="20"/>
                <w:color w:val="auto"/>
              </w:rPr>
            </w:pPr>
            <w:r>
              <w:rPr>
                <w:rFonts w:ascii="Arial" w:cs="Arial" w:eastAsia="Arial" w:hAnsi="Arial"/>
                <w:sz w:val="11"/>
                <w:szCs w:val="11"/>
                <w:color w:val="auto"/>
              </w:rPr>
              <w:t>Owl Acquisition, LLC</w:t>
            </w:r>
          </w:p>
        </w:tc>
        <w:tc>
          <w:tcPr>
            <w:tcW w:w="1540" w:type="dxa"/>
            <w:vAlign w:val="bottom"/>
            <w:gridSpan w:val="2"/>
          </w:tcPr>
          <w:p>
            <w:pPr>
              <w:jc w:val="center"/>
              <w:ind w:right="420"/>
              <w:spacing w:after="0"/>
              <w:rPr>
                <w:sz w:val="20"/>
                <w:szCs w:val="20"/>
                <w:color w:val="auto"/>
              </w:rPr>
            </w:pPr>
            <w:r>
              <w:rPr>
                <w:rFonts w:ascii="Arial" w:cs="Arial" w:eastAsia="Arial" w:hAnsi="Arial"/>
                <w:sz w:val="11"/>
                <w:szCs w:val="11"/>
                <w:color w:val="auto"/>
                <w:w w:val="90"/>
              </w:rPr>
              <w:t>Professional Services</w:t>
            </w:r>
          </w:p>
        </w:tc>
        <w:tc>
          <w:tcPr>
            <w:tcW w:w="1660" w:type="dxa"/>
            <w:vAlign w:val="bottom"/>
            <w:gridSpan w:val="2"/>
          </w:tcPr>
          <w:p>
            <w:pPr>
              <w:jc w:val="center"/>
              <w:ind w:right="200"/>
              <w:spacing w:after="0"/>
              <w:rPr>
                <w:sz w:val="20"/>
                <w:szCs w:val="20"/>
                <w:color w:val="auto"/>
              </w:rPr>
            </w:pPr>
            <w:r>
              <w:rPr>
                <w:rFonts w:ascii="Arial" w:cs="Arial" w:eastAsia="Arial" w:hAnsi="Arial"/>
                <w:sz w:val="11"/>
                <w:szCs w:val="11"/>
                <w:color w:val="auto"/>
                <w:w w:val="92"/>
              </w:rPr>
              <w:t>First Lien Secured Debt,</w:t>
            </w:r>
          </w:p>
        </w:tc>
        <w:tc>
          <w:tcPr>
            <w:tcW w:w="106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3,890</w:t>
            </w: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Arial" w:cs="Arial" w:eastAsia="Arial" w:hAnsi="Arial"/>
                <w:sz w:val="11"/>
                <w:szCs w:val="11"/>
                <w:color w:val="auto"/>
              </w:rPr>
              <w:t>47 Old Webster Road</w:t>
            </w: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60" w:type="dxa"/>
            <w:vAlign w:val="bottom"/>
            <w:gridSpan w:val="2"/>
          </w:tcPr>
          <w:p>
            <w:pPr>
              <w:jc w:val="center"/>
              <w:ind w:right="200"/>
              <w:spacing w:after="0" w:line="114" w:lineRule="exact"/>
              <w:rPr>
                <w:sz w:val="20"/>
                <w:szCs w:val="20"/>
                <w:color w:val="auto"/>
              </w:rPr>
            </w:pPr>
            <w:r>
              <w:rPr>
                <w:rFonts w:ascii="Arial" w:cs="Arial" w:eastAsia="Arial" w:hAnsi="Arial"/>
                <w:sz w:val="11"/>
                <w:szCs w:val="11"/>
                <w:color w:val="auto"/>
                <w:w w:val="92"/>
              </w:rPr>
              <w:t>3M L+575, 02/04/2028</w:t>
            </w: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480" w:type="dxa"/>
            <w:vAlign w:val="bottom"/>
            <w:gridSpan w:val="3"/>
          </w:tcPr>
          <w:p>
            <w:pPr>
              <w:spacing w:after="0"/>
              <w:rPr>
                <w:sz w:val="20"/>
                <w:szCs w:val="20"/>
                <w:color w:val="auto"/>
              </w:rPr>
            </w:pPr>
            <w:r>
              <w:rPr>
                <w:rFonts w:ascii="Arial" w:cs="Arial" w:eastAsia="Arial" w:hAnsi="Arial"/>
                <w:sz w:val="11"/>
                <w:szCs w:val="11"/>
                <w:color w:val="auto"/>
              </w:rPr>
              <w:t>Oxford, MA 01540</w:t>
            </w: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Ox Two, LLC</w:t>
            </w:r>
          </w:p>
        </w:tc>
        <w:tc>
          <w:tcPr>
            <w:tcW w:w="1540" w:type="dxa"/>
            <w:vAlign w:val="bottom"/>
            <w:gridSpan w:val="2"/>
            <w:shd w:val="clear" w:color="auto" w:fill="CCEEFF"/>
          </w:tcPr>
          <w:p>
            <w:pPr>
              <w:jc w:val="center"/>
              <w:ind w:right="420"/>
              <w:spacing w:after="0" w:line="101" w:lineRule="exact"/>
              <w:rPr>
                <w:sz w:val="20"/>
                <w:szCs w:val="20"/>
                <w:color w:val="auto"/>
              </w:rPr>
            </w:pPr>
            <w:r>
              <w:rPr>
                <w:rFonts w:ascii="Arial" w:cs="Arial" w:eastAsia="Arial" w:hAnsi="Arial"/>
                <w:sz w:val="11"/>
                <w:szCs w:val="11"/>
                <w:color w:val="auto"/>
                <w:w w:val="91"/>
              </w:rPr>
              <w:t>Construction and</w:t>
            </w:r>
          </w:p>
        </w:tc>
        <w:tc>
          <w:tcPr>
            <w:tcW w:w="1660" w:type="dxa"/>
            <w:vAlign w:val="bottom"/>
            <w:gridSpan w:val="2"/>
            <w:shd w:val="clear" w:color="auto" w:fill="CCEEFF"/>
          </w:tcPr>
          <w:p>
            <w:pPr>
              <w:jc w:val="center"/>
              <w:ind w:right="200"/>
              <w:spacing w:after="0" w:line="101" w:lineRule="exact"/>
              <w:rPr>
                <w:sz w:val="20"/>
                <w:szCs w:val="20"/>
                <w:color w:val="auto"/>
              </w:rPr>
            </w:pPr>
            <w:r>
              <w:rPr>
                <w:rFonts w:ascii="Arial" w:cs="Arial" w:eastAsia="Arial" w:hAnsi="Arial"/>
                <w:sz w:val="11"/>
                <w:szCs w:val="11"/>
                <w:color w:val="auto"/>
                <w:w w:val="92"/>
              </w:rPr>
              <w:t>First Lien Secured Debt(4),</w:t>
            </w:r>
          </w:p>
        </w:tc>
        <w:tc>
          <w:tcPr>
            <w:tcW w:w="1060" w:type="dxa"/>
            <w:vAlign w:val="bottom"/>
            <w:gridSpan w:val="2"/>
            <w:shd w:val="clear" w:color="auto" w:fill="CCEEFF"/>
          </w:tcPr>
          <w:p>
            <w:pPr>
              <w:ind w:left="480"/>
              <w:spacing w:after="0" w:line="10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27,673</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22260 Haggerty Road #365</w:t>
            </w:r>
          </w:p>
        </w:tc>
        <w:tc>
          <w:tcPr>
            <w:tcW w:w="1540" w:type="dxa"/>
            <w:vAlign w:val="bottom"/>
            <w:gridSpan w:val="2"/>
            <w:shd w:val="clear" w:color="auto" w:fill="CCEEFF"/>
          </w:tcPr>
          <w:p>
            <w:pPr>
              <w:jc w:val="center"/>
              <w:ind w:right="420"/>
              <w:spacing w:after="0" w:line="114" w:lineRule="exact"/>
              <w:rPr>
                <w:sz w:val="20"/>
                <w:szCs w:val="20"/>
                <w:color w:val="auto"/>
              </w:rPr>
            </w:pPr>
            <w:r>
              <w:rPr>
                <w:rFonts w:ascii="Arial" w:cs="Arial" w:eastAsia="Arial" w:hAnsi="Arial"/>
                <w:sz w:val="11"/>
                <w:szCs w:val="11"/>
                <w:color w:val="auto"/>
              </w:rPr>
              <w:t>Building</w:t>
            </w:r>
          </w:p>
        </w:tc>
        <w:tc>
          <w:tcPr>
            <w:tcW w:w="1660" w:type="dxa"/>
            <w:vAlign w:val="bottom"/>
            <w:gridSpan w:val="2"/>
            <w:shd w:val="clear" w:color="auto" w:fill="CCEEFF"/>
          </w:tcPr>
          <w:p>
            <w:pPr>
              <w:jc w:val="center"/>
              <w:ind w:right="200"/>
              <w:spacing w:after="0" w:line="114" w:lineRule="exact"/>
              <w:rPr>
                <w:sz w:val="20"/>
                <w:szCs w:val="20"/>
                <w:color w:val="auto"/>
              </w:rPr>
            </w:pPr>
            <w:r>
              <w:rPr>
                <w:rFonts w:ascii="Arial" w:cs="Arial" w:eastAsia="Arial" w:hAnsi="Arial"/>
                <w:sz w:val="11"/>
                <w:szCs w:val="11"/>
                <w:color w:val="auto"/>
                <w:w w:val="92"/>
              </w:rPr>
              <w:t>1M L+700, 05/18/2026</w:t>
            </w:r>
          </w:p>
        </w:tc>
        <w:tc>
          <w:tcPr>
            <w:tcW w:w="6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Northville, MI 48167</w:t>
            </w:r>
          </w:p>
        </w:tc>
        <w:tc>
          <w:tcPr>
            <w:tcW w:w="1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480" w:type="dxa"/>
            <w:vAlign w:val="bottom"/>
            <w:gridSpan w:val="3"/>
          </w:tcPr>
          <w:p>
            <w:pPr>
              <w:spacing w:after="0"/>
              <w:rPr>
                <w:sz w:val="20"/>
                <w:szCs w:val="20"/>
                <w:color w:val="auto"/>
              </w:rPr>
            </w:pPr>
            <w:r>
              <w:rPr>
                <w:rFonts w:ascii="Arial" w:cs="Arial" w:eastAsia="Arial" w:hAnsi="Arial"/>
                <w:sz w:val="11"/>
                <w:szCs w:val="11"/>
                <w:color w:val="auto"/>
              </w:rPr>
              <w:t>PennantPark-TSO Senior Loan Fund, LP</w:t>
            </w:r>
          </w:p>
        </w:tc>
        <w:tc>
          <w:tcPr>
            <w:tcW w:w="1540" w:type="dxa"/>
            <w:vAlign w:val="bottom"/>
            <w:gridSpan w:val="2"/>
          </w:tcPr>
          <w:p>
            <w:pPr>
              <w:jc w:val="center"/>
              <w:ind w:right="420"/>
              <w:spacing w:after="0"/>
              <w:rPr>
                <w:sz w:val="20"/>
                <w:szCs w:val="20"/>
                <w:color w:val="auto"/>
              </w:rPr>
            </w:pPr>
            <w:r>
              <w:rPr>
                <w:rFonts w:ascii="Arial" w:cs="Arial" w:eastAsia="Arial" w:hAnsi="Arial"/>
                <w:sz w:val="11"/>
                <w:szCs w:val="11"/>
                <w:color w:val="auto"/>
                <w:w w:val="89"/>
              </w:rPr>
              <w:t>Financial Services</w:t>
            </w:r>
          </w:p>
        </w:tc>
        <w:tc>
          <w:tcPr>
            <w:tcW w:w="1660" w:type="dxa"/>
            <w:vAlign w:val="bottom"/>
            <w:gridSpan w:val="2"/>
          </w:tcPr>
          <w:p>
            <w:pPr>
              <w:jc w:val="center"/>
              <w:ind w:right="200"/>
              <w:spacing w:after="0"/>
              <w:rPr>
                <w:sz w:val="20"/>
                <w:szCs w:val="20"/>
                <w:color w:val="auto"/>
              </w:rPr>
            </w:pPr>
            <w:r>
              <w:rPr>
                <w:rFonts w:ascii="Arial" w:cs="Arial" w:eastAsia="Arial" w:hAnsi="Arial"/>
                <w:sz w:val="11"/>
                <w:szCs w:val="11"/>
                <w:color w:val="auto"/>
                <w:w w:val="94"/>
              </w:rPr>
              <w:t>Common Equity</w:t>
            </w:r>
          </w:p>
        </w:tc>
        <w:tc>
          <w:tcPr>
            <w:tcW w:w="1060" w:type="dxa"/>
            <w:vAlign w:val="bottom"/>
            <w:gridSpan w:val="2"/>
          </w:tcPr>
          <w:p>
            <w:pPr>
              <w:jc w:val="right"/>
              <w:ind w:right="200"/>
              <w:spacing w:after="0"/>
              <w:rPr>
                <w:sz w:val="20"/>
                <w:szCs w:val="20"/>
                <w:color w:val="auto"/>
              </w:rPr>
            </w:pPr>
            <w:r>
              <w:rPr>
                <w:rFonts w:ascii="Arial" w:cs="Arial" w:eastAsia="Arial" w:hAnsi="Arial"/>
                <w:sz w:val="11"/>
                <w:szCs w:val="11"/>
                <w:color w:val="auto"/>
              </w:rPr>
              <w:t>4.99%(3)</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9,892</w:t>
            </w: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Arial" w:cs="Arial" w:eastAsia="Arial" w:hAnsi="Arial"/>
                <w:sz w:val="11"/>
                <w:szCs w:val="11"/>
                <w:color w:val="auto"/>
              </w:rPr>
              <w:t>1691 Michigan Avenue</w:t>
            </w: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480" w:type="dxa"/>
            <w:vAlign w:val="bottom"/>
            <w:gridSpan w:val="3"/>
          </w:tcPr>
          <w:p>
            <w:pPr>
              <w:spacing w:after="0"/>
              <w:rPr>
                <w:sz w:val="20"/>
                <w:szCs w:val="20"/>
                <w:color w:val="auto"/>
              </w:rPr>
            </w:pPr>
            <w:r>
              <w:rPr>
                <w:rFonts w:ascii="Arial" w:cs="Arial" w:eastAsia="Arial" w:hAnsi="Arial"/>
                <w:sz w:val="11"/>
                <w:szCs w:val="11"/>
                <w:color w:val="auto"/>
              </w:rPr>
              <w:t>Miami, FL 33139</w:t>
            </w: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PL Acquisitionco, LLC</w:t>
            </w:r>
          </w:p>
        </w:tc>
        <w:tc>
          <w:tcPr>
            <w:tcW w:w="1540" w:type="dxa"/>
            <w:vAlign w:val="bottom"/>
            <w:gridSpan w:val="2"/>
            <w:shd w:val="clear" w:color="auto" w:fill="CCEEFF"/>
          </w:tcPr>
          <w:p>
            <w:pPr>
              <w:jc w:val="center"/>
              <w:ind w:right="420"/>
              <w:spacing w:after="0" w:line="101" w:lineRule="exact"/>
              <w:rPr>
                <w:sz w:val="20"/>
                <w:szCs w:val="20"/>
                <w:color w:val="auto"/>
              </w:rPr>
            </w:pPr>
            <w:r>
              <w:rPr>
                <w:rFonts w:ascii="Arial" w:cs="Arial" w:eastAsia="Arial" w:hAnsi="Arial"/>
                <w:sz w:val="11"/>
                <w:szCs w:val="11"/>
                <w:color w:val="auto"/>
                <w:w w:val="92"/>
              </w:rPr>
              <w:t>Textiles, Apparel and</w:t>
            </w:r>
          </w:p>
        </w:tc>
        <w:tc>
          <w:tcPr>
            <w:tcW w:w="1660" w:type="dxa"/>
            <w:vAlign w:val="bottom"/>
            <w:gridSpan w:val="2"/>
            <w:shd w:val="clear" w:color="auto" w:fill="CCEEFF"/>
          </w:tcPr>
          <w:p>
            <w:pPr>
              <w:jc w:val="center"/>
              <w:ind w:right="200"/>
              <w:spacing w:after="0" w:line="101" w:lineRule="exact"/>
              <w:rPr>
                <w:sz w:val="20"/>
                <w:szCs w:val="20"/>
                <w:color w:val="auto"/>
              </w:rPr>
            </w:pPr>
            <w:r>
              <w:rPr>
                <w:rFonts w:ascii="Arial" w:cs="Arial" w:eastAsia="Arial" w:hAnsi="Arial"/>
                <w:sz w:val="11"/>
                <w:szCs w:val="11"/>
                <w:color w:val="auto"/>
                <w:w w:val="92"/>
              </w:rPr>
              <w:t>First Lien Secured Debt(4),</w:t>
            </w:r>
          </w:p>
        </w:tc>
        <w:tc>
          <w:tcPr>
            <w:tcW w:w="1060" w:type="dxa"/>
            <w:vAlign w:val="bottom"/>
            <w:gridSpan w:val="2"/>
            <w:shd w:val="clear" w:color="auto" w:fill="CCEEFF"/>
          </w:tcPr>
          <w:p>
            <w:pPr>
              <w:jc w:val="right"/>
              <w:ind w:right="320"/>
              <w:spacing w:after="0" w:line="101" w:lineRule="exact"/>
              <w:rPr>
                <w:sz w:val="20"/>
                <w:szCs w:val="20"/>
                <w:color w:val="auto"/>
              </w:rPr>
            </w:pPr>
            <w:r>
              <w:rPr>
                <w:rFonts w:ascii="Arial" w:cs="Arial" w:eastAsia="Arial" w:hAnsi="Arial"/>
                <w:sz w:val="11"/>
                <w:szCs w:val="11"/>
                <w:color w:val="auto"/>
              </w:rPr>
              <w:t>0.4%</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6,814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(Pink Lily Holdco, LLC)</w:t>
            </w:r>
          </w:p>
        </w:tc>
        <w:tc>
          <w:tcPr>
            <w:tcW w:w="1540" w:type="dxa"/>
            <w:vAlign w:val="bottom"/>
            <w:gridSpan w:val="2"/>
            <w:shd w:val="clear" w:color="auto" w:fill="CCEEFF"/>
          </w:tcPr>
          <w:p>
            <w:pPr>
              <w:jc w:val="center"/>
              <w:ind w:right="420"/>
              <w:spacing w:after="0" w:line="114" w:lineRule="exact"/>
              <w:rPr>
                <w:sz w:val="20"/>
                <w:szCs w:val="20"/>
                <w:color w:val="auto"/>
              </w:rPr>
            </w:pPr>
            <w:r>
              <w:rPr>
                <w:rFonts w:ascii="Arial" w:cs="Arial" w:eastAsia="Arial" w:hAnsi="Arial"/>
                <w:sz w:val="11"/>
                <w:szCs w:val="11"/>
                <w:color w:val="auto"/>
                <w:w w:val="93"/>
              </w:rPr>
              <w:t>Luxury Goods</w:t>
            </w:r>
          </w:p>
        </w:tc>
        <w:tc>
          <w:tcPr>
            <w:tcW w:w="1660" w:type="dxa"/>
            <w:vAlign w:val="bottom"/>
            <w:gridSpan w:val="2"/>
            <w:shd w:val="clear" w:color="auto" w:fill="CCEEFF"/>
          </w:tcPr>
          <w:p>
            <w:pPr>
              <w:jc w:val="center"/>
              <w:ind w:right="200"/>
              <w:spacing w:after="0" w:line="114" w:lineRule="exact"/>
              <w:rPr>
                <w:sz w:val="20"/>
                <w:szCs w:val="20"/>
                <w:color w:val="auto"/>
              </w:rPr>
            </w:pPr>
            <w:r>
              <w:rPr>
                <w:rFonts w:ascii="Arial" w:cs="Arial" w:eastAsia="Arial" w:hAnsi="Arial"/>
                <w:sz w:val="11"/>
                <w:szCs w:val="11"/>
                <w:color w:val="auto"/>
                <w:w w:val="92"/>
              </w:rPr>
              <w:t>3M L+650, 11/09/2027</w:t>
            </w:r>
          </w:p>
        </w:tc>
        <w:tc>
          <w:tcPr>
            <w:tcW w:w="6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323 Mitch McConnell Way</w:t>
            </w:r>
          </w:p>
        </w:tc>
        <w:tc>
          <w:tcPr>
            <w:tcW w:w="1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60" w:type="dxa"/>
            <w:vAlign w:val="bottom"/>
            <w:gridSpan w:val="2"/>
            <w:shd w:val="clear" w:color="auto" w:fill="CCEEFF"/>
          </w:tcPr>
          <w:p>
            <w:pPr>
              <w:jc w:val="center"/>
              <w:ind w:right="200"/>
              <w:spacing w:after="0" w:line="114" w:lineRule="exact"/>
              <w:rPr>
                <w:sz w:val="20"/>
                <w:szCs w:val="20"/>
                <w:color w:val="auto"/>
              </w:rPr>
            </w:pPr>
            <w:r>
              <w:rPr>
                <w:rFonts w:ascii="Arial" w:cs="Arial" w:eastAsia="Arial" w:hAnsi="Arial"/>
                <w:sz w:val="11"/>
                <w:szCs w:val="11"/>
                <w:color w:val="auto"/>
                <w:w w:val="94"/>
              </w:rPr>
              <w:t>Common Equity</w:t>
            </w:r>
          </w:p>
        </w:tc>
        <w:tc>
          <w:tcPr>
            <w:tcW w:w="6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Bowling Green KY 42101</w:t>
            </w:r>
          </w:p>
        </w:tc>
        <w:tc>
          <w:tcPr>
            <w:tcW w:w="1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480" w:type="dxa"/>
            <w:vAlign w:val="bottom"/>
            <w:gridSpan w:val="3"/>
          </w:tcPr>
          <w:p>
            <w:pPr>
              <w:spacing w:after="0"/>
              <w:rPr>
                <w:sz w:val="20"/>
                <w:szCs w:val="20"/>
                <w:color w:val="auto"/>
              </w:rPr>
            </w:pPr>
            <w:r>
              <w:rPr>
                <w:rFonts w:ascii="Arial" w:cs="Arial" w:eastAsia="Arial" w:hAnsi="Arial"/>
                <w:sz w:val="11"/>
                <w:szCs w:val="11"/>
                <w:color w:val="auto"/>
              </w:rPr>
              <w:t>PlayPower, Inc.</w:t>
            </w:r>
          </w:p>
        </w:tc>
        <w:tc>
          <w:tcPr>
            <w:tcW w:w="1540" w:type="dxa"/>
            <w:vAlign w:val="bottom"/>
            <w:gridSpan w:val="2"/>
          </w:tcPr>
          <w:p>
            <w:pPr>
              <w:jc w:val="center"/>
              <w:ind w:right="420"/>
              <w:spacing w:after="0"/>
              <w:rPr>
                <w:sz w:val="20"/>
                <w:szCs w:val="20"/>
                <w:color w:val="auto"/>
              </w:rPr>
            </w:pPr>
            <w:r>
              <w:rPr>
                <w:rFonts w:ascii="Arial" w:cs="Arial" w:eastAsia="Arial" w:hAnsi="Arial"/>
                <w:sz w:val="11"/>
                <w:szCs w:val="11"/>
                <w:color w:val="auto"/>
                <w:w w:val="92"/>
              </w:rPr>
              <w:t>Leisure Products</w:t>
            </w:r>
          </w:p>
        </w:tc>
        <w:tc>
          <w:tcPr>
            <w:tcW w:w="1660" w:type="dxa"/>
            <w:vAlign w:val="bottom"/>
            <w:gridSpan w:val="2"/>
          </w:tcPr>
          <w:p>
            <w:pPr>
              <w:jc w:val="center"/>
              <w:ind w:right="200"/>
              <w:spacing w:after="0"/>
              <w:rPr>
                <w:sz w:val="20"/>
                <w:szCs w:val="20"/>
                <w:color w:val="auto"/>
              </w:rPr>
            </w:pPr>
            <w:r>
              <w:rPr>
                <w:rFonts w:ascii="Arial" w:cs="Arial" w:eastAsia="Arial" w:hAnsi="Arial"/>
                <w:sz w:val="11"/>
                <w:szCs w:val="11"/>
                <w:color w:val="auto"/>
                <w:w w:val="92"/>
              </w:rPr>
              <w:t>First Lien Secured Debt,</w:t>
            </w:r>
          </w:p>
        </w:tc>
        <w:tc>
          <w:tcPr>
            <w:tcW w:w="106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3,078</w:t>
            </w: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Arial" w:cs="Arial" w:eastAsia="Arial" w:hAnsi="Arial"/>
                <w:sz w:val="11"/>
                <w:szCs w:val="11"/>
                <w:color w:val="auto"/>
              </w:rPr>
              <w:t>13310 James E. Casey Ave.</w:t>
            </w: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60" w:type="dxa"/>
            <w:vAlign w:val="bottom"/>
            <w:gridSpan w:val="2"/>
          </w:tcPr>
          <w:p>
            <w:pPr>
              <w:jc w:val="center"/>
              <w:ind w:right="200"/>
              <w:spacing w:after="0" w:line="114" w:lineRule="exact"/>
              <w:rPr>
                <w:sz w:val="20"/>
                <w:szCs w:val="20"/>
                <w:color w:val="auto"/>
              </w:rPr>
            </w:pPr>
            <w:r>
              <w:rPr>
                <w:rFonts w:ascii="Arial" w:cs="Arial" w:eastAsia="Arial" w:hAnsi="Arial"/>
                <w:sz w:val="11"/>
                <w:szCs w:val="11"/>
                <w:color w:val="auto"/>
                <w:w w:val="92"/>
              </w:rPr>
              <w:t>1M L+550, 05/08/2026</w:t>
            </w: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480" w:type="dxa"/>
            <w:vAlign w:val="bottom"/>
            <w:gridSpan w:val="3"/>
          </w:tcPr>
          <w:p>
            <w:pPr>
              <w:spacing w:after="0"/>
              <w:rPr>
                <w:sz w:val="20"/>
                <w:szCs w:val="20"/>
                <w:color w:val="auto"/>
              </w:rPr>
            </w:pPr>
            <w:r>
              <w:rPr>
                <w:rFonts w:ascii="Arial" w:cs="Arial" w:eastAsia="Arial" w:hAnsi="Arial"/>
                <w:sz w:val="11"/>
                <w:szCs w:val="11"/>
                <w:color w:val="auto"/>
              </w:rPr>
              <w:t>Englewood, CO 80112</w:t>
            </w: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PRA Events, Inc.</w:t>
            </w:r>
          </w:p>
        </w:tc>
        <w:tc>
          <w:tcPr>
            <w:tcW w:w="1540" w:type="dxa"/>
            <w:vAlign w:val="bottom"/>
            <w:gridSpan w:val="2"/>
            <w:shd w:val="clear" w:color="auto" w:fill="CCEEFF"/>
          </w:tcPr>
          <w:p>
            <w:pPr>
              <w:jc w:val="center"/>
              <w:ind w:right="420"/>
              <w:spacing w:after="0" w:line="101" w:lineRule="exact"/>
              <w:rPr>
                <w:sz w:val="20"/>
                <w:szCs w:val="20"/>
                <w:color w:val="auto"/>
              </w:rPr>
            </w:pPr>
            <w:r>
              <w:rPr>
                <w:rFonts w:ascii="Arial" w:cs="Arial" w:eastAsia="Arial" w:hAnsi="Arial"/>
                <w:sz w:val="11"/>
                <w:szCs w:val="11"/>
                <w:color w:val="auto"/>
                <w:w w:val="88"/>
              </w:rPr>
              <w:t>Business Services</w:t>
            </w:r>
          </w:p>
        </w:tc>
        <w:tc>
          <w:tcPr>
            <w:tcW w:w="1660" w:type="dxa"/>
            <w:vAlign w:val="bottom"/>
            <w:gridSpan w:val="2"/>
            <w:shd w:val="clear" w:color="auto" w:fill="CCEEFF"/>
          </w:tcPr>
          <w:p>
            <w:pPr>
              <w:jc w:val="center"/>
              <w:ind w:right="200"/>
              <w:spacing w:after="0" w:line="101" w:lineRule="exact"/>
              <w:rPr>
                <w:sz w:val="20"/>
                <w:szCs w:val="20"/>
                <w:color w:val="auto"/>
              </w:rPr>
            </w:pPr>
            <w:r>
              <w:rPr>
                <w:rFonts w:ascii="Arial" w:cs="Arial" w:eastAsia="Arial" w:hAnsi="Arial"/>
                <w:sz w:val="11"/>
                <w:szCs w:val="11"/>
                <w:color w:val="auto"/>
                <w:w w:val="92"/>
              </w:rPr>
              <w:t>First Lien Secured Debt,</w:t>
            </w:r>
          </w:p>
        </w:tc>
        <w:tc>
          <w:tcPr>
            <w:tcW w:w="1060" w:type="dxa"/>
            <w:vAlign w:val="bottom"/>
            <w:gridSpan w:val="2"/>
            <w:shd w:val="clear" w:color="auto" w:fill="CCEEFF"/>
          </w:tcPr>
          <w:p>
            <w:pPr>
              <w:jc w:val="right"/>
              <w:ind w:right="320"/>
              <w:spacing w:after="0" w:line="101" w:lineRule="exact"/>
              <w:rPr>
                <w:sz w:val="20"/>
                <w:szCs w:val="20"/>
                <w:color w:val="auto"/>
              </w:rPr>
            </w:pPr>
            <w:r>
              <w:rPr>
                <w:rFonts w:ascii="Arial" w:cs="Arial" w:eastAsia="Arial" w:hAnsi="Arial"/>
                <w:sz w:val="11"/>
                <w:szCs w:val="11"/>
                <w:color w:val="auto"/>
              </w:rPr>
              <w:t>1.5%</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4,974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(CI (Allied) Investment Holdings, LLC(5))</w:t>
            </w:r>
          </w:p>
        </w:tc>
        <w:tc>
          <w:tcPr>
            <w:tcW w:w="1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60" w:type="dxa"/>
            <w:vAlign w:val="bottom"/>
            <w:gridSpan w:val="2"/>
            <w:shd w:val="clear" w:color="auto" w:fill="CCEEFF"/>
          </w:tcPr>
          <w:p>
            <w:pPr>
              <w:jc w:val="center"/>
              <w:ind w:right="200"/>
              <w:spacing w:after="0" w:line="114" w:lineRule="exact"/>
              <w:rPr>
                <w:sz w:val="20"/>
                <w:szCs w:val="20"/>
                <w:color w:val="auto"/>
              </w:rPr>
            </w:pPr>
            <w:r>
              <w:rPr>
                <w:rFonts w:ascii="Arial" w:cs="Arial" w:eastAsia="Arial" w:hAnsi="Arial"/>
                <w:sz w:val="11"/>
                <w:szCs w:val="11"/>
                <w:color w:val="auto"/>
                <w:w w:val="95"/>
              </w:rPr>
              <w:t>1M L+1,050 (PIK 10.5%),</w:t>
            </w:r>
          </w:p>
        </w:tc>
        <w:tc>
          <w:tcPr>
            <w:tcW w:w="6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One North LaSalle Street</w:t>
            </w:r>
          </w:p>
        </w:tc>
        <w:tc>
          <w:tcPr>
            <w:tcW w:w="1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60" w:type="dxa"/>
            <w:vAlign w:val="bottom"/>
            <w:shd w:val="clear" w:color="auto" w:fill="CCEEFF"/>
          </w:tcPr>
          <w:p>
            <w:pPr>
              <w:jc w:val="center"/>
              <w:spacing w:after="0" w:line="114" w:lineRule="exact"/>
              <w:rPr>
                <w:sz w:val="20"/>
                <w:szCs w:val="20"/>
                <w:color w:val="auto"/>
              </w:rPr>
            </w:pPr>
            <w:r>
              <w:rPr>
                <w:rFonts w:ascii="Arial" w:cs="Arial" w:eastAsia="Arial" w:hAnsi="Arial"/>
                <w:sz w:val="11"/>
                <w:szCs w:val="11"/>
                <w:color w:val="auto"/>
                <w:w w:val="90"/>
              </w:rPr>
              <w:t>08/07/2025</w:t>
            </w:r>
          </w:p>
        </w:tc>
        <w:tc>
          <w:tcPr>
            <w:tcW w:w="2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Chicago, IL 60602</w:t>
            </w:r>
          </w:p>
        </w:tc>
        <w:tc>
          <w:tcPr>
            <w:tcW w:w="1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1"/>
                <w:szCs w:val="11"/>
                <w:color w:val="auto"/>
                <w:w w:val="94"/>
              </w:rPr>
              <w:t>Common Equity</w:t>
            </w: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480" w:type="dxa"/>
            <w:vAlign w:val="bottom"/>
            <w:gridSpan w:val="3"/>
          </w:tcPr>
          <w:p>
            <w:pPr>
              <w:spacing w:after="0"/>
              <w:rPr>
                <w:sz w:val="20"/>
                <w:szCs w:val="20"/>
                <w:color w:val="auto"/>
              </w:rPr>
            </w:pPr>
            <w:r>
              <w:rPr>
                <w:rFonts w:ascii="Arial" w:cs="Arial" w:eastAsia="Arial" w:hAnsi="Arial"/>
                <w:sz w:val="11"/>
                <w:szCs w:val="11"/>
                <w:color w:val="auto"/>
              </w:rPr>
              <w:t>Pragmatic Institute, LLC</w:t>
            </w:r>
          </w:p>
        </w:tc>
        <w:tc>
          <w:tcPr>
            <w:tcW w:w="1540" w:type="dxa"/>
            <w:vAlign w:val="bottom"/>
            <w:gridSpan w:val="2"/>
          </w:tcPr>
          <w:p>
            <w:pPr>
              <w:jc w:val="center"/>
              <w:ind w:right="420"/>
              <w:spacing w:after="0"/>
              <w:rPr>
                <w:sz w:val="20"/>
                <w:szCs w:val="20"/>
                <w:color w:val="auto"/>
              </w:rPr>
            </w:pPr>
            <w:r>
              <w:rPr>
                <w:rFonts w:ascii="Arial" w:cs="Arial" w:eastAsia="Arial" w:hAnsi="Arial"/>
                <w:sz w:val="11"/>
                <w:szCs w:val="11"/>
                <w:color w:val="auto"/>
                <w:w w:val="90"/>
              </w:rPr>
              <w:t>Professional Services</w:t>
            </w:r>
          </w:p>
        </w:tc>
        <w:tc>
          <w:tcPr>
            <w:tcW w:w="1660" w:type="dxa"/>
            <w:vAlign w:val="bottom"/>
            <w:gridSpan w:val="2"/>
          </w:tcPr>
          <w:p>
            <w:pPr>
              <w:jc w:val="center"/>
              <w:ind w:right="200"/>
              <w:spacing w:after="0"/>
              <w:rPr>
                <w:sz w:val="20"/>
                <w:szCs w:val="20"/>
                <w:color w:val="auto"/>
              </w:rPr>
            </w:pPr>
            <w:r>
              <w:rPr>
                <w:rFonts w:ascii="Arial" w:cs="Arial" w:eastAsia="Arial" w:hAnsi="Arial"/>
                <w:sz w:val="11"/>
                <w:szCs w:val="11"/>
                <w:color w:val="auto"/>
                <w:w w:val="92"/>
              </w:rPr>
              <w:t>First Lien Secured Debt(4),</w:t>
            </w:r>
          </w:p>
        </w:tc>
        <w:tc>
          <w:tcPr>
            <w:tcW w:w="1060" w:type="dxa"/>
            <w:vAlign w:val="bottom"/>
            <w:gridSpan w:val="2"/>
          </w:tcPr>
          <w:p>
            <w:pPr>
              <w:jc w:val="right"/>
              <w:ind w:right="320"/>
              <w:spacing w:after="0"/>
              <w:rPr>
                <w:sz w:val="20"/>
                <w:szCs w:val="20"/>
                <w:color w:val="auto"/>
              </w:rPr>
            </w:pPr>
            <w:r>
              <w:rPr>
                <w:rFonts w:ascii="Arial" w:cs="Arial" w:eastAsia="Arial" w:hAnsi="Arial"/>
                <w:sz w:val="11"/>
                <w:szCs w:val="11"/>
                <w:color w:val="auto"/>
              </w:rPr>
              <w:t>0.5%</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901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Arial" w:cs="Arial" w:eastAsia="Arial" w:hAnsi="Arial"/>
                <w:sz w:val="11"/>
                <w:szCs w:val="11"/>
                <w:color w:val="auto"/>
              </w:rPr>
              <w:t>8910 East Raintree Drive</w:t>
            </w: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60" w:type="dxa"/>
            <w:vAlign w:val="bottom"/>
            <w:gridSpan w:val="2"/>
          </w:tcPr>
          <w:p>
            <w:pPr>
              <w:jc w:val="center"/>
              <w:ind w:right="200"/>
              <w:spacing w:after="0" w:line="114" w:lineRule="exact"/>
              <w:rPr>
                <w:sz w:val="20"/>
                <w:szCs w:val="20"/>
                <w:color w:val="auto"/>
              </w:rPr>
            </w:pPr>
            <w:r>
              <w:rPr>
                <w:rFonts w:ascii="Arial" w:cs="Arial" w:eastAsia="Arial" w:hAnsi="Arial"/>
                <w:sz w:val="11"/>
                <w:szCs w:val="11"/>
                <w:color w:val="auto"/>
                <w:w w:val="92"/>
              </w:rPr>
              <w:t>3M L+575, 07/06/2028</w:t>
            </w: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480" w:type="dxa"/>
            <w:vAlign w:val="bottom"/>
            <w:gridSpan w:val="3"/>
          </w:tcPr>
          <w:p>
            <w:pPr>
              <w:spacing w:after="0"/>
              <w:rPr>
                <w:sz w:val="20"/>
                <w:szCs w:val="20"/>
                <w:color w:val="auto"/>
              </w:rPr>
            </w:pPr>
            <w:r>
              <w:rPr>
                <w:rFonts w:ascii="Arial" w:cs="Arial" w:eastAsia="Arial" w:hAnsi="Arial"/>
                <w:sz w:val="11"/>
                <w:szCs w:val="11"/>
                <w:color w:val="auto"/>
              </w:rPr>
              <w:t>Scottsdale, AZ 85620</w:t>
            </w: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1"/>
                <w:szCs w:val="11"/>
                <w:color w:val="auto"/>
                <w:w w:val="94"/>
              </w:rPr>
              <w:t>Common Equity</w:t>
            </w: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Quantic Electronics, LLC</w:t>
            </w:r>
          </w:p>
        </w:tc>
        <w:tc>
          <w:tcPr>
            <w:tcW w:w="1540" w:type="dxa"/>
            <w:vAlign w:val="bottom"/>
            <w:gridSpan w:val="2"/>
            <w:shd w:val="clear" w:color="auto" w:fill="CCEEFF"/>
          </w:tcPr>
          <w:p>
            <w:pPr>
              <w:jc w:val="center"/>
              <w:ind w:right="420"/>
              <w:spacing w:after="0" w:line="101" w:lineRule="exact"/>
              <w:rPr>
                <w:sz w:val="20"/>
                <w:szCs w:val="20"/>
                <w:color w:val="auto"/>
              </w:rPr>
            </w:pPr>
            <w:r>
              <w:rPr>
                <w:rFonts w:ascii="Arial" w:cs="Arial" w:eastAsia="Arial" w:hAnsi="Arial"/>
                <w:sz w:val="11"/>
                <w:szCs w:val="11"/>
                <w:color w:val="auto"/>
                <w:w w:val="93"/>
              </w:rPr>
              <w:t>Electronic Equipment,</w:t>
            </w:r>
          </w:p>
        </w:tc>
        <w:tc>
          <w:tcPr>
            <w:tcW w:w="1660" w:type="dxa"/>
            <w:vAlign w:val="bottom"/>
            <w:gridSpan w:val="2"/>
            <w:shd w:val="clear" w:color="auto" w:fill="CCEEFF"/>
          </w:tcPr>
          <w:p>
            <w:pPr>
              <w:jc w:val="center"/>
              <w:ind w:right="200"/>
              <w:spacing w:after="0" w:line="101" w:lineRule="exact"/>
              <w:rPr>
                <w:sz w:val="20"/>
                <w:szCs w:val="20"/>
                <w:color w:val="auto"/>
              </w:rPr>
            </w:pPr>
            <w:r>
              <w:rPr>
                <w:rFonts w:ascii="Arial" w:cs="Arial" w:eastAsia="Arial" w:hAnsi="Arial"/>
                <w:sz w:val="11"/>
                <w:szCs w:val="11"/>
                <w:color w:val="auto"/>
                <w:w w:val="92"/>
              </w:rPr>
              <w:t>First Lien Secured Debt(4),</w:t>
            </w:r>
          </w:p>
        </w:tc>
        <w:tc>
          <w:tcPr>
            <w:tcW w:w="1060" w:type="dxa"/>
            <w:vAlign w:val="bottom"/>
            <w:gridSpan w:val="2"/>
            <w:shd w:val="clear" w:color="auto" w:fill="CCEEFF"/>
          </w:tcPr>
          <w:p>
            <w:pPr>
              <w:ind w:left="480"/>
              <w:spacing w:after="0" w:line="10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4,867</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Four Embarcadero Center, Suite 3460</w:t>
            </w:r>
          </w:p>
        </w:tc>
        <w:tc>
          <w:tcPr>
            <w:tcW w:w="1540" w:type="dxa"/>
            <w:vAlign w:val="bottom"/>
            <w:gridSpan w:val="2"/>
            <w:shd w:val="clear" w:color="auto" w:fill="CCEEFF"/>
          </w:tcPr>
          <w:p>
            <w:pPr>
              <w:jc w:val="center"/>
              <w:ind w:right="400"/>
              <w:spacing w:after="0" w:line="114" w:lineRule="exact"/>
              <w:rPr>
                <w:sz w:val="20"/>
                <w:szCs w:val="20"/>
                <w:color w:val="auto"/>
              </w:rPr>
            </w:pPr>
            <w:r>
              <w:rPr>
                <w:rFonts w:ascii="Arial" w:cs="Arial" w:eastAsia="Arial" w:hAnsi="Arial"/>
                <w:sz w:val="11"/>
                <w:szCs w:val="11"/>
                <w:color w:val="auto"/>
                <w:w w:val="90"/>
              </w:rPr>
              <w:t>Instruments, and</w:t>
            </w:r>
          </w:p>
        </w:tc>
        <w:tc>
          <w:tcPr>
            <w:tcW w:w="1660" w:type="dxa"/>
            <w:vAlign w:val="bottom"/>
            <w:gridSpan w:val="2"/>
            <w:shd w:val="clear" w:color="auto" w:fill="CCEEFF"/>
          </w:tcPr>
          <w:p>
            <w:pPr>
              <w:jc w:val="center"/>
              <w:ind w:right="200"/>
              <w:spacing w:after="0" w:line="114" w:lineRule="exact"/>
              <w:rPr>
                <w:sz w:val="20"/>
                <w:szCs w:val="20"/>
                <w:color w:val="auto"/>
              </w:rPr>
            </w:pPr>
            <w:r>
              <w:rPr>
                <w:rFonts w:ascii="Arial" w:cs="Arial" w:eastAsia="Arial" w:hAnsi="Arial"/>
                <w:sz w:val="11"/>
                <w:szCs w:val="11"/>
                <w:color w:val="auto"/>
                <w:w w:val="92"/>
              </w:rPr>
              <w:t>1M L+600, 11/19/2026</w:t>
            </w:r>
          </w:p>
        </w:tc>
        <w:tc>
          <w:tcPr>
            <w:tcW w:w="6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San Francisco, CA 94111</w:t>
            </w:r>
          </w:p>
        </w:tc>
        <w:tc>
          <w:tcPr>
            <w:tcW w:w="1540" w:type="dxa"/>
            <w:vAlign w:val="bottom"/>
            <w:gridSpan w:val="2"/>
            <w:shd w:val="clear" w:color="auto" w:fill="CCEEFF"/>
          </w:tcPr>
          <w:p>
            <w:pPr>
              <w:jc w:val="center"/>
              <w:ind w:right="420"/>
              <w:spacing w:after="0"/>
              <w:rPr>
                <w:sz w:val="20"/>
                <w:szCs w:val="20"/>
                <w:color w:val="auto"/>
              </w:rPr>
            </w:pPr>
            <w:r>
              <w:rPr>
                <w:rFonts w:ascii="Arial" w:cs="Arial" w:eastAsia="Arial" w:hAnsi="Arial"/>
                <w:sz w:val="11"/>
                <w:szCs w:val="11"/>
                <w:color w:val="auto"/>
                <w:w w:val="89"/>
              </w:rPr>
              <w:t>Components</w:t>
            </w:r>
          </w:p>
        </w:tc>
        <w:tc>
          <w:tcPr>
            <w:tcW w:w="1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480" w:type="dxa"/>
            <w:vAlign w:val="bottom"/>
            <w:gridSpan w:val="3"/>
          </w:tcPr>
          <w:p>
            <w:pPr>
              <w:spacing w:after="0"/>
              <w:rPr>
                <w:sz w:val="20"/>
                <w:szCs w:val="20"/>
                <w:color w:val="auto"/>
              </w:rPr>
            </w:pPr>
            <w:r>
              <w:rPr>
                <w:rFonts w:ascii="Arial" w:cs="Arial" w:eastAsia="Arial" w:hAnsi="Arial"/>
                <w:sz w:val="11"/>
                <w:szCs w:val="11"/>
                <w:color w:val="auto"/>
              </w:rPr>
              <w:t>QuantiTech LLC</w:t>
            </w:r>
          </w:p>
        </w:tc>
        <w:tc>
          <w:tcPr>
            <w:tcW w:w="1540" w:type="dxa"/>
            <w:vAlign w:val="bottom"/>
            <w:gridSpan w:val="2"/>
          </w:tcPr>
          <w:p>
            <w:pPr>
              <w:jc w:val="center"/>
              <w:ind w:right="420"/>
              <w:spacing w:after="0"/>
              <w:rPr>
                <w:sz w:val="20"/>
                <w:szCs w:val="20"/>
                <w:color w:val="auto"/>
              </w:rPr>
            </w:pPr>
            <w:r>
              <w:rPr>
                <w:rFonts w:ascii="Arial" w:cs="Arial" w:eastAsia="Arial" w:hAnsi="Arial"/>
                <w:sz w:val="11"/>
                <w:szCs w:val="11"/>
                <w:color w:val="auto"/>
                <w:w w:val="88"/>
              </w:rPr>
              <w:t>Aerospace and Defense</w:t>
            </w:r>
          </w:p>
        </w:tc>
        <w:tc>
          <w:tcPr>
            <w:tcW w:w="1660" w:type="dxa"/>
            <w:vAlign w:val="bottom"/>
            <w:gridSpan w:val="2"/>
          </w:tcPr>
          <w:p>
            <w:pPr>
              <w:jc w:val="center"/>
              <w:ind w:right="200"/>
              <w:spacing w:after="0"/>
              <w:rPr>
                <w:sz w:val="20"/>
                <w:szCs w:val="20"/>
                <w:color w:val="auto"/>
              </w:rPr>
            </w:pPr>
            <w:r>
              <w:rPr>
                <w:rFonts w:ascii="Arial" w:cs="Arial" w:eastAsia="Arial" w:hAnsi="Arial"/>
                <w:sz w:val="11"/>
                <w:szCs w:val="11"/>
                <w:color w:val="auto"/>
                <w:w w:val="90"/>
              </w:rPr>
              <w:t>Second Lien Secured Debt,</w:t>
            </w:r>
          </w:p>
        </w:tc>
        <w:tc>
          <w:tcPr>
            <w:tcW w:w="1060" w:type="dxa"/>
            <w:vAlign w:val="bottom"/>
            <w:gridSpan w:val="2"/>
          </w:tcPr>
          <w:p>
            <w:pPr>
              <w:jc w:val="right"/>
              <w:ind w:right="320"/>
              <w:spacing w:after="0"/>
              <w:rPr>
                <w:sz w:val="20"/>
                <w:szCs w:val="20"/>
                <w:color w:val="auto"/>
              </w:rPr>
            </w:pPr>
            <w:r>
              <w:rPr>
                <w:rFonts w:ascii="Arial" w:cs="Arial" w:eastAsia="Arial" w:hAnsi="Arial"/>
                <w:sz w:val="11"/>
                <w:szCs w:val="11"/>
                <w:color w:val="auto"/>
              </w:rPr>
              <w:t>0.2%</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Arial" w:cs="Arial" w:eastAsia="Arial" w:hAnsi="Arial"/>
                <w:sz w:val="11"/>
                <w:szCs w:val="11"/>
                <w:color w:val="auto"/>
              </w:rPr>
              <w:t>(QuantiTech Investco LP(5))</w:t>
            </w: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60" w:type="dxa"/>
            <w:vAlign w:val="bottom"/>
            <w:gridSpan w:val="2"/>
          </w:tcPr>
          <w:p>
            <w:pPr>
              <w:jc w:val="center"/>
              <w:ind w:right="220"/>
              <w:spacing w:after="0" w:line="114" w:lineRule="exact"/>
              <w:rPr>
                <w:sz w:val="20"/>
                <w:szCs w:val="20"/>
                <w:color w:val="auto"/>
              </w:rPr>
            </w:pPr>
            <w:r>
              <w:rPr>
                <w:rFonts w:ascii="Arial" w:cs="Arial" w:eastAsia="Arial" w:hAnsi="Arial"/>
                <w:sz w:val="11"/>
                <w:szCs w:val="11"/>
                <w:color w:val="auto"/>
                <w:w w:val="93"/>
              </w:rPr>
              <w:t>3M L+1,000, 02/04/2027</w:t>
            </w: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Arial" w:cs="Arial" w:eastAsia="Arial" w:hAnsi="Arial"/>
                <w:sz w:val="11"/>
                <w:szCs w:val="11"/>
                <w:color w:val="auto"/>
              </w:rPr>
              <w:t>(QuantiTech InvestCo II LP(5))</w:t>
            </w: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60" w:type="dxa"/>
            <w:vAlign w:val="bottom"/>
            <w:gridSpan w:val="2"/>
          </w:tcPr>
          <w:p>
            <w:pPr>
              <w:jc w:val="center"/>
              <w:ind w:right="200"/>
              <w:spacing w:after="0" w:line="114" w:lineRule="exact"/>
              <w:rPr>
                <w:sz w:val="20"/>
                <w:szCs w:val="20"/>
                <w:color w:val="auto"/>
              </w:rPr>
            </w:pPr>
            <w:r>
              <w:rPr>
                <w:rFonts w:ascii="Arial" w:cs="Arial" w:eastAsia="Arial" w:hAnsi="Arial"/>
                <w:sz w:val="11"/>
                <w:szCs w:val="11"/>
                <w:color w:val="auto"/>
                <w:w w:val="93"/>
              </w:rPr>
              <w:t>Common Equity(4)</w:t>
            </w: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Arial" w:cs="Arial" w:eastAsia="Arial" w:hAnsi="Arial"/>
                <w:sz w:val="11"/>
                <w:szCs w:val="11"/>
                <w:color w:val="auto"/>
              </w:rPr>
              <w:t>360A-360D Quality Circle, Suite</w:t>
            </w: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440" w:type="dxa"/>
            <w:vAlign w:val="bottom"/>
            <w:gridSpan w:val="2"/>
          </w:tcPr>
          <w:p>
            <w:pPr>
              <w:spacing w:after="0" w:line="114" w:lineRule="exact"/>
              <w:rPr>
                <w:sz w:val="20"/>
                <w:szCs w:val="20"/>
                <w:color w:val="auto"/>
              </w:rPr>
            </w:pPr>
            <w:r>
              <w:rPr>
                <w:rFonts w:ascii="Arial" w:cs="Arial" w:eastAsia="Arial" w:hAnsi="Arial"/>
                <w:sz w:val="11"/>
                <w:szCs w:val="11"/>
                <w:color w:val="auto"/>
              </w:rPr>
              <w:t>100/430</w:t>
            </w:r>
          </w:p>
        </w:tc>
        <w:tc>
          <w:tcPr>
            <w:tcW w:w="2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480" w:type="dxa"/>
            <w:vAlign w:val="bottom"/>
            <w:gridSpan w:val="3"/>
          </w:tcPr>
          <w:p>
            <w:pPr>
              <w:spacing w:after="0"/>
              <w:rPr>
                <w:sz w:val="20"/>
                <w:szCs w:val="20"/>
                <w:color w:val="auto"/>
              </w:rPr>
            </w:pPr>
            <w:r>
              <w:rPr>
                <w:rFonts w:ascii="Arial" w:cs="Arial" w:eastAsia="Arial" w:hAnsi="Arial"/>
                <w:sz w:val="11"/>
                <w:szCs w:val="11"/>
                <w:color w:val="auto"/>
              </w:rPr>
              <w:t>Huntsville, AL 35806</w:t>
            </w: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Questex, LLC</w:t>
            </w:r>
          </w:p>
        </w:tc>
        <w:tc>
          <w:tcPr>
            <w:tcW w:w="1540" w:type="dxa"/>
            <w:vAlign w:val="bottom"/>
            <w:gridSpan w:val="2"/>
            <w:shd w:val="clear" w:color="auto" w:fill="CCEEFF"/>
          </w:tcPr>
          <w:p>
            <w:pPr>
              <w:jc w:val="center"/>
              <w:ind w:right="400"/>
              <w:spacing w:after="0" w:line="101" w:lineRule="exact"/>
              <w:rPr>
                <w:sz w:val="20"/>
                <w:szCs w:val="20"/>
                <w:color w:val="auto"/>
              </w:rPr>
            </w:pPr>
            <w:r>
              <w:rPr>
                <w:rFonts w:ascii="Arial" w:cs="Arial" w:eastAsia="Arial" w:hAnsi="Arial"/>
                <w:sz w:val="11"/>
                <w:szCs w:val="11"/>
                <w:color w:val="auto"/>
                <w:w w:val="93"/>
              </w:rPr>
              <w:t>Media: Diversified and</w:t>
            </w:r>
          </w:p>
        </w:tc>
        <w:tc>
          <w:tcPr>
            <w:tcW w:w="1660" w:type="dxa"/>
            <w:vAlign w:val="bottom"/>
            <w:gridSpan w:val="2"/>
            <w:shd w:val="clear" w:color="auto" w:fill="CCEEFF"/>
          </w:tcPr>
          <w:p>
            <w:pPr>
              <w:jc w:val="center"/>
              <w:ind w:right="200"/>
              <w:spacing w:after="0" w:line="101" w:lineRule="exact"/>
              <w:rPr>
                <w:sz w:val="20"/>
                <w:szCs w:val="20"/>
                <w:color w:val="auto"/>
              </w:rPr>
            </w:pPr>
            <w:r>
              <w:rPr>
                <w:rFonts w:ascii="Arial" w:cs="Arial" w:eastAsia="Arial" w:hAnsi="Arial"/>
                <w:sz w:val="11"/>
                <w:szCs w:val="11"/>
                <w:color w:val="auto"/>
                <w:w w:val="92"/>
              </w:rPr>
              <w:t>First Lien Secured Debt(4),</w:t>
            </w:r>
          </w:p>
        </w:tc>
        <w:tc>
          <w:tcPr>
            <w:tcW w:w="1060" w:type="dxa"/>
            <w:vAlign w:val="bottom"/>
            <w:gridSpan w:val="2"/>
            <w:shd w:val="clear" w:color="auto" w:fill="CCEEFF"/>
          </w:tcPr>
          <w:p>
            <w:pPr>
              <w:ind w:left="480"/>
              <w:spacing w:after="0" w:line="10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7,032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275 Grove Street, Suite 2-130</w:t>
            </w:r>
          </w:p>
        </w:tc>
        <w:tc>
          <w:tcPr>
            <w:tcW w:w="1540" w:type="dxa"/>
            <w:vAlign w:val="bottom"/>
            <w:gridSpan w:val="2"/>
            <w:shd w:val="clear" w:color="auto" w:fill="CCEEFF"/>
          </w:tcPr>
          <w:p>
            <w:pPr>
              <w:jc w:val="center"/>
              <w:ind w:right="420"/>
              <w:spacing w:after="0" w:line="114" w:lineRule="exact"/>
              <w:rPr>
                <w:sz w:val="20"/>
                <w:szCs w:val="20"/>
                <w:color w:val="auto"/>
              </w:rPr>
            </w:pPr>
            <w:r>
              <w:rPr>
                <w:rFonts w:ascii="Arial" w:cs="Arial" w:eastAsia="Arial" w:hAnsi="Arial"/>
                <w:sz w:val="11"/>
                <w:szCs w:val="11"/>
                <w:color w:val="auto"/>
                <w:w w:val="91"/>
              </w:rPr>
              <w:t>Production</w:t>
            </w:r>
          </w:p>
        </w:tc>
        <w:tc>
          <w:tcPr>
            <w:tcW w:w="1660" w:type="dxa"/>
            <w:vAlign w:val="bottom"/>
            <w:gridSpan w:val="2"/>
            <w:shd w:val="clear" w:color="auto" w:fill="CCEEFF"/>
          </w:tcPr>
          <w:p>
            <w:pPr>
              <w:jc w:val="center"/>
              <w:ind w:right="200"/>
              <w:spacing w:after="0" w:line="114" w:lineRule="exact"/>
              <w:rPr>
                <w:sz w:val="20"/>
                <w:szCs w:val="20"/>
                <w:color w:val="auto"/>
              </w:rPr>
            </w:pPr>
            <w:r>
              <w:rPr>
                <w:rFonts w:ascii="Arial" w:cs="Arial" w:eastAsia="Arial" w:hAnsi="Arial"/>
                <w:sz w:val="11"/>
                <w:szCs w:val="11"/>
                <w:color w:val="auto"/>
                <w:w w:val="92"/>
              </w:rPr>
              <w:t>3M L+500, 09/07/2024</w:t>
            </w:r>
          </w:p>
        </w:tc>
        <w:tc>
          <w:tcPr>
            <w:tcW w:w="6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Newton, MA 02466</w:t>
            </w:r>
          </w:p>
        </w:tc>
        <w:tc>
          <w:tcPr>
            <w:tcW w:w="1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480" w:type="dxa"/>
            <w:vAlign w:val="bottom"/>
            <w:gridSpan w:val="3"/>
          </w:tcPr>
          <w:p>
            <w:pPr>
              <w:spacing w:after="0"/>
              <w:rPr>
                <w:sz w:val="20"/>
                <w:szCs w:val="20"/>
                <w:color w:val="auto"/>
              </w:rPr>
            </w:pPr>
            <w:r>
              <w:rPr>
                <w:rFonts w:ascii="Arial" w:cs="Arial" w:eastAsia="Arial" w:hAnsi="Arial"/>
                <w:sz w:val="11"/>
                <w:szCs w:val="11"/>
                <w:color w:val="auto"/>
              </w:rPr>
              <w:t>Rancho Health MSO, Inc.</w:t>
            </w:r>
          </w:p>
        </w:tc>
        <w:tc>
          <w:tcPr>
            <w:tcW w:w="1540" w:type="dxa"/>
            <w:vAlign w:val="bottom"/>
            <w:gridSpan w:val="2"/>
          </w:tcPr>
          <w:p>
            <w:pPr>
              <w:jc w:val="center"/>
              <w:ind w:right="420"/>
              <w:spacing w:after="0"/>
              <w:rPr>
                <w:sz w:val="20"/>
                <w:szCs w:val="20"/>
                <w:color w:val="auto"/>
              </w:rPr>
            </w:pPr>
            <w:r>
              <w:rPr>
                <w:rFonts w:ascii="Arial" w:cs="Arial" w:eastAsia="Arial" w:hAnsi="Arial"/>
                <w:sz w:val="11"/>
                <w:szCs w:val="11"/>
                <w:color w:val="auto"/>
                <w:w w:val="91"/>
              </w:rPr>
              <w:t>Healthcare Equipment</w:t>
            </w:r>
          </w:p>
        </w:tc>
        <w:tc>
          <w:tcPr>
            <w:tcW w:w="1660" w:type="dxa"/>
            <w:vAlign w:val="bottom"/>
            <w:gridSpan w:val="2"/>
          </w:tcPr>
          <w:p>
            <w:pPr>
              <w:jc w:val="center"/>
              <w:ind w:right="200"/>
              <w:spacing w:after="0"/>
              <w:rPr>
                <w:sz w:val="20"/>
                <w:szCs w:val="20"/>
                <w:color w:val="auto"/>
              </w:rPr>
            </w:pPr>
            <w:r>
              <w:rPr>
                <w:rFonts w:ascii="Arial" w:cs="Arial" w:eastAsia="Arial" w:hAnsi="Arial"/>
                <w:sz w:val="11"/>
                <w:szCs w:val="11"/>
                <w:color w:val="auto"/>
                <w:w w:val="92"/>
              </w:rPr>
              <w:t>First Lien Secured Debt(4),</w:t>
            </w:r>
          </w:p>
        </w:tc>
        <w:tc>
          <w:tcPr>
            <w:tcW w:w="1060" w:type="dxa"/>
            <w:vAlign w:val="bottom"/>
            <w:gridSpan w:val="2"/>
          </w:tcPr>
          <w:p>
            <w:pPr>
              <w:jc w:val="right"/>
              <w:ind w:right="320"/>
              <w:spacing w:after="0"/>
              <w:rPr>
                <w:sz w:val="20"/>
                <w:szCs w:val="20"/>
                <w:color w:val="auto"/>
              </w:rPr>
            </w:pPr>
            <w:r>
              <w:rPr>
                <w:rFonts w:ascii="Arial" w:cs="Arial" w:eastAsia="Arial" w:hAnsi="Arial"/>
                <w:sz w:val="11"/>
                <w:szCs w:val="11"/>
                <w:color w:val="auto"/>
              </w:rPr>
              <w:t>2.05%</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2,130</w:t>
            </w: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Arial" w:cs="Arial" w:eastAsia="Arial" w:hAnsi="Arial"/>
                <w:sz w:val="11"/>
                <w:szCs w:val="11"/>
                <w:color w:val="auto"/>
              </w:rPr>
              <w:t>(RFMG Parent, LP)</w:t>
            </w:r>
          </w:p>
        </w:tc>
        <w:tc>
          <w:tcPr>
            <w:tcW w:w="1540" w:type="dxa"/>
            <w:vAlign w:val="bottom"/>
            <w:gridSpan w:val="2"/>
          </w:tcPr>
          <w:p>
            <w:pPr>
              <w:jc w:val="center"/>
              <w:ind w:right="420"/>
              <w:spacing w:after="0" w:line="114" w:lineRule="exact"/>
              <w:rPr>
                <w:sz w:val="20"/>
                <w:szCs w:val="20"/>
                <w:color w:val="auto"/>
              </w:rPr>
            </w:pPr>
            <w:r>
              <w:rPr>
                <w:rFonts w:ascii="Arial" w:cs="Arial" w:eastAsia="Arial" w:hAnsi="Arial"/>
                <w:sz w:val="11"/>
                <w:szCs w:val="11"/>
                <w:color w:val="auto"/>
                <w:w w:val="87"/>
              </w:rPr>
              <w:t>and Supplies</w:t>
            </w:r>
          </w:p>
        </w:tc>
        <w:tc>
          <w:tcPr>
            <w:tcW w:w="1660" w:type="dxa"/>
            <w:vAlign w:val="bottom"/>
            <w:gridSpan w:val="2"/>
          </w:tcPr>
          <w:p>
            <w:pPr>
              <w:jc w:val="center"/>
              <w:ind w:right="200"/>
              <w:spacing w:after="0" w:line="114" w:lineRule="exact"/>
              <w:rPr>
                <w:sz w:val="20"/>
                <w:szCs w:val="20"/>
                <w:color w:val="auto"/>
              </w:rPr>
            </w:pPr>
            <w:r>
              <w:rPr>
                <w:rFonts w:ascii="Arial" w:cs="Arial" w:eastAsia="Arial" w:hAnsi="Arial"/>
                <w:sz w:val="11"/>
                <w:szCs w:val="11"/>
                <w:color w:val="auto"/>
                <w:w w:val="92"/>
              </w:rPr>
              <w:t>3M L+550, 12/18/2025</w:t>
            </w: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Arial" w:cs="Arial" w:eastAsia="Arial" w:hAnsi="Arial"/>
                <w:sz w:val="11"/>
                <w:szCs w:val="11"/>
                <w:color w:val="auto"/>
              </w:rPr>
              <w:t>31720 Temecula Pkwy Suite 100</w:t>
            </w: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60" w:type="dxa"/>
            <w:vAlign w:val="bottom"/>
            <w:gridSpan w:val="2"/>
          </w:tcPr>
          <w:p>
            <w:pPr>
              <w:jc w:val="center"/>
              <w:ind w:right="200"/>
              <w:spacing w:after="0" w:line="114" w:lineRule="exact"/>
              <w:rPr>
                <w:sz w:val="20"/>
                <w:szCs w:val="20"/>
                <w:color w:val="auto"/>
              </w:rPr>
            </w:pPr>
            <w:r>
              <w:rPr>
                <w:rFonts w:ascii="Arial" w:cs="Arial" w:eastAsia="Arial" w:hAnsi="Arial"/>
                <w:sz w:val="11"/>
                <w:szCs w:val="11"/>
                <w:color w:val="auto"/>
                <w:w w:val="94"/>
              </w:rPr>
              <w:t>Common Equity</w:t>
            </w: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480" w:type="dxa"/>
            <w:vAlign w:val="bottom"/>
            <w:gridSpan w:val="3"/>
          </w:tcPr>
          <w:p>
            <w:pPr>
              <w:spacing w:after="0"/>
              <w:rPr>
                <w:sz w:val="20"/>
                <w:szCs w:val="20"/>
                <w:color w:val="auto"/>
              </w:rPr>
            </w:pPr>
            <w:r>
              <w:rPr>
                <w:rFonts w:ascii="Arial" w:cs="Arial" w:eastAsia="Arial" w:hAnsi="Arial"/>
                <w:sz w:val="11"/>
                <w:szCs w:val="11"/>
                <w:color w:val="auto"/>
              </w:rPr>
              <w:t>Temecula, CA 92592</w:t>
            </w: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Recteq, LLC</w:t>
            </w:r>
          </w:p>
        </w:tc>
        <w:tc>
          <w:tcPr>
            <w:tcW w:w="1540" w:type="dxa"/>
            <w:vAlign w:val="bottom"/>
            <w:gridSpan w:val="2"/>
            <w:shd w:val="clear" w:color="auto" w:fill="CCEEFF"/>
          </w:tcPr>
          <w:p>
            <w:pPr>
              <w:jc w:val="center"/>
              <w:ind w:right="420"/>
              <w:spacing w:after="0" w:line="101" w:lineRule="exact"/>
              <w:rPr>
                <w:sz w:val="20"/>
                <w:szCs w:val="20"/>
                <w:color w:val="auto"/>
              </w:rPr>
            </w:pPr>
            <w:r>
              <w:rPr>
                <w:rFonts w:ascii="Arial" w:cs="Arial" w:eastAsia="Arial" w:hAnsi="Arial"/>
                <w:sz w:val="11"/>
                <w:szCs w:val="11"/>
                <w:color w:val="auto"/>
                <w:w w:val="92"/>
              </w:rPr>
              <w:t>Leisure Products</w:t>
            </w:r>
          </w:p>
        </w:tc>
        <w:tc>
          <w:tcPr>
            <w:tcW w:w="1660" w:type="dxa"/>
            <w:vAlign w:val="bottom"/>
            <w:gridSpan w:val="2"/>
            <w:shd w:val="clear" w:color="auto" w:fill="CCEEFF"/>
          </w:tcPr>
          <w:p>
            <w:pPr>
              <w:jc w:val="center"/>
              <w:ind w:right="200"/>
              <w:spacing w:after="0" w:line="101" w:lineRule="exact"/>
              <w:rPr>
                <w:sz w:val="20"/>
                <w:szCs w:val="20"/>
                <w:color w:val="auto"/>
              </w:rPr>
            </w:pPr>
            <w:r>
              <w:rPr>
                <w:rFonts w:ascii="Arial" w:cs="Arial" w:eastAsia="Arial" w:hAnsi="Arial"/>
                <w:sz w:val="11"/>
                <w:szCs w:val="11"/>
                <w:color w:val="auto"/>
                <w:w w:val="92"/>
              </w:rPr>
              <w:t>First Lien Secured Debt(4),</w:t>
            </w:r>
          </w:p>
        </w:tc>
        <w:tc>
          <w:tcPr>
            <w:tcW w:w="1060" w:type="dxa"/>
            <w:vAlign w:val="bottom"/>
            <w:gridSpan w:val="2"/>
            <w:shd w:val="clear" w:color="auto" w:fill="CCEEFF"/>
          </w:tcPr>
          <w:p>
            <w:pPr>
              <w:jc w:val="right"/>
              <w:ind w:right="320"/>
              <w:spacing w:after="0" w:line="101" w:lineRule="exact"/>
              <w:rPr>
                <w:sz w:val="20"/>
                <w:szCs w:val="20"/>
                <w:color w:val="auto"/>
              </w:rPr>
            </w:pPr>
            <w:r>
              <w:rPr>
                <w:rFonts w:ascii="Arial" w:cs="Arial" w:eastAsia="Arial" w:hAnsi="Arial"/>
                <w:sz w:val="11"/>
                <w:szCs w:val="11"/>
                <w:color w:val="auto"/>
              </w:rPr>
              <w:t>0.6%</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2,020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(NEPRT Parent Holdings, LLC (5))</w:t>
            </w:r>
          </w:p>
        </w:tc>
        <w:tc>
          <w:tcPr>
            <w:tcW w:w="1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60" w:type="dxa"/>
            <w:vAlign w:val="bottom"/>
            <w:gridSpan w:val="2"/>
            <w:shd w:val="clear" w:color="auto" w:fill="CCEEFF"/>
          </w:tcPr>
          <w:p>
            <w:pPr>
              <w:jc w:val="center"/>
              <w:ind w:right="200"/>
              <w:spacing w:after="0" w:line="114" w:lineRule="exact"/>
              <w:rPr>
                <w:sz w:val="20"/>
                <w:szCs w:val="20"/>
                <w:color w:val="auto"/>
              </w:rPr>
            </w:pPr>
            <w:r>
              <w:rPr>
                <w:rFonts w:ascii="Arial" w:cs="Arial" w:eastAsia="Arial" w:hAnsi="Arial"/>
                <w:sz w:val="11"/>
                <w:szCs w:val="11"/>
                <w:color w:val="auto"/>
                <w:w w:val="92"/>
              </w:rPr>
              <w:t>3M L+600, 01/29/2026</w:t>
            </w:r>
          </w:p>
        </w:tc>
        <w:tc>
          <w:tcPr>
            <w:tcW w:w="6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1061 Triad Ct., Ste. 3</w:t>
            </w:r>
          </w:p>
        </w:tc>
        <w:tc>
          <w:tcPr>
            <w:tcW w:w="1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60" w:type="dxa"/>
            <w:vAlign w:val="bottom"/>
            <w:gridSpan w:val="2"/>
            <w:shd w:val="clear" w:color="auto" w:fill="CCEEFF"/>
          </w:tcPr>
          <w:p>
            <w:pPr>
              <w:jc w:val="center"/>
              <w:ind w:right="200"/>
              <w:spacing w:after="0" w:line="114" w:lineRule="exact"/>
              <w:rPr>
                <w:sz w:val="20"/>
                <w:szCs w:val="20"/>
                <w:color w:val="auto"/>
              </w:rPr>
            </w:pPr>
            <w:r>
              <w:rPr>
                <w:rFonts w:ascii="Arial" w:cs="Arial" w:eastAsia="Arial" w:hAnsi="Arial"/>
                <w:sz w:val="11"/>
                <w:szCs w:val="11"/>
                <w:color w:val="auto"/>
                <w:w w:val="94"/>
              </w:rPr>
              <w:t>Common Equity</w:t>
            </w:r>
          </w:p>
        </w:tc>
        <w:tc>
          <w:tcPr>
            <w:tcW w:w="6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Marietta, GA 30062</w:t>
            </w:r>
          </w:p>
        </w:tc>
        <w:tc>
          <w:tcPr>
            <w:tcW w:w="1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480" w:type="dxa"/>
            <w:vAlign w:val="bottom"/>
            <w:gridSpan w:val="3"/>
          </w:tcPr>
          <w:p>
            <w:pPr>
              <w:spacing w:after="0"/>
              <w:rPr>
                <w:sz w:val="20"/>
                <w:szCs w:val="20"/>
                <w:color w:val="auto"/>
              </w:rPr>
            </w:pPr>
            <w:r>
              <w:rPr>
                <w:rFonts w:ascii="Arial" w:cs="Arial" w:eastAsia="Arial" w:hAnsi="Arial"/>
                <w:sz w:val="11"/>
                <w:szCs w:val="11"/>
                <w:color w:val="auto"/>
              </w:rPr>
              <w:t>Research Now Group, Inc. and Dynata, LLC</w:t>
            </w:r>
          </w:p>
        </w:tc>
        <w:tc>
          <w:tcPr>
            <w:tcW w:w="1540" w:type="dxa"/>
            <w:vAlign w:val="bottom"/>
            <w:gridSpan w:val="2"/>
          </w:tcPr>
          <w:p>
            <w:pPr>
              <w:jc w:val="center"/>
              <w:ind w:right="420"/>
              <w:spacing w:after="0"/>
              <w:rPr>
                <w:sz w:val="20"/>
                <w:szCs w:val="20"/>
                <w:color w:val="auto"/>
              </w:rPr>
            </w:pPr>
            <w:r>
              <w:rPr>
                <w:rFonts w:ascii="Arial" w:cs="Arial" w:eastAsia="Arial" w:hAnsi="Arial"/>
                <w:sz w:val="11"/>
                <w:szCs w:val="11"/>
                <w:color w:val="auto"/>
                <w:w w:val="88"/>
              </w:rPr>
              <w:t>Business Services</w:t>
            </w:r>
          </w:p>
        </w:tc>
        <w:tc>
          <w:tcPr>
            <w:tcW w:w="1660" w:type="dxa"/>
            <w:vAlign w:val="bottom"/>
            <w:gridSpan w:val="2"/>
          </w:tcPr>
          <w:p>
            <w:pPr>
              <w:jc w:val="center"/>
              <w:ind w:right="200"/>
              <w:spacing w:after="0"/>
              <w:rPr>
                <w:sz w:val="20"/>
                <w:szCs w:val="20"/>
                <w:color w:val="auto"/>
              </w:rPr>
            </w:pPr>
            <w:r>
              <w:rPr>
                <w:rFonts w:ascii="Arial" w:cs="Arial" w:eastAsia="Arial" w:hAnsi="Arial"/>
                <w:sz w:val="11"/>
                <w:szCs w:val="11"/>
                <w:color w:val="auto"/>
                <w:w w:val="92"/>
              </w:rPr>
              <w:t>First Lien Secured Debt,</w:t>
            </w:r>
          </w:p>
        </w:tc>
        <w:tc>
          <w:tcPr>
            <w:tcW w:w="106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15,406</w:t>
            </w: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Arial" w:cs="Arial" w:eastAsia="Arial" w:hAnsi="Arial"/>
                <w:sz w:val="11"/>
                <w:szCs w:val="11"/>
                <w:color w:val="auto"/>
              </w:rPr>
              <w:t>5800 Tennyson Parkway, Suite 600</w:t>
            </w: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60" w:type="dxa"/>
            <w:vAlign w:val="bottom"/>
            <w:gridSpan w:val="2"/>
          </w:tcPr>
          <w:p>
            <w:pPr>
              <w:jc w:val="center"/>
              <w:ind w:right="200"/>
              <w:spacing w:after="0" w:line="114" w:lineRule="exact"/>
              <w:rPr>
                <w:sz w:val="20"/>
                <w:szCs w:val="20"/>
                <w:color w:val="auto"/>
              </w:rPr>
            </w:pPr>
            <w:r>
              <w:rPr>
                <w:rFonts w:ascii="Arial" w:cs="Arial" w:eastAsia="Arial" w:hAnsi="Arial"/>
                <w:sz w:val="11"/>
                <w:szCs w:val="11"/>
                <w:color w:val="auto"/>
                <w:w w:val="92"/>
              </w:rPr>
              <w:t>3M L+550, 12/20/2024</w:t>
            </w: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480" w:type="dxa"/>
            <w:vAlign w:val="bottom"/>
            <w:gridSpan w:val="3"/>
          </w:tcPr>
          <w:p>
            <w:pPr>
              <w:spacing w:after="0"/>
              <w:rPr>
                <w:sz w:val="20"/>
                <w:szCs w:val="20"/>
                <w:color w:val="auto"/>
              </w:rPr>
            </w:pPr>
            <w:r>
              <w:rPr>
                <w:rFonts w:ascii="Arial" w:cs="Arial" w:eastAsia="Arial" w:hAnsi="Arial"/>
                <w:sz w:val="11"/>
                <w:szCs w:val="11"/>
                <w:color w:val="auto"/>
              </w:rPr>
              <w:t>Plano, TX 75024</w:t>
            </w: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181610</wp:posOffset>
            </wp:positionV>
            <wp:extent cx="7202805" cy="584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2805" cy="5842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9019"/>
          </w:cols>
          <w:pgMar w:left="1440" w:top="411" w:right="1440" w:bottom="1440" w:gutter="0" w:footer="0" w:header="0"/>
        </w:sectPr>
      </w:pPr>
    </w:p>
    <w:bookmarkStart w:id="29" w:name="page30"/>
    <w:bookmarkEnd w:id="29"/>
    <w:tbl>
      <w:tblPr>
        <w:tblLayout w:type="fixed"/>
        <w:tblInd w:w="280" w:type="dxa"/>
        <w:tblCellMar>
          <w:top w:w="0" w:type="dxa"/>
          <w:left w:w="0" w:type="dxa"/>
          <w:bottom w:w="0" w:type="dxa"/>
          <w:right w:w="0" w:type="dxa"/>
        </w:tblCellMar>
      </w:tblPr>
      <w:tr>
        <w:trPr>
          <w:trHeight w:val="126"/>
        </w:trPr>
        <w:tc>
          <w:tcPr>
            <w:tcW w:w="376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Name and</w:t>
            </w:r>
          </w:p>
        </w:tc>
        <w:tc>
          <w:tcPr>
            <w:tcW w:w="1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0"/>
              </w:rPr>
              <w:t>Type of Investment,</w:t>
            </w:r>
          </w:p>
        </w:tc>
        <w:tc>
          <w:tcPr>
            <w:tcW w:w="92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Voting</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76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920" w:type="dxa"/>
            <w:vAlign w:val="bottom"/>
            <w:gridSpan w:val="2"/>
          </w:tcPr>
          <w:p>
            <w:pPr>
              <w:jc w:val="right"/>
              <w:ind w:right="320"/>
              <w:spacing w:after="0" w:line="111" w:lineRule="exact"/>
              <w:rPr>
                <w:sz w:val="20"/>
                <w:szCs w:val="20"/>
                <w:color w:val="auto"/>
              </w:rPr>
            </w:pPr>
            <w:r>
              <w:rPr>
                <w:rFonts w:ascii="Arial" w:cs="Arial" w:eastAsia="Arial" w:hAnsi="Arial"/>
                <w:sz w:val="11"/>
                <w:szCs w:val="11"/>
                <w:b w:val="1"/>
                <w:bCs w:val="1"/>
                <w:color w:val="auto"/>
                <w:w w:val="97"/>
              </w:rPr>
              <w:t>Percentage</w:t>
            </w:r>
          </w:p>
        </w:tc>
        <w:tc>
          <w:tcPr>
            <w:tcW w:w="80" w:type="dxa"/>
            <w:vAlign w:val="bottom"/>
          </w:tcPr>
          <w:p>
            <w:pPr>
              <w:spacing w:after="0"/>
              <w:rPr>
                <w:sz w:val="9"/>
                <w:szCs w:val="9"/>
                <w:color w:val="auto"/>
              </w:rPr>
            </w:pPr>
          </w:p>
        </w:tc>
        <w:tc>
          <w:tcPr>
            <w:tcW w:w="640" w:type="dxa"/>
            <w:vAlign w:val="bottom"/>
            <w:gridSpan w:val="2"/>
          </w:tcPr>
          <w:p>
            <w:pPr>
              <w:jc w:val="right"/>
              <w:ind w:right="120"/>
              <w:spacing w:after="0" w:line="111" w:lineRule="exact"/>
              <w:rPr>
                <w:sz w:val="20"/>
                <w:szCs w:val="20"/>
                <w:color w:val="auto"/>
              </w:rPr>
            </w:pPr>
            <w:r>
              <w:rPr>
                <w:rFonts w:ascii="Arial" w:cs="Arial" w:eastAsia="Arial" w:hAnsi="Arial"/>
                <w:sz w:val="11"/>
                <w:szCs w:val="11"/>
                <w:b w:val="1"/>
                <w:bCs w:val="1"/>
                <w:color w:val="auto"/>
                <w:w w:val="94"/>
              </w:rPr>
              <w:t>Fair Value</w:t>
            </w:r>
          </w:p>
        </w:tc>
        <w:tc>
          <w:tcPr>
            <w:tcW w:w="0" w:type="dxa"/>
            <w:vAlign w:val="bottom"/>
          </w:tcPr>
          <w:p>
            <w:pPr>
              <w:spacing w:after="0"/>
              <w:rPr>
                <w:sz w:val="1"/>
                <w:szCs w:val="1"/>
                <w:color w:val="auto"/>
              </w:rPr>
            </w:pPr>
          </w:p>
        </w:tc>
      </w:tr>
      <w:tr>
        <w:trPr>
          <w:trHeight w:val="144"/>
        </w:trPr>
        <w:tc>
          <w:tcPr>
            <w:tcW w:w="37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Address of Portfolio Company</w:t>
            </w:r>
          </w:p>
        </w:tc>
        <w:tc>
          <w:tcPr>
            <w:tcW w:w="1440" w:type="dxa"/>
            <w:vAlign w:val="bottom"/>
            <w:gridSpan w:val="2"/>
          </w:tcPr>
          <w:p>
            <w:pPr>
              <w:jc w:val="center"/>
              <w:ind w:right="320"/>
              <w:spacing w:after="0" w:line="125" w:lineRule="exact"/>
              <w:rPr>
                <w:sz w:val="20"/>
                <w:szCs w:val="20"/>
                <w:color w:val="auto"/>
              </w:rPr>
            </w:pPr>
            <w:r>
              <w:rPr>
                <w:rFonts w:ascii="Arial" w:cs="Arial" w:eastAsia="Arial" w:hAnsi="Arial"/>
                <w:sz w:val="11"/>
                <w:szCs w:val="11"/>
                <w:b w:val="1"/>
                <w:bCs w:val="1"/>
                <w:color w:val="auto"/>
                <w:w w:val="87"/>
              </w:rPr>
              <w:t>Nature of Business</w:t>
            </w:r>
          </w:p>
        </w:tc>
        <w:tc>
          <w:tcPr>
            <w:tcW w:w="1620" w:type="dxa"/>
            <w:vAlign w:val="bottom"/>
            <w:gridSpan w:val="2"/>
          </w:tcPr>
          <w:p>
            <w:pPr>
              <w:jc w:val="center"/>
              <w:ind w:right="120"/>
              <w:spacing w:after="0" w:line="125" w:lineRule="exact"/>
              <w:rPr>
                <w:sz w:val="20"/>
                <w:szCs w:val="20"/>
                <w:color w:val="auto"/>
              </w:rPr>
            </w:pPr>
            <w:r>
              <w:rPr>
                <w:rFonts w:ascii="Arial" w:cs="Arial" w:eastAsia="Arial" w:hAnsi="Arial"/>
                <w:sz w:val="11"/>
                <w:szCs w:val="11"/>
                <w:b w:val="1"/>
                <w:bCs w:val="1"/>
                <w:color w:val="auto"/>
                <w:w w:val="95"/>
              </w:rPr>
              <w:t>Interest(1), Maturity</w:t>
            </w:r>
          </w:p>
        </w:tc>
        <w:tc>
          <w:tcPr>
            <w:tcW w:w="920" w:type="dxa"/>
            <w:vAlign w:val="bottom"/>
            <w:gridSpan w:val="2"/>
          </w:tcPr>
          <w:p>
            <w:pPr>
              <w:jc w:val="right"/>
              <w:ind w:right="260"/>
              <w:spacing w:after="0" w:line="125" w:lineRule="exact"/>
              <w:rPr>
                <w:sz w:val="20"/>
                <w:szCs w:val="20"/>
                <w:color w:val="auto"/>
              </w:rPr>
            </w:pPr>
            <w:r>
              <w:rPr>
                <w:rFonts w:ascii="Arial" w:cs="Arial" w:eastAsia="Arial" w:hAnsi="Arial"/>
                <w:sz w:val="11"/>
                <w:szCs w:val="11"/>
                <w:b w:val="1"/>
                <w:bCs w:val="1"/>
                <w:color w:val="auto"/>
                <w:w w:val="90"/>
              </w:rPr>
              <w:t>Ownership(2)</w:t>
            </w:r>
          </w:p>
        </w:tc>
        <w:tc>
          <w:tcPr>
            <w:tcW w:w="7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w w:val="89"/>
              </w:rPr>
              <w:t>(in thousands)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420" w:type="dxa"/>
            <w:vAlign w:val="bottom"/>
            <w:tcBorders>
              <w:top w:val="single" w:sz="8" w:color="auto"/>
            </w:tcBorders>
            <w:shd w:val="clear" w:color="auto" w:fill="CCEEFF"/>
          </w:tcPr>
          <w:p>
            <w:pPr>
              <w:spacing w:after="0" w:line="74" w:lineRule="exact"/>
              <w:rPr>
                <w:sz w:val="20"/>
                <w:szCs w:val="20"/>
                <w:color w:val="auto"/>
              </w:rPr>
            </w:pPr>
            <w:r>
              <w:rPr>
                <w:rFonts w:ascii="Arial" w:cs="Arial" w:eastAsia="Arial" w:hAnsi="Arial"/>
                <w:sz w:val="8"/>
                <w:szCs w:val="8"/>
                <w:color w:val="auto"/>
              </w:rPr>
              <w:t>Riverpoint Medical, LLC</w:t>
            </w:r>
          </w:p>
        </w:tc>
        <w:tc>
          <w:tcPr>
            <w:tcW w:w="232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auto"/>
            </w:tcBorders>
            <w:shd w:val="clear" w:color="auto" w:fill="CCEEFF"/>
          </w:tcPr>
          <w:p>
            <w:pPr>
              <w:jc w:val="center"/>
              <w:spacing w:after="0" w:line="74" w:lineRule="exact"/>
              <w:rPr>
                <w:sz w:val="20"/>
                <w:szCs w:val="20"/>
                <w:color w:val="auto"/>
              </w:rPr>
            </w:pPr>
            <w:r>
              <w:rPr>
                <w:rFonts w:ascii="Arial" w:cs="Arial" w:eastAsia="Arial" w:hAnsi="Arial"/>
                <w:sz w:val="8"/>
                <w:szCs w:val="8"/>
                <w:color w:val="auto"/>
              </w:rPr>
              <w:t>Healthcare Equipment</w:t>
            </w:r>
          </w:p>
        </w:tc>
        <w:tc>
          <w:tcPr>
            <w:tcW w:w="32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auto"/>
            </w:tcBorders>
            <w:shd w:val="clear" w:color="auto" w:fill="CCEEFF"/>
          </w:tcPr>
          <w:p>
            <w:pPr>
              <w:jc w:val="center"/>
              <w:spacing w:after="0" w:line="74" w:lineRule="exact"/>
              <w:rPr>
                <w:sz w:val="20"/>
                <w:szCs w:val="20"/>
                <w:color w:val="auto"/>
              </w:rPr>
            </w:pPr>
            <w:r>
              <w:rPr>
                <w:rFonts w:ascii="Arial" w:cs="Arial" w:eastAsia="Arial" w:hAnsi="Arial"/>
                <w:sz w:val="8"/>
                <w:szCs w:val="8"/>
                <w:color w:val="auto"/>
              </w:rPr>
              <w:t>First Lien Secured Debt(4),</w:t>
            </w:r>
          </w:p>
        </w:tc>
        <w:tc>
          <w:tcPr>
            <w:tcW w:w="1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jc w:val="right"/>
              <w:ind w:right="6"/>
              <w:spacing w:after="0" w:line="74" w:lineRule="exact"/>
              <w:rPr>
                <w:sz w:val="20"/>
                <w:szCs w:val="20"/>
                <w:color w:val="auto"/>
              </w:rPr>
            </w:pPr>
            <w:r>
              <w:rPr>
                <w:rFonts w:ascii="Arial" w:cs="Arial" w:eastAsia="Arial" w:hAnsi="Arial"/>
                <w:sz w:val="8"/>
                <w:szCs w:val="8"/>
                <w:color w:val="auto"/>
              </w:rPr>
              <w:t>—</w:t>
            </w: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line="74" w:lineRule="exact"/>
              <w:rPr>
                <w:sz w:val="20"/>
                <w:szCs w:val="20"/>
                <w:color w:val="auto"/>
              </w:rPr>
            </w:pPr>
            <w:r>
              <w:rPr>
                <w:rFonts w:ascii="Arial" w:cs="Arial" w:eastAsia="Arial" w:hAnsi="Arial"/>
                <w:sz w:val="8"/>
                <w:szCs w:val="8"/>
                <w:color w:val="auto"/>
              </w:rPr>
              <w:t>$</w:t>
            </w:r>
          </w:p>
        </w:tc>
        <w:tc>
          <w:tcPr>
            <w:tcW w:w="600" w:type="dxa"/>
            <w:vAlign w:val="bottom"/>
            <w:tcBorders>
              <w:top w:val="single" w:sz="8" w:color="auto"/>
            </w:tcBorders>
            <w:shd w:val="clear" w:color="auto" w:fill="CCEEFF"/>
          </w:tcPr>
          <w:p>
            <w:pPr>
              <w:jc w:val="right"/>
              <w:spacing w:after="0" w:line="74" w:lineRule="exact"/>
              <w:rPr>
                <w:sz w:val="20"/>
                <w:szCs w:val="20"/>
                <w:color w:val="auto"/>
              </w:rPr>
            </w:pPr>
            <w:r>
              <w:rPr>
                <w:rFonts w:ascii="Arial" w:cs="Arial" w:eastAsia="Arial" w:hAnsi="Arial"/>
                <w:sz w:val="8"/>
                <w:szCs w:val="8"/>
                <w:color w:val="auto"/>
              </w:rPr>
              <w:t>7,758</w:t>
            </w:r>
          </w:p>
        </w:tc>
        <w:tc>
          <w:tcPr>
            <w:tcW w:w="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825 NE 25th Avenue</w:t>
            </w:r>
          </w:p>
        </w:tc>
        <w:tc>
          <w:tcPr>
            <w:tcW w:w="1440" w:type="dxa"/>
            <w:vAlign w:val="bottom"/>
            <w:gridSpan w:val="2"/>
            <w:shd w:val="clear" w:color="auto" w:fill="CCEEFF"/>
          </w:tcPr>
          <w:p>
            <w:pPr>
              <w:jc w:val="center"/>
              <w:ind w:right="300"/>
              <w:spacing w:after="0" w:line="114" w:lineRule="exact"/>
              <w:rPr>
                <w:sz w:val="20"/>
                <w:szCs w:val="20"/>
                <w:color w:val="auto"/>
              </w:rPr>
            </w:pPr>
            <w:r>
              <w:rPr>
                <w:rFonts w:ascii="Arial" w:cs="Arial" w:eastAsia="Arial" w:hAnsi="Arial"/>
                <w:sz w:val="11"/>
                <w:szCs w:val="11"/>
                <w:color w:val="auto"/>
                <w:w w:val="91"/>
              </w:rPr>
              <w:t>and Supplies</w:t>
            </w:r>
          </w:p>
        </w:tc>
        <w:tc>
          <w:tcPr>
            <w:tcW w:w="1620" w:type="dxa"/>
            <w:vAlign w:val="bottom"/>
            <w:gridSpan w:val="2"/>
            <w:shd w:val="clear" w:color="auto" w:fill="CCEEFF"/>
          </w:tcPr>
          <w:p>
            <w:pPr>
              <w:jc w:val="center"/>
              <w:ind w:right="140"/>
              <w:spacing w:after="0" w:line="114" w:lineRule="exact"/>
              <w:rPr>
                <w:sz w:val="20"/>
                <w:szCs w:val="20"/>
                <w:color w:val="auto"/>
              </w:rPr>
            </w:pPr>
            <w:r>
              <w:rPr>
                <w:rFonts w:ascii="Arial" w:cs="Arial" w:eastAsia="Arial" w:hAnsi="Arial"/>
                <w:sz w:val="11"/>
                <w:szCs w:val="11"/>
                <w:color w:val="auto"/>
                <w:w w:val="94"/>
              </w:rPr>
              <w:t>3M L+575, 06/20/2025</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Portland, OR 97232</w:t>
            </w:r>
          </w:p>
        </w:tc>
        <w:tc>
          <w:tcPr>
            <w:tcW w:w="1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60" w:type="dxa"/>
            <w:vAlign w:val="bottom"/>
            <w:gridSpan w:val="3"/>
          </w:tcPr>
          <w:p>
            <w:pPr>
              <w:spacing w:after="0"/>
              <w:rPr>
                <w:sz w:val="20"/>
                <w:szCs w:val="20"/>
                <w:color w:val="auto"/>
              </w:rPr>
            </w:pPr>
            <w:r>
              <w:rPr>
                <w:rFonts w:ascii="Arial" w:cs="Arial" w:eastAsia="Arial" w:hAnsi="Arial"/>
                <w:sz w:val="11"/>
                <w:szCs w:val="11"/>
                <w:color w:val="auto"/>
              </w:rPr>
              <w:t>Riverside Assessments, LLC</w:t>
            </w:r>
          </w:p>
        </w:tc>
        <w:tc>
          <w:tcPr>
            <w:tcW w:w="1440" w:type="dxa"/>
            <w:vAlign w:val="bottom"/>
            <w:gridSpan w:val="2"/>
          </w:tcPr>
          <w:p>
            <w:pPr>
              <w:jc w:val="center"/>
              <w:ind w:right="300"/>
              <w:spacing w:after="0"/>
              <w:rPr>
                <w:sz w:val="20"/>
                <w:szCs w:val="20"/>
                <w:color w:val="auto"/>
              </w:rPr>
            </w:pPr>
            <w:r>
              <w:rPr>
                <w:rFonts w:ascii="Arial" w:cs="Arial" w:eastAsia="Arial" w:hAnsi="Arial"/>
                <w:sz w:val="11"/>
                <w:szCs w:val="11"/>
                <w:color w:val="auto"/>
                <w:w w:val="88"/>
              </w:rPr>
              <w:t>Professional Services</w:t>
            </w:r>
          </w:p>
        </w:tc>
        <w:tc>
          <w:tcPr>
            <w:tcW w:w="162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First Lien Secured Debt,</w:t>
            </w:r>
          </w:p>
        </w:tc>
        <w:tc>
          <w:tcPr>
            <w:tcW w:w="92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15,049</w:t>
            </w:r>
          </w:p>
        </w:tc>
        <w:tc>
          <w:tcPr>
            <w:tcW w:w="0" w:type="dxa"/>
            <w:vAlign w:val="bottom"/>
          </w:tcPr>
          <w:p>
            <w:pPr>
              <w:spacing w:after="0"/>
              <w:rPr>
                <w:sz w:val="1"/>
                <w:szCs w:val="1"/>
                <w:color w:val="auto"/>
              </w:rPr>
            </w:pPr>
          </w:p>
        </w:tc>
      </w:tr>
      <w:tr>
        <w:trPr>
          <w:trHeight w:val="114"/>
        </w:trPr>
        <w:tc>
          <w:tcPr>
            <w:tcW w:w="3760" w:type="dxa"/>
            <w:vAlign w:val="bottom"/>
            <w:gridSpan w:val="3"/>
          </w:tcPr>
          <w:p>
            <w:pPr>
              <w:spacing w:after="0" w:line="114" w:lineRule="exact"/>
              <w:rPr>
                <w:sz w:val="20"/>
                <w:szCs w:val="20"/>
                <w:color w:val="auto"/>
              </w:rPr>
            </w:pPr>
            <w:r>
              <w:rPr>
                <w:rFonts w:ascii="Arial" w:cs="Arial" w:eastAsia="Arial" w:hAnsi="Arial"/>
                <w:sz w:val="11"/>
                <w:szCs w:val="11"/>
                <w:color w:val="auto"/>
              </w:rPr>
              <w:t>One Pierce Pl, Suite 900W</w:t>
            </w: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Arial" w:cs="Arial" w:eastAsia="Arial" w:hAnsi="Arial"/>
                <w:sz w:val="11"/>
                <w:szCs w:val="11"/>
                <w:color w:val="auto"/>
                <w:w w:val="94"/>
              </w:rPr>
              <w:t>3M L+625, 03/10/2025</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60" w:type="dxa"/>
            <w:vAlign w:val="bottom"/>
            <w:gridSpan w:val="3"/>
          </w:tcPr>
          <w:p>
            <w:pPr>
              <w:spacing w:after="0"/>
              <w:rPr>
                <w:sz w:val="20"/>
                <w:szCs w:val="20"/>
                <w:color w:val="auto"/>
              </w:rPr>
            </w:pPr>
            <w:r>
              <w:rPr>
                <w:rFonts w:ascii="Arial" w:cs="Arial" w:eastAsia="Arial" w:hAnsi="Arial"/>
                <w:sz w:val="11"/>
                <w:szCs w:val="11"/>
                <w:color w:val="auto"/>
              </w:rPr>
              <w:t>Itasca, IL 60143</w:t>
            </w: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74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Sales Benchmark Index LLC</w:t>
            </w:r>
          </w:p>
        </w:tc>
        <w:tc>
          <w:tcPr>
            <w:tcW w:w="1440" w:type="dxa"/>
            <w:vAlign w:val="bottom"/>
            <w:gridSpan w:val="2"/>
            <w:shd w:val="clear" w:color="auto" w:fill="CCEEFF"/>
          </w:tcPr>
          <w:p>
            <w:pPr>
              <w:jc w:val="center"/>
              <w:ind w:right="300"/>
              <w:spacing w:after="0" w:line="101" w:lineRule="exact"/>
              <w:rPr>
                <w:sz w:val="20"/>
                <w:szCs w:val="20"/>
                <w:color w:val="auto"/>
              </w:rPr>
            </w:pPr>
            <w:r>
              <w:rPr>
                <w:rFonts w:ascii="Arial" w:cs="Arial" w:eastAsia="Arial" w:hAnsi="Arial"/>
                <w:sz w:val="11"/>
                <w:szCs w:val="11"/>
                <w:color w:val="auto"/>
                <w:w w:val="88"/>
              </w:rPr>
              <w:t>Professional Services</w:t>
            </w:r>
          </w:p>
        </w:tc>
        <w:tc>
          <w:tcPr>
            <w:tcW w:w="1620" w:type="dxa"/>
            <w:vAlign w:val="bottom"/>
            <w:gridSpan w:val="2"/>
            <w:shd w:val="clear" w:color="auto" w:fill="CCEEFF"/>
          </w:tcPr>
          <w:p>
            <w:pPr>
              <w:jc w:val="center"/>
              <w:ind w:right="120"/>
              <w:spacing w:after="0" w:line="101" w:lineRule="exact"/>
              <w:rPr>
                <w:sz w:val="20"/>
                <w:szCs w:val="20"/>
                <w:color w:val="auto"/>
              </w:rPr>
            </w:pPr>
            <w:r>
              <w:rPr>
                <w:rFonts w:ascii="Arial" w:cs="Arial" w:eastAsia="Arial" w:hAnsi="Arial"/>
                <w:sz w:val="11"/>
                <w:szCs w:val="11"/>
                <w:color w:val="auto"/>
                <w:w w:val="92"/>
              </w:rPr>
              <w:t>First Lien Secured Debt(4),</w:t>
            </w:r>
          </w:p>
        </w:tc>
        <w:tc>
          <w:tcPr>
            <w:tcW w:w="920" w:type="dxa"/>
            <w:vAlign w:val="bottom"/>
            <w:gridSpan w:val="2"/>
            <w:shd w:val="clear" w:color="auto" w:fill="CCEEFF"/>
          </w:tcPr>
          <w:p>
            <w:pPr>
              <w:jc w:val="right"/>
              <w:ind w:right="160"/>
              <w:spacing w:after="0" w:line="101" w:lineRule="exact"/>
              <w:rPr>
                <w:sz w:val="20"/>
                <w:szCs w:val="20"/>
                <w:color w:val="auto"/>
              </w:rPr>
            </w:pPr>
            <w:r>
              <w:rPr>
                <w:rFonts w:ascii="Arial" w:cs="Arial" w:eastAsia="Arial" w:hAnsi="Arial"/>
                <w:sz w:val="11"/>
                <w:szCs w:val="11"/>
                <w:color w:val="auto"/>
              </w:rPr>
              <w:t>0.4%</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7,655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(SBI Holdings Investments LLC(5))</w:t>
            </w:r>
          </w:p>
        </w:tc>
        <w:tc>
          <w:tcPr>
            <w:tcW w:w="1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Arial" w:cs="Arial" w:eastAsia="Arial" w:hAnsi="Arial"/>
                <w:sz w:val="11"/>
                <w:szCs w:val="11"/>
                <w:color w:val="auto"/>
                <w:w w:val="94"/>
              </w:rPr>
              <w:t>3M L+600, 01/03/2025</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2021 McKinney Avenue Suite 550</w:t>
            </w:r>
          </w:p>
        </w:tc>
        <w:tc>
          <w:tcPr>
            <w:tcW w:w="1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1"/>
                <w:szCs w:val="11"/>
                <w:color w:val="auto"/>
                <w:w w:val="94"/>
              </w:rPr>
              <w:t>Common Equity</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Dallas, TX 75201</w:t>
            </w:r>
          </w:p>
        </w:tc>
        <w:tc>
          <w:tcPr>
            <w:tcW w:w="1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60" w:type="dxa"/>
            <w:vAlign w:val="bottom"/>
            <w:gridSpan w:val="3"/>
          </w:tcPr>
          <w:p>
            <w:pPr>
              <w:spacing w:after="0"/>
              <w:rPr>
                <w:sz w:val="20"/>
                <w:szCs w:val="20"/>
                <w:color w:val="auto"/>
              </w:rPr>
            </w:pPr>
            <w:r>
              <w:rPr>
                <w:rFonts w:ascii="Arial" w:cs="Arial" w:eastAsia="Arial" w:hAnsi="Arial"/>
                <w:sz w:val="11"/>
                <w:szCs w:val="11"/>
                <w:color w:val="auto"/>
              </w:rPr>
              <w:t>Sargent &amp; Greenleaf Inc.</w:t>
            </w:r>
          </w:p>
        </w:tc>
        <w:tc>
          <w:tcPr>
            <w:tcW w:w="1440" w:type="dxa"/>
            <w:vAlign w:val="bottom"/>
            <w:gridSpan w:val="2"/>
          </w:tcPr>
          <w:p>
            <w:pPr>
              <w:jc w:val="center"/>
              <w:ind w:right="300"/>
              <w:spacing w:after="0"/>
              <w:rPr>
                <w:sz w:val="20"/>
                <w:szCs w:val="20"/>
                <w:color w:val="auto"/>
              </w:rPr>
            </w:pPr>
            <w:r>
              <w:rPr>
                <w:rFonts w:ascii="Arial" w:cs="Arial" w:eastAsia="Arial" w:hAnsi="Arial"/>
                <w:sz w:val="11"/>
                <w:szCs w:val="11"/>
                <w:color w:val="auto"/>
                <w:w w:val="91"/>
              </w:rPr>
              <w:t>Electronic Equipment,</w:t>
            </w:r>
          </w:p>
        </w:tc>
        <w:tc>
          <w:tcPr>
            <w:tcW w:w="162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First Lien Secured Debt(4),</w:t>
            </w:r>
          </w:p>
        </w:tc>
        <w:tc>
          <w:tcPr>
            <w:tcW w:w="92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4,489</w:t>
            </w:r>
          </w:p>
        </w:tc>
        <w:tc>
          <w:tcPr>
            <w:tcW w:w="0" w:type="dxa"/>
            <w:vAlign w:val="bottom"/>
          </w:tcPr>
          <w:p>
            <w:pPr>
              <w:spacing w:after="0"/>
              <w:rPr>
                <w:sz w:val="1"/>
                <w:szCs w:val="1"/>
                <w:color w:val="auto"/>
              </w:rPr>
            </w:pPr>
          </w:p>
        </w:tc>
      </w:tr>
      <w:tr>
        <w:trPr>
          <w:trHeight w:val="114"/>
        </w:trPr>
        <w:tc>
          <w:tcPr>
            <w:tcW w:w="3760" w:type="dxa"/>
            <w:vAlign w:val="bottom"/>
            <w:gridSpan w:val="3"/>
          </w:tcPr>
          <w:p>
            <w:pPr>
              <w:spacing w:after="0" w:line="114" w:lineRule="exact"/>
              <w:rPr>
                <w:sz w:val="20"/>
                <w:szCs w:val="20"/>
                <w:color w:val="auto"/>
              </w:rPr>
            </w:pPr>
            <w:r>
              <w:rPr>
                <w:rFonts w:ascii="Arial" w:cs="Arial" w:eastAsia="Arial" w:hAnsi="Arial"/>
                <w:sz w:val="11"/>
                <w:szCs w:val="11"/>
                <w:color w:val="auto"/>
              </w:rPr>
              <w:t>One Security Drive</w:t>
            </w:r>
          </w:p>
        </w:tc>
        <w:tc>
          <w:tcPr>
            <w:tcW w:w="1440" w:type="dxa"/>
            <w:vAlign w:val="bottom"/>
            <w:gridSpan w:val="2"/>
          </w:tcPr>
          <w:p>
            <w:pPr>
              <w:jc w:val="center"/>
              <w:ind w:right="300"/>
              <w:spacing w:after="0" w:line="114" w:lineRule="exact"/>
              <w:rPr>
                <w:sz w:val="20"/>
                <w:szCs w:val="20"/>
                <w:color w:val="auto"/>
              </w:rPr>
            </w:pPr>
            <w:r>
              <w:rPr>
                <w:rFonts w:ascii="Arial" w:cs="Arial" w:eastAsia="Arial" w:hAnsi="Arial"/>
                <w:sz w:val="11"/>
                <w:szCs w:val="11"/>
                <w:color w:val="auto"/>
                <w:w w:val="90"/>
              </w:rPr>
              <w:t>Instruments, and</w:t>
            </w:r>
          </w:p>
        </w:tc>
        <w:tc>
          <w:tcPr>
            <w:tcW w:w="1620" w:type="dxa"/>
            <w:vAlign w:val="bottom"/>
            <w:gridSpan w:val="2"/>
          </w:tcPr>
          <w:p>
            <w:pPr>
              <w:jc w:val="center"/>
              <w:ind w:right="140"/>
              <w:spacing w:after="0" w:line="114" w:lineRule="exact"/>
              <w:rPr>
                <w:sz w:val="20"/>
                <w:szCs w:val="20"/>
                <w:color w:val="auto"/>
              </w:rPr>
            </w:pPr>
            <w:r>
              <w:rPr>
                <w:rFonts w:ascii="Arial" w:cs="Arial" w:eastAsia="Arial" w:hAnsi="Arial"/>
                <w:sz w:val="11"/>
                <w:szCs w:val="11"/>
                <w:color w:val="auto"/>
                <w:w w:val="94"/>
              </w:rPr>
              <w:t>1M L+550, 12/20/2024</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60" w:type="dxa"/>
            <w:vAlign w:val="bottom"/>
            <w:gridSpan w:val="3"/>
          </w:tcPr>
          <w:p>
            <w:pPr>
              <w:spacing w:after="0"/>
              <w:rPr>
                <w:sz w:val="20"/>
                <w:szCs w:val="20"/>
                <w:color w:val="auto"/>
              </w:rPr>
            </w:pPr>
            <w:r>
              <w:rPr>
                <w:rFonts w:ascii="Arial" w:cs="Arial" w:eastAsia="Arial" w:hAnsi="Arial"/>
                <w:sz w:val="11"/>
                <w:szCs w:val="11"/>
                <w:color w:val="auto"/>
              </w:rPr>
              <w:t>Nicholasville, KY 40356</w:t>
            </w:r>
          </w:p>
        </w:tc>
        <w:tc>
          <w:tcPr>
            <w:tcW w:w="1440" w:type="dxa"/>
            <w:vAlign w:val="bottom"/>
            <w:gridSpan w:val="2"/>
          </w:tcPr>
          <w:p>
            <w:pPr>
              <w:jc w:val="center"/>
              <w:ind w:right="320"/>
              <w:spacing w:after="0"/>
              <w:rPr>
                <w:sz w:val="20"/>
                <w:szCs w:val="20"/>
                <w:color w:val="auto"/>
              </w:rPr>
            </w:pPr>
            <w:r>
              <w:rPr>
                <w:rFonts w:ascii="Arial" w:cs="Arial" w:eastAsia="Arial" w:hAnsi="Arial"/>
                <w:sz w:val="11"/>
                <w:szCs w:val="11"/>
                <w:color w:val="auto"/>
                <w:w w:val="89"/>
              </w:rPr>
              <w:t>Components</w:t>
            </w: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74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Schlesinger Global, Inc.</w:t>
            </w:r>
          </w:p>
        </w:tc>
        <w:tc>
          <w:tcPr>
            <w:tcW w:w="1440" w:type="dxa"/>
            <w:vAlign w:val="bottom"/>
            <w:gridSpan w:val="2"/>
            <w:shd w:val="clear" w:color="auto" w:fill="CCEEFF"/>
          </w:tcPr>
          <w:p>
            <w:pPr>
              <w:jc w:val="center"/>
              <w:ind w:right="300"/>
              <w:spacing w:after="0" w:line="101" w:lineRule="exact"/>
              <w:rPr>
                <w:sz w:val="20"/>
                <w:szCs w:val="20"/>
                <w:color w:val="auto"/>
              </w:rPr>
            </w:pPr>
            <w:r>
              <w:rPr>
                <w:rFonts w:ascii="Arial" w:cs="Arial" w:eastAsia="Arial" w:hAnsi="Arial"/>
                <w:sz w:val="11"/>
                <w:szCs w:val="11"/>
                <w:color w:val="auto"/>
                <w:w w:val="88"/>
              </w:rPr>
              <w:t>Professional Services</w:t>
            </w:r>
          </w:p>
        </w:tc>
        <w:tc>
          <w:tcPr>
            <w:tcW w:w="1620" w:type="dxa"/>
            <w:vAlign w:val="bottom"/>
            <w:gridSpan w:val="2"/>
            <w:shd w:val="clear" w:color="auto" w:fill="CCEEFF"/>
          </w:tcPr>
          <w:p>
            <w:pPr>
              <w:jc w:val="center"/>
              <w:ind w:right="120"/>
              <w:spacing w:after="0" w:line="101" w:lineRule="exact"/>
              <w:rPr>
                <w:sz w:val="20"/>
                <w:szCs w:val="20"/>
                <w:color w:val="auto"/>
              </w:rPr>
            </w:pPr>
            <w:r>
              <w:rPr>
                <w:rFonts w:ascii="Arial" w:cs="Arial" w:eastAsia="Arial" w:hAnsi="Arial"/>
                <w:sz w:val="11"/>
                <w:szCs w:val="11"/>
                <w:color w:val="auto"/>
                <w:w w:val="92"/>
              </w:rPr>
              <w:t>First Lien Secured Debt(4),</w:t>
            </w:r>
          </w:p>
        </w:tc>
        <w:tc>
          <w:tcPr>
            <w:tcW w:w="920" w:type="dxa"/>
            <w:vAlign w:val="bottom"/>
            <w:gridSpan w:val="2"/>
            <w:shd w:val="clear" w:color="auto" w:fill="CCEEFF"/>
          </w:tcPr>
          <w:p>
            <w:pPr>
              <w:jc w:val="right"/>
              <w:ind w:right="160"/>
              <w:spacing w:after="0" w:line="101" w:lineRule="exact"/>
              <w:rPr>
                <w:sz w:val="20"/>
                <w:szCs w:val="20"/>
                <w:color w:val="auto"/>
              </w:rPr>
            </w:pPr>
            <w:r>
              <w:rPr>
                <w:rFonts w:ascii="Arial" w:cs="Arial" w:eastAsia="Arial" w:hAnsi="Arial"/>
                <w:sz w:val="11"/>
                <w:szCs w:val="11"/>
                <w:color w:val="auto"/>
              </w:rPr>
              <w:t>1.4%</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16,131</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(Gauge Schlesinger Coinvest, LLC)</w:t>
            </w:r>
          </w:p>
        </w:tc>
        <w:tc>
          <w:tcPr>
            <w:tcW w:w="1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1"/>
                <w:szCs w:val="11"/>
                <w:color w:val="auto"/>
                <w:w w:val="90"/>
              </w:rPr>
              <w:t>SOFR+700, 07/14/2025</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101 Wood Avenue South, Suite 501</w:t>
            </w:r>
          </w:p>
        </w:tc>
        <w:tc>
          <w:tcPr>
            <w:tcW w:w="1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1"/>
                <w:szCs w:val="11"/>
                <w:color w:val="auto"/>
                <w:w w:val="94"/>
              </w:rPr>
              <w:t>Common Equity</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Iselin, NJ 08830</w:t>
            </w:r>
          </w:p>
        </w:tc>
        <w:tc>
          <w:tcPr>
            <w:tcW w:w="1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60" w:type="dxa"/>
            <w:vAlign w:val="bottom"/>
            <w:gridSpan w:val="3"/>
          </w:tcPr>
          <w:p>
            <w:pPr>
              <w:spacing w:after="0"/>
              <w:rPr>
                <w:sz w:val="20"/>
                <w:szCs w:val="20"/>
                <w:color w:val="auto"/>
              </w:rPr>
            </w:pPr>
            <w:r>
              <w:rPr>
                <w:rFonts w:ascii="Arial" w:cs="Arial" w:eastAsia="Arial" w:hAnsi="Arial"/>
                <w:sz w:val="11"/>
                <w:szCs w:val="11"/>
                <w:color w:val="auto"/>
              </w:rPr>
              <w:t>Seaway Buyer, LLC</w:t>
            </w:r>
          </w:p>
        </w:tc>
        <w:tc>
          <w:tcPr>
            <w:tcW w:w="1440" w:type="dxa"/>
            <w:vAlign w:val="bottom"/>
            <w:gridSpan w:val="2"/>
          </w:tcPr>
          <w:p>
            <w:pPr>
              <w:jc w:val="center"/>
              <w:ind w:right="300"/>
              <w:spacing w:after="0"/>
              <w:rPr>
                <w:sz w:val="20"/>
                <w:szCs w:val="20"/>
                <w:color w:val="auto"/>
              </w:rPr>
            </w:pPr>
            <w:r>
              <w:rPr>
                <w:rFonts w:ascii="Arial" w:cs="Arial" w:eastAsia="Arial" w:hAnsi="Arial"/>
                <w:sz w:val="11"/>
                <w:szCs w:val="11"/>
                <w:color w:val="auto"/>
                <w:w w:val="90"/>
              </w:rPr>
              <w:t>Chemicals, Plastics and</w:t>
            </w:r>
          </w:p>
        </w:tc>
        <w:tc>
          <w:tcPr>
            <w:tcW w:w="162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First Lien Secured Debt,</w:t>
            </w: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0.3%</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7,132</w:t>
            </w:r>
          </w:p>
        </w:tc>
        <w:tc>
          <w:tcPr>
            <w:tcW w:w="0" w:type="dxa"/>
            <w:vAlign w:val="bottom"/>
          </w:tcPr>
          <w:p>
            <w:pPr>
              <w:spacing w:after="0"/>
              <w:rPr>
                <w:sz w:val="1"/>
                <w:szCs w:val="1"/>
                <w:color w:val="auto"/>
              </w:rPr>
            </w:pPr>
          </w:p>
        </w:tc>
      </w:tr>
      <w:tr>
        <w:trPr>
          <w:trHeight w:val="114"/>
        </w:trPr>
        <w:tc>
          <w:tcPr>
            <w:tcW w:w="3760" w:type="dxa"/>
            <w:vAlign w:val="bottom"/>
            <w:gridSpan w:val="3"/>
          </w:tcPr>
          <w:p>
            <w:pPr>
              <w:spacing w:after="0" w:line="114" w:lineRule="exact"/>
              <w:rPr>
                <w:sz w:val="20"/>
                <w:szCs w:val="20"/>
                <w:color w:val="auto"/>
              </w:rPr>
            </w:pPr>
            <w:r>
              <w:rPr>
                <w:rFonts w:ascii="Arial" w:cs="Arial" w:eastAsia="Arial" w:hAnsi="Arial"/>
                <w:sz w:val="11"/>
                <w:szCs w:val="11"/>
                <w:color w:val="auto"/>
              </w:rPr>
              <w:t>(Seaway Topco, LP)</w:t>
            </w:r>
          </w:p>
        </w:tc>
        <w:tc>
          <w:tcPr>
            <w:tcW w:w="1440" w:type="dxa"/>
            <w:vAlign w:val="bottom"/>
            <w:gridSpan w:val="2"/>
          </w:tcPr>
          <w:p>
            <w:pPr>
              <w:jc w:val="center"/>
              <w:ind w:right="300"/>
              <w:spacing w:after="0" w:line="114" w:lineRule="exact"/>
              <w:rPr>
                <w:sz w:val="20"/>
                <w:szCs w:val="20"/>
                <w:color w:val="auto"/>
              </w:rPr>
            </w:pPr>
            <w:r>
              <w:rPr>
                <w:rFonts w:ascii="Arial" w:cs="Arial" w:eastAsia="Arial" w:hAnsi="Arial"/>
                <w:sz w:val="11"/>
                <w:szCs w:val="11"/>
                <w:color w:val="auto"/>
                <w:w w:val="94"/>
              </w:rPr>
              <w:t>Rubber</w:t>
            </w:r>
          </w:p>
        </w:tc>
        <w:tc>
          <w:tcPr>
            <w:tcW w:w="1620" w:type="dxa"/>
            <w:vAlign w:val="bottom"/>
            <w:gridSpan w:val="2"/>
          </w:tcPr>
          <w:p>
            <w:pPr>
              <w:jc w:val="center"/>
              <w:ind w:right="140"/>
              <w:spacing w:after="0" w:line="114" w:lineRule="exact"/>
              <w:rPr>
                <w:sz w:val="20"/>
                <w:szCs w:val="20"/>
                <w:color w:val="auto"/>
              </w:rPr>
            </w:pPr>
            <w:r>
              <w:rPr>
                <w:rFonts w:ascii="Arial" w:cs="Arial" w:eastAsia="Arial" w:hAnsi="Arial"/>
                <w:sz w:val="11"/>
                <w:szCs w:val="11"/>
                <w:color w:val="auto"/>
                <w:w w:val="94"/>
              </w:rPr>
              <w:t>3M L+575, 06/13/2029</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60" w:type="dxa"/>
            <w:vAlign w:val="bottom"/>
            <w:gridSpan w:val="3"/>
          </w:tcPr>
          <w:p>
            <w:pPr>
              <w:spacing w:after="0" w:line="114" w:lineRule="exact"/>
              <w:rPr>
                <w:sz w:val="20"/>
                <w:szCs w:val="20"/>
                <w:color w:val="auto"/>
              </w:rPr>
            </w:pPr>
            <w:r>
              <w:rPr>
                <w:rFonts w:ascii="Arial" w:cs="Arial" w:eastAsia="Arial" w:hAnsi="Arial"/>
                <w:sz w:val="11"/>
                <w:szCs w:val="11"/>
                <w:color w:val="auto"/>
              </w:rPr>
              <w:t>6006 Siesta Lane</w:t>
            </w: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20"/>
              <w:spacing w:after="0" w:line="114" w:lineRule="exact"/>
              <w:rPr>
                <w:sz w:val="20"/>
                <w:szCs w:val="20"/>
                <w:color w:val="auto"/>
              </w:rPr>
            </w:pPr>
            <w:r>
              <w:rPr>
                <w:rFonts w:ascii="Arial" w:cs="Arial" w:eastAsia="Arial" w:hAnsi="Arial"/>
                <w:sz w:val="11"/>
                <w:szCs w:val="11"/>
                <w:color w:val="auto"/>
                <w:w w:val="94"/>
              </w:rPr>
              <w:t>Common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60" w:type="dxa"/>
            <w:vAlign w:val="bottom"/>
            <w:gridSpan w:val="3"/>
          </w:tcPr>
          <w:p>
            <w:pPr>
              <w:spacing w:after="0"/>
              <w:rPr>
                <w:sz w:val="20"/>
                <w:szCs w:val="20"/>
                <w:color w:val="auto"/>
              </w:rPr>
            </w:pPr>
            <w:r>
              <w:rPr>
                <w:rFonts w:ascii="Arial" w:cs="Arial" w:eastAsia="Arial" w:hAnsi="Arial"/>
                <w:sz w:val="11"/>
                <w:szCs w:val="11"/>
                <w:color w:val="auto"/>
              </w:rPr>
              <w:t>Port Richey, FL 34668</w:t>
            </w: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74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Sigma Defense Systems, LLC</w:t>
            </w:r>
          </w:p>
        </w:tc>
        <w:tc>
          <w:tcPr>
            <w:tcW w:w="1440" w:type="dxa"/>
            <w:vAlign w:val="bottom"/>
            <w:gridSpan w:val="2"/>
            <w:shd w:val="clear" w:color="auto" w:fill="CCEEFF"/>
          </w:tcPr>
          <w:p>
            <w:pPr>
              <w:jc w:val="center"/>
              <w:ind w:right="300"/>
              <w:spacing w:after="0" w:line="101" w:lineRule="exact"/>
              <w:rPr>
                <w:sz w:val="20"/>
                <w:szCs w:val="20"/>
                <w:color w:val="auto"/>
              </w:rPr>
            </w:pPr>
            <w:r>
              <w:rPr>
                <w:rFonts w:ascii="Arial" w:cs="Arial" w:eastAsia="Arial" w:hAnsi="Arial"/>
                <w:sz w:val="11"/>
                <w:szCs w:val="11"/>
                <w:color w:val="auto"/>
                <w:w w:val="90"/>
              </w:rPr>
              <w:t>IT Services</w:t>
            </w:r>
          </w:p>
        </w:tc>
        <w:tc>
          <w:tcPr>
            <w:tcW w:w="1620" w:type="dxa"/>
            <w:vAlign w:val="bottom"/>
            <w:gridSpan w:val="2"/>
            <w:shd w:val="clear" w:color="auto" w:fill="CCEEFF"/>
          </w:tcPr>
          <w:p>
            <w:pPr>
              <w:jc w:val="center"/>
              <w:ind w:right="120"/>
              <w:spacing w:after="0" w:line="101" w:lineRule="exact"/>
              <w:rPr>
                <w:sz w:val="20"/>
                <w:szCs w:val="20"/>
                <w:color w:val="auto"/>
              </w:rPr>
            </w:pPr>
            <w:r>
              <w:rPr>
                <w:rFonts w:ascii="Arial" w:cs="Arial" w:eastAsia="Arial" w:hAnsi="Arial"/>
                <w:sz w:val="11"/>
                <w:szCs w:val="11"/>
                <w:color w:val="auto"/>
                <w:w w:val="92"/>
              </w:rPr>
              <w:t>First Lien Secured Debt(4),</w:t>
            </w:r>
          </w:p>
        </w:tc>
        <w:tc>
          <w:tcPr>
            <w:tcW w:w="920" w:type="dxa"/>
            <w:vAlign w:val="bottom"/>
            <w:gridSpan w:val="2"/>
            <w:shd w:val="clear" w:color="auto" w:fill="CCEEFF"/>
          </w:tcPr>
          <w:p>
            <w:pPr>
              <w:jc w:val="right"/>
              <w:ind w:right="160"/>
              <w:spacing w:after="0" w:line="101" w:lineRule="exact"/>
              <w:rPr>
                <w:sz w:val="20"/>
                <w:szCs w:val="20"/>
                <w:color w:val="auto"/>
              </w:rPr>
            </w:pPr>
            <w:r>
              <w:rPr>
                <w:rFonts w:ascii="Arial" w:cs="Arial" w:eastAsia="Arial" w:hAnsi="Arial"/>
                <w:sz w:val="11"/>
                <w:szCs w:val="11"/>
                <w:color w:val="auto"/>
              </w:rPr>
              <w:t>1.3%</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12,948</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(Delta InvestCo LP (5))</w:t>
            </w:r>
          </w:p>
        </w:tc>
        <w:tc>
          <w:tcPr>
            <w:tcW w:w="1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Arial" w:cs="Arial" w:eastAsia="Arial" w:hAnsi="Arial"/>
                <w:sz w:val="11"/>
                <w:szCs w:val="11"/>
                <w:color w:val="auto"/>
                <w:w w:val="94"/>
              </w:rPr>
              <w:t>3M L+850, 12/18/2025</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1812 Macon Rd, Perry, GA 31069</w:t>
            </w:r>
          </w:p>
        </w:tc>
        <w:tc>
          <w:tcPr>
            <w:tcW w:w="1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3"/>
              </w:rPr>
              <w:t>Common Equity(4)</w:t>
            </w: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60" w:type="dxa"/>
            <w:vAlign w:val="bottom"/>
            <w:gridSpan w:val="3"/>
          </w:tcPr>
          <w:p>
            <w:pPr>
              <w:spacing w:after="0"/>
              <w:rPr>
                <w:sz w:val="20"/>
                <w:szCs w:val="20"/>
                <w:color w:val="auto"/>
              </w:rPr>
            </w:pPr>
            <w:r>
              <w:rPr>
                <w:rFonts w:ascii="Arial" w:cs="Arial" w:eastAsia="Arial" w:hAnsi="Arial"/>
                <w:sz w:val="11"/>
                <w:szCs w:val="11"/>
                <w:color w:val="auto"/>
              </w:rPr>
              <w:t>Signature Systems Holding Company</w:t>
            </w:r>
          </w:p>
        </w:tc>
        <w:tc>
          <w:tcPr>
            <w:tcW w:w="1440" w:type="dxa"/>
            <w:vAlign w:val="bottom"/>
            <w:gridSpan w:val="2"/>
          </w:tcPr>
          <w:p>
            <w:pPr>
              <w:jc w:val="center"/>
              <w:ind w:right="300"/>
              <w:spacing w:after="0"/>
              <w:rPr>
                <w:sz w:val="20"/>
                <w:szCs w:val="20"/>
                <w:color w:val="auto"/>
              </w:rPr>
            </w:pPr>
            <w:r>
              <w:rPr>
                <w:rFonts w:ascii="Arial" w:cs="Arial" w:eastAsia="Arial" w:hAnsi="Arial"/>
                <w:sz w:val="11"/>
                <w:szCs w:val="11"/>
                <w:color w:val="auto"/>
                <w:w w:val="92"/>
              </w:rPr>
              <w:t>Commercial Services &amp;</w:t>
            </w:r>
          </w:p>
        </w:tc>
        <w:tc>
          <w:tcPr>
            <w:tcW w:w="162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First Lien Secured Debt(4),</w:t>
            </w: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3.9%</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11,941</w:t>
            </w:r>
          </w:p>
        </w:tc>
        <w:tc>
          <w:tcPr>
            <w:tcW w:w="0" w:type="dxa"/>
            <w:vAlign w:val="bottom"/>
          </w:tcPr>
          <w:p>
            <w:pPr>
              <w:spacing w:after="0"/>
              <w:rPr>
                <w:sz w:val="1"/>
                <w:szCs w:val="1"/>
                <w:color w:val="auto"/>
              </w:rPr>
            </w:pPr>
          </w:p>
        </w:tc>
      </w:tr>
      <w:tr>
        <w:trPr>
          <w:trHeight w:val="114"/>
        </w:trPr>
        <w:tc>
          <w:tcPr>
            <w:tcW w:w="3760" w:type="dxa"/>
            <w:vAlign w:val="bottom"/>
            <w:gridSpan w:val="3"/>
          </w:tcPr>
          <w:p>
            <w:pPr>
              <w:spacing w:after="0" w:line="114" w:lineRule="exact"/>
              <w:rPr>
                <w:sz w:val="20"/>
                <w:szCs w:val="20"/>
                <w:color w:val="auto"/>
              </w:rPr>
            </w:pPr>
            <w:r>
              <w:rPr>
                <w:rFonts w:ascii="Arial" w:cs="Arial" w:eastAsia="Arial" w:hAnsi="Arial"/>
                <w:sz w:val="11"/>
                <w:szCs w:val="11"/>
                <w:color w:val="auto"/>
              </w:rPr>
              <w:t>(Signature CR Intermediate Holdco, Inc.)</w:t>
            </w:r>
          </w:p>
        </w:tc>
        <w:tc>
          <w:tcPr>
            <w:tcW w:w="1440" w:type="dxa"/>
            <w:vAlign w:val="bottom"/>
            <w:gridSpan w:val="2"/>
          </w:tcPr>
          <w:p>
            <w:pPr>
              <w:jc w:val="center"/>
              <w:ind w:right="300"/>
              <w:spacing w:after="0" w:line="114" w:lineRule="exact"/>
              <w:rPr>
                <w:sz w:val="20"/>
                <w:szCs w:val="20"/>
                <w:color w:val="auto"/>
              </w:rPr>
            </w:pPr>
            <w:r>
              <w:rPr>
                <w:rFonts w:ascii="Arial" w:cs="Arial" w:eastAsia="Arial" w:hAnsi="Arial"/>
                <w:sz w:val="11"/>
                <w:szCs w:val="11"/>
                <w:color w:val="auto"/>
                <w:w w:val="89"/>
              </w:rPr>
              <w:t>Supplies</w:t>
            </w:r>
          </w:p>
        </w:tc>
        <w:tc>
          <w:tcPr>
            <w:tcW w:w="1620" w:type="dxa"/>
            <w:vAlign w:val="bottom"/>
            <w:gridSpan w:val="2"/>
          </w:tcPr>
          <w:p>
            <w:pPr>
              <w:jc w:val="center"/>
              <w:ind w:right="140"/>
              <w:spacing w:after="0" w:line="114" w:lineRule="exact"/>
              <w:rPr>
                <w:sz w:val="20"/>
                <w:szCs w:val="20"/>
                <w:color w:val="auto"/>
              </w:rPr>
            </w:pPr>
            <w:r>
              <w:rPr>
                <w:rFonts w:ascii="Arial" w:cs="Arial" w:eastAsia="Arial" w:hAnsi="Arial"/>
                <w:sz w:val="11"/>
                <w:szCs w:val="11"/>
                <w:color w:val="auto"/>
                <w:w w:val="94"/>
              </w:rPr>
              <w:t>1M L+650, 05/03/2024</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60" w:type="dxa"/>
            <w:vAlign w:val="bottom"/>
            <w:gridSpan w:val="3"/>
          </w:tcPr>
          <w:p>
            <w:pPr>
              <w:spacing w:after="0" w:line="114" w:lineRule="exact"/>
              <w:rPr>
                <w:sz w:val="20"/>
                <w:szCs w:val="20"/>
                <w:color w:val="auto"/>
              </w:rPr>
            </w:pPr>
            <w:r>
              <w:rPr>
                <w:rFonts w:ascii="Arial" w:cs="Arial" w:eastAsia="Arial" w:hAnsi="Arial"/>
                <w:sz w:val="11"/>
                <w:szCs w:val="11"/>
                <w:color w:val="auto"/>
              </w:rPr>
              <w:t>1201 Lakeside Parkway, Suite 150</w:t>
            </w: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20"/>
              <w:spacing w:after="0" w:line="114" w:lineRule="exact"/>
              <w:rPr>
                <w:sz w:val="20"/>
                <w:szCs w:val="20"/>
                <w:color w:val="auto"/>
              </w:rPr>
            </w:pPr>
            <w:r>
              <w:rPr>
                <w:rFonts w:ascii="Arial" w:cs="Arial" w:eastAsia="Arial" w:hAnsi="Arial"/>
                <w:sz w:val="11"/>
                <w:szCs w:val="11"/>
                <w:color w:val="auto"/>
                <w:w w:val="93"/>
              </w:rPr>
              <w:t>Preferred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60" w:type="dxa"/>
            <w:vAlign w:val="bottom"/>
            <w:gridSpan w:val="3"/>
          </w:tcPr>
          <w:p>
            <w:pPr>
              <w:spacing w:after="0"/>
              <w:rPr>
                <w:sz w:val="20"/>
                <w:szCs w:val="20"/>
                <w:color w:val="auto"/>
              </w:rPr>
            </w:pPr>
            <w:r>
              <w:rPr>
                <w:rFonts w:ascii="Arial" w:cs="Arial" w:eastAsia="Arial" w:hAnsi="Arial"/>
                <w:sz w:val="11"/>
                <w:szCs w:val="11"/>
                <w:color w:val="auto"/>
              </w:rPr>
              <w:t>Flower Mound, TX 75028</w:t>
            </w: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Common Equity</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74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Smile Brands Inc.</w:t>
            </w:r>
          </w:p>
        </w:tc>
        <w:tc>
          <w:tcPr>
            <w:tcW w:w="1440" w:type="dxa"/>
            <w:vAlign w:val="bottom"/>
            <w:gridSpan w:val="2"/>
            <w:shd w:val="clear" w:color="auto" w:fill="CCEEFF"/>
          </w:tcPr>
          <w:p>
            <w:pPr>
              <w:jc w:val="center"/>
              <w:ind w:right="300"/>
              <w:spacing w:after="0" w:line="101" w:lineRule="exact"/>
              <w:rPr>
                <w:sz w:val="20"/>
                <w:szCs w:val="20"/>
                <w:color w:val="auto"/>
              </w:rPr>
            </w:pPr>
            <w:r>
              <w:rPr>
                <w:rFonts w:ascii="Arial" w:cs="Arial" w:eastAsia="Arial" w:hAnsi="Arial"/>
                <w:sz w:val="11"/>
                <w:szCs w:val="11"/>
                <w:color w:val="auto"/>
                <w:w w:val="88"/>
              </w:rPr>
              <w:t>Healthcare and</w:t>
            </w:r>
          </w:p>
        </w:tc>
        <w:tc>
          <w:tcPr>
            <w:tcW w:w="1620" w:type="dxa"/>
            <w:vAlign w:val="bottom"/>
            <w:gridSpan w:val="2"/>
            <w:shd w:val="clear" w:color="auto" w:fill="CCEEFF"/>
          </w:tcPr>
          <w:p>
            <w:pPr>
              <w:jc w:val="center"/>
              <w:ind w:right="120"/>
              <w:spacing w:after="0" w:line="101" w:lineRule="exact"/>
              <w:rPr>
                <w:sz w:val="20"/>
                <w:szCs w:val="20"/>
                <w:color w:val="auto"/>
              </w:rPr>
            </w:pPr>
            <w:r>
              <w:rPr>
                <w:rFonts w:ascii="Arial" w:cs="Arial" w:eastAsia="Arial" w:hAnsi="Arial"/>
                <w:sz w:val="11"/>
                <w:szCs w:val="11"/>
                <w:color w:val="auto"/>
                <w:w w:val="92"/>
              </w:rPr>
              <w:t>First Lien Secured Debt(4),</w:t>
            </w:r>
          </w:p>
        </w:tc>
        <w:tc>
          <w:tcPr>
            <w:tcW w:w="920" w:type="dxa"/>
            <w:vAlign w:val="bottom"/>
            <w:gridSpan w:val="2"/>
            <w:shd w:val="clear" w:color="auto" w:fill="CCEEFF"/>
          </w:tcPr>
          <w:p>
            <w:pPr>
              <w:jc w:val="right"/>
              <w:ind w:right="320"/>
              <w:spacing w:after="0" w:line="10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2,309</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100 Spectrum Center Drive, Suite 100</w:t>
            </w:r>
          </w:p>
        </w:tc>
        <w:tc>
          <w:tcPr>
            <w:tcW w:w="1440" w:type="dxa"/>
            <w:vAlign w:val="bottom"/>
            <w:gridSpan w:val="2"/>
            <w:shd w:val="clear" w:color="auto" w:fill="CCEEFF"/>
          </w:tcPr>
          <w:p>
            <w:pPr>
              <w:jc w:val="center"/>
              <w:ind w:right="320"/>
              <w:spacing w:after="0" w:line="114" w:lineRule="exact"/>
              <w:rPr>
                <w:sz w:val="20"/>
                <w:szCs w:val="20"/>
                <w:color w:val="auto"/>
              </w:rPr>
            </w:pPr>
            <w:r>
              <w:rPr>
                <w:rFonts w:ascii="Arial" w:cs="Arial" w:eastAsia="Arial" w:hAnsi="Arial"/>
                <w:sz w:val="11"/>
                <w:szCs w:val="11"/>
                <w:color w:val="auto"/>
                <w:w w:val="88"/>
              </w:rPr>
              <w:t>Pharmaceuticals</w:t>
            </w:r>
          </w:p>
        </w:tc>
        <w:tc>
          <w:tcPr>
            <w:tcW w:w="1620" w:type="dxa"/>
            <w:vAlign w:val="bottom"/>
            <w:gridSpan w:val="2"/>
            <w:shd w:val="clear" w:color="auto" w:fill="CCEEFF"/>
          </w:tcPr>
          <w:p>
            <w:pPr>
              <w:jc w:val="center"/>
              <w:ind w:right="140"/>
              <w:spacing w:after="0" w:line="114" w:lineRule="exact"/>
              <w:rPr>
                <w:sz w:val="20"/>
                <w:szCs w:val="20"/>
                <w:color w:val="auto"/>
              </w:rPr>
            </w:pPr>
            <w:r>
              <w:rPr>
                <w:rFonts w:ascii="Arial" w:cs="Arial" w:eastAsia="Arial" w:hAnsi="Arial"/>
                <w:sz w:val="11"/>
                <w:szCs w:val="11"/>
                <w:color w:val="auto"/>
                <w:w w:val="94"/>
              </w:rPr>
              <w:t>1M L+450, 10/14/2025</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Irvine, CA 92618</w:t>
            </w:r>
          </w:p>
        </w:tc>
        <w:tc>
          <w:tcPr>
            <w:tcW w:w="1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60" w:type="dxa"/>
            <w:vAlign w:val="bottom"/>
            <w:gridSpan w:val="3"/>
          </w:tcPr>
          <w:p>
            <w:pPr>
              <w:spacing w:after="0"/>
              <w:rPr>
                <w:sz w:val="20"/>
                <w:szCs w:val="20"/>
                <w:color w:val="auto"/>
              </w:rPr>
            </w:pPr>
            <w:r>
              <w:rPr>
                <w:rFonts w:ascii="Arial" w:cs="Arial" w:eastAsia="Arial" w:hAnsi="Arial"/>
                <w:sz w:val="11"/>
                <w:szCs w:val="11"/>
                <w:color w:val="auto"/>
              </w:rPr>
              <w:t>Solutionreach, Inc.</w:t>
            </w:r>
          </w:p>
        </w:tc>
        <w:tc>
          <w:tcPr>
            <w:tcW w:w="1440" w:type="dxa"/>
            <w:vAlign w:val="bottom"/>
            <w:gridSpan w:val="2"/>
          </w:tcPr>
          <w:p>
            <w:pPr>
              <w:jc w:val="center"/>
              <w:ind w:right="300"/>
              <w:spacing w:after="0"/>
              <w:rPr>
                <w:sz w:val="20"/>
                <w:szCs w:val="20"/>
                <w:color w:val="auto"/>
              </w:rPr>
            </w:pPr>
            <w:r>
              <w:rPr>
                <w:rFonts w:ascii="Arial" w:cs="Arial" w:eastAsia="Arial" w:hAnsi="Arial"/>
                <w:sz w:val="11"/>
                <w:szCs w:val="11"/>
                <w:color w:val="auto"/>
                <w:w w:val="90"/>
              </w:rPr>
              <w:t>Healthcare Technology</w:t>
            </w:r>
          </w:p>
        </w:tc>
        <w:tc>
          <w:tcPr>
            <w:tcW w:w="162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First Lien Secured Debt(4),</w:t>
            </w:r>
          </w:p>
        </w:tc>
        <w:tc>
          <w:tcPr>
            <w:tcW w:w="92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5,562</w:t>
            </w:r>
          </w:p>
        </w:tc>
        <w:tc>
          <w:tcPr>
            <w:tcW w:w="0" w:type="dxa"/>
            <w:vAlign w:val="bottom"/>
          </w:tcPr>
          <w:p>
            <w:pPr>
              <w:spacing w:after="0"/>
              <w:rPr>
                <w:sz w:val="1"/>
                <w:szCs w:val="1"/>
                <w:color w:val="auto"/>
              </w:rPr>
            </w:pPr>
          </w:p>
        </w:tc>
      </w:tr>
      <w:tr>
        <w:trPr>
          <w:trHeight w:val="114"/>
        </w:trPr>
        <w:tc>
          <w:tcPr>
            <w:tcW w:w="3760" w:type="dxa"/>
            <w:vAlign w:val="bottom"/>
            <w:gridSpan w:val="3"/>
          </w:tcPr>
          <w:p>
            <w:pPr>
              <w:spacing w:after="0" w:line="114" w:lineRule="exact"/>
              <w:rPr>
                <w:sz w:val="20"/>
                <w:szCs w:val="20"/>
                <w:color w:val="auto"/>
              </w:rPr>
            </w:pPr>
            <w:r>
              <w:rPr>
                <w:rFonts w:ascii="Arial" w:cs="Arial" w:eastAsia="Arial" w:hAnsi="Arial"/>
                <w:sz w:val="11"/>
                <w:szCs w:val="11"/>
                <w:color w:val="auto"/>
              </w:rPr>
              <w:t>2600 N. Ashton Blvd.</w:t>
            </w: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Arial" w:cs="Arial" w:eastAsia="Arial" w:hAnsi="Arial"/>
                <w:sz w:val="11"/>
                <w:szCs w:val="11"/>
                <w:color w:val="auto"/>
                <w:w w:val="94"/>
              </w:rPr>
              <w:t>3M L+575, 01/17/2024</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60" w:type="dxa"/>
            <w:vAlign w:val="bottom"/>
            <w:gridSpan w:val="3"/>
          </w:tcPr>
          <w:p>
            <w:pPr>
              <w:spacing w:after="0"/>
              <w:rPr>
                <w:sz w:val="20"/>
                <w:szCs w:val="20"/>
                <w:color w:val="auto"/>
              </w:rPr>
            </w:pPr>
            <w:r>
              <w:rPr>
                <w:rFonts w:ascii="Arial" w:cs="Arial" w:eastAsia="Arial" w:hAnsi="Arial"/>
                <w:sz w:val="11"/>
                <w:szCs w:val="11"/>
                <w:color w:val="auto"/>
              </w:rPr>
              <w:t>Lehi, UT 84043</w:t>
            </w: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74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Spear Education, LLC</w:t>
            </w:r>
          </w:p>
        </w:tc>
        <w:tc>
          <w:tcPr>
            <w:tcW w:w="1440" w:type="dxa"/>
            <w:vAlign w:val="bottom"/>
            <w:gridSpan w:val="2"/>
            <w:shd w:val="clear" w:color="auto" w:fill="CCEEFF"/>
          </w:tcPr>
          <w:p>
            <w:pPr>
              <w:jc w:val="center"/>
              <w:ind w:right="300"/>
              <w:spacing w:after="0" w:line="101" w:lineRule="exact"/>
              <w:rPr>
                <w:sz w:val="20"/>
                <w:szCs w:val="20"/>
                <w:color w:val="auto"/>
              </w:rPr>
            </w:pPr>
            <w:r>
              <w:rPr>
                <w:rFonts w:ascii="Arial" w:cs="Arial" w:eastAsia="Arial" w:hAnsi="Arial"/>
                <w:sz w:val="11"/>
                <w:szCs w:val="11"/>
                <w:color w:val="auto"/>
                <w:w w:val="88"/>
              </w:rPr>
              <w:t>Professional Services</w:t>
            </w:r>
          </w:p>
        </w:tc>
        <w:tc>
          <w:tcPr>
            <w:tcW w:w="1620" w:type="dxa"/>
            <w:vAlign w:val="bottom"/>
            <w:gridSpan w:val="2"/>
            <w:shd w:val="clear" w:color="auto" w:fill="CCEEFF"/>
          </w:tcPr>
          <w:p>
            <w:pPr>
              <w:jc w:val="center"/>
              <w:ind w:right="140"/>
              <w:spacing w:after="0" w:line="101" w:lineRule="exact"/>
              <w:rPr>
                <w:sz w:val="20"/>
                <w:szCs w:val="20"/>
                <w:color w:val="auto"/>
              </w:rPr>
            </w:pPr>
            <w:r>
              <w:rPr>
                <w:rFonts w:ascii="Arial" w:cs="Arial" w:eastAsia="Arial" w:hAnsi="Arial"/>
                <w:sz w:val="11"/>
                <w:szCs w:val="11"/>
                <w:color w:val="auto"/>
                <w:w w:val="91"/>
              </w:rPr>
              <w:t>First Lien Secured Debt,</w:t>
            </w:r>
          </w:p>
        </w:tc>
        <w:tc>
          <w:tcPr>
            <w:tcW w:w="920" w:type="dxa"/>
            <w:vAlign w:val="bottom"/>
            <w:gridSpan w:val="2"/>
            <w:shd w:val="clear" w:color="auto" w:fill="CCEEFF"/>
          </w:tcPr>
          <w:p>
            <w:pPr>
              <w:jc w:val="right"/>
              <w:ind w:right="320"/>
              <w:spacing w:after="0" w:line="10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14,747</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7201 E Princess Boulevard</w:t>
            </w:r>
          </w:p>
        </w:tc>
        <w:tc>
          <w:tcPr>
            <w:tcW w:w="1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Arial" w:cs="Arial" w:eastAsia="Arial" w:hAnsi="Arial"/>
                <w:sz w:val="11"/>
                <w:szCs w:val="11"/>
                <w:color w:val="auto"/>
                <w:w w:val="94"/>
              </w:rPr>
              <w:t>3M L+575, 02/26/2025</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Scottsdale, AZ 85255</w:t>
            </w:r>
          </w:p>
        </w:tc>
        <w:tc>
          <w:tcPr>
            <w:tcW w:w="1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60" w:type="dxa"/>
            <w:vAlign w:val="bottom"/>
            <w:gridSpan w:val="3"/>
          </w:tcPr>
          <w:p>
            <w:pPr>
              <w:spacing w:after="0"/>
              <w:rPr>
                <w:sz w:val="20"/>
                <w:szCs w:val="20"/>
                <w:color w:val="auto"/>
              </w:rPr>
            </w:pPr>
            <w:r>
              <w:rPr>
                <w:rFonts w:ascii="Arial" w:cs="Arial" w:eastAsia="Arial" w:hAnsi="Arial"/>
                <w:sz w:val="11"/>
                <w:szCs w:val="11"/>
                <w:color w:val="auto"/>
              </w:rPr>
              <w:t>Spendmend Holdings LLC</w:t>
            </w:r>
          </w:p>
        </w:tc>
        <w:tc>
          <w:tcPr>
            <w:tcW w:w="1440" w:type="dxa"/>
            <w:vAlign w:val="bottom"/>
            <w:gridSpan w:val="2"/>
          </w:tcPr>
          <w:p>
            <w:pPr>
              <w:jc w:val="center"/>
              <w:ind w:right="300"/>
              <w:spacing w:after="0"/>
              <w:rPr>
                <w:sz w:val="20"/>
                <w:szCs w:val="20"/>
                <w:color w:val="auto"/>
              </w:rPr>
            </w:pPr>
            <w:r>
              <w:rPr>
                <w:rFonts w:ascii="Arial" w:cs="Arial" w:eastAsia="Arial" w:hAnsi="Arial"/>
                <w:sz w:val="11"/>
                <w:szCs w:val="11"/>
                <w:color w:val="auto"/>
                <w:w w:val="90"/>
              </w:rPr>
              <w:t>Healthcare Technology</w:t>
            </w:r>
          </w:p>
        </w:tc>
        <w:tc>
          <w:tcPr>
            <w:tcW w:w="162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First Lien Secured Debt(4),</w:t>
            </w: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0.4%</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3,421</w:t>
            </w:r>
          </w:p>
        </w:tc>
        <w:tc>
          <w:tcPr>
            <w:tcW w:w="0" w:type="dxa"/>
            <w:vAlign w:val="bottom"/>
          </w:tcPr>
          <w:p>
            <w:pPr>
              <w:spacing w:after="0"/>
              <w:rPr>
                <w:sz w:val="1"/>
                <w:szCs w:val="1"/>
                <w:color w:val="auto"/>
              </w:rPr>
            </w:pPr>
          </w:p>
        </w:tc>
      </w:tr>
      <w:tr>
        <w:trPr>
          <w:trHeight w:val="114"/>
        </w:trPr>
        <w:tc>
          <w:tcPr>
            <w:tcW w:w="3760" w:type="dxa"/>
            <w:vAlign w:val="bottom"/>
            <w:gridSpan w:val="3"/>
          </w:tcPr>
          <w:p>
            <w:pPr>
              <w:spacing w:after="0" w:line="114" w:lineRule="exact"/>
              <w:rPr>
                <w:sz w:val="20"/>
                <w:szCs w:val="20"/>
                <w:color w:val="auto"/>
              </w:rPr>
            </w:pPr>
            <w:r>
              <w:rPr>
                <w:rFonts w:ascii="Arial" w:cs="Arial" w:eastAsia="Arial" w:hAnsi="Arial"/>
                <w:sz w:val="11"/>
                <w:szCs w:val="11"/>
                <w:color w:val="auto"/>
              </w:rPr>
              <w:t>(North Haven Saints Equity Holdings, LP)</w:t>
            </w: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20"/>
              <w:spacing w:after="0" w:line="114" w:lineRule="exact"/>
              <w:rPr>
                <w:sz w:val="20"/>
                <w:szCs w:val="20"/>
                <w:color w:val="auto"/>
              </w:rPr>
            </w:pPr>
            <w:r>
              <w:rPr>
                <w:rFonts w:ascii="Arial" w:cs="Arial" w:eastAsia="Arial" w:hAnsi="Arial"/>
                <w:sz w:val="11"/>
                <w:szCs w:val="11"/>
                <w:color w:val="auto"/>
                <w:w w:val="91"/>
              </w:rPr>
              <w:t>SOFR+575, 03/01/2028,</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60" w:type="dxa"/>
            <w:vAlign w:val="bottom"/>
            <w:gridSpan w:val="3"/>
          </w:tcPr>
          <w:p>
            <w:pPr>
              <w:spacing w:after="0" w:line="114" w:lineRule="exact"/>
              <w:rPr>
                <w:sz w:val="20"/>
                <w:szCs w:val="20"/>
                <w:color w:val="auto"/>
              </w:rPr>
            </w:pPr>
            <w:r>
              <w:rPr>
                <w:rFonts w:ascii="Arial" w:cs="Arial" w:eastAsia="Arial" w:hAnsi="Arial"/>
                <w:sz w:val="11"/>
                <w:szCs w:val="11"/>
                <w:color w:val="auto"/>
              </w:rPr>
              <w:t>2680 Horizon Dr SE,</w:t>
            </w: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20"/>
              <w:spacing w:after="0" w:line="114" w:lineRule="exact"/>
              <w:rPr>
                <w:sz w:val="20"/>
                <w:szCs w:val="20"/>
                <w:color w:val="auto"/>
              </w:rPr>
            </w:pPr>
            <w:r>
              <w:rPr>
                <w:rFonts w:ascii="Arial" w:cs="Arial" w:eastAsia="Arial" w:hAnsi="Arial"/>
                <w:sz w:val="11"/>
                <w:szCs w:val="11"/>
                <w:color w:val="auto"/>
                <w:w w:val="94"/>
              </w:rPr>
              <w:t>Common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60" w:type="dxa"/>
            <w:vAlign w:val="bottom"/>
            <w:gridSpan w:val="3"/>
          </w:tcPr>
          <w:p>
            <w:pPr>
              <w:spacing w:after="0"/>
              <w:rPr>
                <w:sz w:val="20"/>
                <w:szCs w:val="20"/>
                <w:color w:val="auto"/>
              </w:rPr>
            </w:pPr>
            <w:r>
              <w:rPr>
                <w:rFonts w:ascii="Arial" w:cs="Arial" w:eastAsia="Arial" w:hAnsi="Arial"/>
                <w:sz w:val="11"/>
                <w:szCs w:val="11"/>
                <w:color w:val="auto"/>
              </w:rPr>
              <w:t>Grand Rapids, MI 49546</w:t>
            </w: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74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STV Group Incorporated</w:t>
            </w:r>
          </w:p>
        </w:tc>
        <w:tc>
          <w:tcPr>
            <w:tcW w:w="1440" w:type="dxa"/>
            <w:vAlign w:val="bottom"/>
            <w:gridSpan w:val="2"/>
            <w:shd w:val="clear" w:color="auto" w:fill="CCEEFF"/>
          </w:tcPr>
          <w:p>
            <w:pPr>
              <w:jc w:val="center"/>
              <w:ind w:right="300"/>
              <w:spacing w:after="0" w:line="101" w:lineRule="exact"/>
              <w:rPr>
                <w:sz w:val="20"/>
                <w:szCs w:val="20"/>
                <w:color w:val="auto"/>
              </w:rPr>
            </w:pPr>
            <w:r>
              <w:rPr>
                <w:rFonts w:ascii="Arial" w:cs="Arial" w:eastAsia="Arial" w:hAnsi="Arial"/>
                <w:sz w:val="11"/>
                <w:szCs w:val="11"/>
                <w:color w:val="auto"/>
                <w:w w:val="96"/>
              </w:rPr>
              <w:t>Construction &amp;</w:t>
            </w:r>
          </w:p>
        </w:tc>
        <w:tc>
          <w:tcPr>
            <w:tcW w:w="1620" w:type="dxa"/>
            <w:vAlign w:val="bottom"/>
            <w:gridSpan w:val="2"/>
            <w:shd w:val="clear" w:color="auto" w:fill="CCEEFF"/>
          </w:tcPr>
          <w:p>
            <w:pPr>
              <w:jc w:val="center"/>
              <w:ind w:right="140"/>
              <w:spacing w:after="0" w:line="101" w:lineRule="exact"/>
              <w:rPr>
                <w:sz w:val="20"/>
                <w:szCs w:val="20"/>
                <w:color w:val="auto"/>
              </w:rPr>
            </w:pPr>
            <w:r>
              <w:rPr>
                <w:rFonts w:ascii="Arial" w:cs="Arial" w:eastAsia="Arial" w:hAnsi="Arial"/>
                <w:sz w:val="11"/>
                <w:szCs w:val="11"/>
                <w:color w:val="auto"/>
                <w:w w:val="91"/>
              </w:rPr>
              <w:t>First Lien Secured Debt,</w:t>
            </w:r>
          </w:p>
        </w:tc>
        <w:tc>
          <w:tcPr>
            <w:tcW w:w="920" w:type="dxa"/>
            <w:vAlign w:val="bottom"/>
            <w:gridSpan w:val="2"/>
            <w:shd w:val="clear" w:color="auto" w:fill="CCEEFF"/>
          </w:tcPr>
          <w:p>
            <w:pPr>
              <w:jc w:val="right"/>
              <w:ind w:right="320"/>
              <w:spacing w:after="0" w:line="10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4,704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225 Park Avenue South</w:t>
            </w:r>
          </w:p>
        </w:tc>
        <w:tc>
          <w:tcPr>
            <w:tcW w:w="1440" w:type="dxa"/>
            <w:vAlign w:val="bottom"/>
            <w:gridSpan w:val="2"/>
            <w:shd w:val="clear" w:color="auto" w:fill="CCEEFF"/>
          </w:tcPr>
          <w:p>
            <w:pPr>
              <w:jc w:val="center"/>
              <w:ind w:right="300"/>
              <w:spacing w:after="0" w:line="114" w:lineRule="exact"/>
              <w:rPr>
                <w:sz w:val="20"/>
                <w:szCs w:val="20"/>
                <w:color w:val="auto"/>
              </w:rPr>
            </w:pPr>
            <w:r>
              <w:rPr>
                <w:rFonts w:ascii="Arial" w:cs="Arial" w:eastAsia="Arial" w:hAnsi="Arial"/>
                <w:sz w:val="11"/>
                <w:szCs w:val="11"/>
                <w:color w:val="auto"/>
                <w:w w:val="91"/>
              </w:rPr>
              <w:t>Engineering</w:t>
            </w:r>
          </w:p>
        </w:tc>
        <w:tc>
          <w:tcPr>
            <w:tcW w:w="1620" w:type="dxa"/>
            <w:vAlign w:val="bottom"/>
            <w:gridSpan w:val="2"/>
            <w:shd w:val="clear" w:color="auto" w:fill="CCEEFF"/>
          </w:tcPr>
          <w:p>
            <w:pPr>
              <w:jc w:val="center"/>
              <w:ind w:right="140"/>
              <w:spacing w:after="0" w:line="114" w:lineRule="exact"/>
              <w:rPr>
                <w:sz w:val="20"/>
                <w:szCs w:val="20"/>
                <w:color w:val="auto"/>
              </w:rPr>
            </w:pPr>
            <w:r>
              <w:rPr>
                <w:rFonts w:ascii="Arial" w:cs="Arial" w:eastAsia="Arial" w:hAnsi="Arial"/>
                <w:sz w:val="11"/>
                <w:szCs w:val="11"/>
                <w:color w:val="auto"/>
                <w:w w:val="94"/>
              </w:rPr>
              <w:t>1M L+525, 12/11/2026</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New York, NY 10003</w:t>
            </w:r>
          </w:p>
        </w:tc>
        <w:tc>
          <w:tcPr>
            <w:tcW w:w="1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60" w:type="dxa"/>
            <w:vAlign w:val="bottom"/>
            <w:gridSpan w:val="3"/>
          </w:tcPr>
          <w:p>
            <w:pPr>
              <w:spacing w:after="0"/>
              <w:rPr>
                <w:sz w:val="20"/>
                <w:szCs w:val="20"/>
                <w:color w:val="auto"/>
              </w:rPr>
            </w:pPr>
            <w:r>
              <w:rPr>
                <w:rFonts w:ascii="Arial" w:cs="Arial" w:eastAsia="Arial" w:hAnsi="Arial"/>
                <w:sz w:val="11"/>
                <w:szCs w:val="11"/>
                <w:color w:val="auto"/>
              </w:rPr>
              <w:t>SSC Dominion Holdings, LLC</w:t>
            </w:r>
          </w:p>
        </w:tc>
        <w:tc>
          <w:tcPr>
            <w:tcW w:w="1440" w:type="dxa"/>
            <w:vAlign w:val="bottom"/>
            <w:gridSpan w:val="2"/>
          </w:tcPr>
          <w:p>
            <w:pPr>
              <w:jc w:val="center"/>
              <w:ind w:right="300"/>
              <w:spacing w:after="0"/>
              <w:rPr>
                <w:sz w:val="20"/>
                <w:szCs w:val="20"/>
                <w:color w:val="auto"/>
              </w:rPr>
            </w:pPr>
            <w:r>
              <w:rPr>
                <w:rFonts w:ascii="Arial" w:cs="Arial" w:eastAsia="Arial" w:hAnsi="Arial"/>
                <w:sz w:val="11"/>
                <w:szCs w:val="11"/>
                <w:color w:val="auto"/>
                <w:w w:val="91"/>
              </w:rPr>
              <w:t>Capital Equipment</w:t>
            </w:r>
          </w:p>
        </w:tc>
        <w:tc>
          <w:tcPr>
            <w:tcW w:w="162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Common Equity</w:t>
            </w: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2.9%</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2,143</w:t>
            </w:r>
          </w:p>
        </w:tc>
        <w:tc>
          <w:tcPr>
            <w:tcW w:w="0" w:type="dxa"/>
            <w:vAlign w:val="bottom"/>
          </w:tcPr>
          <w:p>
            <w:pPr>
              <w:spacing w:after="0"/>
              <w:rPr>
                <w:sz w:val="1"/>
                <w:szCs w:val="1"/>
                <w:color w:val="auto"/>
              </w:rPr>
            </w:pPr>
          </w:p>
        </w:tc>
      </w:tr>
      <w:tr>
        <w:trPr>
          <w:trHeight w:val="114"/>
        </w:trPr>
        <w:tc>
          <w:tcPr>
            <w:tcW w:w="3760" w:type="dxa"/>
            <w:vAlign w:val="bottom"/>
            <w:gridSpan w:val="3"/>
          </w:tcPr>
          <w:p>
            <w:pPr>
              <w:spacing w:after="0" w:line="114" w:lineRule="exact"/>
              <w:rPr>
                <w:sz w:val="20"/>
                <w:szCs w:val="20"/>
                <w:color w:val="auto"/>
              </w:rPr>
            </w:pPr>
            <w:r>
              <w:rPr>
                <w:rFonts w:ascii="Arial" w:cs="Arial" w:eastAsia="Arial" w:hAnsi="Arial"/>
                <w:sz w:val="11"/>
                <w:szCs w:val="11"/>
                <w:color w:val="auto"/>
              </w:rPr>
              <w:t>215 Spadina Avenue, Suite 200</w:t>
            </w: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60" w:type="dxa"/>
            <w:vAlign w:val="bottom"/>
            <w:gridSpan w:val="3"/>
          </w:tcPr>
          <w:p>
            <w:pPr>
              <w:spacing w:after="0"/>
              <w:rPr>
                <w:sz w:val="20"/>
                <w:szCs w:val="20"/>
                <w:color w:val="auto"/>
              </w:rPr>
            </w:pPr>
            <w:r>
              <w:rPr>
                <w:rFonts w:ascii="Arial" w:cs="Arial" w:eastAsia="Arial" w:hAnsi="Arial"/>
                <w:sz w:val="11"/>
                <w:szCs w:val="11"/>
                <w:color w:val="auto"/>
              </w:rPr>
              <w:t>Toronto, ON MST 2C7</w:t>
            </w: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2805" cy="4572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9019"/>
          </w:cols>
          <w:pgMar w:left="1440" w:top="245" w:right="1440" w:bottom="1440" w:gutter="0" w:footer="0" w:header="0"/>
        </w:sectPr>
      </w:pPr>
    </w:p>
    <w:bookmarkStart w:id="30" w:name="page31"/>
    <w:bookmarkEnd w:id="30"/>
    <w:tbl>
      <w:tblPr>
        <w:tblLayout w:type="fixed"/>
        <w:tblInd w:w="280" w:type="dxa"/>
        <w:tblCellMar>
          <w:top w:w="0" w:type="dxa"/>
          <w:left w:w="0" w:type="dxa"/>
          <w:bottom w:w="0" w:type="dxa"/>
          <w:right w:w="0" w:type="dxa"/>
        </w:tblCellMar>
      </w:tblPr>
      <w:tr>
        <w:trPr>
          <w:trHeight w:val="126"/>
        </w:trPr>
        <w:tc>
          <w:tcPr>
            <w:tcW w:w="37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Name and</w:t>
            </w:r>
          </w:p>
        </w:tc>
        <w:tc>
          <w:tcPr>
            <w:tcW w:w="1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2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89"/>
              </w:rPr>
              <w:t>Type of Investment,</w:t>
            </w:r>
          </w:p>
        </w:tc>
        <w:tc>
          <w:tcPr>
            <w:tcW w:w="92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Voting</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74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920" w:type="dxa"/>
            <w:vAlign w:val="bottom"/>
            <w:gridSpan w:val="2"/>
          </w:tcPr>
          <w:p>
            <w:pPr>
              <w:jc w:val="right"/>
              <w:ind w:right="320"/>
              <w:spacing w:after="0" w:line="111" w:lineRule="exact"/>
              <w:rPr>
                <w:sz w:val="20"/>
                <w:szCs w:val="20"/>
                <w:color w:val="auto"/>
              </w:rPr>
            </w:pPr>
            <w:r>
              <w:rPr>
                <w:rFonts w:ascii="Arial" w:cs="Arial" w:eastAsia="Arial" w:hAnsi="Arial"/>
                <w:sz w:val="11"/>
                <w:szCs w:val="11"/>
                <w:b w:val="1"/>
                <w:bCs w:val="1"/>
                <w:color w:val="auto"/>
                <w:w w:val="97"/>
              </w:rPr>
              <w:t>Percentage</w:t>
            </w:r>
          </w:p>
        </w:tc>
        <w:tc>
          <w:tcPr>
            <w:tcW w:w="80" w:type="dxa"/>
            <w:vAlign w:val="bottom"/>
          </w:tcPr>
          <w:p>
            <w:pPr>
              <w:spacing w:after="0"/>
              <w:rPr>
                <w:sz w:val="9"/>
                <w:szCs w:val="9"/>
                <w:color w:val="auto"/>
              </w:rPr>
            </w:pPr>
          </w:p>
        </w:tc>
        <w:tc>
          <w:tcPr>
            <w:tcW w:w="640" w:type="dxa"/>
            <w:vAlign w:val="bottom"/>
            <w:gridSpan w:val="2"/>
          </w:tcPr>
          <w:p>
            <w:pPr>
              <w:jc w:val="right"/>
              <w:ind w:right="120"/>
              <w:spacing w:after="0" w:line="111" w:lineRule="exact"/>
              <w:rPr>
                <w:sz w:val="20"/>
                <w:szCs w:val="20"/>
                <w:color w:val="auto"/>
              </w:rPr>
            </w:pPr>
            <w:r>
              <w:rPr>
                <w:rFonts w:ascii="Arial" w:cs="Arial" w:eastAsia="Arial" w:hAnsi="Arial"/>
                <w:sz w:val="11"/>
                <w:szCs w:val="11"/>
                <w:b w:val="1"/>
                <w:bCs w:val="1"/>
                <w:color w:val="auto"/>
                <w:w w:val="94"/>
              </w:rPr>
              <w:t>Fair Value</w:t>
            </w:r>
          </w:p>
        </w:tc>
        <w:tc>
          <w:tcPr>
            <w:tcW w:w="0" w:type="dxa"/>
            <w:vAlign w:val="bottom"/>
          </w:tcPr>
          <w:p>
            <w:pPr>
              <w:spacing w:after="0"/>
              <w:rPr>
                <w:sz w:val="1"/>
                <w:szCs w:val="1"/>
                <w:color w:val="auto"/>
              </w:rPr>
            </w:pPr>
          </w:p>
        </w:tc>
      </w:tr>
      <w:tr>
        <w:trPr>
          <w:trHeight w:val="124"/>
        </w:trPr>
        <w:tc>
          <w:tcPr>
            <w:tcW w:w="3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Address of Portfolio Company</w:t>
            </w:r>
          </w:p>
        </w:tc>
        <w:tc>
          <w:tcPr>
            <w:tcW w:w="1460" w:type="dxa"/>
            <w:vAlign w:val="bottom"/>
            <w:gridSpan w:val="2"/>
          </w:tcPr>
          <w:p>
            <w:pPr>
              <w:jc w:val="center"/>
              <w:ind w:right="300"/>
              <w:spacing w:after="0" w:line="125" w:lineRule="exact"/>
              <w:rPr>
                <w:sz w:val="20"/>
                <w:szCs w:val="20"/>
                <w:color w:val="auto"/>
              </w:rPr>
            </w:pPr>
            <w:r>
              <w:rPr>
                <w:rFonts w:ascii="Arial" w:cs="Arial" w:eastAsia="Arial" w:hAnsi="Arial"/>
                <w:sz w:val="11"/>
                <w:szCs w:val="11"/>
                <w:b w:val="1"/>
                <w:bCs w:val="1"/>
                <w:color w:val="auto"/>
                <w:w w:val="87"/>
              </w:rPr>
              <w:t>Nature of Business</w:t>
            </w:r>
          </w:p>
        </w:tc>
        <w:tc>
          <w:tcPr>
            <w:tcW w:w="1620" w:type="dxa"/>
            <w:vAlign w:val="bottom"/>
            <w:gridSpan w:val="2"/>
          </w:tcPr>
          <w:p>
            <w:pPr>
              <w:jc w:val="center"/>
              <w:ind w:right="120"/>
              <w:spacing w:after="0" w:line="125" w:lineRule="exact"/>
              <w:rPr>
                <w:sz w:val="20"/>
                <w:szCs w:val="20"/>
                <w:color w:val="auto"/>
              </w:rPr>
            </w:pPr>
            <w:r>
              <w:rPr>
                <w:rFonts w:ascii="Arial" w:cs="Arial" w:eastAsia="Arial" w:hAnsi="Arial"/>
                <w:sz w:val="11"/>
                <w:szCs w:val="11"/>
                <w:b w:val="1"/>
                <w:bCs w:val="1"/>
                <w:color w:val="auto"/>
                <w:w w:val="95"/>
              </w:rPr>
              <w:t>Interest(1), Maturity</w:t>
            </w:r>
          </w:p>
        </w:tc>
        <w:tc>
          <w:tcPr>
            <w:tcW w:w="920" w:type="dxa"/>
            <w:vAlign w:val="bottom"/>
            <w:gridSpan w:val="2"/>
          </w:tcPr>
          <w:p>
            <w:pPr>
              <w:jc w:val="right"/>
              <w:ind w:right="260"/>
              <w:spacing w:after="0" w:line="125" w:lineRule="exact"/>
              <w:rPr>
                <w:sz w:val="20"/>
                <w:szCs w:val="20"/>
                <w:color w:val="auto"/>
              </w:rPr>
            </w:pPr>
            <w:r>
              <w:rPr>
                <w:rFonts w:ascii="Arial" w:cs="Arial" w:eastAsia="Arial" w:hAnsi="Arial"/>
                <w:sz w:val="11"/>
                <w:szCs w:val="11"/>
                <w:b w:val="1"/>
                <w:bCs w:val="1"/>
                <w:color w:val="auto"/>
                <w:w w:val="90"/>
              </w:rPr>
              <w:t>Ownership(2)</w:t>
            </w:r>
          </w:p>
        </w:tc>
        <w:tc>
          <w:tcPr>
            <w:tcW w:w="7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w w:val="89"/>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bottom w:val="single" w:sz="8" w:color="CCEEFF"/>
            </w:tcBorders>
            <w:shd w:val="clear" w:color="auto" w:fill="000000"/>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Pr>
          <w:p>
            <w:pPr>
              <w:spacing w:after="0"/>
              <w:rPr>
                <w:sz w:val="6"/>
                <w:szCs w:val="6"/>
                <w:color w:val="auto"/>
              </w:rPr>
            </w:pPr>
          </w:p>
        </w:tc>
        <w:tc>
          <w:tcPr>
            <w:tcW w:w="3720" w:type="dxa"/>
            <w:vAlign w:val="bottom"/>
            <w:gridSpan w:val="2"/>
            <w:shd w:val="clear" w:color="auto" w:fill="CCEEFF"/>
          </w:tcPr>
          <w:p>
            <w:pPr>
              <w:spacing w:after="0" w:line="74" w:lineRule="exact"/>
              <w:rPr>
                <w:sz w:val="20"/>
                <w:szCs w:val="20"/>
                <w:color w:val="auto"/>
              </w:rPr>
            </w:pPr>
            <w:r>
              <w:rPr>
                <w:rFonts w:ascii="Arial" w:cs="Arial" w:eastAsia="Arial" w:hAnsi="Arial"/>
                <w:sz w:val="8"/>
                <w:szCs w:val="8"/>
                <w:color w:val="auto"/>
              </w:rPr>
              <w:t>System Planning and Analysis, Inc.</w:t>
            </w:r>
          </w:p>
        </w:tc>
        <w:tc>
          <w:tcPr>
            <w:tcW w:w="1140" w:type="dxa"/>
            <w:vAlign w:val="bottom"/>
            <w:shd w:val="clear" w:color="auto" w:fill="CCEEFF"/>
          </w:tcPr>
          <w:p>
            <w:pPr>
              <w:jc w:val="center"/>
              <w:spacing w:after="0" w:line="74" w:lineRule="exact"/>
              <w:rPr>
                <w:sz w:val="20"/>
                <w:szCs w:val="20"/>
                <w:color w:val="auto"/>
              </w:rPr>
            </w:pPr>
            <w:r>
              <w:rPr>
                <w:rFonts w:ascii="Arial" w:cs="Arial" w:eastAsia="Arial" w:hAnsi="Arial"/>
                <w:sz w:val="8"/>
                <w:szCs w:val="8"/>
                <w:color w:val="auto"/>
              </w:rPr>
              <w:t>Aerospace and Defense</w:t>
            </w:r>
          </w:p>
        </w:tc>
        <w:tc>
          <w:tcPr>
            <w:tcW w:w="320" w:type="dxa"/>
            <w:vAlign w:val="bottom"/>
            <w:shd w:val="clear" w:color="auto" w:fill="CCEEFF"/>
          </w:tcPr>
          <w:p>
            <w:pPr>
              <w:spacing w:after="0"/>
              <w:rPr>
                <w:sz w:val="6"/>
                <w:szCs w:val="6"/>
                <w:color w:val="auto"/>
              </w:rPr>
            </w:pPr>
          </w:p>
        </w:tc>
        <w:tc>
          <w:tcPr>
            <w:tcW w:w="1480" w:type="dxa"/>
            <w:vAlign w:val="bottom"/>
            <w:shd w:val="clear" w:color="auto" w:fill="CCEEFF"/>
          </w:tcPr>
          <w:p>
            <w:pPr>
              <w:jc w:val="center"/>
              <w:spacing w:after="0" w:line="74" w:lineRule="exact"/>
              <w:rPr>
                <w:sz w:val="20"/>
                <w:szCs w:val="20"/>
                <w:color w:val="auto"/>
              </w:rPr>
            </w:pPr>
            <w:r>
              <w:rPr>
                <w:rFonts w:ascii="Arial" w:cs="Arial" w:eastAsia="Arial" w:hAnsi="Arial"/>
                <w:sz w:val="8"/>
                <w:szCs w:val="8"/>
                <w:color w:val="auto"/>
              </w:rPr>
              <w:t>First Lien Secured Debt(4),</w:t>
            </w:r>
          </w:p>
        </w:tc>
        <w:tc>
          <w:tcPr>
            <w:tcW w:w="140" w:type="dxa"/>
            <w:vAlign w:val="bottom"/>
            <w:shd w:val="clear" w:color="auto" w:fill="CCEEFF"/>
          </w:tcPr>
          <w:p>
            <w:pPr>
              <w:spacing w:after="0"/>
              <w:rPr>
                <w:sz w:val="6"/>
                <w:szCs w:val="6"/>
                <w:color w:val="auto"/>
              </w:rPr>
            </w:pPr>
          </w:p>
        </w:tc>
        <w:tc>
          <w:tcPr>
            <w:tcW w:w="660" w:type="dxa"/>
            <w:vAlign w:val="bottom"/>
            <w:shd w:val="clear" w:color="auto" w:fill="CCEEFF"/>
          </w:tcPr>
          <w:p>
            <w:pPr>
              <w:jc w:val="right"/>
              <w:ind w:right="6"/>
              <w:spacing w:after="0" w:line="74"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6"/>
                <w:szCs w:val="6"/>
                <w:color w:val="auto"/>
              </w:rPr>
            </w:pPr>
          </w:p>
        </w:tc>
        <w:tc>
          <w:tcPr>
            <w:tcW w:w="80" w:type="dxa"/>
            <w:vAlign w:val="bottom"/>
            <w:shd w:val="clear" w:color="auto" w:fill="CCEEFF"/>
          </w:tcPr>
          <w:p>
            <w:pPr>
              <w:spacing w:after="0" w:line="74" w:lineRule="exact"/>
              <w:rPr>
                <w:sz w:val="20"/>
                <w:szCs w:val="20"/>
                <w:color w:val="auto"/>
              </w:rPr>
            </w:pPr>
            <w:r>
              <w:rPr>
                <w:rFonts w:ascii="Arial" w:cs="Arial" w:eastAsia="Arial" w:hAnsi="Arial"/>
                <w:sz w:val="8"/>
                <w:szCs w:val="8"/>
                <w:color w:val="auto"/>
              </w:rPr>
              <w:t>$</w:t>
            </w:r>
          </w:p>
        </w:tc>
        <w:tc>
          <w:tcPr>
            <w:tcW w:w="600" w:type="dxa"/>
            <w:vAlign w:val="bottom"/>
            <w:shd w:val="clear" w:color="auto" w:fill="CCEEFF"/>
          </w:tcPr>
          <w:p>
            <w:pPr>
              <w:jc w:val="right"/>
              <w:spacing w:after="0" w:line="74" w:lineRule="exact"/>
              <w:rPr>
                <w:sz w:val="20"/>
                <w:szCs w:val="20"/>
                <w:color w:val="auto"/>
              </w:rPr>
            </w:pPr>
            <w:r>
              <w:rPr>
                <w:rFonts w:ascii="Arial" w:cs="Arial" w:eastAsia="Arial" w:hAnsi="Arial"/>
                <w:sz w:val="8"/>
                <w:szCs w:val="8"/>
                <w:color w:val="auto"/>
              </w:rPr>
              <w:t>18,180</w:t>
            </w: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(f/k/a Management Consulting &amp; Research, LLC)</w:t>
            </w:r>
          </w:p>
        </w:tc>
        <w:tc>
          <w:tcPr>
            <w:tcW w:w="1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Arial" w:cs="Arial" w:eastAsia="Arial" w:hAnsi="Arial"/>
                <w:sz w:val="11"/>
                <w:szCs w:val="11"/>
                <w:color w:val="auto"/>
                <w:w w:val="92"/>
              </w:rPr>
              <w:t>SOFR+600, 08/16/2027</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1220 12</w:t>
            </w:r>
            <w:r>
              <w:rPr>
                <w:rFonts w:ascii="Arial" w:cs="Arial" w:eastAsia="Arial" w:hAnsi="Arial"/>
                <w:sz w:val="6"/>
                <w:szCs w:val="6"/>
                <w:color w:val="auto"/>
              </w:rPr>
              <w:t>th</w:t>
            </w:r>
            <w:r>
              <w:rPr>
                <w:rFonts w:ascii="Arial" w:cs="Arial" w:eastAsia="Arial" w:hAnsi="Arial"/>
                <w:sz w:val="11"/>
                <w:szCs w:val="11"/>
                <w:color w:val="auto"/>
              </w:rPr>
              <w:t xml:space="preserve"> Street SE</w:t>
            </w:r>
          </w:p>
        </w:tc>
        <w:tc>
          <w:tcPr>
            <w:tcW w:w="1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Washington DC, 20003</w:t>
            </w:r>
          </w:p>
        </w:tc>
        <w:tc>
          <w:tcPr>
            <w:tcW w:w="1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40" w:type="dxa"/>
            <w:vAlign w:val="bottom"/>
            <w:gridSpan w:val="3"/>
          </w:tcPr>
          <w:p>
            <w:pPr>
              <w:spacing w:after="0"/>
              <w:rPr>
                <w:sz w:val="20"/>
                <w:szCs w:val="20"/>
                <w:color w:val="auto"/>
              </w:rPr>
            </w:pPr>
            <w:r>
              <w:rPr>
                <w:rFonts w:ascii="Arial" w:cs="Arial" w:eastAsia="Arial" w:hAnsi="Arial"/>
                <w:sz w:val="11"/>
                <w:szCs w:val="11"/>
                <w:color w:val="auto"/>
              </w:rPr>
              <w:t>TAC LifePort Holdings, LLC (5)</w:t>
            </w:r>
          </w:p>
        </w:tc>
        <w:tc>
          <w:tcPr>
            <w:tcW w:w="1460" w:type="dxa"/>
            <w:vAlign w:val="bottom"/>
            <w:gridSpan w:val="2"/>
          </w:tcPr>
          <w:p>
            <w:pPr>
              <w:jc w:val="center"/>
              <w:ind w:right="300"/>
              <w:spacing w:after="0"/>
              <w:rPr>
                <w:sz w:val="20"/>
                <w:szCs w:val="20"/>
                <w:color w:val="auto"/>
              </w:rPr>
            </w:pPr>
            <w:r>
              <w:rPr>
                <w:rFonts w:ascii="Arial" w:cs="Arial" w:eastAsia="Arial" w:hAnsi="Arial"/>
                <w:sz w:val="11"/>
                <w:szCs w:val="11"/>
                <w:color w:val="auto"/>
                <w:w w:val="88"/>
              </w:rPr>
              <w:t>Aerospace and Defense</w:t>
            </w:r>
          </w:p>
        </w:tc>
        <w:tc>
          <w:tcPr>
            <w:tcW w:w="162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Common Equity</w:t>
            </w: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0.8%</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740" w:type="dxa"/>
            <w:vAlign w:val="bottom"/>
            <w:gridSpan w:val="3"/>
          </w:tcPr>
          <w:p>
            <w:pPr>
              <w:spacing w:after="0" w:line="114" w:lineRule="exact"/>
              <w:rPr>
                <w:sz w:val="20"/>
                <w:szCs w:val="20"/>
                <w:color w:val="auto"/>
              </w:rPr>
            </w:pPr>
            <w:r>
              <w:rPr>
                <w:rFonts w:ascii="Arial" w:cs="Arial" w:eastAsia="Arial" w:hAnsi="Arial"/>
                <w:sz w:val="11"/>
                <w:szCs w:val="11"/>
                <w:color w:val="auto"/>
              </w:rPr>
              <w:t>1610 Heritage St</w:t>
            </w: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40" w:type="dxa"/>
            <w:vAlign w:val="bottom"/>
            <w:gridSpan w:val="3"/>
          </w:tcPr>
          <w:p>
            <w:pPr>
              <w:spacing w:after="0"/>
              <w:rPr>
                <w:sz w:val="20"/>
                <w:szCs w:val="20"/>
                <w:color w:val="auto"/>
              </w:rPr>
            </w:pPr>
            <w:r>
              <w:rPr>
                <w:rFonts w:ascii="Arial" w:cs="Arial" w:eastAsia="Arial" w:hAnsi="Arial"/>
                <w:sz w:val="11"/>
                <w:szCs w:val="11"/>
                <w:color w:val="auto"/>
              </w:rPr>
              <w:t>Woodland, WA 98674</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72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Teneo Holdings LLC</w:t>
            </w:r>
          </w:p>
        </w:tc>
        <w:tc>
          <w:tcPr>
            <w:tcW w:w="1460" w:type="dxa"/>
            <w:vAlign w:val="bottom"/>
            <w:gridSpan w:val="2"/>
            <w:shd w:val="clear" w:color="auto" w:fill="CCEEFF"/>
          </w:tcPr>
          <w:p>
            <w:pPr>
              <w:jc w:val="center"/>
              <w:ind w:right="320"/>
              <w:spacing w:after="0" w:line="101" w:lineRule="exact"/>
              <w:rPr>
                <w:sz w:val="20"/>
                <w:szCs w:val="20"/>
                <w:color w:val="auto"/>
              </w:rPr>
            </w:pPr>
            <w:r>
              <w:rPr>
                <w:rFonts w:ascii="Arial" w:cs="Arial" w:eastAsia="Arial" w:hAnsi="Arial"/>
                <w:sz w:val="11"/>
                <w:szCs w:val="11"/>
                <w:color w:val="auto"/>
                <w:w w:val="95"/>
              </w:rPr>
              <w:t>Diversified Financial</w:t>
            </w:r>
          </w:p>
        </w:tc>
        <w:tc>
          <w:tcPr>
            <w:tcW w:w="1620" w:type="dxa"/>
            <w:vAlign w:val="bottom"/>
            <w:gridSpan w:val="2"/>
            <w:shd w:val="clear" w:color="auto" w:fill="CCEEFF"/>
          </w:tcPr>
          <w:p>
            <w:pPr>
              <w:jc w:val="center"/>
              <w:ind w:right="140"/>
              <w:spacing w:after="0" w:line="101" w:lineRule="exact"/>
              <w:rPr>
                <w:sz w:val="20"/>
                <w:szCs w:val="20"/>
                <w:color w:val="auto"/>
              </w:rPr>
            </w:pPr>
            <w:r>
              <w:rPr>
                <w:rFonts w:ascii="Arial" w:cs="Arial" w:eastAsia="Arial" w:hAnsi="Arial"/>
                <w:sz w:val="11"/>
                <w:szCs w:val="11"/>
                <w:color w:val="auto"/>
                <w:w w:val="91"/>
              </w:rPr>
              <w:t>First Lien Secured Debt,</w:t>
            </w:r>
          </w:p>
        </w:tc>
        <w:tc>
          <w:tcPr>
            <w:tcW w:w="920" w:type="dxa"/>
            <w:vAlign w:val="bottom"/>
            <w:gridSpan w:val="2"/>
            <w:shd w:val="clear" w:color="auto" w:fill="CCEEFF"/>
          </w:tcPr>
          <w:p>
            <w:pPr>
              <w:jc w:val="right"/>
              <w:ind w:right="320"/>
              <w:spacing w:after="0" w:line="10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5,455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280 Park Avenue, 4</w:t>
            </w:r>
            <w:r>
              <w:rPr>
                <w:rFonts w:ascii="Arial" w:cs="Arial" w:eastAsia="Arial" w:hAnsi="Arial"/>
                <w:sz w:val="6"/>
                <w:szCs w:val="6"/>
                <w:color w:val="auto"/>
              </w:rPr>
              <w:t>th</w:t>
            </w:r>
            <w:r>
              <w:rPr>
                <w:rFonts w:ascii="Arial" w:cs="Arial" w:eastAsia="Arial" w:hAnsi="Arial"/>
                <w:sz w:val="11"/>
                <w:szCs w:val="11"/>
                <w:color w:val="auto"/>
              </w:rPr>
              <w:t xml:space="preserve"> Floor</w:t>
            </w:r>
          </w:p>
        </w:tc>
        <w:tc>
          <w:tcPr>
            <w:tcW w:w="1460" w:type="dxa"/>
            <w:vAlign w:val="bottom"/>
            <w:gridSpan w:val="2"/>
            <w:shd w:val="clear" w:color="auto" w:fill="CCEEFF"/>
          </w:tcPr>
          <w:p>
            <w:pPr>
              <w:jc w:val="center"/>
              <w:ind w:right="320"/>
              <w:spacing w:after="0" w:line="114" w:lineRule="exact"/>
              <w:rPr>
                <w:sz w:val="20"/>
                <w:szCs w:val="20"/>
                <w:color w:val="auto"/>
              </w:rPr>
            </w:pPr>
            <w:r>
              <w:rPr>
                <w:rFonts w:ascii="Arial" w:cs="Arial" w:eastAsia="Arial" w:hAnsi="Arial"/>
                <w:sz w:val="11"/>
                <w:szCs w:val="11"/>
                <w:color w:val="auto"/>
                <w:w w:val="89"/>
              </w:rPr>
              <w:t>Services</w:t>
            </w:r>
          </w:p>
        </w:tc>
        <w:tc>
          <w:tcPr>
            <w:tcW w:w="1620" w:type="dxa"/>
            <w:vAlign w:val="bottom"/>
            <w:gridSpan w:val="2"/>
            <w:shd w:val="clear" w:color="auto" w:fill="CCEEFF"/>
          </w:tcPr>
          <w:p>
            <w:pPr>
              <w:jc w:val="center"/>
              <w:ind w:right="140"/>
              <w:spacing w:after="0" w:line="114" w:lineRule="exact"/>
              <w:rPr>
                <w:sz w:val="20"/>
                <w:szCs w:val="20"/>
                <w:color w:val="auto"/>
              </w:rPr>
            </w:pPr>
            <w:r>
              <w:rPr>
                <w:rFonts w:ascii="Arial" w:cs="Arial" w:eastAsia="Arial" w:hAnsi="Arial"/>
                <w:sz w:val="11"/>
                <w:szCs w:val="11"/>
                <w:color w:val="auto"/>
                <w:w w:val="94"/>
              </w:rPr>
              <w:t>1M L+525, 07/18/2025</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New York, NY 10017</w:t>
            </w:r>
          </w:p>
        </w:tc>
        <w:tc>
          <w:tcPr>
            <w:tcW w:w="1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40" w:type="dxa"/>
            <w:vAlign w:val="bottom"/>
            <w:gridSpan w:val="3"/>
          </w:tcPr>
          <w:p>
            <w:pPr>
              <w:spacing w:after="0"/>
              <w:rPr>
                <w:sz w:val="20"/>
                <w:szCs w:val="20"/>
                <w:color w:val="auto"/>
              </w:rPr>
            </w:pPr>
            <w:r>
              <w:rPr>
                <w:rFonts w:ascii="Arial" w:cs="Arial" w:eastAsia="Arial" w:hAnsi="Arial"/>
                <w:sz w:val="11"/>
                <w:szCs w:val="11"/>
                <w:color w:val="auto"/>
              </w:rPr>
              <w:t>The Aegis Technologies Group, LLC</w:t>
            </w:r>
          </w:p>
        </w:tc>
        <w:tc>
          <w:tcPr>
            <w:tcW w:w="1460" w:type="dxa"/>
            <w:vAlign w:val="bottom"/>
            <w:gridSpan w:val="2"/>
          </w:tcPr>
          <w:p>
            <w:pPr>
              <w:jc w:val="center"/>
              <w:ind w:right="300"/>
              <w:spacing w:after="0"/>
              <w:rPr>
                <w:sz w:val="20"/>
                <w:szCs w:val="20"/>
                <w:color w:val="auto"/>
              </w:rPr>
            </w:pPr>
            <w:r>
              <w:rPr>
                <w:rFonts w:ascii="Arial" w:cs="Arial" w:eastAsia="Arial" w:hAnsi="Arial"/>
                <w:sz w:val="11"/>
                <w:szCs w:val="11"/>
                <w:color w:val="auto"/>
                <w:w w:val="88"/>
              </w:rPr>
              <w:t>Aerospace and Defense</w:t>
            </w:r>
          </w:p>
        </w:tc>
        <w:tc>
          <w:tcPr>
            <w:tcW w:w="162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First Lien Secured Debt,</w:t>
            </w:r>
          </w:p>
        </w:tc>
        <w:tc>
          <w:tcPr>
            <w:tcW w:w="92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4,872</w:t>
            </w:r>
          </w:p>
        </w:tc>
        <w:tc>
          <w:tcPr>
            <w:tcW w:w="0" w:type="dxa"/>
            <w:vAlign w:val="bottom"/>
          </w:tcPr>
          <w:p>
            <w:pPr>
              <w:spacing w:after="0"/>
              <w:rPr>
                <w:sz w:val="1"/>
                <w:szCs w:val="1"/>
                <w:color w:val="auto"/>
              </w:rPr>
            </w:pPr>
          </w:p>
        </w:tc>
      </w:tr>
      <w:tr>
        <w:trPr>
          <w:trHeight w:val="114"/>
        </w:trPr>
        <w:tc>
          <w:tcPr>
            <w:tcW w:w="3740" w:type="dxa"/>
            <w:vAlign w:val="bottom"/>
            <w:gridSpan w:val="3"/>
          </w:tcPr>
          <w:p>
            <w:pPr>
              <w:spacing w:after="0" w:line="114" w:lineRule="exact"/>
              <w:rPr>
                <w:sz w:val="20"/>
                <w:szCs w:val="20"/>
                <w:color w:val="auto"/>
              </w:rPr>
            </w:pPr>
            <w:r>
              <w:rPr>
                <w:rFonts w:ascii="Arial" w:cs="Arial" w:eastAsia="Arial" w:hAnsi="Arial"/>
                <w:sz w:val="11"/>
                <w:szCs w:val="11"/>
                <w:color w:val="auto"/>
              </w:rPr>
              <w:t>4601 N. Fairfax Drive, Suite 900</w:t>
            </w: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Arial" w:cs="Arial" w:eastAsia="Arial" w:hAnsi="Arial"/>
                <w:sz w:val="11"/>
                <w:szCs w:val="11"/>
                <w:color w:val="auto"/>
                <w:w w:val="94"/>
              </w:rPr>
              <w:t>3M L+600, 10/31/2025</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40" w:type="dxa"/>
            <w:vAlign w:val="bottom"/>
            <w:gridSpan w:val="3"/>
          </w:tcPr>
          <w:p>
            <w:pPr>
              <w:spacing w:after="0"/>
              <w:rPr>
                <w:sz w:val="20"/>
                <w:szCs w:val="20"/>
                <w:color w:val="auto"/>
              </w:rPr>
            </w:pPr>
            <w:r>
              <w:rPr>
                <w:rFonts w:ascii="Arial" w:cs="Arial" w:eastAsia="Arial" w:hAnsi="Arial"/>
                <w:sz w:val="11"/>
                <w:szCs w:val="11"/>
                <w:color w:val="auto"/>
              </w:rPr>
              <w:t>Arlington, VA, 22203</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72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The Bluebird Group LLC</w:t>
            </w:r>
          </w:p>
        </w:tc>
        <w:tc>
          <w:tcPr>
            <w:tcW w:w="1460" w:type="dxa"/>
            <w:vAlign w:val="bottom"/>
            <w:gridSpan w:val="2"/>
            <w:shd w:val="clear" w:color="auto" w:fill="CCEEFF"/>
          </w:tcPr>
          <w:p>
            <w:pPr>
              <w:jc w:val="center"/>
              <w:ind w:right="320"/>
              <w:spacing w:after="0" w:line="101" w:lineRule="exact"/>
              <w:rPr>
                <w:sz w:val="20"/>
                <w:szCs w:val="20"/>
                <w:color w:val="auto"/>
              </w:rPr>
            </w:pPr>
            <w:r>
              <w:rPr>
                <w:rFonts w:ascii="Arial" w:cs="Arial" w:eastAsia="Arial" w:hAnsi="Arial"/>
                <w:sz w:val="11"/>
                <w:szCs w:val="11"/>
                <w:color w:val="auto"/>
                <w:w w:val="88"/>
              </w:rPr>
              <w:t>Professional Services</w:t>
            </w:r>
          </w:p>
        </w:tc>
        <w:tc>
          <w:tcPr>
            <w:tcW w:w="1620" w:type="dxa"/>
            <w:vAlign w:val="bottom"/>
            <w:gridSpan w:val="2"/>
            <w:shd w:val="clear" w:color="auto" w:fill="CCEEFF"/>
          </w:tcPr>
          <w:p>
            <w:pPr>
              <w:jc w:val="center"/>
              <w:ind w:right="140"/>
              <w:spacing w:after="0" w:line="101" w:lineRule="exact"/>
              <w:rPr>
                <w:sz w:val="20"/>
                <w:szCs w:val="20"/>
                <w:color w:val="auto"/>
              </w:rPr>
            </w:pPr>
            <w:r>
              <w:rPr>
                <w:rFonts w:ascii="Arial" w:cs="Arial" w:eastAsia="Arial" w:hAnsi="Arial"/>
                <w:sz w:val="11"/>
                <w:szCs w:val="11"/>
                <w:color w:val="auto"/>
                <w:w w:val="90"/>
              </w:rPr>
              <w:t>First Lien Secured Debt(4),</w:t>
            </w:r>
          </w:p>
        </w:tc>
        <w:tc>
          <w:tcPr>
            <w:tcW w:w="920" w:type="dxa"/>
            <w:vAlign w:val="bottom"/>
            <w:gridSpan w:val="2"/>
            <w:shd w:val="clear" w:color="auto" w:fill="CCEEFF"/>
          </w:tcPr>
          <w:p>
            <w:pPr>
              <w:jc w:val="right"/>
              <w:ind w:right="320"/>
              <w:spacing w:after="0" w:line="10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6,337</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81 South Ninth Street, Suite 420,</w:t>
            </w:r>
          </w:p>
        </w:tc>
        <w:tc>
          <w:tcPr>
            <w:tcW w:w="1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Arial" w:cs="Arial" w:eastAsia="Arial" w:hAnsi="Arial"/>
                <w:sz w:val="11"/>
                <w:szCs w:val="11"/>
                <w:color w:val="auto"/>
                <w:w w:val="94"/>
              </w:rPr>
              <w:t>3M L+700, 07/27/2026</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Minneapolis, MN, 55402</w:t>
            </w:r>
          </w:p>
        </w:tc>
        <w:tc>
          <w:tcPr>
            <w:tcW w:w="1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40" w:type="dxa"/>
            <w:vAlign w:val="bottom"/>
            <w:gridSpan w:val="3"/>
          </w:tcPr>
          <w:p>
            <w:pPr>
              <w:spacing w:after="0"/>
              <w:rPr>
                <w:sz w:val="20"/>
                <w:szCs w:val="20"/>
                <w:color w:val="auto"/>
              </w:rPr>
            </w:pPr>
            <w:r>
              <w:rPr>
                <w:rFonts w:ascii="Arial" w:cs="Arial" w:eastAsia="Arial" w:hAnsi="Arial"/>
                <w:sz w:val="11"/>
                <w:szCs w:val="11"/>
                <w:color w:val="auto"/>
              </w:rPr>
              <w:t>The Infosoft Group, LLC</w:t>
            </w:r>
          </w:p>
        </w:tc>
        <w:tc>
          <w:tcPr>
            <w:tcW w:w="1460" w:type="dxa"/>
            <w:vAlign w:val="bottom"/>
            <w:gridSpan w:val="2"/>
          </w:tcPr>
          <w:p>
            <w:pPr>
              <w:jc w:val="center"/>
              <w:ind w:right="320"/>
              <w:spacing w:after="0"/>
              <w:rPr>
                <w:sz w:val="20"/>
                <w:szCs w:val="20"/>
                <w:color w:val="auto"/>
              </w:rPr>
            </w:pPr>
            <w:r>
              <w:rPr>
                <w:rFonts w:ascii="Arial" w:cs="Arial" w:eastAsia="Arial" w:hAnsi="Arial"/>
                <w:sz w:val="11"/>
                <w:szCs w:val="11"/>
                <w:color w:val="auto"/>
                <w:w w:val="90"/>
              </w:rPr>
              <w:t>Media: Broadcasting and</w:t>
            </w:r>
          </w:p>
        </w:tc>
        <w:tc>
          <w:tcPr>
            <w:tcW w:w="162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First Lien Secured Debt,</w:t>
            </w:r>
          </w:p>
        </w:tc>
        <w:tc>
          <w:tcPr>
            <w:tcW w:w="92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17,586</w:t>
            </w:r>
          </w:p>
        </w:tc>
        <w:tc>
          <w:tcPr>
            <w:tcW w:w="0" w:type="dxa"/>
            <w:vAlign w:val="bottom"/>
          </w:tcPr>
          <w:p>
            <w:pPr>
              <w:spacing w:after="0"/>
              <w:rPr>
                <w:sz w:val="1"/>
                <w:szCs w:val="1"/>
                <w:color w:val="auto"/>
              </w:rPr>
            </w:pPr>
          </w:p>
        </w:tc>
      </w:tr>
      <w:tr>
        <w:trPr>
          <w:trHeight w:val="114"/>
        </w:trPr>
        <w:tc>
          <w:tcPr>
            <w:tcW w:w="3740" w:type="dxa"/>
            <w:vAlign w:val="bottom"/>
            <w:gridSpan w:val="3"/>
          </w:tcPr>
          <w:p>
            <w:pPr>
              <w:spacing w:after="0" w:line="114" w:lineRule="exact"/>
              <w:rPr>
                <w:sz w:val="20"/>
                <w:szCs w:val="20"/>
                <w:color w:val="auto"/>
              </w:rPr>
            </w:pPr>
            <w:r>
              <w:rPr>
                <w:rFonts w:ascii="Arial" w:cs="Arial" w:eastAsia="Arial" w:hAnsi="Arial"/>
                <w:sz w:val="11"/>
                <w:szCs w:val="11"/>
                <w:color w:val="auto"/>
              </w:rPr>
              <w:t>(Gauge InfosoftCoInvest, LLC)</w:t>
            </w:r>
          </w:p>
        </w:tc>
        <w:tc>
          <w:tcPr>
            <w:tcW w:w="1460" w:type="dxa"/>
            <w:vAlign w:val="bottom"/>
            <w:gridSpan w:val="2"/>
          </w:tcPr>
          <w:p>
            <w:pPr>
              <w:jc w:val="center"/>
              <w:ind w:right="300"/>
              <w:spacing w:after="0" w:line="114" w:lineRule="exact"/>
              <w:rPr>
                <w:sz w:val="20"/>
                <w:szCs w:val="20"/>
                <w:color w:val="auto"/>
              </w:rPr>
            </w:pPr>
            <w:r>
              <w:rPr>
                <w:rFonts w:ascii="Arial" w:cs="Arial" w:eastAsia="Arial" w:hAnsi="Arial"/>
                <w:sz w:val="11"/>
                <w:szCs w:val="11"/>
                <w:color w:val="auto"/>
                <w:w w:val="92"/>
              </w:rPr>
              <w:t>Subscription</w:t>
            </w:r>
          </w:p>
        </w:tc>
        <w:tc>
          <w:tcPr>
            <w:tcW w:w="1620" w:type="dxa"/>
            <w:vAlign w:val="bottom"/>
            <w:gridSpan w:val="2"/>
          </w:tcPr>
          <w:p>
            <w:pPr>
              <w:jc w:val="center"/>
              <w:ind w:right="140"/>
              <w:spacing w:after="0" w:line="114" w:lineRule="exact"/>
              <w:rPr>
                <w:sz w:val="20"/>
                <w:szCs w:val="20"/>
                <w:color w:val="auto"/>
              </w:rPr>
            </w:pPr>
            <w:r>
              <w:rPr>
                <w:rFonts w:ascii="Arial" w:cs="Arial" w:eastAsia="Arial" w:hAnsi="Arial"/>
                <w:sz w:val="11"/>
                <w:szCs w:val="11"/>
                <w:color w:val="auto"/>
                <w:w w:val="94"/>
              </w:rPr>
              <w:t>3M L+575, 09/16/2024</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40" w:type="dxa"/>
            <w:vAlign w:val="bottom"/>
            <w:gridSpan w:val="3"/>
          </w:tcPr>
          <w:p>
            <w:pPr>
              <w:spacing w:after="0" w:line="114" w:lineRule="exact"/>
              <w:rPr>
                <w:sz w:val="20"/>
                <w:szCs w:val="20"/>
                <w:color w:val="auto"/>
              </w:rPr>
            </w:pPr>
            <w:r>
              <w:rPr>
                <w:rFonts w:ascii="Arial" w:cs="Arial" w:eastAsia="Arial" w:hAnsi="Arial"/>
                <w:sz w:val="11"/>
                <w:szCs w:val="11"/>
                <w:color w:val="auto"/>
              </w:rPr>
              <w:t>1000 North Water Street, Suite 1200</w:t>
            </w: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Arial" w:cs="Arial" w:eastAsia="Arial" w:hAnsi="Arial"/>
                <w:sz w:val="11"/>
                <w:szCs w:val="11"/>
                <w:color w:val="auto"/>
                <w:w w:val="91"/>
              </w:rPr>
              <w:t>Common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40" w:type="dxa"/>
            <w:vAlign w:val="bottom"/>
            <w:gridSpan w:val="3"/>
          </w:tcPr>
          <w:p>
            <w:pPr>
              <w:spacing w:after="0"/>
              <w:rPr>
                <w:sz w:val="20"/>
                <w:szCs w:val="20"/>
                <w:color w:val="auto"/>
              </w:rPr>
            </w:pPr>
            <w:r>
              <w:rPr>
                <w:rFonts w:ascii="Arial" w:cs="Arial" w:eastAsia="Arial" w:hAnsi="Arial"/>
                <w:sz w:val="11"/>
                <w:szCs w:val="11"/>
                <w:color w:val="auto"/>
              </w:rPr>
              <w:t>Milwaukee, WI 53202</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72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The Vertex Companies, LLC</w:t>
            </w:r>
          </w:p>
        </w:tc>
        <w:tc>
          <w:tcPr>
            <w:tcW w:w="1460" w:type="dxa"/>
            <w:vAlign w:val="bottom"/>
            <w:gridSpan w:val="2"/>
            <w:shd w:val="clear" w:color="auto" w:fill="CCEEFF"/>
          </w:tcPr>
          <w:p>
            <w:pPr>
              <w:jc w:val="center"/>
              <w:ind w:right="300"/>
              <w:spacing w:after="0" w:line="101" w:lineRule="exact"/>
              <w:rPr>
                <w:sz w:val="20"/>
                <w:szCs w:val="20"/>
                <w:color w:val="auto"/>
              </w:rPr>
            </w:pPr>
            <w:r>
              <w:rPr>
                <w:rFonts w:ascii="Arial" w:cs="Arial" w:eastAsia="Arial" w:hAnsi="Arial"/>
                <w:sz w:val="11"/>
                <w:szCs w:val="11"/>
                <w:color w:val="auto"/>
                <w:w w:val="94"/>
              </w:rPr>
              <w:t>Construction &amp;</w:t>
            </w:r>
          </w:p>
        </w:tc>
        <w:tc>
          <w:tcPr>
            <w:tcW w:w="1620" w:type="dxa"/>
            <w:vAlign w:val="bottom"/>
            <w:gridSpan w:val="2"/>
            <w:shd w:val="clear" w:color="auto" w:fill="CCEEFF"/>
          </w:tcPr>
          <w:p>
            <w:pPr>
              <w:jc w:val="center"/>
              <w:ind w:right="140"/>
              <w:spacing w:after="0" w:line="101" w:lineRule="exact"/>
              <w:rPr>
                <w:sz w:val="20"/>
                <w:szCs w:val="20"/>
                <w:color w:val="auto"/>
              </w:rPr>
            </w:pPr>
            <w:r>
              <w:rPr>
                <w:rFonts w:ascii="Arial" w:cs="Arial" w:eastAsia="Arial" w:hAnsi="Arial"/>
                <w:sz w:val="11"/>
                <w:szCs w:val="11"/>
                <w:color w:val="auto"/>
                <w:w w:val="90"/>
              </w:rPr>
              <w:t>First Lien Secured Debt(4),</w:t>
            </w:r>
          </w:p>
        </w:tc>
        <w:tc>
          <w:tcPr>
            <w:tcW w:w="920" w:type="dxa"/>
            <w:vAlign w:val="bottom"/>
            <w:gridSpan w:val="2"/>
            <w:shd w:val="clear" w:color="auto" w:fill="CCEEFF"/>
          </w:tcPr>
          <w:p>
            <w:pPr>
              <w:jc w:val="right"/>
              <w:ind w:right="160"/>
              <w:spacing w:after="0" w:line="101" w:lineRule="exact"/>
              <w:rPr>
                <w:sz w:val="20"/>
                <w:szCs w:val="20"/>
                <w:color w:val="auto"/>
              </w:rPr>
            </w:pPr>
            <w:r>
              <w:rPr>
                <w:rFonts w:ascii="Arial" w:cs="Arial" w:eastAsia="Arial" w:hAnsi="Arial"/>
                <w:sz w:val="11"/>
                <w:szCs w:val="11"/>
                <w:color w:val="auto"/>
              </w:rPr>
              <w:t>0.2%</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2,369</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(TWD Parent Holdings, LLC)</w:t>
            </w:r>
          </w:p>
        </w:tc>
        <w:tc>
          <w:tcPr>
            <w:tcW w:w="1460" w:type="dxa"/>
            <w:vAlign w:val="bottom"/>
            <w:gridSpan w:val="2"/>
            <w:shd w:val="clear" w:color="auto" w:fill="CCEEFF"/>
          </w:tcPr>
          <w:p>
            <w:pPr>
              <w:jc w:val="center"/>
              <w:ind w:right="320"/>
              <w:spacing w:after="0" w:line="114" w:lineRule="exact"/>
              <w:rPr>
                <w:sz w:val="20"/>
                <w:szCs w:val="20"/>
                <w:color w:val="auto"/>
              </w:rPr>
            </w:pPr>
            <w:r>
              <w:rPr>
                <w:rFonts w:ascii="Arial" w:cs="Arial" w:eastAsia="Arial" w:hAnsi="Arial"/>
                <w:sz w:val="11"/>
                <w:szCs w:val="11"/>
                <w:color w:val="auto"/>
                <w:w w:val="91"/>
              </w:rPr>
              <w:t>Engineering</w:t>
            </w:r>
          </w:p>
        </w:tc>
        <w:tc>
          <w:tcPr>
            <w:tcW w:w="1620" w:type="dxa"/>
            <w:vAlign w:val="bottom"/>
            <w:gridSpan w:val="2"/>
            <w:shd w:val="clear" w:color="auto" w:fill="CCEEFF"/>
          </w:tcPr>
          <w:p>
            <w:pPr>
              <w:jc w:val="center"/>
              <w:ind w:right="140"/>
              <w:spacing w:after="0" w:line="114" w:lineRule="exact"/>
              <w:rPr>
                <w:sz w:val="20"/>
                <w:szCs w:val="20"/>
                <w:color w:val="auto"/>
              </w:rPr>
            </w:pPr>
            <w:r>
              <w:rPr>
                <w:rFonts w:ascii="Arial" w:cs="Arial" w:eastAsia="Arial" w:hAnsi="Arial"/>
                <w:sz w:val="11"/>
                <w:szCs w:val="11"/>
                <w:color w:val="auto"/>
                <w:w w:val="94"/>
              </w:rPr>
              <w:t>1M L+550, 08/30/2027</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398 Libbey Industrial Pkwy,</w:t>
            </w:r>
          </w:p>
        </w:tc>
        <w:tc>
          <w:tcPr>
            <w:tcW w:w="1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Arial" w:cs="Arial" w:eastAsia="Arial" w:hAnsi="Arial"/>
                <w:sz w:val="11"/>
                <w:szCs w:val="11"/>
                <w:color w:val="auto"/>
                <w:w w:val="90"/>
              </w:rPr>
              <w:t>Preferred Equity</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Weymouth, MA 02189</w:t>
            </w:r>
          </w:p>
        </w:tc>
        <w:tc>
          <w:tcPr>
            <w:tcW w:w="1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20" w:type="dxa"/>
            <w:vAlign w:val="bottom"/>
            <w:gridSpan w:val="2"/>
            <w:shd w:val="clear" w:color="auto" w:fill="CCEEFF"/>
          </w:tcPr>
          <w:p>
            <w:pPr>
              <w:jc w:val="center"/>
              <w:ind w:right="140"/>
              <w:spacing w:after="0"/>
              <w:rPr>
                <w:sz w:val="20"/>
                <w:szCs w:val="20"/>
                <w:color w:val="auto"/>
              </w:rPr>
            </w:pPr>
            <w:r>
              <w:rPr>
                <w:rFonts w:ascii="Arial" w:cs="Arial" w:eastAsia="Arial" w:hAnsi="Arial"/>
                <w:sz w:val="11"/>
                <w:szCs w:val="11"/>
                <w:color w:val="auto"/>
                <w:w w:val="91"/>
              </w:rPr>
              <w:t>Common Equity</w:t>
            </w: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40" w:type="dxa"/>
            <w:vAlign w:val="bottom"/>
            <w:gridSpan w:val="3"/>
          </w:tcPr>
          <w:p>
            <w:pPr>
              <w:spacing w:after="0"/>
              <w:rPr>
                <w:sz w:val="20"/>
                <w:szCs w:val="20"/>
                <w:color w:val="auto"/>
              </w:rPr>
            </w:pPr>
            <w:r>
              <w:rPr>
                <w:rFonts w:ascii="Arial" w:cs="Arial" w:eastAsia="Arial" w:hAnsi="Arial"/>
                <w:sz w:val="11"/>
                <w:szCs w:val="11"/>
                <w:color w:val="auto"/>
              </w:rPr>
              <w:t>TPC Canada Parent, Inc.</w:t>
            </w:r>
          </w:p>
        </w:tc>
        <w:tc>
          <w:tcPr>
            <w:tcW w:w="1460" w:type="dxa"/>
            <w:vAlign w:val="bottom"/>
            <w:gridSpan w:val="2"/>
          </w:tcPr>
          <w:p>
            <w:pPr>
              <w:jc w:val="center"/>
              <w:ind w:right="300"/>
              <w:spacing w:after="0"/>
              <w:rPr>
                <w:sz w:val="20"/>
                <w:szCs w:val="20"/>
                <w:color w:val="auto"/>
              </w:rPr>
            </w:pPr>
            <w:r>
              <w:rPr>
                <w:rFonts w:ascii="Arial" w:cs="Arial" w:eastAsia="Arial" w:hAnsi="Arial"/>
                <w:sz w:val="11"/>
                <w:szCs w:val="11"/>
                <w:color w:val="auto"/>
                <w:w w:val="89"/>
              </w:rPr>
              <w:t>Food Products</w:t>
            </w:r>
          </w:p>
        </w:tc>
        <w:tc>
          <w:tcPr>
            <w:tcW w:w="162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First Lien Secured Debt,</w:t>
            </w: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0.8%</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4,832</w:t>
            </w:r>
          </w:p>
        </w:tc>
        <w:tc>
          <w:tcPr>
            <w:tcW w:w="0" w:type="dxa"/>
            <w:vAlign w:val="bottom"/>
          </w:tcPr>
          <w:p>
            <w:pPr>
              <w:spacing w:after="0"/>
              <w:rPr>
                <w:sz w:val="1"/>
                <w:szCs w:val="1"/>
                <w:color w:val="auto"/>
              </w:rPr>
            </w:pPr>
          </w:p>
        </w:tc>
      </w:tr>
      <w:tr>
        <w:trPr>
          <w:trHeight w:val="114"/>
        </w:trPr>
        <w:tc>
          <w:tcPr>
            <w:tcW w:w="3740" w:type="dxa"/>
            <w:vAlign w:val="bottom"/>
            <w:gridSpan w:val="3"/>
          </w:tcPr>
          <w:p>
            <w:pPr>
              <w:spacing w:after="0" w:line="114" w:lineRule="exact"/>
              <w:rPr>
                <w:sz w:val="20"/>
                <w:szCs w:val="20"/>
                <w:color w:val="auto"/>
              </w:rPr>
            </w:pPr>
            <w:r>
              <w:rPr>
                <w:rFonts w:ascii="Arial" w:cs="Arial" w:eastAsia="Arial" w:hAnsi="Arial"/>
                <w:sz w:val="11"/>
                <w:szCs w:val="11"/>
                <w:color w:val="auto"/>
              </w:rPr>
              <w:t>and TPC US Parent, LLC(6)</w:t>
            </w: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Arial" w:cs="Arial" w:eastAsia="Arial" w:hAnsi="Arial"/>
                <w:sz w:val="11"/>
                <w:szCs w:val="11"/>
                <w:color w:val="auto"/>
                <w:w w:val="94"/>
              </w:rPr>
              <w:t>3M L+550, 11/24/2025</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40" w:type="dxa"/>
            <w:vAlign w:val="bottom"/>
            <w:gridSpan w:val="3"/>
          </w:tcPr>
          <w:p>
            <w:pPr>
              <w:spacing w:after="0" w:line="114" w:lineRule="exact"/>
              <w:rPr>
                <w:sz w:val="20"/>
                <w:szCs w:val="20"/>
                <w:color w:val="auto"/>
              </w:rPr>
            </w:pPr>
            <w:r>
              <w:rPr>
                <w:rFonts w:ascii="Arial" w:cs="Arial" w:eastAsia="Arial" w:hAnsi="Arial"/>
                <w:sz w:val="11"/>
                <w:szCs w:val="11"/>
                <w:color w:val="auto"/>
              </w:rPr>
              <w:t>(TPC Holding Company, LP(6))</w:t>
            </w: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Arial" w:cs="Arial" w:eastAsia="Arial" w:hAnsi="Arial"/>
                <w:sz w:val="11"/>
                <w:szCs w:val="11"/>
                <w:color w:val="auto"/>
                <w:w w:val="90"/>
              </w:rPr>
              <w:t>Preferred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40" w:type="dxa"/>
            <w:vAlign w:val="bottom"/>
            <w:gridSpan w:val="3"/>
          </w:tcPr>
          <w:p>
            <w:pPr>
              <w:spacing w:after="0" w:line="114" w:lineRule="exact"/>
              <w:rPr>
                <w:sz w:val="20"/>
                <w:szCs w:val="20"/>
                <w:color w:val="auto"/>
              </w:rPr>
            </w:pPr>
            <w:r>
              <w:rPr>
                <w:rFonts w:ascii="Arial" w:cs="Arial" w:eastAsia="Arial" w:hAnsi="Arial"/>
                <w:sz w:val="11"/>
                <w:szCs w:val="11"/>
                <w:color w:val="auto"/>
              </w:rPr>
              <w:t>151 Struthers Street</w:t>
            </w: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Arial" w:cs="Arial" w:eastAsia="Arial" w:hAnsi="Arial"/>
                <w:sz w:val="11"/>
                <w:szCs w:val="11"/>
                <w:color w:val="auto"/>
                <w:w w:val="91"/>
              </w:rPr>
              <w:t>Common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40" w:type="dxa"/>
            <w:vAlign w:val="bottom"/>
            <w:gridSpan w:val="3"/>
          </w:tcPr>
          <w:p>
            <w:pPr>
              <w:spacing w:after="0"/>
              <w:rPr>
                <w:sz w:val="20"/>
                <w:szCs w:val="20"/>
                <w:color w:val="auto"/>
              </w:rPr>
            </w:pPr>
            <w:r>
              <w:rPr>
                <w:rFonts w:ascii="Arial" w:cs="Arial" w:eastAsia="Arial" w:hAnsi="Arial"/>
                <w:sz w:val="11"/>
                <w:szCs w:val="11"/>
                <w:color w:val="auto"/>
              </w:rPr>
              <w:t>Warren, PA 16365</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72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TVC Enterprises, LLC</w:t>
            </w:r>
          </w:p>
        </w:tc>
        <w:tc>
          <w:tcPr>
            <w:tcW w:w="1460" w:type="dxa"/>
            <w:vAlign w:val="bottom"/>
            <w:gridSpan w:val="2"/>
            <w:shd w:val="clear" w:color="auto" w:fill="CCEEFF"/>
          </w:tcPr>
          <w:p>
            <w:pPr>
              <w:jc w:val="center"/>
              <w:ind w:right="320"/>
              <w:spacing w:after="0" w:line="101" w:lineRule="exact"/>
              <w:rPr>
                <w:sz w:val="20"/>
                <w:szCs w:val="20"/>
                <w:color w:val="auto"/>
              </w:rPr>
            </w:pPr>
            <w:r>
              <w:rPr>
                <w:rFonts w:ascii="Arial" w:cs="Arial" w:eastAsia="Arial" w:hAnsi="Arial"/>
                <w:sz w:val="11"/>
                <w:szCs w:val="11"/>
                <w:color w:val="auto"/>
                <w:w w:val="92"/>
              </w:rPr>
              <w:t>Commercial Services &amp;</w:t>
            </w:r>
          </w:p>
        </w:tc>
        <w:tc>
          <w:tcPr>
            <w:tcW w:w="1620" w:type="dxa"/>
            <w:vAlign w:val="bottom"/>
            <w:gridSpan w:val="2"/>
            <w:shd w:val="clear" w:color="auto" w:fill="CCEEFF"/>
          </w:tcPr>
          <w:p>
            <w:pPr>
              <w:jc w:val="center"/>
              <w:ind w:right="140"/>
              <w:spacing w:after="0" w:line="101" w:lineRule="exact"/>
              <w:rPr>
                <w:sz w:val="20"/>
                <w:szCs w:val="20"/>
                <w:color w:val="auto"/>
              </w:rPr>
            </w:pPr>
            <w:r>
              <w:rPr>
                <w:rFonts w:ascii="Arial" w:cs="Arial" w:eastAsia="Arial" w:hAnsi="Arial"/>
                <w:sz w:val="11"/>
                <w:szCs w:val="11"/>
                <w:color w:val="auto"/>
                <w:w w:val="90"/>
              </w:rPr>
              <w:t>First Lien Secured Debt(4),</w:t>
            </w:r>
          </w:p>
        </w:tc>
        <w:tc>
          <w:tcPr>
            <w:tcW w:w="920" w:type="dxa"/>
            <w:vAlign w:val="bottom"/>
            <w:gridSpan w:val="2"/>
            <w:shd w:val="clear" w:color="auto" w:fill="CCEEFF"/>
          </w:tcPr>
          <w:p>
            <w:pPr>
              <w:jc w:val="right"/>
              <w:ind w:right="160"/>
              <w:spacing w:after="0" w:line="101" w:lineRule="exact"/>
              <w:rPr>
                <w:sz w:val="20"/>
                <w:szCs w:val="20"/>
                <w:color w:val="auto"/>
              </w:rPr>
            </w:pPr>
            <w:r>
              <w:rPr>
                <w:rFonts w:ascii="Arial" w:cs="Arial" w:eastAsia="Arial" w:hAnsi="Arial"/>
                <w:sz w:val="11"/>
                <w:szCs w:val="11"/>
                <w:color w:val="auto"/>
              </w:rPr>
              <w:t>0.8%</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25,644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(Gauge TVC Coinvest, LLC)</w:t>
            </w:r>
          </w:p>
        </w:tc>
        <w:tc>
          <w:tcPr>
            <w:tcW w:w="1460" w:type="dxa"/>
            <w:vAlign w:val="bottom"/>
            <w:gridSpan w:val="2"/>
            <w:shd w:val="clear" w:color="auto" w:fill="CCEEFF"/>
          </w:tcPr>
          <w:p>
            <w:pPr>
              <w:jc w:val="center"/>
              <w:ind w:right="320"/>
              <w:spacing w:after="0" w:line="114" w:lineRule="exact"/>
              <w:rPr>
                <w:sz w:val="20"/>
                <w:szCs w:val="20"/>
                <w:color w:val="auto"/>
              </w:rPr>
            </w:pPr>
            <w:r>
              <w:rPr>
                <w:rFonts w:ascii="Arial" w:cs="Arial" w:eastAsia="Arial" w:hAnsi="Arial"/>
                <w:sz w:val="11"/>
                <w:szCs w:val="11"/>
                <w:color w:val="auto"/>
                <w:w w:val="89"/>
              </w:rPr>
              <w:t>Supplies</w:t>
            </w:r>
          </w:p>
        </w:tc>
        <w:tc>
          <w:tcPr>
            <w:tcW w:w="1620" w:type="dxa"/>
            <w:vAlign w:val="bottom"/>
            <w:gridSpan w:val="2"/>
            <w:shd w:val="clear" w:color="auto" w:fill="CCEEFF"/>
          </w:tcPr>
          <w:p>
            <w:pPr>
              <w:jc w:val="center"/>
              <w:ind w:right="140"/>
              <w:spacing w:after="0" w:line="114" w:lineRule="exact"/>
              <w:rPr>
                <w:sz w:val="20"/>
                <w:szCs w:val="20"/>
                <w:color w:val="auto"/>
              </w:rPr>
            </w:pPr>
            <w:r>
              <w:rPr>
                <w:rFonts w:ascii="Arial" w:cs="Arial" w:eastAsia="Arial" w:hAnsi="Arial"/>
                <w:sz w:val="11"/>
                <w:szCs w:val="11"/>
                <w:color w:val="auto"/>
                <w:w w:val="94"/>
              </w:rPr>
              <w:t>1M L+600, 03/26/2026</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6100 Lake Forrest Drive</w:t>
            </w:r>
          </w:p>
        </w:tc>
        <w:tc>
          <w:tcPr>
            <w:tcW w:w="1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Arial" w:cs="Arial" w:eastAsia="Arial" w:hAnsi="Arial"/>
                <w:sz w:val="11"/>
                <w:szCs w:val="11"/>
                <w:color w:val="auto"/>
                <w:w w:val="91"/>
              </w:rPr>
              <w:t>Common Equity</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Atlanta, GA 30328</w:t>
            </w:r>
          </w:p>
        </w:tc>
        <w:tc>
          <w:tcPr>
            <w:tcW w:w="1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40" w:type="dxa"/>
            <w:vAlign w:val="bottom"/>
            <w:gridSpan w:val="3"/>
          </w:tcPr>
          <w:p>
            <w:pPr>
              <w:spacing w:after="0"/>
              <w:rPr>
                <w:sz w:val="20"/>
                <w:szCs w:val="20"/>
                <w:color w:val="auto"/>
              </w:rPr>
            </w:pPr>
            <w:r>
              <w:rPr>
                <w:rFonts w:ascii="Arial" w:cs="Arial" w:eastAsia="Arial" w:hAnsi="Arial"/>
                <w:sz w:val="11"/>
                <w:szCs w:val="11"/>
                <w:color w:val="auto"/>
              </w:rPr>
              <w:t>TWS Acquisition Corporation</w:t>
            </w:r>
          </w:p>
        </w:tc>
        <w:tc>
          <w:tcPr>
            <w:tcW w:w="1460" w:type="dxa"/>
            <w:vAlign w:val="bottom"/>
            <w:gridSpan w:val="2"/>
          </w:tcPr>
          <w:p>
            <w:pPr>
              <w:jc w:val="center"/>
              <w:ind w:right="320"/>
              <w:spacing w:after="0"/>
              <w:rPr>
                <w:sz w:val="20"/>
                <w:szCs w:val="20"/>
                <w:color w:val="auto"/>
              </w:rPr>
            </w:pPr>
            <w:r>
              <w:rPr>
                <w:rFonts w:ascii="Arial" w:cs="Arial" w:eastAsia="Arial" w:hAnsi="Arial"/>
                <w:sz w:val="11"/>
                <w:szCs w:val="11"/>
                <w:color w:val="auto"/>
                <w:w w:val="93"/>
              </w:rPr>
              <w:t>Diversified Consumer</w:t>
            </w:r>
          </w:p>
        </w:tc>
        <w:tc>
          <w:tcPr>
            <w:tcW w:w="162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First Lien Secured Debt(4),</w:t>
            </w:r>
          </w:p>
        </w:tc>
        <w:tc>
          <w:tcPr>
            <w:tcW w:w="92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5,427</w:t>
            </w:r>
          </w:p>
        </w:tc>
        <w:tc>
          <w:tcPr>
            <w:tcW w:w="0" w:type="dxa"/>
            <w:vAlign w:val="bottom"/>
          </w:tcPr>
          <w:p>
            <w:pPr>
              <w:spacing w:after="0"/>
              <w:rPr>
                <w:sz w:val="1"/>
                <w:szCs w:val="1"/>
                <w:color w:val="auto"/>
              </w:rPr>
            </w:pPr>
          </w:p>
        </w:tc>
      </w:tr>
      <w:tr>
        <w:trPr>
          <w:trHeight w:val="114"/>
        </w:trPr>
        <w:tc>
          <w:tcPr>
            <w:tcW w:w="3740" w:type="dxa"/>
            <w:vAlign w:val="bottom"/>
            <w:gridSpan w:val="3"/>
          </w:tcPr>
          <w:p>
            <w:pPr>
              <w:spacing w:after="0" w:line="114" w:lineRule="exact"/>
              <w:rPr>
                <w:sz w:val="20"/>
                <w:szCs w:val="20"/>
                <w:color w:val="auto"/>
              </w:rPr>
            </w:pPr>
            <w:r>
              <w:rPr>
                <w:rFonts w:ascii="Arial" w:cs="Arial" w:eastAsia="Arial" w:hAnsi="Arial"/>
                <w:sz w:val="11"/>
                <w:szCs w:val="11"/>
                <w:color w:val="auto"/>
              </w:rPr>
              <w:t>120 N. 44th Street #230</w:t>
            </w:r>
          </w:p>
        </w:tc>
        <w:tc>
          <w:tcPr>
            <w:tcW w:w="1460" w:type="dxa"/>
            <w:vAlign w:val="bottom"/>
            <w:gridSpan w:val="2"/>
          </w:tcPr>
          <w:p>
            <w:pPr>
              <w:jc w:val="center"/>
              <w:ind w:right="320"/>
              <w:spacing w:after="0" w:line="114" w:lineRule="exact"/>
              <w:rPr>
                <w:sz w:val="20"/>
                <w:szCs w:val="20"/>
                <w:color w:val="auto"/>
              </w:rPr>
            </w:pPr>
            <w:r>
              <w:rPr>
                <w:rFonts w:ascii="Arial" w:cs="Arial" w:eastAsia="Arial" w:hAnsi="Arial"/>
                <w:sz w:val="11"/>
                <w:szCs w:val="11"/>
                <w:color w:val="auto"/>
                <w:w w:val="89"/>
              </w:rPr>
              <w:t>Services</w:t>
            </w:r>
          </w:p>
        </w:tc>
        <w:tc>
          <w:tcPr>
            <w:tcW w:w="1620" w:type="dxa"/>
            <w:vAlign w:val="bottom"/>
            <w:gridSpan w:val="2"/>
          </w:tcPr>
          <w:p>
            <w:pPr>
              <w:jc w:val="center"/>
              <w:ind w:right="140"/>
              <w:spacing w:after="0" w:line="114" w:lineRule="exact"/>
              <w:rPr>
                <w:sz w:val="20"/>
                <w:szCs w:val="20"/>
                <w:color w:val="auto"/>
              </w:rPr>
            </w:pPr>
            <w:r>
              <w:rPr>
                <w:rFonts w:ascii="Arial" w:cs="Arial" w:eastAsia="Arial" w:hAnsi="Arial"/>
                <w:sz w:val="11"/>
                <w:szCs w:val="11"/>
                <w:color w:val="auto"/>
                <w:w w:val="94"/>
              </w:rPr>
              <w:t>1M L+625, 06/16/2025</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40" w:type="dxa"/>
            <w:vAlign w:val="bottom"/>
            <w:gridSpan w:val="3"/>
          </w:tcPr>
          <w:p>
            <w:pPr>
              <w:spacing w:after="0"/>
              <w:rPr>
                <w:sz w:val="20"/>
                <w:szCs w:val="20"/>
                <w:color w:val="auto"/>
              </w:rPr>
            </w:pPr>
            <w:r>
              <w:rPr>
                <w:rFonts w:ascii="Arial" w:cs="Arial" w:eastAsia="Arial" w:hAnsi="Arial"/>
                <w:sz w:val="11"/>
                <w:szCs w:val="11"/>
                <w:color w:val="auto"/>
              </w:rPr>
              <w:t>Phoenix, AZ 85034</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72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Tyto Athene, LLC</w:t>
            </w:r>
          </w:p>
        </w:tc>
        <w:tc>
          <w:tcPr>
            <w:tcW w:w="1460" w:type="dxa"/>
            <w:vAlign w:val="bottom"/>
            <w:gridSpan w:val="2"/>
            <w:shd w:val="clear" w:color="auto" w:fill="CCEEFF"/>
          </w:tcPr>
          <w:p>
            <w:pPr>
              <w:jc w:val="center"/>
              <w:ind w:right="320"/>
              <w:spacing w:after="0" w:line="101" w:lineRule="exact"/>
              <w:rPr>
                <w:sz w:val="20"/>
                <w:szCs w:val="20"/>
                <w:color w:val="auto"/>
              </w:rPr>
            </w:pPr>
            <w:r>
              <w:rPr>
                <w:rFonts w:ascii="Arial" w:cs="Arial" w:eastAsia="Arial" w:hAnsi="Arial"/>
                <w:sz w:val="11"/>
                <w:szCs w:val="11"/>
                <w:color w:val="auto"/>
                <w:w w:val="90"/>
              </w:rPr>
              <w:t>IT Services</w:t>
            </w:r>
          </w:p>
        </w:tc>
        <w:tc>
          <w:tcPr>
            <w:tcW w:w="1620" w:type="dxa"/>
            <w:vAlign w:val="bottom"/>
            <w:gridSpan w:val="2"/>
            <w:shd w:val="clear" w:color="auto" w:fill="CCEEFF"/>
          </w:tcPr>
          <w:p>
            <w:pPr>
              <w:jc w:val="center"/>
              <w:ind w:right="140"/>
              <w:spacing w:after="0" w:line="101" w:lineRule="exact"/>
              <w:rPr>
                <w:sz w:val="20"/>
                <w:szCs w:val="20"/>
                <w:color w:val="auto"/>
              </w:rPr>
            </w:pPr>
            <w:r>
              <w:rPr>
                <w:rFonts w:ascii="Arial" w:cs="Arial" w:eastAsia="Arial" w:hAnsi="Arial"/>
                <w:sz w:val="11"/>
                <w:szCs w:val="11"/>
                <w:color w:val="auto"/>
                <w:w w:val="90"/>
              </w:rPr>
              <w:t>First Lien Secured Debt(4),</w:t>
            </w:r>
          </w:p>
        </w:tc>
        <w:tc>
          <w:tcPr>
            <w:tcW w:w="920" w:type="dxa"/>
            <w:vAlign w:val="bottom"/>
            <w:gridSpan w:val="2"/>
            <w:shd w:val="clear" w:color="auto" w:fill="CCEEFF"/>
          </w:tcPr>
          <w:p>
            <w:pPr>
              <w:jc w:val="right"/>
              <w:ind w:right="160"/>
              <w:spacing w:after="0" w:line="101" w:lineRule="exact"/>
              <w:rPr>
                <w:sz w:val="20"/>
                <w:szCs w:val="20"/>
                <w:color w:val="auto"/>
              </w:rPr>
            </w:pPr>
            <w:r>
              <w:rPr>
                <w:rFonts w:ascii="Arial" w:cs="Arial" w:eastAsia="Arial" w:hAnsi="Arial"/>
                <w:sz w:val="11"/>
                <w:szCs w:val="11"/>
                <w:color w:val="auto"/>
              </w:rPr>
              <w:t>0.2%</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13,024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(NXOF Holdings, Inc)</w:t>
            </w:r>
          </w:p>
        </w:tc>
        <w:tc>
          <w:tcPr>
            <w:tcW w:w="1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Arial" w:cs="Arial" w:eastAsia="Arial" w:hAnsi="Arial"/>
                <w:sz w:val="11"/>
                <w:szCs w:val="11"/>
                <w:color w:val="auto"/>
                <w:w w:val="94"/>
              </w:rPr>
              <w:t>1M L+550, 04/01/2028</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510 Spring Street, Suite 200</w:t>
            </w:r>
          </w:p>
        </w:tc>
        <w:tc>
          <w:tcPr>
            <w:tcW w:w="1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Arial" w:cs="Arial" w:eastAsia="Arial" w:hAnsi="Arial"/>
                <w:sz w:val="11"/>
                <w:szCs w:val="11"/>
                <w:color w:val="auto"/>
                <w:w w:val="90"/>
              </w:rPr>
              <w:t>Preferred Equity</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Herndon, VA 20170</w:t>
            </w:r>
          </w:p>
        </w:tc>
        <w:tc>
          <w:tcPr>
            <w:tcW w:w="1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20" w:type="dxa"/>
            <w:vAlign w:val="bottom"/>
            <w:gridSpan w:val="2"/>
            <w:shd w:val="clear" w:color="auto" w:fill="CCEEFF"/>
          </w:tcPr>
          <w:p>
            <w:pPr>
              <w:jc w:val="center"/>
              <w:ind w:right="140"/>
              <w:spacing w:after="0"/>
              <w:rPr>
                <w:sz w:val="20"/>
                <w:szCs w:val="20"/>
                <w:color w:val="auto"/>
              </w:rPr>
            </w:pPr>
            <w:r>
              <w:rPr>
                <w:rFonts w:ascii="Arial" w:cs="Arial" w:eastAsia="Arial" w:hAnsi="Arial"/>
                <w:sz w:val="11"/>
                <w:szCs w:val="11"/>
                <w:color w:val="auto"/>
                <w:w w:val="91"/>
              </w:rPr>
              <w:t>Common Equity</w:t>
            </w: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40" w:type="dxa"/>
            <w:vAlign w:val="bottom"/>
            <w:gridSpan w:val="3"/>
          </w:tcPr>
          <w:p>
            <w:pPr>
              <w:spacing w:after="0"/>
              <w:rPr>
                <w:sz w:val="20"/>
                <w:szCs w:val="20"/>
                <w:color w:val="auto"/>
              </w:rPr>
            </w:pPr>
            <w:r>
              <w:rPr>
                <w:rFonts w:ascii="Arial" w:cs="Arial" w:eastAsia="Arial" w:hAnsi="Arial"/>
                <w:sz w:val="11"/>
                <w:szCs w:val="11"/>
                <w:color w:val="auto"/>
              </w:rPr>
              <w:t>UBEO, LLC</w:t>
            </w:r>
          </w:p>
        </w:tc>
        <w:tc>
          <w:tcPr>
            <w:tcW w:w="1460" w:type="dxa"/>
            <w:vAlign w:val="bottom"/>
            <w:gridSpan w:val="2"/>
          </w:tcPr>
          <w:p>
            <w:pPr>
              <w:jc w:val="center"/>
              <w:ind w:right="320"/>
              <w:spacing w:after="0"/>
              <w:rPr>
                <w:sz w:val="20"/>
                <w:szCs w:val="20"/>
                <w:color w:val="auto"/>
              </w:rPr>
            </w:pPr>
            <w:r>
              <w:rPr>
                <w:rFonts w:ascii="Arial" w:cs="Arial" w:eastAsia="Arial" w:hAnsi="Arial"/>
                <w:sz w:val="11"/>
                <w:szCs w:val="11"/>
                <w:color w:val="auto"/>
                <w:w w:val="91"/>
              </w:rPr>
              <w:t>Capital Equipment</w:t>
            </w:r>
          </w:p>
        </w:tc>
        <w:tc>
          <w:tcPr>
            <w:tcW w:w="162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First Lien Secured Debt(4),</w:t>
            </w:r>
          </w:p>
        </w:tc>
        <w:tc>
          <w:tcPr>
            <w:tcW w:w="92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18,199</w:t>
            </w:r>
          </w:p>
        </w:tc>
        <w:tc>
          <w:tcPr>
            <w:tcW w:w="0" w:type="dxa"/>
            <w:vAlign w:val="bottom"/>
          </w:tcPr>
          <w:p>
            <w:pPr>
              <w:spacing w:after="0"/>
              <w:rPr>
                <w:sz w:val="1"/>
                <w:szCs w:val="1"/>
                <w:color w:val="auto"/>
              </w:rPr>
            </w:pPr>
          </w:p>
        </w:tc>
      </w:tr>
      <w:tr>
        <w:trPr>
          <w:trHeight w:val="114"/>
        </w:trPr>
        <w:tc>
          <w:tcPr>
            <w:tcW w:w="3740" w:type="dxa"/>
            <w:vAlign w:val="bottom"/>
            <w:gridSpan w:val="3"/>
          </w:tcPr>
          <w:p>
            <w:pPr>
              <w:spacing w:after="0" w:line="114" w:lineRule="exact"/>
              <w:rPr>
                <w:sz w:val="20"/>
                <w:szCs w:val="20"/>
                <w:color w:val="auto"/>
              </w:rPr>
            </w:pPr>
            <w:r>
              <w:rPr>
                <w:rFonts w:ascii="Arial" w:cs="Arial" w:eastAsia="Arial" w:hAnsi="Arial"/>
                <w:sz w:val="11"/>
                <w:szCs w:val="11"/>
                <w:color w:val="auto"/>
              </w:rPr>
              <w:t>401 East Sonterra Blvd, Suite 350</w:t>
            </w: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Arial" w:cs="Arial" w:eastAsia="Arial" w:hAnsi="Arial"/>
                <w:sz w:val="11"/>
                <w:szCs w:val="11"/>
                <w:color w:val="auto"/>
                <w:w w:val="94"/>
              </w:rPr>
              <w:t>3M L+450, 04/03/2024</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40" w:type="dxa"/>
            <w:vAlign w:val="bottom"/>
            <w:gridSpan w:val="3"/>
          </w:tcPr>
          <w:p>
            <w:pPr>
              <w:spacing w:after="0"/>
              <w:rPr>
                <w:sz w:val="20"/>
                <w:szCs w:val="20"/>
                <w:color w:val="auto"/>
              </w:rPr>
            </w:pPr>
            <w:r>
              <w:rPr>
                <w:rFonts w:ascii="Arial" w:cs="Arial" w:eastAsia="Arial" w:hAnsi="Arial"/>
                <w:sz w:val="11"/>
                <w:szCs w:val="11"/>
                <w:color w:val="auto"/>
              </w:rPr>
              <w:t>San Antonio, TX 78258</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372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Unique Indoor Comfort, LLC</w:t>
            </w:r>
          </w:p>
        </w:tc>
        <w:tc>
          <w:tcPr>
            <w:tcW w:w="1460" w:type="dxa"/>
            <w:vAlign w:val="bottom"/>
            <w:gridSpan w:val="2"/>
            <w:shd w:val="clear" w:color="auto" w:fill="CCEEFF"/>
          </w:tcPr>
          <w:p>
            <w:pPr>
              <w:jc w:val="center"/>
              <w:ind w:right="320"/>
              <w:spacing w:after="0" w:line="101" w:lineRule="exact"/>
              <w:rPr>
                <w:sz w:val="20"/>
                <w:szCs w:val="20"/>
                <w:color w:val="auto"/>
              </w:rPr>
            </w:pPr>
            <w:r>
              <w:rPr>
                <w:rFonts w:ascii="Arial" w:cs="Arial" w:eastAsia="Arial" w:hAnsi="Arial"/>
                <w:sz w:val="11"/>
                <w:szCs w:val="11"/>
                <w:color w:val="auto"/>
                <w:w w:val="93"/>
              </w:rPr>
              <w:t>Diversified Consumer</w:t>
            </w:r>
          </w:p>
        </w:tc>
        <w:tc>
          <w:tcPr>
            <w:tcW w:w="1620" w:type="dxa"/>
            <w:vAlign w:val="bottom"/>
            <w:gridSpan w:val="2"/>
            <w:shd w:val="clear" w:color="auto" w:fill="CCEEFF"/>
          </w:tcPr>
          <w:p>
            <w:pPr>
              <w:jc w:val="center"/>
              <w:ind w:right="140"/>
              <w:spacing w:after="0" w:line="101" w:lineRule="exact"/>
              <w:rPr>
                <w:sz w:val="20"/>
                <w:szCs w:val="20"/>
                <w:color w:val="auto"/>
              </w:rPr>
            </w:pPr>
            <w:r>
              <w:rPr>
                <w:rFonts w:ascii="Arial" w:cs="Arial" w:eastAsia="Arial" w:hAnsi="Arial"/>
                <w:sz w:val="11"/>
                <w:szCs w:val="11"/>
                <w:color w:val="auto"/>
                <w:w w:val="90"/>
              </w:rPr>
              <w:t>First Lien Secured Debt(4),</w:t>
            </w:r>
          </w:p>
        </w:tc>
        <w:tc>
          <w:tcPr>
            <w:tcW w:w="920" w:type="dxa"/>
            <w:vAlign w:val="bottom"/>
            <w:gridSpan w:val="2"/>
            <w:shd w:val="clear" w:color="auto" w:fill="CCEEFF"/>
          </w:tcPr>
          <w:p>
            <w:pPr>
              <w:jc w:val="right"/>
              <w:ind w:right="320"/>
              <w:spacing w:after="0" w:line="10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8,841</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3017 Bolling Way NorthEast</w:t>
            </w:r>
          </w:p>
        </w:tc>
        <w:tc>
          <w:tcPr>
            <w:tcW w:w="1460" w:type="dxa"/>
            <w:vAlign w:val="bottom"/>
            <w:gridSpan w:val="2"/>
            <w:shd w:val="clear" w:color="auto" w:fill="CCEEFF"/>
          </w:tcPr>
          <w:p>
            <w:pPr>
              <w:jc w:val="center"/>
              <w:ind w:right="320"/>
              <w:spacing w:after="0" w:line="114" w:lineRule="exact"/>
              <w:rPr>
                <w:sz w:val="20"/>
                <w:szCs w:val="20"/>
                <w:color w:val="auto"/>
              </w:rPr>
            </w:pPr>
            <w:r>
              <w:rPr>
                <w:rFonts w:ascii="Arial" w:cs="Arial" w:eastAsia="Arial" w:hAnsi="Arial"/>
                <w:sz w:val="11"/>
                <w:szCs w:val="11"/>
                <w:color w:val="auto"/>
                <w:w w:val="89"/>
              </w:rPr>
              <w:t>Services</w:t>
            </w:r>
          </w:p>
        </w:tc>
        <w:tc>
          <w:tcPr>
            <w:tcW w:w="1620" w:type="dxa"/>
            <w:vAlign w:val="bottom"/>
            <w:gridSpan w:val="2"/>
            <w:shd w:val="clear" w:color="auto" w:fill="CCEEFF"/>
          </w:tcPr>
          <w:p>
            <w:pPr>
              <w:jc w:val="center"/>
              <w:ind w:right="140"/>
              <w:spacing w:after="0" w:line="114" w:lineRule="exact"/>
              <w:rPr>
                <w:sz w:val="20"/>
                <w:szCs w:val="20"/>
                <w:color w:val="auto"/>
              </w:rPr>
            </w:pPr>
            <w:r>
              <w:rPr>
                <w:rFonts w:ascii="Arial" w:cs="Arial" w:eastAsia="Arial" w:hAnsi="Arial"/>
                <w:sz w:val="11"/>
                <w:szCs w:val="11"/>
                <w:color w:val="auto"/>
                <w:w w:val="94"/>
              </w:rPr>
              <w:t>3M L+525, 05/24/2027</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Atlanta, GA 30305</w:t>
            </w:r>
          </w:p>
        </w:tc>
        <w:tc>
          <w:tcPr>
            <w:tcW w:w="1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40" w:type="dxa"/>
            <w:vAlign w:val="bottom"/>
            <w:gridSpan w:val="3"/>
          </w:tcPr>
          <w:p>
            <w:pPr>
              <w:spacing w:after="0"/>
              <w:rPr>
                <w:sz w:val="20"/>
                <w:szCs w:val="20"/>
                <w:color w:val="auto"/>
              </w:rPr>
            </w:pPr>
            <w:r>
              <w:rPr>
                <w:rFonts w:ascii="Arial" w:cs="Arial" w:eastAsia="Arial" w:hAnsi="Arial"/>
                <w:sz w:val="11"/>
                <w:szCs w:val="11"/>
                <w:color w:val="auto"/>
              </w:rPr>
              <w:t>UniTek Global Services, Inc.</w:t>
            </w:r>
          </w:p>
        </w:tc>
        <w:tc>
          <w:tcPr>
            <w:tcW w:w="1460" w:type="dxa"/>
            <w:vAlign w:val="bottom"/>
            <w:gridSpan w:val="2"/>
          </w:tcPr>
          <w:p>
            <w:pPr>
              <w:jc w:val="center"/>
              <w:ind w:right="300"/>
              <w:spacing w:after="0"/>
              <w:rPr>
                <w:sz w:val="20"/>
                <w:szCs w:val="20"/>
                <w:color w:val="auto"/>
              </w:rPr>
            </w:pPr>
            <w:r>
              <w:rPr>
                <w:rFonts w:ascii="Arial" w:cs="Arial" w:eastAsia="Arial" w:hAnsi="Arial"/>
                <w:sz w:val="11"/>
                <w:szCs w:val="11"/>
                <w:color w:val="auto"/>
                <w:w w:val="91"/>
              </w:rPr>
              <w:t>Telecommunications</w:t>
            </w:r>
          </w:p>
        </w:tc>
        <w:tc>
          <w:tcPr>
            <w:tcW w:w="162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Preferred Equity</w:t>
            </w: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0.9%</w:t>
            </w: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4"/>
        </w:trPr>
        <w:tc>
          <w:tcPr>
            <w:tcW w:w="3740" w:type="dxa"/>
            <w:vAlign w:val="bottom"/>
            <w:gridSpan w:val="3"/>
          </w:tcPr>
          <w:p>
            <w:pPr>
              <w:spacing w:after="0" w:line="114" w:lineRule="exact"/>
              <w:rPr>
                <w:sz w:val="20"/>
                <w:szCs w:val="20"/>
                <w:color w:val="auto"/>
              </w:rPr>
            </w:pPr>
            <w:r>
              <w:rPr>
                <w:rFonts w:ascii="Arial" w:cs="Arial" w:eastAsia="Arial" w:hAnsi="Arial"/>
                <w:sz w:val="11"/>
                <w:szCs w:val="11"/>
                <w:color w:val="auto"/>
              </w:rPr>
              <w:t>1817 Crane Ridge Drive, Suite 500</w:t>
            </w: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Arial" w:cs="Arial" w:eastAsia="Arial" w:hAnsi="Arial"/>
                <w:sz w:val="11"/>
                <w:szCs w:val="11"/>
                <w:color w:val="auto"/>
                <w:w w:val="91"/>
              </w:rPr>
              <w:t>Common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40" w:type="dxa"/>
            <w:vAlign w:val="bottom"/>
            <w:gridSpan w:val="3"/>
          </w:tcPr>
          <w:p>
            <w:pPr>
              <w:spacing w:after="0"/>
              <w:rPr>
                <w:sz w:val="20"/>
                <w:szCs w:val="20"/>
                <w:color w:val="auto"/>
              </w:rPr>
            </w:pPr>
            <w:r>
              <w:rPr>
                <w:rFonts w:ascii="Arial" w:cs="Arial" w:eastAsia="Arial" w:hAnsi="Arial"/>
                <w:sz w:val="11"/>
                <w:szCs w:val="11"/>
                <w:color w:val="auto"/>
              </w:rPr>
              <w:t>Jackson, MS 39216</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Warrants</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2805" cy="4572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9019"/>
          </w:cols>
          <w:pgMar w:left="1440" w:top="245" w:right="1440" w:bottom="1440" w:gutter="0" w:footer="0" w:header="0"/>
        </w:sectPr>
      </w:pPr>
    </w:p>
    <w:bookmarkStart w:id="31" w:name="page32"/>
    <w:bookmarkEnd w:id="31"/>
    <w:p>
      <w:pPr>
        <w:spacing w:after="0" w:line="116" w:lineRule="exact"/>
        <w:rPr>
          <w:sz w:val="20"/>
          <w:szCs w:val="20"/>
          <w:color w:val="auto"/>
        </w:rPr>
      </w:pPr>
    </w:p>
    <w:p>
      <w:pPr>
        <w:ind w:left="280"/>
        <w:spacing w:after="0"/>
        <w:rPr>
          <w:sz w:val="20"/>
          <w:szCs w:val="20"/>
          <w:color w:val="auto"/>
        </w:rPr>
      </w:pPr>
      <w:r>
        <w:rPr>
          <w:rFonts w:ascii="Arial" w:cs="Arial" w:eastAsia="Arial" w:hAnsi="Arial"/>
          <w:sz w:val="11"/>
          <w:szCs w:val="11"/>
          <w:b w:val="1"/>
          <w:bCs w:val="1"/>
          <w:color w:val="auto"/>
        </w:rPr>
        <w:t>Name and</w:t>
      </w:r>
    </w:p>
    <w:p>
      <w:pPr>
        <w:ind w:left="280"/>
        <w:spacing w:after="0"/>
        <w:rPr>
          <w:sz w:val="20"/>
          <w:szCs w:val="20"/>
          <w:color w:val="auto"/>
        </w:rPr>
      </w:pPr>
      <w:r>
        <w:rPr>
          <w:rFonts w:ascii="Arial" w:cs="Arial" w:eastAsia="Arial" w:hAnsi="Arial"/>
          <w:sz w:val="9"/>
          <w:szCs w:val="9"/>
          <w:b w:val="1"/>
          <w:bCs w:val="1"/>
          <w:u w:val="single" w:color="auto"/>
          <w:color w:val="auto"/>
        </w:rPr>
        <w:t>Address of Portfolio Company</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1"/>
          <w:szCs w:val="11"/>
          <w:color w:val="auto"/>
        </w:rPr>
        <w:t>UniVista Insurance (5)</w:t>
      </w:r>
    </w:p>
    <w:p>
      <w:pPr>
        <w:ind w:left="280"/>
        <w:spacing w:after="0" w:line="216" w:lineRule="auto"/>
        <w:rPr>
          <w:sz w:val="20"/>
          <w:szCs w:val="20"/>
          <w:color w:val="auto"/>
        </w:rPr>
      </w:pPr>
      <w:r>
        <w:rPr>
          <w:rFonts w:ascii="Arial" w:cs="Arial" w:eastAsia="Arial" w:hAnsi="Arial"/>
          <w:sz w:val="11"/>
          <w:szCs w:val="11"/>
          <w:color w:val="auto"/>
        </w:rPr>
        <w:t>528 NW 7th Ave,</w:t>
      </w:r>
    </w:p>
    <w:p>
      <w:pPr>
        <w:ind w:left="280"/>
        <w:spacing w:after="0"/>
        <w:rPr>
          <w:sz w:val="20"/>
          <w:szCs w:val="20"/>
          <w:color w:val="auto"/>
        </w:rPr>
      </w:pPr>
      <w:r>
        <w:rPr>
          <w:rFonts w:ascii="Arial" w:cs="Arial" w:eastAsia="Arial" w:hAnsi="Arial"/>
          <w:sz w:val="11"/>
          <w:szCs w:val="11"/>
          <w:color w:val="auto"/>
        </w:rPr>
        <w:t>Miami, FL 33136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2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89"/>
              </w:rPr>
              <w:t>Type of Investment,</w:t>
            </w:r>
          </w:p>
        </w:tc>
        <w:tc>
          <w:tcPr>
            <w:tcW w:w="1040" w:type="dxa"/>
            <w:vAlign w:val="bottom"/>
            <w:gridSpan w:val="2"/>
          </w:tcPr>
          <w:p>
            <w:pPr>
              <w:jc w:val="center"/>
              <w:ind w:right="336"/>
              <w:spacing w:after="0"/>
              <w:rPr>
                <w:sz w:val="20"/>
                <w:szCs w:val="20"/>
                <w:color w:val="auto"/>
              </w:rPr>
            </w:pPr>
            <w:r>
              <w:rPr>
                <w:rFonts w:ascii="Arial" w:cs="Arial" w:eastAsia="Arial" w:hAnsi="Arial"/>
                <w:sz w:val="11"/>
                <w:szCs w:val="11"/>
                <w:b w:val="1"/>
                <w:bCs w:val="1"/>
                <w:color w:val="auto"/>
                <w:w w:val="87"/>
              </w:rPr>
              <w:t>Voting</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1040" w:type="dxa"/>
            <w:vAlign w:val="bottom"/>
            <w:gridSpan w:val="2"/>
          </w:tcPr>
          <w:p>
            <w:pPr>
              <w:jc w:val="center"/>
              <w:ind w:right="356"/>
              <w:spacing w:after="0" w:line="111" w:lineRule="exact"/>
              <w:rPr>
                <w:sz w:val="20"/>
                <w:szCs w:val="20"/>
                <w:color w:val="auto"/>
              </w:rPr>
            </w:pPr>
            <w:r>
              <w:rPr>
                <w:rFonts w:ascii="Arial" w:cs="Arial" w:eastAsia="Arial" w:hAnsi="Arial"/>
                <w:sz w:val="11"/>
                <w:szCs w:val="11"/>
                <w:b w:val="1"/>
                <w:bCs w:val="1"/>
                <w:color w:val="auto"/>
                <w:w w:val="87"/>
              </w:rPr>
              <w:t>Percentage</w:t>
            </w:r>
          </w:p>
        </w:tc>
        <w:tc>
          <w:tcPr>
            <w:tcW w:w="80" w:type="dxa"/>
            <w:vAlign w:val="bottom"/>
          </w:tcPr>
          <w:p>
            <w:pPr>
              <w:spacing w:after="0"/>
              <w:rPr>
                <w:sz w:val="9"/>
                <w:szCs w:val="9"/>
                <w:color w:val="auto"/>
              </w:rPr>
            </w:pPr>
          </w:p>
        </w:tc>
        <w:tc>
          <w:tcPr>
            <w:tcW w:w="600" w:type="dxa"/>
            <w:vAlign w:val="bottom"/>
          </w:tcPr>
          <w:p>
            <w:pPr>
              <w:jc w:val="right"/>
              <w:ind w:right="25"/>
              <w:spacing w:after="0" w:line="111" w:lineRule="exact"/>
              <w:rPr>
                <w:sz w:val="20"/>
                <w:szCs w:val="20"/>
                <w:color w:val="auto"/>
              </w:rPr>
            </w:pPr>
            <w:r>
              <w:rPr>
                <w:rFonts w:ascii="Arial" w:cs="Arial" w:eastAsia="Arial" w:hAnsi="Arial"/>
                <w:sz w:val="11"/>
                <w:szCs w:val="11"/>
                <w:b w:val="1"/>
                <w:bCs w:val="1"/>
                <w:color w:val="auto"/>
                <w:w w:val="94"/>
              </w:rPr>
              <w:t>Fair Value</w:t>
            </w:r>
          </w:p>
        </w:tc>
        <w:tc>
          <w:tcPr>
            <w:tcW w:w="0" w:type="dxa"/>
            <w:vAlign w:val="bottom"/>
          </w:tcPr>
          <w:p>
            <w:pPr>
              <w:spacing w:after="0"/>
              <w:rPr>
                <w:sz w:val="1"/>
                <w:szCs w:val="1"/>
                <w:color w:val="auto"/>
              </w:rPr>
            </w:pPr>
          </w:p>
        </w:tc>
      </w:tr>
      <w:tr>
        <w:trPr>
          <w:trHeight w:val="125"/>
        </w:trPr>
        <w:tc>
          <w:tcPr>
            <w:tcW w:w="144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87"/>
              </w:rPr>
              <w:t>Nature of Business</w:t>
            </w:r>
          </w:p>
        </w:tc>
        <w:tc>
          <w:tcPr>
            <w:tcW w:w="16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5"/>
              </w:rPr>
              <w:t>Interest(1), Maturity</w:t>
            </w:r>
          </w:p>
        </w:tc>
        <w:tc>
          <w:tcPr>
            <w:tcW w:w="1040" w:type="dxa"/>
            <w:vAlign w:val="bottom"/>
            <w:gridSpan w:val="2"/>
          </w:tcPr>
          <w:p>
            <w:pPr>
              <w:jc w:val="right"/>
              <w:ind w:right="336"/>
              <w:spacing w:after="0" w:line="122" w:lineRule="exact"/>
              <w:rPr>
                <w:sz w:val="20"/>
                <w:szCs w:val="20"/>
                <w:color w:val="auto"/>
              </w:rPr>
            </w:pPr>
            <w:r>
              <w:rPr>
                <w:rFonts w:ascii="Arial" w:cs="Arial" w:eastAsia="Arial" w:hAnsi="Arial"/>
                <w:sz w:val="11"/>
                <w:szCs w:val="11"/>
                <w:b w:val="1"/>
                <w:bCs w:val="1"/>
                <w:color w:val="auto"/>
                <w:w w:val="90"/>
              </w:rPr>
              <w:t>Ownership(2)</w:t>
            </w:r>
          </w:p>
        </w:tc>
        <w:tc>
          <w:tcPr>
            <w:tcW w:w="6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4"/>
              </w:rPr>
              <w:t>(in thousands)</w:t>
            </w:r>
          </w:p>
        </w:tc>
        <w:tc>
          <w:tcPr>
            <w:tcW w:w="0" w:type="dxa"/>
            <w:vAlign w:val="bottom"/>
          </w:tcPr>
          <w:p>
            <w:pPr>
              <w:spacing w:after="0"/>
              <w:rPr>
                <w:sz w:val="1"/>
                <w:szCs w:val="1"/>
                <w:color w:val="auto"/>
              </w:rPr>
            </w:pPr>
          </w:p>
        </w:tc>
      </w:tr>
      <w:tr>
        <w:trPr>
          <w:trHeight w:val="138"/>
        </w:trPr>
        <w:tc>
          <w:tcPr>
            <w:tcW w:w="112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w w:val="90"/>
              </w:rPr>
              <w:t>Insurance</w:t>
            </w:r>
          </w:p>
        </w:tc>
        <w:tc>
          <w:tcPr>
            <w:tcW w:w="320" w:type="dxa"/>
            <w:vAlign w:val="bottom"/>
          </w:tcPr>
          <w:p>
            <w:pPr>
              <w:spacing w:after="0"/>
              <w:rPr>
                <w:sz w:val="12"/>
                <w:szCs w:val="12"/>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w w:val="91"/>
              </w:rPr>
              <w:t>Common Equity</w:t>
            </w:r>
          </w:p>
        </w:tc>
        <w:tc>
          <w:tcPr>
            <w:tcW w:w="140" w:type="dxa"/>
            <w:vAlign w:val="bottom"/>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0.2</w:t>
            </w:r>
          </w:p>
        </w:tc>
        <w:tc>
          <w:tcPr>
            <w:tcW w:w="380" w:type="dxa"/>
            <w:vAlign w:val="bottom"/>
          </w:tcPr>
          <w:p>
            <w:pPr>
              <w:jc w:val="right"/>
              <w:ind w:right="256"/>
              <w:spacing w:after="0"/>
              <w:rPr>
                <w:sz w:val="20"/>
                <w:szCs w:val="20"/>
                <w:color w:val="auto"/>
              </w:rPr>
            </w:pPr>
            <w:r>
              <w:rPr>
                <w:rFonts w:ascii="Arial" w:cs="Arial" w:eastAsia="Arial" w:hAnsi="Arial"/>
                <w:sz w:val="9"/>
                <w:szCs w:val="9"/>
                <w:color w:val="auto"/>
                <w:w w:val="74"/>
              </w:rPr>
              <w:t>%</w:t>
            </w:r>
          </w:p>
        </w:tc>
        <w:tc>
          <w:tcPr>
            <w:tcW w:w="80" w:type="dxa"/>
            <w:vAlign w:val="bottom"/>
            <w:tcBorders>
              <w:top w:val="single" w:sz="8" w:color="auto"/>
            </w:tcBorders>
          </w:tcPr>
          <w:p>
            <w:pPr>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-3223260</wp:posOffset>
            </wp:positionH>
            <wp:positionV relativeFrom="paragraph">
              <wp:posOffset>-396875</wp:posOffset>
            </wp:positionV>
            <wp:extent cx="7202805" cy="457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2805" cy="4572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-93980</wp:posOffset>
            </wp:positionV>
            <wp:extent cx="5373370" cy="2241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73370" cy="224155"/>
                    </a:xfrm>
                    <a:prstGeom prst="rect">
                      <a:avLst/>
                    </a:prstGeom>
                    <a:noFill/>
                  </pic:spPr>
                </pic:pic>
              </a:graphicData>
            </a:graphic>
          </wp:anchor>
        </w:drawing>
      </w:r>
    </w:p>
    <w:p>
      <w:pPr>
        <w:spacing w:after="0" w:line="260" w:lineRule="exact"/>
        <w:rPr>
          <w:sz w:val="20"/>
          <w:szCs w:val="20"/>
          <w:color w:val="auto"/>
        </w:rPr>
      </w:pPr>
    </w:p>
    <w:p>
      <w:pPr>
        <w:sectPr>
          <w:pgSz w:w="11900" w:h="16838" w:orient="portrait"/>
          <w:cols w:equalWidth="0" w:num="2">
            <w:col w:w="3200" w:space="720"/>
            <w:col w:w="5099"/>
          </w:cols>
          <w:pgMar w:left="1440" w:top="245" w:right="1440" w:bottom="1440" w:gutter="0" w:footer="0" w:header="0"/>
        </w:sectPr>
      </w:pPr>
    </w:p>
    <w:tbl>
      <w:tblPr>
        <w:tblLayout w:type="fixed"/>
        <w:tblInd w:w="280" w:type="dxa"/>
        <w:tblCellMar>
          <w:top w:w="0" w:type="dxa"/>
          <w:left w:w="0" w:type="dxa"/>
          <w:bottom w:w="0" w:type="dxa"/>
          <w:right w:w="0" w:type="dxa"/>
        </w:tblCellMar>
      </w:tblPr>
      <w:tr>
        <w:trPr>
          <w:trHeight w:val="126"/>
        </w:trPr>
        <w:tc>
          <w:tcPr>
            <w:tcW w:w="2940" w:type="dxa"/>
            <w:vAlign w:val="bottom"/>
            <w:gridSpan w:val="2"/>
          </w:tcPr>
          <w:p>
            <w:pPr>
              <w:spacing w:after="0"/>
              <w:rPr>
                <w:sz w:val="20"/>
                <w:szCs w:val="20"/>
                <w:color w:val="auto"/>
              </w:rPr>
            </w:pPr>
            <w:r>
              <w:rPr>
                <w:rFonts w:ascii="Arial" w:cs="Arial" w:eastAsia="Arial" w:hAnsi="Arial"/>
                <w:sz w:val="11"/>
                <w:szCs w:val="11"/>
                <w:color w:val="auto"/>
              </w:rPr>
              <w:t>Walker Edison Furniture Company LLC</w:t>
            </w:r>
          </w:p>
        </w:tc>
        <w:tc>
          <w:tcPr>
            <w:tcW w:w="2040" w:type="dxa"/>
            <w:vAlign w:val="bottom"/>
          </w:tcPr>
          <w:p>
            <w:pPr>
              <w:jc w:val="center"/>
              <w:ind w:left="445"/>
              <w:spacing w:after="0"/>
              <w:rPr>
                <w:sz w:val="20"/>
                <w:szCs w:val="20"/>
                <w:color w:val="auto"/>
              </w:rPr>
            </w:pPr>
            <w:r>
              <w:rPr>
                <w:rFonts w:ascii="Arial" w:cs="Arial" w:eastAsia="Arial" w:hAnsi="Arial"/>
                <w:sz w:val="11"/>
                <w:szCs w:val="11"/>
                <w:color w:val="auto"/>
                <w:w w:val="89"/>
              </w:rPr>
              <w:t>Wholesale</w:t>
            </w:r>
          </w:p>
        </w:tc>
        <w:tc>
          <w:tcPr>
            <w:tcW w:w="1820" w:type="dxa"/>
            <w:vAlign w:val="bottom"/>
          </w:tcPr>
          <w:p>
            <w:pPr>
              <w:jc w:val="center"/>
              <w:ind w:right="85"/>
              <w:spacing w:after="0"/>
              <w:rPr>
                <w:sz w:val="20"/>
                <w:szCs w:val="20"/>
                <w:color w:val="auto"/>
              </w:rPr>
            </w:pPr>
            <w:r>
              <w:rPr>
                <w:rFonts w:ascii="Arial" w:cs="Arial" w:eastAsia="Arial" w:hAnsi="Arial"/>
                <w:sz w:val="11"/>
                <w:szCs w:val="11"/>
                <w:color w:val="auto"/>
                <w:w w:val="91"/>
              </w:rPr>
              <w:t>First Lien Secured Debt,</w:t>
            </w:r>
          </w:p>
        </w:tc>
        <w:tc>
          <w:tcPr>
            <w:tcW w:w="940" w:type="dxa"/>
            <w:vAlign w:val="bottom"/>
          </w:tcPr>
          <w:p>
            <w:pPr>
              <w:jc w:val="right"/>
              <w:ind w:right="245"/>
              <w:spacing w:after="0"/>
              <w:rPr>
                <w:sz w:val="20"/>
                <w:szCs w:val="20"/>
                <w:color w:val="auto"/>
              </w:rPr>
            </w:pPr>
            <w:r>
              <w:rPr>
                <w:rFonts w:ascii="Arial" w:cs="Arial" w:eastAsia="Arial" w:hAnsi="Arial"/>
                <w:sz w:val="11"/>
                <w:szCs w:val="11"/>
                <w:color w:val="auto"/>
              </w:rPr>
              <w:t>3.2%</w:t>
            </w:r>
          </w:p>
        </w:tc>
        <w:tc>
          <w:tcPr>
            <w:tcW w:w="160" w:type="dxa"/>
            <w:vAlign w:val="bottom"/>
          </w:tcPr>
          <w:p>
            <w:pPr>
              <w:spacing w:after="0"/>
              <w:rPr>
                <w:sz w:val="10"/>
                <w:szCs w:val="1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8,473</w:t>
            </w:r>
          </w:p>
        </w:tc>
        <w:tc>
          <w:tcPr>
            <w:tcW w:w="0" w:type="dxa"/>
            <w:vAlign w:val="bottom"/>
          </w:tcPr>
          <w:p>
            <w:pPr>
              <w:spacing w:after="0"/>
              <w:rPr>
                <w:sz w:val="1"/>
                <w:szCs w:val="1"/>
                <w:color w:val="auto"/>
              </w:rPr>
            </w:pPr>
          </w:p>
        </w:tc>
      </w:tr>
      <w:tr>
        <w:trPr>
          <w:trHeight w:val="114"/>
        </w:trPr>
        <w:tc>
          <w:tcPr>
            <w:tcW w:w="2940" w:type="dxa"/>
            <w:vAlign w:val="bottom"/>
            <w:gridSpan w:val="2"/>
          </w:tcPr>
          <w:p>
            <w:pPr>
              <w:spacing w:after="0" w:line="114" w:lineRule="exact"/>
              <w:rPr>
                <w:sz w:val="20"/>
                <w:szCs w:val="20"/>
                <w:color w:val="auto"/>
              </w:rPr>
            </w:pPr>
            <w:r>
              <w:rPr>
                <w:rFonts w:ascii="Arial" w:cs="Arial" w:eastAsia="Arial" w:hAnsi="Arial"/>
                <w:sz w:val="11"/>
                <w:szCs w:val="11"/>
                <w:color w:val="auto"/>
              </w:rPr>
              <w:t>(JWC-WE Holdings, L.P. (5))</w:t>
            </w:r>
          </w:p>
        </w:tc>
        <w:tc>
          <w:tcPr>
            <w:tcW w:w="2040" w:type="dxa"/>
            <w:vAlign w:val="bottom"/>
          </w:tcPr>
          <w:p>
            <w:pPr>
              <w:spacing w:after="0"/>
              <w:rPr>
                <w:sz w:val="9"/>
                <w:szCs w:val="9"/>
                <w:color w:val="auto"/>
              </w:rPr>
            </w:pPr>
          </w:p>
        </w:tc>
        <w:tc>
          <w:tcPr>
            <w:tcW w:w="1820" w:type="dxa"/>
            <w:vAlign w:val="bottom"/>
          </w:tcPr>
          <w:p>
            <w:pPr>
              <w:jc w:val="center"/>
              <w:ind w:right="85"/>
              <w:spacing w:after="0" w:line="114" w:lineRule="exact"/>
              <w:rPr>
                <w:sz w:val="20"/>
                <w:szCs w:val="20"/>
                <w:color w:val="auto"/>
              </w:rPr>
            </w:pPr>
            <w:r>
              <w:rPr>
                <w:rFonts w:ascii="Arial" w:cs="Arial" w:eastAsia="Arial" w:hAnsi="Arial"/>
                <w:sz w:val="11"/>
                <w:szCs w:val="11"/>
                <w:color w:val="auto"/>
                <w:w w:val="94"/>
              </w:rPr>
              <w:t>1M L+875, 03/31/2027</w:t>
            </w: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940" w:type="dxa"/>
            <w:vAlign w:val="bottom"/>
            <w:gridSpan w:val="2"/>
          </w:tcPr>
          <w:p>
            <w:pPr>
              <w:spacing w:after="0" w:line="114" w:lineRule="exact"/>
              <w:rPr>
                <w:sz w:val="20"/>
                <w:szCs w:val="20"/>
                <w:color w:val="auto"/>
              </w:rPr>
            </w:pPr>
            <w:r>
              <w:rPr>
                <w:rFonts w:ascii="Arial" w:cs="Arial" w:eastAsia="Arial" w:hAnsi="Arial"/>
                <w:sz w:val="11"/>
                <w:szCs w:val="11"/>
                <w:color w:val="auto"/>
              </w:rPr>
              <w:t>4350 West 2100 South, Suite A</w:t>
            </w:r>
          </w:p>
        </w:tc>
        <w:tc>
          <w:tcPr>
            <w:tcW w:w="2040" w:type="dxa"/>
            <w:vAlign w:val="bottom"/>
          </w:tcPr>
          <w:p>
            <w:pPr>
              <w:spacing w:after="0"/>
              <w:rPr>
                <w:sz w:val="9"/>
                <w:szCs w:val="9"/>
                <w:color w:val="auto"/>
              </w:rPr>
            </w:pPr>
          </w:p>
        </w:tc>
        <w:tc>
          <w:tcPr>
            <w:tcW w:w="1820" w:type="dxa"/>
            <w:vAlign w:val="bottom"/>
          </w:tcPr>
          <w:p>
            <w:pPr>
              <w:jc w:val="center"/>
              <w:ind w:right="85"/>
              <w:spacing w:after="0" w:line="114" w:lineRule="exact"/>
              <w:rPr>
                <w:sz w:val="20"/>
                <w:szCs w:val="20"/>
                <w:color w:val="auto"/>
              </w:rPr>
            </w:pPr>
            <w:r>
              <w:rPr>
                <w:rFonts w:ascii="Arial" w:cs="Arial" w:eastAsia="Arial" w:hAnsi="Arial"/>
                <w:sz w:val="11"/>
                <w:szCs w:val="11"/>
                <w:color w:val="auto"/>
                <w:w w:val="91"/>
              </w:rPr>
              <w:t>Common Equity</w:t>
            </w: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940" w:type="dxa"/>
            <w:vAlign w:val="bottom"/>
            <w:gridSpan w:val="2"/>
          </w:tcPr>
          <w:p>
            <w:pPr>
              <w:spacing w:after="0"/>
              <w:rPr>
                <w:sz w:val="20"/>
                <w:szCs w:val="20"/>
                <w:color w:val="auto"/>
              </w:rPr>
            </w:pPr>
            <w:r>
              <w:rPr>
                <w:rFonts w:ascii="Arial" w:cs="Arial" w:eastAsia="Arial" w:hAnsi="Arial"/>
                <w:sz w:val="11"/>
                <w:szCs w:val="11"/>
                <w:color w:val="auto"/>
              </w:rPr>
              <w:t>Salt Lake City, UT 84120</w:t>
            </w:r>
          </w:p>
        </w:tc>
        <w:tc>
          <w:tcPr>
            <w:tcW w:w="20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29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2920" w:type="dxa"/>
            <w:vAlign w:val="bottom"/>
            <w:shd w:val="clear" w:color="auto" w:fill="CCEEFF"/>
          </w:tcPr>
          <w:p>
            <w:pPr>
              <w:spacing w:after="0" w:line="101" w:lineRule="exact"/>
              <w:rPr>
                <w:sz w:val="20"/>
                <w:szCs w:val="20"/>
                <w:color w:val="auto"/>
              </w:rPr>
            </w:pPr>
            <w:r>
              <w:rPr>
                <w:rFonts w:ascii="Arial" w:cs="Arial" w:eastAsia="Arial" w:hAnsi="Arial"/>
                <w:sz w:val="11"/>
                <w:szCs w:val="11"/>
                <w:color w:val="auto"/>
              </w:rPr>
              <w:t>WCP IvyRehab QP CF Feeder, LP</w:t>
            </w:r>
          </w:p>
        </w:tc>
        <w:tc>
          <w:tcPr>
            <w:tcW w:w="2040" w:type="dxa"/>
            <w:vAlign w:val="bottom"/>
            <w:shd w:val="clear" w:color="auto" w:fill="CCEEFF"/>
          </w:tcPr>
          <w:p>
            <w:pPr>
              <w:jc w:val="center"/>
              <w:ind w:left="425"/>
              <w:spacing w:after="0" w:line="101" w:lineRule="exact"/>
              <w:rPr>
                <w:sz w:val="20"/>
                <w:szCs w:val="20"/>
                <w:color w:val="auto"/>
              </w:rPr>
            </w:pPr>
            <w:r>
              <w:rPr>
                <w:rFonts w:ascii="Arial" w:cs="Arial" w:eastAsia="Arial" w:hAnsi="Arial"/>
                <w:sz w:val="11"/>
                <w:szCs w:val="11"/>
                <w:color w:val="auto"/>
                <w:w w:val="90"/>
              </w:rPr>
              <w:t>Healthcare Providers and</w:t>
            </w:r>
          </w:p>
        </w:tc>
        <w:tc>
          <w:tcPr>
            <w:tcW w:w="1820" w:type="dxa"/>
            <w:vAlign w:val="bottom"/>
            <w:shd w:val="clear" w:color="auto" w:fill="CCEEFF"/>
          </w:tcPr>
          <w:p>
            <w:pPr>
              <w:jc w:val="center"/>
              <w:ind w:right="85"/>
              <w:spacing w:after="0" w:line="101" w:lineRule="exact"/>
              <w:rPr>
                <w:sz w:val="20"/>
                <w:szCs w:val="20"/>
                <w:color w:val="auto"/>
              </w:rPr>
            </w:pPr>
            <w:r>
              <w:rPr>
                <w:rFonts w:ascii="Arial" w:cs="Arial" w:eastAsia="Arial" w:hAnsi="Arial"/>
                <w:sz w:val="11"/>
                <w:szCs w:val="11"/>
                <w:color w:val="auto"/>
                <w:w w:val="95"/>
              </w:rPr>
              <w:t>Common Equity(4)</w:t>
            </w:r>
          </w:p>
        </w:tc>
        <w:tc>
          <w:tcPr>
            <w:tcW w:w="940" w:type="dxa"/>
            <w:vAlign w:val="bottom"/>
            <w:shd w:val="clear" w:color="auto" w:fill="CCEEFF"/>
          </w:tcPr>
          <w:p>
            <w:pPr>
              <w:jc w:val="right"/>
              <w:ind w:right="245"/>
              <w:spacing w:after="0" w:line="101" w:lineRule="exact"/>
              <w:rPr>
                <w:sz w:val="20"/>
                <w:szCs w:val="20"/>
                <w:color w:val="auto"/>
              </w:rPr>
            </w:pPr>
            <w:r>
              <w:rPr>
                <w:rFonts w:ascii="Arial" w:cs="Arial" w:eastAsia="Arial" w:hAnsi="Arial"/>
                <w:sz w:val="11"/>
                <w:szCs w:val="11"/>
                <w:color w:val="auto"/>
              </w:rPr>
              <w:t>1.8%</w:t>
            </w:r>
          </w:p>
        </w:tc>
        <w:tc>
          <w:tcPr>
            <w:tcW w:w="16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3,762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20" w:type="dxa"/>
            <w:vAlign w:val="bottom"/>
            <w:shd w:val="clear" w:color="auto" w:fill="CCEEFF"/>
          </w:tcPr>
          <w:p>
            <w:pPr>
              <w:spacing w:after="0" w:line="114" w:lineRule="exact"/>
              <w:rPr>
                <w:sz w:val="20"/>
                <w:szCs w:val="20"/>
                <w:color w:val="auto"/>
              </w:rPr>
            </w:pPr>
            <w:r>
              <w:rPr>
                <w:rFonts w:ascii="Arial" w:cs="Arial" w:eastAsia="Arial" w:hAnsi="Arial"/>
                <w:sz w:val="11"/>
                <w:szCs w:val="11"/>
                <w:color w:val="auto"/>
              </w:rPr>
              <w:t>1311 Mamaroneck Avenue, Suite 140</w:t>
            </w:r>
          </w:p>
        </w:tc>
        <w:tc>
          <w:tcPr>
            <w:tcW w:w="2040" w:type="dxa"/>
            <w:vAlign w:val="bottom"/>
            <w:shd w:val="clear" w:color="auto" w:fill="CCEEFF"/>
          </w:tcPr>
          <w:p>
            <w:pPr>
              <w:jc w:val="center"/>
              <w:ind w:left="445"/>
              <w:spacing w:after="0" w:line="114" w:lineRule="exact"/>
              <w:rPr>
                <w:sz w:val="20"/>
                <w:szCs w:val="20"/>
                <w:color w:val="auto"/>
              </w:rPr>
            </w:pPr>
            <w:r>
              <w:rPr>
                <w:rFonts w:ascii="Arial" w:cs="Arial" w:eastAsia="Arial" w:hAnsi="Arial"/>
                <w:sz w:val="11"/>
                <w:szCs w:val="11"/>
                <w:color w:val="auto"/>
                <w:w w:val="89"/>
              </w:rPr>
              <w:t>Services</w:t>
            </w:r>
          </w:p>
        </w:tc>
        <w:tc>
          <w:tcPr>
            <w:tcW w:w="18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1"/>
                <w:szCs w:val="11"/>
                <w:color w:val="auto"/>
              </w:rPr>
              <w:t>White Plains, NY 10605</w:t>
            </w:r>
          </w:p>
        </w:tc>
        <w:tc>
          <w:tcPr>
            <w:tcW w:w="204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940" w:type="dxa"/>
            <w:vAlign w:val="bottom"/>
            <w:gridSpan w:val="2"/>
          </w:tcPr>
          <w:p>
            <w:pPr>
              <w:spacing w:after="0"/>
              <w:rPr>
                <w:sz w:val="20"/>
                <w:szCs w:val="20"/>
                <w:color w:val="auto"/>
              </w:rPr>
            </w:pPr>
            <w:r>
              <w:rPr>
                <w:rFonts w:ascii="Arial" w:cs="Arial" w:eastAsia="Arial" w:hAnsi="Arial"/>
                <w:sz w:val="11"/>
                <w:szCs w:val="11"/>
                <w:color w:val="auto"/>
              </w:rPr>
              <w:t>Wildcat Buyerco, Inc.</w:t>
            </w:r>
          </w:p>
        </w:tc>
        <w:tc>
          <w:tcPr>
            <w:tcW w:w="2040" w:type="dxa"/>
            <w:vAlign w:val="bottom"/>
          </w:tcPr>
          <w:p>
            <w:pPr>
              <w:jc w:val="center"/>
              <w:ind w:left="425"/>
              <w:spacing w:after="0"/>
              <w:rPr>
                <w:sz w:val="20"/>
                <w:szCs w:val="20"/>
                <w:color w:val="auto"/>
              </w:rPr>
            </w:pPr>
            <w:r>
              <w:rPr>
                <w:rFonts w:ascii="Arial" w:cs="Arial" w:eastAsia="Arial" w:hAnsi="Arial"/>
                <w:sz w:val="11"/>
                <w:szCs w:val="11"/>
                <w:color w:val="auto"/>
                <w:w w:val="93"/>
              </w:rPr>
              <w:t>Electronic Equipment,</w:t>
            </w:r>
          </w:p>
        </w:tc>
        <w:tc>
          <w:tcPr>
            <w:tcW w:w="1820" w:type="dxa"/>
            <w:vAlign w:val="bottom"/>
          </w:tcPr>
          <w:p>
            <w:pPr>
              <w:jc w:val="center"/>
              <w:ind w:right="85"/>
              <w:spacing w:after="0"/>
              <w:rPr>
                <w:sz w:val="20"/>
                <w:szCs w:val="20"/>
                <w:color w:val="auto"/>
              </w:rPr>
            </w:pPr>
            <w:r>
              <w:rPr>
                <w:rFonts w:ascii="Arial" w:cs="Arial" w:eastAsia="Arial" w:hAnsi="Arial"/>
                <w:sz w:val="11"/>
                <w:szCs w:val="11"/>
                <w:color w:val="auto"/>
                <w:w w:val="90"/>
              </w:rPr>
              <w:t>First Lien Secured Debt(4),</w:t>
            </w:r>
          </w:p>
        </w:tc>
        <w:tc>
          <w:tcPr>
            <w:tcW w:w="1100" w:type="dxa"/>
            <w:vAlign w:val="bottom"/>
            <w:gridSpan w:val="2"/>
          </w:tcPr>
          <w:p>
            <w:pPr>
              <w:jc w:val="right"/>
              <w:ind w:right="420"/>
              <w:spacing w:after="0"/>
              <w:rPr>
                <w:sz w:val="20"/>
                <w:szCs w:val="20"/>
                <w:color w:val="auto"/>
              </w:rPr>
            </w:pPr>
            <w:r>
              <w:rPr>
                <w:rFonts w:ascii="Arial" w:cs="Arial" w:eastAsia="Arial" w:hAnsi="Arial"/>
                <w:sz w:val="11"/>
                <w:szCs w:val="11"/>
                <w:color w:val="auto"/>
              </w:rPr>
              <w:t>—(7)</w:t>
            </w: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10,094</w:t>
            </w:r>
          </w:p>
        </w:tc>
        <w:tc>
          <w:tcPr>
            <w:tcW w:w="0" w:type="dxa"/>
            <w:vAlign w:val="bottom"/>
          </w:tcPr>
          <w:p>
            <w:pPr>
              <w:spacing w:after="0"/>
              <w:rPr>
                <w:sz w:val="1"/>
                <w:szCs w:val="1"/>
                <w:color w:val="auto"/>
              </w:rPr>
            </w:pPr>
          </w:p>
        </w:tc>
      </w:tr>
      <w:tr>
        <w:trPr>
          <w:trHeight w:val="114"/>
        </w:trPr>
        <w:tc>
          <w:tcPr>
            <w:tcW w:w="2940" w:type="dxa"/>
            <w:vAlign w:val="bottom"/>
            <w:gridSpan w:val="2"/>
          </w:tcPr>
          <w:p>
            <w:pPr>
              <w:spacing w:after="0" w:line="114" w:lineRule="exact"/>
              <w:rPr>
                <w:sz w:val="20"/>
                <w:szCs w:val="20"/>
                <w:color w:val="auto"/>
              </w:rPr>
            </w:pPr>
            <w:r>
              <w:rPr>
                <w:rFonts w:ascii="Arial" w:cs="Arial" w:eastAsia="Arial" w:hAnsi="Arial"/>
                <w:sz w:val="11"/>
                <w:szCs w:val="11"/>
                <w:color w:val="auto"/>
              </w:rPr>
              <w:t>(Wildcat Parent, LP(5))</w:t>
            </w:r>
          </w:p>
        </w:tc>
        <w:tc>
          <w:tcPr>
            <w:tcW w:w="2040" w:type="dxa"/>
            <w:vAlign w:val="bottom"/>
          </w:tcPr>
          <w:p>
            <w:pPr>
              <w:jc w:val="center"/>
              <w:ind w:left="425"/>
              <w:spacing w:after="0" w:line="114" w:lineRule="exact"/>
              <w:rPr>
                <w:sz w:val="20"/>
                <w:szCs w:val="20"/>
                <w:color w:val="auto"/>
              </w:rPr>
            </w:pPr>
            <w:r>
              <w:rPr>
                <w:rFonts w:ascii="Arial" w:cs="Arial" w:eastAsia="Arial" w:hAnsi="Arial"/>
                <w:sz w:val="11"/>
                <w:szCs w:val="11"/>
                <w:color w:val="auto"/>
                <w:w w:val="91"/>
              </w:rPr>
              <w:t>Instruments and</w:t>
            </w:r>
          </w:p>
        </w:tc>
        <w:tc>
          <w:tcPr>
            <w:tcW w:w="1820" w:type="dxa"/>
            <w:vAlign w:val="bottom"/>
          </w:tcPr>
          <w:p>
            <w:pPr>
              <w:jc w:val="center"/>
              <w:ind w:right="85"/>
              <w:spacing w:after="0" w:line="114" w:lineRule="exact"/>
              <w:rPr>
                <w:sz w:val="20"/>
                <w:szCs w:val="20"/>
                <w:color w:val="auto"/>
              </w:rPr>
            </w:pPr>
            <w:r>
              <w:rPr>
                <w:rFonts w:ascii="Arial" w:cs="Arial" w:eastAsia="Arial" w:hAnsi="Arial"/>
                <w:sz w:val="11"/>
                <w:szCs w:val="11"/>
                <w:color w:val="auto"/>
                <w:w w:val="94"/>
              </w:rPr>
              <w:t>3M L+575, 02/27/2026</w:t>
            </w: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940" w:type="dxa"/>
            <w:vAlign w:val="bottom"/>
            <w:gridSpan w:val="2"/>
          </w:tcPr>
          <w:p>
            <w:pPr>
              <w:spacing w:after="0" w:line="114" w:lineRule="exact"/>
              <w:rPr>
                <w:sz w:val="20"/>
                <w:szCs w:val="20"/>
                <w:color w:val="auto"/>
              </w:rPr>
            </w:pPr>
            <w:r>
              <w:rPr>
                <w:rFonts w:ascii="Arial" w:cs="Arial" w:eastAsia="Arial" w:hAnsi="Arial"/>
                <w:sz w:val="11"/>
                <w:szCs w:val="11"/>
                <w:color w:val="auto"/>
              </w:rPr>
              <w:t>9730 Northcross Center Court</w:t>
            </w:r>
          </w:p>
        </w:tc>
        <w:tc>
          <w:tcPr>
            <w:tcW w:w="2040" w:type="dxa"/>
            <w:vAlign w:val="bottom"/>
          </w:tcPr>
          <w:p>
            <w:pPr>
              <w:jc w:val="center"/>
              <w:ind w:left="425"/>
              <w:spacing w:after="0" w:line="114" w:lineRule="exact"/>
              <w:rPr>
                <w:sz w:val="20"/>
                <w:szCs w:val="20"/>
                <w:color w:val="auto"/>
              </w:rPr>
            </w:pPr>
            <w:r>
              <w:rPr>
                <w:rFonts w:ascii="Arial" w:cs="Arial" w:eastAsia="Arial" w:hAnsi="Arial"/>
                <w:sz w:val="11"/>
                <w:szCs w:val="11"/>
                <w:color w:val="auto"/>
                <w:w w:val="89"/>
              </w:rPr>
              <w:t>Components</w:t>
            </w:r>
          </w:p>
        </w:tc>
        <w:tc>
          <w:tcPr>
            <w:tcW w:w="1820" w:type="dxa"/>
            <w:vAlign w:val="bottom"/>
          </w:tcPr>
          <w:p>
            <w:pPr>
              <w:jc w:val="center"/>
              <w:ind w:right="85"/>
              <w:spacing w:after="0" w:line="114" w:lineRule="exact"/>
              <w:rPr>
                <w:sz w:val="20"/>
                <w:szCs w:val="20"/>
                <w:color w:val="auto"/>
              </w:rPr>
            </w:pPr>
            <w:r>
              <w:rPr>
                <w:rFonts w:ascii="Arial" w:cs="Arial" w:eastAsia="Arial" w:hAnsi="Arial"/>
                <w:sz w:val="11"/>
                <w:szCs w:val="11"/>
                <w:color w:val="auto"/>
                <w:w w:val="91"/>
              </w:rPr>
              <w:t>Common Equity</w:t>
            </w: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940" w:type="dxa"/>
            <w:vAlign w:val="bottom"/>
            <w:gridSpan w:val="2"/>
          </w:tcPr>
          <w:p>
            <w:pPr>
              <w:spacing w:after="0"/>
              <w:rPr>
                <w:sz w:val="20"/>
                <w:szCs w:val="20"/>
                <w:color w:val="auto"/>
              </w:rPr>
            </w:pPr>
            <w:r>
              <w:rPr>
                <w:rFonts w:ascii="Arial" w:cs="Arial" w:eastAsia="Arial" w:hAnsi="Arial"/>
                <w:sz w:val="11"/>
                <w:szCs w:val="11"/>
                <w:color w:val="auto"/>
              </w:rPr>
              <w:t>Huntersville, NC 28078</w:t>
            </w:r>
          </w:p>
        </w:tc>
        <w:tc>
          <w:tcPr>
            <w:tcW w:w="20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29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2920" w:type="dxa"/>
            <w:vAlign w:val="bottom"/>
            <w:shd w:val="clear" w:color="auto" w:fill="CCEEFF"/>
          </w:tcPr>
          <w:p>
            <w:pPr>
              <w:spacing w:after="0" w:line="101" w:lineRule="exact"/>
              <w:rPr>
                <w:sz w:val="20"/>
                <w:szCs w:val="20"/>
                <w:color w:val="auto"/>
              </w:rPr>
            </w:pPr>
            <w:r>
              <w:rPr>
                <w:rFonts w:ascii="Arial" w:cs="Arial" w:eastAsia="Arial" w:hAnsi="Arial"/>
                <w:sz w:val="11"/>
                <w:szCs w:val="11"/>
                <w:color w:val="auto"/>
              </w:rPr>
              <w:t>Zips Car Wash, LLC</w:t>
            </w:r>
          </w:p>
        </w:tc>
        <w:tc>
          <w:tcPr>
            <w:tcW w:w="2040" w:type="dxa"/>
            <w:vAlign w:val="bottom"/>
            <w:shd w:val="clear" w:color="auto" w:fill="CCEEFF"/>
          </w:tcPr>
          <w:p>
            <w:pPr>
              <w:jc w:val="center"/>
              <w:ind w:left="425"/>
              <w:spacing w:after="0" w:line="101" w:lineRule="exact"/>
              <w:rPr>
                <w:sz w:val="20"/>
                <w:szCs w:val="20"/>
                <w:color w:val="auto"/>
              </w:rPr>
            </w:pPr>
            <w:r>
              <w:rPr>
                <w:rFonts w:ascii="Arial" w:cs="Arial" w:eastAsia="Arial" w:hAnsi="Arial"/>
                <w:sz w:val="11"/>
                <w:szCs w:val="11"/>
                <w:color w:val="auto"/>
                <w:w w:val="92"/>
              </w:rPr>
              <w:t>Automobiles</w:t>
            </w:r>
          </w:p>
        </w:tc>
        <w:tc>
          <w:tcPr>
            <w:tcW w:w="1820" w:type="dxa"/>
            <w:vAlign w:val="bottom"/>
            <w:shd w:val="clear" w:color="auto" w:fill="CCEEFF"/>
          </w:tcPr>
          <w:p>
            <w:pPr>
              <w:jc w:val="center"/>
              <w:ind w:right="85"/>
              <w:spacing w:after="0" w:line="101" w:lineRule="exact"/>
              <w:rPr>
                <w:sz w:val="20"/>
                <w:szCs w:val="20"/>
                <w:color w:val="auto"/>
              </w:rPr>
            </w:pPr>
            <w:r>
              <w:rPr>
                <w:rFonts w:ascii="Arial" w:cs="Arial" w:eastAsia="Arial" w:hAnsi="Arial"/>
                <w:sz w:val="11"/>
                <w:szCs w:val="11"/>
                <w:color w:val="auto"/>
                <w:w w:val="91"/>
              </w:rPr>
              <w:t>First Lien Secured Debt,</w:t>
            </w:r>
          </w:p>
        </w:tc>
        <w:tc>
          <w:tcPr>
            <w:tcW w:w="1100" w:type="dxa"/>
            <w:vAlign w:val="bottom"/>
            <w:gridSpan w:val="2"/>
            <w:shd w:val="clear" w:color="auto" w:fill="CCEEFF"/>
          </w:tcPr>
          <w:p>
            <w:pPr>
              <w:jc w:val="right"/>
              <w:ind w:right="600"/>
              <w:spacing w:after="0" w:line="101"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13,092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20" w:type="dxa"/>
            <w:vAlign w:val="bottom"/>
            <w:shd w:val="clear" w:color="auto" w:fill="CCEEFF"/>
          </w:tcPr>
          <w:p>
            <w:pPr>
              <w:spacing w:after="0" w:line="114" w:lineRule="exact"/>
              <w:rPr>
                <w:sz w:val="20"/>
                <w:szCs w:val="20"/>
                <w:color w:val="auto"/>
              </w:rPr>
            </w:pPr>
            <w:r>
              <w:rPr>
                <w:rFonts w:ascii="Arial" w:cs="Arial" w:eastAsia="Arial" w:hAnsi="Arial"/>
                <w:sz w:val="11"/>
                <w:szCs w:val="11"/>
                <w:color w:val="auto"/>
              </w:rPr>
              <w:t>1809 East Parker Road</w:t>
            </w:r>
          </w:p>
        </w:tc>
        <w:tc>
          <w:tcPr>
            <w:tcW w:w="2040" w:type="dxa"/>
            <w:vAlign w:val="bottom"/>
            <w:shd w:val="clear" w:color="auto" w:fill="CCEEFF"/>
          </w:tcPr>
          <w:p>
            <w:pPr>
              <w:spacing w:after="0"/>
              <w:rPr>
                <w:sz w:val="9"/>
                <w:szCs w:val="9"/>
                <w:color w:val="auto"/>
              </w:rPr>
            </w:pPr>
          </w:p>
        </w:tc>
        <w:tc>
          <w:tcPr>
            <w:tcW w:w="1820" w:type="dxa"/>
            <w:vAlign w:val="bottom"/>
            <w:shd w:val="clear" w:color="auto" w:fill="CCEEFF"/>
          </w:tcPr>
          <w:p>
            <w:pPr>
              <w:jc w:val="center"/>
              <w:ind w:right="85"/>
              <w:spacing w:after="0" w:line="114" w:lineRule="exact"/>
              <w:rPr>
                <w:sz w:val="20"/>
                <w:szCs w:val="20"/>
                <w:color w:val="auto"/>
              </w:rPr>
            </w:pPr>
            <w:r>
              <w:rPr>
                <w:rFonts w:ascii="Arial" w:cs="Arial" w:eastAsia="Arial" w:hAnsi="Arial"/>
                <w:sz w:val="11"/>
                <w:szCs w:val="11"/>
                <w:color w:val="auto"/>
                <w:w w:val="94"/>
              </w:rPr>
              <w:t>3M L+725, 03/01/2024</w:t>
            </w:r>
          </w:p>
        </w:tc>
        <w:tc>
          <w:tcPr>
            <w:tcW w:w="9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1"/>
                <w:szCs w:val="11"/>
                <w:color w:val="auto"/>
              </w:rPr>
              <w:t>Jonesboro, AR 72404</w:t>
            </w:r>
          </w:p>
        </w:tc>
        <w:tc>
          <w:tcPr>
            <w:tcW w:w="204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940" w:type="dxa"/>
            <w:vAlign w:val="bottom"/>
            <w:gridSpan w:val="2"/>
          </w:tcPr>
          <w:p>
            <w:pPr>
              <w:spacing w:after="0"/>
              <w:rPr>
                <w:sz w:val="20"/>
                <w:szCs w:val="20"/>
                <w:color w:val="auto"/>
              </w:rPr>
            </w:pPr>
            <w:r>
              <w:rPr>
                <w:rFonts w:ascii="Arial" w:cs="Arial" w:eastAsia="Arial" w:hAnsi="Arial"/>
                <w:sz w:val="11"/>
                <w:szCs w:val="11"/>
                <w:b w:val="1"/>
                <w:bCs w:val="1"/>
                <w:color w:val="auto"/>
              </w:rPr>
              <w:t>Companies 25% or More Owned</w:t>
            </w:r>
          </w:p>
        </w:tc>
        <w:tc>
          <w:tcPr>
            <w:tcW w:w="20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920" w:type="dxa"/>
            <w:vAlign w:val="bottom"/>
            <w:shd w:val="clear" w:color="auto" w:fill="CCEEFF"/>
          </w:tcPr>
          <w:p>
            <w:pPr>
              <w:spacing w:after="0" w:line="101" w:lineRule="exact"/>
              <w:rPr>
                <w:sz w:val="20"/>
                <w:szCs w:val="20"/>
                <w:color w:val="auto"/>
              </w:rPr>
            </w:pPr>
            <w:r>
              <w:rPr>
                <w:rFonts w:ascii="Arial" w:cs="Arial" w:eastAsia="Arial" w:hAnsi="Arial"/>
                <w:sz w:val="11"/>
                <w:szCs w:val="11"/>
                <w:color w:val="auto"/>
              </w:rPr>
              <w:t>Marketplace Events, LLC</w:t>
            </w:r>
          </w:p>
        </w:tc>
        <w:tc>
          <w:tcPr>
            <w:tcW w:w="2040" w:type="dxa"/>
            <w:vAlign w:val="bottom"/>
            <w:shd w:val="clear" w:color="auto" w:fill="CCEEFF"/>
          </w:tcPr>
          <w:p>
            <w:pPr>
              <w:jc w:val="center"/>
              <w:ind w:left="445"/>
              <w:spacing w:after="0" w:line="101" w:lineRule="exact"/>
              <w:rPr>
                <w:sz w:val="20"/>
                <w:szCs w:val="20"/>
                <w:color w:val="auto"/>
              </w:rPr>
            </w:pPr>
            <w:r>
              <w:rPr>
                <w:rFonts w:ascii="Arial" w:cs="Arial" w:eastAsia="Arial" w:hAnsi="Arial"/>
                <w:sz w:val="11"/>
                <w:szCs w:val="11"/>
                <w:color w:val="auto"/>
                <w:w w:val="93"/>
              </w:rPr>
              <w:t>Media: Diversified and</w:t>
            </w:r>
          </w:p>
        </w:tc>
        <w:tc>
          <w:tcPr>
            <w:tcW w:w="1820" w:type="dxa"/>
            <w:vAlign w:val="bottom"/>
            <w:shd w:val="clear" w:color="auto" w:fill="CCEEFF"/>
          </w:tcPr>
          <w:p>
            <w:pPr>
              <w:jc w:val="center"/>
              <w:ind w:right="85"/>
              <w:spacing w:after="0" w:line="101" w:lineRule="exact"/>
              <w:rPr>
                <w:sz w:val="20"/>
                <w:szCs w:val="20"/>
                <w:color w:val="auto"/>
              </w:rPr>
            </w:pPr>
            <w:r>
              <w:rPr>
                <w:rFonts w:ascii="Arial" w:cs="Arial" w:eastAsia="Arial" w:hAnsi="Arial"/>
                <w:sz w:val="11"/>
                <w:szCs w:val="11"/>
                <w:color w:val="auto"/>
                <w:w w:val="90"/>
              </w:rPr>
              <w:t>First Lien Secured Debt(4),</w:t>
            </w:r>
          </w:p>
        </w:tc>
        <w:tc>
          <w:tcPr>
            <w:tcW w:w="940" w:type="dxa"/>
            <w:vAlign w:val="bottom"/>
            <w:shd w:val="clear" w:color="auto" w:fill="CCEEFF"/>
          </w:tcPr>
          <w:p>
            <w:pPr>
              <w:jc w:val="right"/>
              <w:ind w:right="105"/>
              <w:spacing w:after="0" w:line="101" w:lineRule="exact"/>
              <w:rPr>
                <w:sz w:val="20"/>
                <w:szCs w:val="20"/>
                <w:color w:val="auto"/>
              </w:rPr>
            </w:pPr>
            <w:r>
              <w:rPr>
                <w:rFonts w:ascii="Arial" w:cs="Arial" w:eastAsia="Arial" w:hAnsi="Arial"/>
                <w:sz w:val="11"/>
                <w:szCs w:val="11"/>
                <w:color w:val="auto"/>
              </w:rPr>
              <w:t>32.6%(3)</w:t>
            </w:r>
          </w:p>
        </w:tc>
        <w:tc>
          <w:tcPr>
            <w:tcW w:w="16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11"/>
                <w:szCs w:val="11"/>
                <w:color w:val="auto"/>
              </w:rPr>
              <w:t>31,389</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20" w:type="dxa"/>
            <w:vAlign w:val="bottom"/>
            <w:shd w:val="clear" w:color="auto" w:fill="CCEEFF"/>
          </w:tcPr>
          <w:p>
            <w:pPr>
              <w:spacing w:after="0" w:line="114" w:lineRule="exact"/>
              <w:rPr>
                <w:sz w:val="20"/>
                <w:szCs w:val="20"/>
                <w:color w:val="auto"/>
              </w:rPr>
            </w:pPr>
            <w:r>
              <w:rPr>
                <w:rFonts w:ascii="Arial" w:cs="Arial" w:eastAsia="Arial" w:hAnsi="Arial"/>
                <w:sz w:val="11"/>
                <w:szCs w:val="11"/>
                <w:color w:val="auto"/>
              </w:rPr>
              <w:t>(New MPE Holdings, LLC(5))</w:t>
            </w:r>
          </w:p>
        </w:tc>
        <w:tc>
          <w:tcPr>
            <w:tcW w:w="2040" w:type="dxa"/>
            <w:vAlign w:val="bottom"/>
            <w:shd w:val="clear" w:color="auto" w:fill="CCEEFF"/>
          </w:tcPr>
          <w:p>
            <w:pPr>
              <w:jc w:val="center"/>
              <w:ind w:left="425"/>
              <w:spacing w:after="0" w:line="114" w:lineRule="exact"/>
              <w:rPr>
                <w:sz w:val="20"/>
                <w:szCs w:val="20"/>
                <w:color w:val="auto"/>
              </w:rPr>
            </w:pPr>
            <w:r>
              <w:rPr>
                <w:rFonts w:ascii="Arial" w:cs="Arial" w:eastAsia="Arial" w:hAnsi="Arial"/>
                <w:sz w:val="11"/>
                <w:szCs w:val="11"/>
                <w:color w:val="auto"/>
                <w:w w:val="91"/>
              </w:rPr>
              <w:t>Production</w:t>
            </w:r>
          </w:p>
        </w:tc>
        <w:tc>
          <w:tcPr>
            <w:tcW w:w="1820" w:type="dxa"/>
            <w:vAlign w:val="bottom"/>
            <w:shd w:val="clear" w:color="auto" w:fill="CCEEFF"/>
          </w:tcPr>
          <w:p>
            <w:pPr>
              <w:jc w:val="center"/>
              <w:ind w:right="85"/>
              <w:spacing w:after="0" w:line="114" w:lineRule="exact"/>
              <w:rPr>
                <w:sz w:val="20"/>
                <w:szCs w:val="20"/>
                <w:color w:val="auto"/>
              </w:rPr>
            </w:pPr>
            <w:r>
              <w:rPr>
                <w:rFonts w:ascii="Arial" w:cs="Arial" w:eastAsia="Arial" w:hAnsi="Arial"/>
                <w:sz w:val="11"/>
                <w:szCs w:val="11"/>
                <w:color w:val="auto"/>
                <w:w w:val="94"/>
              </w:rPr>
              <w:t>3M L+525 (PIK 5.25%),</w:t>
            </w:r>
          </w:p>
        </w:tc>
        <w:tc>
          <w:tcPr>
            <w:tcW w:w="9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20" w:type="dxa"/>
            <w:vAlign w:val="bottom"/>
            <w:shd w:val="clear" w:color="auto" w:fill="CCEEFF"/>
          </w:tcPr>
          <w:p>
            <w:pPr>
              <w:spacing w:after="0" w:line="114" w:lineRule="exact"/>
              <w:rPr>
                <w:sz w:val="20"/>
                <w:szCs w:val="20"/>
                <w:color w:val="auto"/>
              </w:rPr>
            </w:pPr>
            <w:r>
              <w:rPr>
                <w:rFonts w:ascii="Arial" w:cs="Arial" w:eastAsia="Arial" w:hAnsi="Arial"/>
                <w:sz w:val="11"/>
                <w:szCs w:val="11"/>
                <w:color w:val="auto"/>
              </w:rPr>
              <w:t>31105 Bainbridge Road, Suite 3</w:t>
            </w:r>
          </w:p>
        </w:tc>
        <w:tc>
          <w:tcPr>
            <w:tcW w:w="2040" w:type="dxa"/>
            <w:vAlign w:val="bottom"/>
            <w:shd w:val="clear" w:color="auto" w:fill="CCEEFF"/>
          </w:tcPr>
          <w:p>
            <w:pPr>
              <w:spacing w:after="0"/>
              <w:rPr>
                <w:sz w:val="9"/>
                <w:szCs w:val="9"/>
                <w:color w:val="auto"/>
              </w:rPr>
            </w:pPr>
          </w:p>
        </w:tc>
        <w:tc>
          <w:tcPr>
            <w:tcW w:w="1820" w:type="dxa"/>
            <w:vAlign w:val="bottom"/>
            <w:shd w:val="clear" w:color="auto" w:fill="CCEEFF"/>
          </w:tcPr>
          <w:p>
            <w:pPr>
              <w:jc w:val="center"/>
              <w:ind w:right="85"/>
              <w:spacing w:after="0" w:line="114" w:lineRule="exact"/>
              <w:rPr>
                <w:sz w:val="20"/>
                <w:szCs w:val="20"/>
                <w:color w:val="auto"/>
              </w:rPr>
            </w:pPr>
            <w:r>
              <w:rPr>
                <w:rFonts w:ascii="Arial" w:cs="Arial" w:eastAsia="Arial" w:hAnsi="Arial"/>
                <w:sz w:val="11"/>
                <w:szCs w:val="11"/>
                <w:color w:val="auto"/>
                <w:w w:val="94"/>
              </w:rPr>
              <w:t>09/30/2026</w:t>
            </w:r>
          </w:p>
        </w:tc>
        <w:tc>
          <w:tcPr>
            <w:tcW w:w="9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1"/>
                <w:szCs w:val="11"/>
                <w:color w:val="auto"/>
              </w:rPr>
              <w:t>Solon, OH 44139</w:t>
            </w:r>
          </w:p>
        </w:tc>
        <w:tc>
          <w:tcPr>
            <w:tcW w:w="2040" w:type="dxa"/>
            <w:vAlign w:val="bottom"/>
            <w:shd w:val="clear" w:color="auto" w:fill="CCEEFF"/>
          </w:tcPr>
          <w:p>
            <w:pPr>
              <w:spacing w:after="0"/>
              <w:rPr>
                <w:sz w:val="11"/>
                <w:szCs w:val="11"/>
                <w:color w:val="auto"/>
              </w:rPr>
            </w:pPr>
          </w:p>
        </w:tc>
        <w:tc>
          <w:tcPr>
            <w:tcW w:w="1820" w:type="dxa"/>
            <w:vAlign w:val="bottom"/>
            <w:shd w:val="clear" w:color="auto" w:fill="CCEEFF"/>
          </w:tcPr>
          <w:p>
            <w:pPr>
              <w:jc w:val="center"/>
              <w:ind w:right="85"/>
              <w:spacing w:after="0"/>
              <w:rPr>
                <w:sz w:val="20"/>
                <w:szCs w:val="20"/>
                <w:color w:val="auto"/>
              </w:rPr>
            </w:pPr>
            <w:r>
              <w:rPr>
                <w:rFonts w:ascii="Arial" w:cs="Arial" w:eastAsia="Arial" w:hAnsi="Arial"/>
                <w:sz w:val="11"/>
                <w:szCs w:val="11"/>
                <w:color w:val="auto"/>
                <w:w w:val="91"/>
              </w:rPr>
              <w:t>Common Equity</w:t>
            </w: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940" w:type="dxa"/>
            <w:vAlign w:val="bottom"/>
            <w:gridSpan w:val="2"/>
          </w:tcPr>
          <w:p>
            <w:pPr>
              <w:spacing w:after="0"/>
              <w:rPr>
                <w:sz w:val="20"/>
                <w:szCs w:val="20"/>
                <w:color w:val="auto"/>
              </w:rPr>
            </w:pPr>
            <w:r>
              <w:rPr>
                <w:rFonts w:ascii="Arial" w:cs="Arial" w:eastAsia="Arial" w:hAnsi="Arial"/>
                <w:sz w:val="11"/>
                <w:szCs w:val="11"/>
                <w:color w:val="auto"/>
              </w:rPr>
              <w:t>PennantPark Senior Secured Loan Fund I, LLC(6)</w:t>
            </w:r>
          </w:p>
        </w:tc>
        <w:tc>
          <w:tcPr>
            <w:tcW w:w="2040" w:type="dxa"/>
            <w:vAlign w:val="bottom"/>
          </w:tcPr>
          <w:p>
            <w:pPr>
              <w:jc w:val="center"/>
              <w:ind w:left="445"/>
              <w:spacing w:after="0"/>
              <w:rPr>
                <w:sz w:val="20"/>
                <w:szCs w:val="20"/>
                <w:color w:val="auto"/>
              </w:rPr>
            </w:pPr>
            <w:r>
              <w:rPr>
                <w:rFonts w:ascii="Arial" w:cs="Arial" w:eastAsia="Arial" w:hAnsi="Arial"/>
                <w:sz w:val="11"/>
                <w:szCs w:val="11"/>
                <w:color w:val="auto"/>
                <w:w w:val="91"/>
              </w:rPr>
              <w:t>Financial Services</w:t>
            </w:r>
          </w:p>
        </w:tc>
        <w:tc>
          <w:tcPr>
            <w:tcW w:w="1820" w:type="dxa"/>
            <w:vAlign w:val="bottom"/>
          </w:tcPr>
          <w:p>
            <w:pPr>
              <w:jc w:val="center"/>
              <w:ind w:right="85"/>
              <w:spacing w:after="0"/>
              <w:rPr>
                <w:sz w:val="20"/>
                <w:szCs w:val="20"/>
                <w:color w:val="auto"/>
              </w:rPr>
            </w:pPr>
            <w:r>
              <w:rPr>
                <w:rFonts w:ascii="Arial" w:cs="Arial" w:eastAsia="Arial" w:hAnsi="Arial"/>
                <w:sz w:val="11"/>
                <w:szCs w:val="11"/>
                <w:color w:val="auto"/>
                <w:w w:val="91"/>
              </w:rPr>
              <w:t>First Lien Secured Debt,</w:t>
            </w:r>
          </w:p>
        </w:tc>
        <w:tc>
          <w:tcPr>
            <w:tcW w:w="940" w:type="dxa"/>
            <w:vAlign w:val="bottom"/>
          </w:tcPr>
          <w:p>
            <w:pPr>
              <w:jc w:val="right"/>
              <w:ind w:right="105"/>
              <w:spacing w:after="0"/>
              <w:rPr>
                <w:sz w:val="20"/>
                <w:szCs w:val="20"/>
                <w:color w:val="auto"/>
              </w:rPr>
            </w:pPr>
            <w:r>
              <w:rPr>
                <w:rFonts w:ascii="Arial" w:cs="Arial" w:eastAsia="Arial" w:hAnsi="Arial"/>
                <w:sz w:val="11"/>
                <w:szCs w:val="11"/>
                <w:color w:val="auto"/>
              </w:rPr>
              <w:t>50.0%(3)</w:t>
            </w:r>
          </w:p>
        </w:tc>
        <w:tc>
          <w:tcPr>
            <w:tcW w:w="16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239,615</w:t>
            </w:r>
          </w:p>
        </w:tc>
        <w:tc>
          <w:tcPr>
            <w:tcW w:w="0" w:type="dxa"/>
            <w:vAlign w:val="bottom"/>
          </w:tcPr>
          <w:p>
            <w:pPr>
              <w:spacing w:after="0"/>
              <w:rPr>
                <w:sz w:val="1"/>
                <w:szCs w:val="1"/>
                <w:color w:val="auto"/>
              </w:rPr>
            </w:pPr>
          </w:p>
        </w:tc>
      </w:tr>
      <w:tr>
        <w:trPr>
          <w:trHeight w:val="114"/>
        </w:trPr>
        <w:tc>
          <w:tcPr>
            <w:tcW w:w="2940" w:type="dxa"/>
            <w:vAlign w:val="bottom"/>
            <w:gridSpan w:val="2"/>
          </w:tcPr>
          <w:p>
            <w:pPr>
              <w:spacing w:after="0" w:line="114" w:lineRule="exact"/>
              <w:rPr>
                <w:sz w:val="20"/>
                <w:szCs w:val="20"/>
                <w:color w:val="auto"/>
              </w:rPr>
            </w:pPr>
            <w:r>
              <w:rPr>
                <w:rFonts w:ascii="Arial" w:cs="Arial" w:eastAsia="Arial" w:hAnsi="Arial"/>
                <w:sz w:val="11"/>
                <w:szCs w:val="11"/>
                <w:color w:val="auto"/>
              </w:rPr>
              <w:t>1691 Michigan Avenue</w:t>
            </w:r>
          </w:p>
        </w:tc>
        <w:tc>
          <w:tcPr>
            <w:tcW w:w="2040" w:type="dxa"/>
            <w:vAlign w:val="bottom"/>
          </w:tcPr>
          <w:p>
            <w:pPr>
              <w:spacing w:after="0"/>
              <w:rPr>
                <w:sz w:val="9"/>
                <w:szCs w:val="9"/>
                <w:color w:val="auto"/>
              </w:rPr>
            </w:pPr>
          </w:p>
        </w:tc>
        <w:tc>
          <w:tcPr>
            <w:tcW w:w="1820" w:type="dxa"/>
            <w:vAlign w:val="bottom"/>
          </w:tcPr>
          <w:p>
            <w:pPr>
              <w:jc w:val="center"/>
              <w:ind w:right="85"/>
              <w:spacing w:after="0" w:line="114" w:lineRule="exact"/>
              <w:rPr>
                <w:sz w:val="20"/>
                <w:szCs w:val="20"/>
                <w:color w:val="auto"/>
              </w:rPr>
            </w:pPr>
            <w:r>
              <w:rPr>
                <w:rFonts w:ascii="Arial" w:cs="Arial" w:eastAsia="Arial" w:hAnsi="Arial"/>
                <w:sz w:val="11"/>
                <w:szCs w:val="11"/>
                <w:color w:val="auto"/>
                <w:w w:val="94"/>
              </w:rPr>
              <w:t>3M L+800, 05/06/2024</w:t>
            </w: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940" w:type="dxa"/>
            <w:vAlign w:val="bottom"/>
            <w:gridSpan w:val="2"/>
          </w:tcPr>
          <w:p>
            <w:pPr>
              <w:spacing w:after="0"/>
              <w:rPr>
                <w:sz w:val="20"/>
                <w:szCs w:val="20"/>
                <w:color w:val="auto"/>
              </w:rPr>
            </w:pPr>
            <w:r>
              <w:rPr>
                <w:rFonts w:ascii="Arial" w:cs="Arial" w:eastAsia="Arial" w:hAnsi="Arial"/>
                <w:sz w:val="11"/>
                <w:szCs w:val="11"/>
                <w:color w:val="auto"/>
              </w:rPr>
              <w:t>Miami, FL 33139</w:t>
            </w:r>
          </w:p>
        </w:tc>
        <w:tc>
          <w:tcPr>
            <w:tcW w:w="2040" w:type="dxa"/>
            <w:vAlign w:val="bottom"/>
          </w:tcPr>
          <w:p>
            <w:pPr>
              <w:spacing w:after="0"/>
              <w:rPr>
                <w:sz w:val="12"/>
                <w:szCs w:val="12"/>
                <w:color w:val="auto"/>
              </w:rPr>
            </w:pPr>
          </w:p>
        </w:tc>
        <w:tc>
          <w:tcPr>
            <w:tcW w:w="1820" w:type="dxa"/>
            <w:vAlign w:val="bottom"/>
          </w:tcPr>
          <w:p>
            <w:pPr>
              <w:jc w:val="center"/>
              <w:ind w:right="85"/>
              <w:spacing w:after="0"/>
              <w:rPr>
                <w:sz w:val="20"/>
                <w:szCs w:val="20"/>
                <w:color w:val="auto"/>
              </w:rPr>
            </w:pPr>
            <w:r>
              <w:rPr>
                <w:rFonts w:ascii="Arial" w:cs="Arial" w:eastAsia="Arial" w:hAnsi="Arial"/>
                <w:sz w:val="11"/>
                <w:szCs w:val="11"/>
                <w:color w:val="auto"/>
                <w:w w:val="91"/>
              </w:rPr>
              <w:t>Common Equity</w:t>
            </w:r>
          </w:p>
        </w:tc>
        <w:tc>
          <w:tcPr>
            <w:tcW w:w="9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20" w:type="dxa"/>
            <w:vAlign w:val="bottom"/>
            <w:shd w:val="clear" w:color="auto" w:fill="CCEEFF"/>
          </w:tcPr>
          <w:p>
            <w:pPr>
              <w:spacing w:after="0" w:line="114" w:lineRule="exact"/>
              <w:rPr>
                <w:sz w:val="20"/>
                <w:szCs w:val="20"/>
                <w:color w:val="auto"/>
              </w:rPr>
            </w:pPr>
            <w:r>
              <w:rPr>
                <w:rFonts w:ascii="Arial" w:cs="Arial" w:eastAsia="Arial" w:hAnsi="Arial"/>
                <w:sz w:val="11"/>
                <w:szCs w:val="11"/>
                <w:color w:val="auto"/>
              </w:rPr>
              <w:t>Total Investments</w:t>
            </w:r>
          </w:p>
        </w:tc>
        <w:tc>
          <w:tcPr>
            <w:tcW w:w="2040" w:type="dxa"/>
            <w:vAlign w:val="bottom"/>
            <w:shd w:val="clear" w:color="auto" w:fill="CCEEFF"/>
          </w:tcPr>
          <w:p>
            <w:pPr>
              <w:spacing w:after="0"/>
              <w:rPr>
                <w:sz w:val="9"/>
                <w:szCs w:val="9"/>
                <w:color w:val="auto"/>
              </w:rPr>
            </w:pPr>
          </w:p>
        </w:tc>
        <w:tc>
          <w:tcPr>
            <w:tcW w:w="1820" w:type="dxa"/>
            <w:vAlign w:val="bottom"/>
            <w:shd w:val="clear" w:color="auto" w:fill="CCEEFF"/>
          </w:tcPr>
          <w:p>
            <w:pPr>
              <w:spacing w:after="0"/>
              <w:rPr>
                <w:sz w:val="9"/>
                <w:szCs w:val="9"/>
                <w:color w:val="auto"/>
              </w:rPr>
            </w:pPr>
          </w:p>
        </w:tc>
        <w:tc>
          <w:tcPr>
            <w:tcW w:w="1100" w:type="dxa"/>
            <w:vAlign w:val="bottom"/>
            <w:gridSpan w:val="2"/>
            <w:shd w:val="clear" w:color="auto" w:fill="CCEEFF"/>
          </w:tcPr>
          <w:p>
            <w:pPr>
              <w:jc w:val="right"/>
              <w:ind w:right="100"/>
              <w:spacing w:after="0" w:line="114"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1,164,254</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600" w:right="319" w:hanging="327"/>
        <w:spacing w:after="0" w:line="218" w:lineRule="auto"/>
        <w:tabs>
          <w:tab w:leader="none" w:pos="6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London Interbank Offered Rate, or LIBOR or “L,” the Euro Interbank Offered Rate, or EURIBOR or “E,” , or Secured Overnight Financing Rate, or “SOFR”, or Prime rate, or “P.” The spread may change based on the type of rate used. The terms disclosed are the actual interest rate in effect as 09/30/2022. LIBOR loans are typically indexed to a 30-day, 90-day or 180-day LIBOR rate (1M L, 3M L, or 6M L, respectively), and EURIBOR loans are typically indexed to a 90-day EURIBOR rate (3M E), SOFR loans are typically indexed to a 30-day, 90-day or 180-day SOFR rates (1M L, 3M L, or 6M L, respectively) at the borrower’s option. All securities are subject to a LIBOR, SOFR or Prime rate floor where a spread is provided, unless noted. The spread provided includes PIK interest and other fee rates, if any.</w:t>
      </w:r>
    </w:p>
    <w:p>
      <w:pPr>
        <w:spacing w:after="0" w:line="3" w:lineRule="exact"/>
        <w:rPr>
          <w:rFonts w:ascii="Arial" w:cs="Arial" w:eastAsia="Arial" w:hAnsi="Arial"/>
          <w:sz w:val="11"/>
          <w:szCs w:val="11"/>
          <w:color w:val="auto"/>
        </w:rPr>
      </w:pPr>
    </w:p>
    <w:p>
      <w:pPr>
        <w:ind w:left="600" w:hanging="327"/>
        <w:spacing w:after="0" w:line="216" w:lineRule="auto"/>
        <w:tabs>
          <w:tab w:leader="none" w:pos="6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Voting ownership percentage refers only to common equity, preferred equity and warrants held, if any, were we to have voting rights.</w:t>
      </w:r>
    </w:p>
    <w:p>
      <w:pPr>
        <w:ind w:left="600" w:hanging="327"/>
        <w:spacing w:after="0" w:line="216" w:lineRule="auto"/>
        <w:tabs>
          <w:tab w:leader="none" w:pos="6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We hold one or more voting seats on the portfolio company’s board of directors/managers.</w:t>
      </w:r>
    </w:p>
    <w:p>
      <w:pPr>
        <w:ind w:left="600" w:right="319" w:hanging="327"/>
        <w:spacing w:after="0" w:line="216" w:lineRule="auto"/>
        <w:tabs>
          <w:tab w:leader="none" w:pos="6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Includes the purchase of a security with delayed settlement or a revolving line of credit that is currently an unfunded investment, that does not earn a basis point spread above an index while it is unfunded.</w:t>
      </w:r>
    </w:p>
    <w:p>
      <w:pPr>
        <w:ind w:left="600" w:hanging="327"/>
        <w:spacing w:after="0" w:line="216" w:lineRule="auto"/>
        <w:tabs>
          <w:tab w:leader="none" w:pos="6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Investment is held through our Taxable Subsidiary.</w:t>
      </w:r>
    </w:p>
    <w:p>
      <w:pPr>
        <w:ind w:left="600" w:right="599" w:hanging="327"/>
        <w:spacing w:after="0" w:line="216" w:lineRule="auto"/>
        <w:tabs>
          <w:tab w:leader="none" w:pos="6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2022, qualifying assets represent 81% of the Company’s total assets and non-qualifying assets represent 19% of the Company’s total assets.</w:t>
      </w:r>
    </w:p>
    <w:p>
      <w:pPr>
        <w:ind w:left="600" w:hanging="327"/>
        <w:spacing w:after="0"/>
        <w:tabs>
          <w:tab w:leader="none" w:pos="6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Less than 0.1% voting ownership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-1097280</wp:posOffset>
            </wp:positionV>
            <wp:extent cx="592455"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2455" cy="6350"/>
                    </a:xfrm>
                    <a:prstGeom prst="rect">
                      <a:avLst/>
                    </a:prstGeom>
                    <a:noFill/>
                  </pic:spPr>
                </pic:pic>
              </a:graphicData>
            </a:graphic>
          </wp:anchor>
        </w:drawing>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9019"/>
          </w:cols>
          <w:pgMar w:left="1440" w:top="245" w:right="1440" w:bottom="1440" w:gutter="0" w:footer="0" w:header="0"/>
          <w:type w:val="continuous"/>
        </w:sectPr>
      </w:pPr>
    </w:p>
    <w:bookmarkStart w:id="32" w:name="page33"/>
    <w:bookmarkEnd w:id="32"/>
    <w:p>
      <w:pPr>
        <w:ind w:left="280" w:right="339"/>
        <w:spacing w:after="0" w:line="26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2805" cy="45720"/>
                    </a:xfrm>
                    <a:prstGeom prst="rect">
                      <a:avLst/>
                    </a:prstGeom>
                    <a:noFill/>
                  </pic:spPr>
                </pic:pic>
              </a:graphicData>
            </a:graphic>
          </wp:anchor>
        </w:drawing>
        <w:t>Set forth below is a brief description of each portfolio company in which we have made an investment that represents greater than 5% of our total assets as of September 30, 2022:</w:t>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PennantParkSenior Secured Loan Fund I, LLC (Financial Services)</w:t>
      </w:r>
    </w:p>
    <w:p>
      <w:pPr>
        <w:spacing w:after="0" w:line="88" w:lineRule="exact"/>
        <w:rPr>
          <w:sz w:val="20"/>
          <w:szCs w:val="20"/>
          <w:color w:val="auto"/>
        </w:rPr>
      </w:pPr>
    </w:p>
    <w:p>
      <w:pPr>
        <w:ind w:left="620" w:right="459"/>
        <w:spacing w:after="0" w:line="307" w:lineRule="auto"/>
        <w:rPr>
          <w:sz w:val="20"/>
          <w:szCs w:val="20"/>
          <w:color w:val="auto"/>
        </w:rPr>
      </w:pPr>
      <w:r>
        <w:rPr>
          <w:rFonts w:ascii="Arial" w:cs="Arial" w:eastAsia="Arial" w:hAnsi="Arial"/>
          <w:sz w:val="13"/>
          <w:szCs w:val="13"/>
          <w:color w:val="auto"/>
        </w:rPr>
        <w:t>PSSL is an unconsolidated joint venture between the Company and certain entities of Kemper Insurance Corporation, or Kemper, which invests primarily in floating rate loans, with an emphasis on senior secured loans, in middle-market leveraged companies.</w:t>
      </w:r>
    </w:p>
    <w:p>
      <w:pPr>
        <w:spacing w:after="0" w:line="32" w:lineRule="exact"/>
        <w:rPr>
          <w:sz w:val="20"/>
          <w:szCs w:val="20"/>
          <w:color w:val="auto"/>
        </w:rPr>
      </w:pPr>
    </w:p>
    <w:p>
      <w:pPr>
        <w:ind w:left="280" w:right="519"/>
        <w:spacing w:after="0" w:line="268"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 as of:</w:t>
      </w:r>
    </w:p>
    <w:p>
      <w:pPr>
        <w:spacing w:after="0" w:line="140" w:lineRule="exact"/>
        <w:rPr>
          <w:sz w:val="20"/>
          <w:szCs w:val="20"/>
          <w:color w:val="auto"/>
        </w:rPr>
      </w:pPr>
    </w:p>
    <w:tbl>
      <w:tblPr>
        <w:tblLayout w:type="fixed"/>
        <w:tblInd w:w="960" w:type="dxa"/>
        <w:tblCellMar>
          <w:top w:w="0" w:type="dxa"/>
          <w:left w:w="0" w:type="dxa"/>
          <w:bottom w:w="0" w:type="dxa"/>
          <w:right w:w="0" w:type="dxa"/>
        </w:tblCellMar>
      </w:tblPr>
      <w:tr>
        <w:trPr>
          <w:trHeight w:val="126"/>
        </w:trPr>
        <w:tc>
          <w:tcPr>
            <w:tcW w:w="1080" w:type="dxa"/>
            <w:vAlign w:val="bottom"/>
            <w:vMerge w:val="restart"/>
          </w:tcPr>
          <w:p>
            <w:pPr>
              <w:spacing w:after="0"/>
              <w:rPr>
                <w:sz w:val="20"/>
                <w:szCs w:val="20"/>
                <w:color w:val="auto"/>
              </w:rPr>
            </w:pPr>
            <w:r>
              <w:rPr>
                <w:rFonts w:ascii="Arial" w:cs="Arial" w:eastAsia="Arial" w:hAnsi="Arial"/>
                <w:sz w:val="11"/>
                <w:szCs w:val="11"/>
                <w:b w:val="1"/>
                <w:bCs w:val="1"/>
                <w:color w:val="auto"/>
                <w:w w:val="89"/>
              </w:rPr>
              <w:t>Industry Classification</w:t>
            </w:r>
          </w:p>
        </w:tc>
        <w:tc>
          <w:tcPr>
            <w:tcW w:w="2120" w:type="dxa"/>
            <w:vAlign w:val="bottom"/>
            <w:vMerge w:val="restart"/>
          </w:tcPr>
          <w:p>
            <w:pPr>
              <w:spacing w:after="0"/>
              <w:rPr>
                <w:sz w:val="10"/>
                <w:szCs w:val="10"/>
                <w:color w:val="auto"/>
              </w:rPr>
            </w:pPr>
          </w:p>
        </w:tc>
        <w:tc>
          <w:tcPr>
            <w:tcW w:w="2660" w:type="dxa"/>
            <w:vAlign w:val="bottom"/>
            <w:gridSpan w:val="3"/>
          </w:tcPr>
          <w:p>
            <w:pPr>
              <w:jc w:val="center"/>
              <w:ind w:left="947"/>
              <w:spacing w:after="0"/>
              <w:rPr>
                <w:sz w:val="20"/>
                <w:szCs w:val="20"/>
                <w:color w:val="auto"/>
              </w:rPr>
            </w:pPr>
            <w:r>
              <w:rPr>
                <w:rFonts w:ascii="Arial" w:cs="Arial" w:eastAsia="Arial" w:hAnsi="Arial"/>
                <w:sz w:val="11"/>
                <w:szCs w:val="11"/>
                <w:b w:val="1"/>
                <w:bCs w:val="1"/>
                <w:color w:val="auto"/>
                <w:w w:val="87"/>
              </w:rPr>
              <w:t>September 30,</w:t>
            </w:r>
          </w:p>
        </w:tc>
        <w:tc>
          <w:tcPr>
            <w:tcW w:w="1240" w:type="dxa"/>
            <w:vAlign w:val="bottom"/>
            <w:gridSpan w:val="3"/>
          </w:tcPr>
          <w:p>
            <w:pPr>
              <w:jc w:val="center"/>
              <w:ind w:left="152"/>
              <w:spacing w:after="0"/>
              <w:rPr>
                <w:sz w:val="20"/>
                <w:szCs w:val="20"/>
                <w:color w:val="auto"/>
              </w:rPr>
            </w:pPr>
            <w:r>
              <w:rPr>
                <w:rFonts w:ascii="Arial" w:cs="Arial" w:eastAsia="Arial" w:hAnsi="Arial"/>
                <w:sz w:val="11"/>
                <w:szCs w:val="11"/>
                <w:b w:val="1"/>
                <w:bCs w:val="1"/>
                <w:color w:val="auto"/>
                <w:w w:val="87"/>
              </w:rPr>
              <w:t>September 30,</w:t>
            </w:r>
          </w:p>
        </w:tc>
        <w:tc>
          <w:tcPr>
            <w:tcW w:w="0" w:type="dxa"/>
            <w:vAlign w:val="bottom"/>
          </w:tcPr>
          <w:p>
            <w:pPr>
              <w:spacing w:after="0"/>
              <w:rPr>
                <w:sz w:val="1"/>
                <w:szCs w:val="1"/>
                <w:color w:val="auto"/>
              </w:rPr>
            </w:pPr>
          </w:p>
        </w:tc>
      </w:tr>
      <w:tr>
        <w:trPr>
          <w:trHeight w:val="126"/>
        </w:trPr>
        <w:tc>
          <w:tcPr>
            <w:tcW w:w="1080" w:type="dxa"/>
            <w:vAlign w:val="bottom"/>
            <w:tcBorders>
              <w:bottom w:val="single" w:sz="8" w:color="auto"/>
            </w:tcBorders>
            <w:vMerge w:val="continue"/>
          </w:tcPr>
          <w:p>
            <w:pPr>
              <w:spacing w:after="0"/>
              <w:rPr>
                <w:sz w:val="10"/>
                <w:szCs w:val="10"/>
                <w:color w:val="auto"/>
              </w:rPr>
            </w:pPr>
          </w:p>
        </w:tc>
        <w:tc>
          <w:tcPr>
            <w:tcW w:w="2120" w:type="dxa"/>
            <w:vAlign w:val="bottom"/>
            <w:vMerge w:val="continue"/>
          </w:tcPr>
          <w:p>
            <w:pPr>
              <w:spacing w:after="0"/>
              <w:rPr>
                <w:sz w:val="10"/>
                <w:szCs w:val="10"/>
                <w:color w:val="auto"/>
              </w:rPr>
            </w:pPr>
          </w:p>
        </w:tc>
        <w:tc>
          <w:tcPr>
            <w:tcW w:w="2160" w:type="dxa"/>
            <w:vAlign w:val="bottom"/>
            <w:gridSpan w:val="2"/>
          </w:tcPr>
          <w:p>
            <w:pPr>
              <w:jc w:val="right"/>
              <w:ind w:right="91"/>
              <w:spacing w:after="0" w:line="121" w:lineRule="exact"/>
              <w:rPr>
                <w:sz w:val="20"/>
                <w:szCs w:val="20"/>
                <w:color w:val="auto"/>
              </w:rPr>
            </w:pPr>
            <w:r>
              <w:rPr>
                <w:rFonts w:ascii="Arial" w:cs="Arial" w:eastAsia="Arial" w:hAnsi="Arial"/>
                <w:sz w:val="11"/>
                <w:szCs w:val="11"/>
                <w:b w:val="1"/>
                <w:bCs w:val="1"/>
                <w:color w:val="auto"/>
              </w:rPr>
              <w:t>2022(1)</w:t>
            </w:r>
          </w:p>
        </w:tc>
        <w:tc>
          <w:tcPr>
            <w:tcW w:w="500" w:type="dxa"/>
            <w:vAlign w:val="bottom"/>
          </w:tcPr>
          <w:p>
            <w:pPr>
              <w:spacing w:after="0"/>
              <w:rPr>
                <w:sz w:val="10"/>
                <w:szCs w:val="10"/>
                <w:color w:val="auto"/>
              </w:rPr>
            </w:pPr>
          </w:p>
        </w:tc>
        <w:tc>
          <w:tcPr>
            <w:tcW w:w="1080" w:type="dxa"/>
            <w:vAlign w:val="bottom"/>
            <w:gridSpan w:val="2"/>
          </w:tcPr>
          <w:p>
            <w:pPr>
              <w:jc w:val="right"/>
              <w:ind w:right="111"/>
              <w:spacing w:after="0" w:line="121" w:lineRule="exact"/>
              <w:rPr>
                <w:sz w:val="20"/>
                <w:szCs w:val="20"/>
                <w:color w:val="auto"/>
              </w:rPr>
            </w:pPr>
            <w:r>
              <w:rPr>
                <w:rFonts w:ascii="Arial" w:cs="Arial" w:eastAsia="Arial" w:hAnsi="Arial"/>
                <w:sz w:val="11"/>
                <w:szCs w:val="11"/>
                <w:b w:val="1"/>
                <w:bCs w:val="1"/>
                <w:color w:val="auto"/>
              </w:rPr>
              <w:t>2021(1)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2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Professional Services</w:t>
            </w:r>
          </w:p>
        </w:tc>
        <w:tc>
          <w:tcPr>
            <w:tcW w:w="15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200" w:type="dxa"/>
            <w:vAlign w:val="bottom"/>
            <w:gridSpan w:val="2"/>
            <w:vMerge w:val="continue"/>
            <w:shd w:val="clear" w:color="auto" w:fill="CCEEFF"/>
          </w:tcPr>
          <w:p>
            <w:pPr>
              <w:spacing w:after="0"/>
              <w:rPr>
                <w:sz w:val="12"/>
                <w:szCs w:val="12"/>
                <w:color w:val="auto"/>
              </w:rPr>
            </w:pPr>
          </w:p>
        </w:tc>
        <w:tc>
          <w:tcPr>
            <w:tcW w:w="1500" w:type="dxa"/>
            <w:vAlign w:val="bottom"/>
            <w:vMerge w:val="continue"/>
            <w:shd w:val="clear" w:color="auto" w:fill="CCEEFF"/>
          </w:tcPr>
          <w:p>
            <w:pPr>
              <w:spacing w:after="0"/>
              <w:rPr>
                <w:sz w:val="12"/>
                <w:szCs w:val="12"/>
                <w:color w:val="auto"/>
              </w:rPr>
            </w:pPr>
          </w:p>
        </w:tc>
        <w:tc>
          <w:tcPr>
            <w:tcW w:w="1160" w:type="dxa"/>
            <w:vAlign w:val="bottom"/>
            <w:gridSpan w:val="2"/>
            <w:shd w:val="clear" w:color="auto" w:fill="CCEEFF"/>
          </w:tcPr>
          <w:p>
            <w:pPr>
              <w:ind w:left="600"/>
              <w:spacing w:after="0" w:line="147" w:lineRule="exact"/>
              <w:rPr>
                <w:sz w:val="20"/>
                <w:szCs w:val="20"/>
                <w:color w:val="auto"/>
              </w:rPr>
            </w:pPr>
            <w:r>
              <w:rPr>
                <w:rFonts w:ascii="Arial" w:cs="Arial" w:eastAsia="Arial" w:hAnsi="Arial"/>
                <w:sz w:val="14"/>
                <w:szCs w:val="14"/>
                <w:color w:val="auto"/>
              </w:rPr>
              <w:t>9%</w:t>
            </w:r>
          </w:p>
        </w:tc>
        <w:tc>
          <w:tcPr>
            <w:tcW w:w="400" w:type="dxa"/>
            <w:vAlign w:val="bottom"/>
            <w:vMerge w:val="continue"/>
            <w:shd w:val="clear" w:color="auto" w:fill="CCEEFF"/>
          </w:tcPr>
          <w:p>
            <w:pPr>
              <w:spacing w:after="0"/>
              <w:rPr>
                <w:sz w:val="12"/>
                <w:szCs w:val="12"/>
                <w:color w:val="auto"/>
              </w:rPr>
            </w:pPr>
          </w:p>
        </w:tc>
        <w:tc>
          <w:tcPr>
            <w:tcW w:w="840" w:type="dxa"/>
            <w:vAlign w:val="bottom"/>
            <w:gridSpan w:val="2"/>
            <w:shd w:val="clear" w:color="auto" w:fill="CCEEFF"/>
          </w:tcPr>
          <w:p>
            <w:pPr>
              <w:ind w:left="600"/>
              <w:spacing w:after="0" w:line="147"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Arial" w:cs="Arial" w:eastAsia="Arial" w:hAnsi="Arial"/>
                <w:sz w:val="14"/>
                <w:szCs w:val="14"/>
                <w:color w:val="auto"/>
              </w:rPr>
              <w:t>Media</w:t>
            </w:r>
          </w:p>
        </w:tc>
        <w:tc>
          <w:tcPr>
            <w:tcW w:w="2160" w:type="dxa"/>
            <w:vAlign w:val="bottom"/>
            <w:gridSpan w:val="2"/>
          </w:tcPr>
          <w:p>
            <w:pPr>
              <w:ind w:left="2100"/>
              <w:spacing w:after="0"/>
              <w:rPr>
                <w:sz w:val="20"/>
                <w:szCs w:val="20"/>
                <w:color w:val="auto"/>
              </w:rPr>
            </w:pPr>
            <w:r>
              <w:rPr>
                <w:rFonts w:ascii="Arial" w:cs="Arial" w:eastAsia="Arial" w:hAnsi="Arial"/>
                <w:sz w:val="10"/>
                <w:szCs w:val="10"/>
                <w:color w:val="auto"/>
                <w:w w:val="71"/>
              </w:rPr>
              <w:t>7</w:t>
            </w:r>
          </w:p>
        </w:tc>
        <w:tc>
          <w:tcPr>
            <w:tcW w:w="500" w:type="dxa"/>
            <w:vAlign w:val="bottom"/>
          </w:tcPr>
          <w:p>
            <w:pPr>
              <w:spacing w:after="0"/>
              <w:rPr>
                <w:sz w:val="14"/>
                <w:szCs w:val="14"/>
                <w:color w:val="auto"/>
              </w:rPr>
            </w:pPr>
          </w:p>
        </w:tc>
        <w:tc>
          <w:tcPr>
            <w:tcW w:w="1080" w:type="dxa"/>
            <w:vAlign w:val="bottom"/>
            <w:gridSpan w:val="2"/>
          </w:tcPr>
          <w:p>
            <w:pPr>
              <w:ind w:left="1000"/>
              <w:spacing w:after="0"/>
              <w:rPr>
                <w:sz w:val="20"/>
                <w:szCs w:val="20"/>
                <w:color w:val="auto"/>
              </w:rPr>
            </w:pPr>
            <w:r>
              <w:rPr>
                <w:rFonts w:ascii="Arial" w:cs="Arial" w:eastAsia="Arial" w:hAnsi="Arial"/>
                <w:sz w:val="14"/>
                <w:szCs w:val="14"/>
                <w:color w:val="auto"/>
                <w:w w:val="76"/>
              </w:rPr>
              <w:t>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Personal Products</w:t>
            </w:r>
          </w:p>
        </w:tc>
        <w:tc>
          <w:tcPr>
            <w:tcW w:w="2160" w:type="dxa"/>
            <w:vAlign w:val="bottom"/>
            <w:gridSpan w:val="2"/>
            <w:shd w:val="clear" w:color="auto" w:fill="CCEEFF"/>
          </w:tcPr>
          <w:p>
            <w:pPr>
              <w:ind w:left="2100"/>
              <w:spacing w:after="0"/>
              <w:rPr>
                <w:sz w:val="20"/>
                <w:szCs w:val="20"/>
                <w:color w:val="auto"/>
              </w:rPr>
            </w:pPr>
            <w:r>
              <w:rPr>
                <w:rFonts w:ascii="Arial" w:cs="Arial" w:eastAsia="Arial" w:hAnsi="Arial"/>
                <w:sz w:val="10"/>
                <w:szCs w:val="10"/>
                <w:color w:val="auto"/>
                <w:w w:val="71"/>
              </w:rPr>
              <w:t>7</w:t>
            </w: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w w:val="76"/>
              </w:rPr>
              <w:t>7</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Arial" w:cs="Arial" w:eastAsia="Arial" w:hAnsi="Arial"/>
                <w:sz w:val="14"/>
                <w:szCs w:val="14"/>
                <w:color w:val="auto"/>
              </w:rPr>
              <w:t>IT Services</w:t>
            </w:r>
          </w:p>
        </w:tc>
        <w:tc>
          <w:tcPr>
            <w:tcW w:w="2160" w:type="dxa"/>
            <w:vAlign w:val="bottom"/>
            <w:gridSpan w:val="2"/>
          </w:tcPr>
          <w:p>
            <w:pPr>
              <w:ind w:left="2100"/>
              <w:spacing w:after="0"/>
              <w:rPr>
                <w:sz w:val="20"/>
                <w:szCs w:val="20"/>
                <w:color w:val="auto"/>
              </w:rPr>
            </w:pPr>
            <w:r>
              <w:rPr>
                <w:rFonts w:ascii="Arial" w:cs="Arial" w:eastAsia="Arial" w:hAnsi="Arial"/>
                <w:sz w:val="10"/>
                <w:szCs w:val="10"/>
                <w:color w:val="auto"/>
                <w:w w:val="71"/>
              </w:rPr>
              <w:t>6</w:t>
            </w:r>
          </w:p>
        </w:tc>
        <w:tc>
          <w:tcPr>
            <w:tcW w:w="500" w:type="dxa"/>
            <w:vAlign w:val="bottom"/>
          </w:tcPr>
          <w:p>
            <w:pPr>
              <w:spacing w:after="0"/>
              <w:rPr>
                <w:sz w:val="14"/>
                <w:szCs w:val="14"/>
                <w:color w:val="auto"/>
              </w:rPr>
            </w:pPr>
          </w:p>
        </w:tc>
        <w:tc>
          <w:tcPr>
            <w:tcW w:w="1080" w:type="dxa"/>
            <w:vAlign w:val="bottom"/>
            <w:gridSpan w:val="2"/>
          </w:tcPr>
          <w:p>
            <w:pPr>
              <w:ind w:left="1000"/>
              <w:spacing w:after="0"/>
              <w:rPr>
                <w:sz w:val="20"/>
                <w:szCs w:val="20"/>
                <w:color w:val="auto"/>
              </w:rPr>
            </w:pPr>
            <w:r>
              <w:rPr>
                <w:rFonts w:ascii="Arial" w:cs="Arial" w:eastAsia="Arial" w:hAnsi="Arial"/>
                <w:sz w:val="14"/>
                <w:szCs w:val="14"/>
                <w:color w:val="auto"/>
                <w:w w:val="76"/>
              </w:rPr>
              <w:t>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 Services &amp; Supplies</w:t>
            </w:r>
          </w:p>
        </w:tc>
        <w:tc>
          <w:tcPr>
            <w:tcW w:w="2160" w:type="dxa"/>
            <w:vAlign w:val="bottom"/>
            <w:gridSpan w:val="2"/>
            <w:shd w:val="clear" w:color="auto" w:fill="CCEEFF"/>
          </w:tcPr>
          <w:p>
            <w:pPr>
              <w:ind w:left="2100"/>
              <w:spacing w:after="0"/>
              <w:rPr>
                <w:sz w:val="20"/>
                <w:szCs w:val="20"/>
                <w:color w:val="auto"/>
              </w:rPr>
            </w:pPr>
            <w:r>
              <w:rPr>
                <w:rFonts w:ascii="Arial" w:cs="Arial" w:eastAsia="Arial" w:hAnsi="Arial"/>
                <w:sz w:val="10"/>
                <w:szCs w:val="10"/>
                <w:color w:val="auto"/>
                <w:w w:val="71"/>
              </w:rPr>
              <w:t>5</w:t>
            </w: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w w:val="76"/>
              </w:rPr>
              <w:t>5</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Arial" w:cs="Arial" w:eastAsia="Arial" w:hAnsi="Arial"/>
                <w:sz w:val="14"/>
                <w:szCs w:val="14"/>
                <w:color w:val="auto"/>
              </w:rPr>
              <w:t>High Tech Industries</w:t>
            </w:r>
          </w:p>
        </w:tc>
        <w:tc>
          <w:tcPr>
            <w:tcW w:w="2160" w:type="dxa"/>
            <w:vAlign w:val="bottom"/>
            <w:gridSpan w:val="2"/>
          </w:tcPr>
          <w:p>
            <w:pPr>
              <w:ind w:left="2100"/>
              <w:spacing w:after="0"/>
              <w:rPr>
                <w:sz w:val="20"/>
                <w:szCs w:val="20"/>
                <w:color w:val="auto"/>
              </w:rPr>
            </w:pPr>
            <w:r>
              <w:rPr>
                <w:rFonts w:ascii="Arial" w:cs="Arial" w:eastAsia="Arial" w:hAnsi="Arial"/>
                <w:sz w:val="10"/>
                <w:szCs w:val="10"/>
                <w:color w:val="auto"/>
                <w:w w:val="71"/>
              </w:rPr>
              <w:t>5</w:t>
            </w:r>
          </w:p>
        </w:tc>
        <w:tc>
          <w:tcPr>
            <w:tcW w:w="500" w:type="dxa"/>
            <w:vAlign w:val="bottom"/>
          </w:tcPr>
          <w:p>
            <w:pPr>
              <w:spacing w:after="0"/>
              <w:rPr>
                <w:sz w:val="14"/>
                <w:szCs w:val="14"/>
                <w:color w:val="auto"/>
              </w:rPr>
            </w:pPr>
          </w:p>
        </w:tc>
        <w:tc>
          <w:tcPr>
            <w:tcW w:w="1080" w:type="dxa"/>
            <w:vAlign w:val="bottom"/>
            <w:gridSpan w:val="2"/>
          </w:tcPr>
          <w:p>
            <w:pPr>
              <w:ind w:left="1000"/>
              <w:spacing w:after="0"/>
              <w:rPr>
                <w:sz w:val="20"/>
                <w:szCs w:val="20"/>
                <w:color w:val="auto"/>
              </w:rPr>
            </w:pPr>
            <w:r>
              <w:rPr>
                <w:rFonts w:ascii="Arial" w:cs="Arial" w:eastAsia="Arial" w:hAnsi="Arial"/>
                <w:sz w:val="14"/>
                <w:szCs w:val="14"/>
                <w:color w:val="auto"/>
                <w:w w:val="76"/>
              </w:rPr>
              <w:t>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Media: Diversified and Production</w:t>
            </w:r>
          </w:p>
        </w:tc>
        <w:tc>
          <w:tcPr>
            <w:tcW w:w="2160" w:type="dxa"/>
            <w:vAlign w:val="bottom"/>
            <w:gridSpan w:val="2"/>
            <w:shd w:val="clear" w:color="auto" w:fill="CCEEFF"/>
          </w:tcPr>
          <w:p>
            <w:pPr>
              <w:ind w:left="2100"/>
              <w:spacing w:after="0"/>
              <w:rPr>
                <w:sz w:val="20"/>
                <w:szCs w:val="20"/>
                <w:color w:val="auto"/>
              </w:rPr>
            </w:pPr>
            <w:r>
              <w:rPr>
                <w:rFonts w:ascii="Arial" w:cs="Arial" w:eastAsia="Arial" w:hAnsi="Arial"/>
                <w:sz w:val="10"/>
                <w:szCs w:val="10"/>
                <w:color w:val="auto"/>
                <w:w w:val="71"/>
              </w:rPr>
              <w:t>5</w:t>
            </w: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w w:val="76"/>
              </w:rPr>
              <w:t>5</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Arial" w:cs="Arial" w:eastAsia="Arial" w:hAnsi="Arial"/>
                <w:sz w:val="14"/>
                <w:szCs w:val="14"/>
                <w:color w:val="auto"/>
              </w:rPr>
              <w:t>Aerospace and Defense</w:t>
            </w:r>
          </w:p>
        </w:tc>
        <w:tc>
          <w:tcPr>
            <w:tcW w:w="2160" w:type="dxa"/>
            <w:vAlign w:val="bottom"/>
            <w:gridSpan w:val="2"/>
          </w:tcPr>
          <w:p>
            <w:pPr>
              <w:ind w:left="2100"/>
              <w:spacing w:after="0"/>
              <w:rPr>
                <w:sz w:val="20"/>
                <w:szCs w:val="20"/>
                <w:color w:val="auto"/>
              </w:rPr>
            </w:pPr>
            <w:r>
              <w:rPr>
                <w:rFonts w:ascii="Arial" w:cs="Arial" w:eastAsia="Arial" w:hAnsi="Arial"/>
                <w:sz w:val="10"/>
                <w:szCs w:val="10"/>
                <w:color w:val="auto"/>
                <w:w w:val="71"/>
              </w:rPr>
              <w:t>4</w:t>
            </w:r>
          </w:p>
        </w:tc>
        <w:tc>
          <w:tcPr>
            <w:tcW w:w="500" w:type="dxa"/>
            <w:vAlign w:val="bottom"/>
          </w:tcPr>
          <w:p>
            <w:pPr>
              <w:spacing w:after="0"/>
              <w:rPr>
                <w:sz w:val="14"/>
                <w:szCs w:val="14"/>
                <w:color w:val="auto"/>
              </w:rPr>
            </w:pPr>
          </w:p>
        </w:tc>
        <w:tc>
          <w:tcPr>
            <w:tcW w:w="1080" w:type="dxa"/>
            <w:vAlign w:val="bottom"/>
            <w:gridSpan w:val="2"/>
          </w:tcPr>
          <w:p>
            <w:pPr>
              <w:ind w:left="1000"/>
              <w:spacing w:after="0"/>
              <w:rPr>
                <w:sz w:val="20"/>
                <w:szCs w:val="20"/>
                <w:color w:val="auto"/>
              </w:rPr>
            </w:pPr>
            <w:r>
              <w:rPr>
                <w:rFonts w:ascii="Arial" w:cs="Arial" w:eastAsia="Arial" w:hAnsi="Arial"/>
                <w:sz w:val="14"/>
                <w:szCs w:val="14"/>
                <w:color w:val="auto"/>
                <w:w w:val="76"/>
              </w:rPr>
              <w:t>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Capital Equipment</w:t>
            </w:r>
          </w:p>
        </w:tc>
        <w:tc>
          <w:tcPr>
            <w:tcW w:w="2160" w:type="dxa"/>
            <w:vAlign w:val="bottom"/>
            <w:gridSpan w:val="2"/>
            <w:shd w:val="clear" w:color="auto" w:fill="CCEEFF"/>
          </w:tcPr>
          <w:p>
            <w:pPr>
              <w:ind w:left="2100"/>
              <w:spacing w:after="0"/>
              <w:rPr>
                <w:sz w:val="20"/>
                <w:szCs w:val="20"/>
                <w:color w:val="auto"/>
              </w:rPr>
            </w:pPr>
            <w:r>
              <w:rPr>
                <w:rFonts w:ascii="Arial" w:cs="Arial" w:eastAsia="Arial" w:hAnsi="Arial"/>
                <w:sz w:val="10"/>
                <w:szCs w:val="10"/>
                <w:color w:val="auto"/>
                <w:w w:val="71"/>
              </w:rPr>
              <w:t>4</w:t>
            </w: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w w:val="76"/>
              </w:rPr>
              <w:t>6</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Arial" w:cs="Arial" w:eastAsia="Arial" w:hAnsi="Arial"/>
                <w:sz w:val="14"/>
                <w:szCs w:val="14"/>
                <w:color w:val="auto"/>
              </w:rPr>
              <w:t>Diversified Consumer Services</w:t>
            </w:r>
          </w:p>
        </w:tc>
        <w:tc>
          <w:tcPr>
            <w:tcW w:w="2160" w:type="dxa"/>
            <w:vAlign w:val="bottom"/>
            <w:gridSpan w:val="2"/>
          </w:tcPr>
          <w:p>
            <w:pPr>
              <w:ind w:left="2100"/>
              <w:spacing w:after="0"/>
              <w:rPr>
                <w:sz w:val="20"/>
                <w:szCs w:val="20"/>
                <w:color w:val="auto"/>
              </w:rPr>
            </w:pPr>
            <w:r>
              <w:rPr>
                <w:rFonts w:ascii="Arial" w:cs="Arial" w:eastAsia="Arial" w:hAnsi="Arial"/>
                <w:sz w:val="10"/>
                <w:szCs w:val="10"/>
                <w:color w:val="auto"/>
                <w:w w:val="71"/>
              </w:rPr>
              <w:t>4</w:t>
            </w:r>
          </w:p>
        </w:tc>
        <w:tc>
          <w:tcPr>
            <w:tcW w:w="500" w:type="dxa"/>
            <w:vAlign w:val="bottom"/>
          </w:tcPr>
          <w:p>
            <w:pPr>
              <w:spacing w:after="0"/>
              <w:rPr>
                <w:sz w:val="14"/>
                <w:szCs w:val="14"/>
                <w:color w:val="auto"/>
              </w:rPr>
            </w:pPr>
          </w:p>
        </w:tc>
        <w:tc>
          <w:tcPr>
            <w:tcW w:w="1080" w:type="dxa"/>
            <w:vAlign w:val="bottom"/>
            <w:gridSpan w:val="2"/>
          </w:tcPr>
          <w:p>
            <w:pPr>
              <w:ind w:left="1000"/>
              <w:spacing w:after="0"/>
              <w:rPr>
                <w:sz w:val="20"/>
                <w:szCs w:val="20"/>
                <w:color w:val="auto"/>
              </w:rPr>
            </w:pPr>
            <w:r>
              <w:rPr>
                <w:rFonts w:ascii="Arial" w:cs="Arial" w:eastAsia="Arial" w:hAnsi="Arial"/>
                <w:sz w:val="14"/>
                <w:szCs w:val="14"/>
                <w:color w:val="auto"/>
                <w:w w:val="76"/>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Healthcare Technology</w:t>
            </w:r>
          </w:p>
        </w:tc>
        <w:tc>
          <w:tcPr>
            <w:tcW w:w="2160" w:type="dxa"/>
            <w:vAlign w:val="bottom"/>
            <w:gridSpan w:val="2"/>
            <w:shd w:val="clear" w:color="auto" w:fill="CCEEFF"/>
          </w:tcPr>
          <w:p>
            <w:pPr>
              <w:ind w:left="2100"/>
              <w:spacing w:after="0"/>
              <w:rPr>
                <w:sz w:val="20"/>
                <w:szCs w:val="20"/>
                <w:color w:val="auto"/>
              </w:rPr>
            </w:pPr>
            <w:r>
              <w:rPr>
                <w:rFonts w:ascii="Arial" w:cs="Arial" w:eastAsia="Arial" w:hAnsi="Arial"/>
                <w:sz w:val="10"/>
                <w:szCs w:val="10"/>
                <w:color w:val="auto"/>
                <w:w w:val="71"/>
              </w:rPr>
              <w:t>4</w:t>
            </w: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w w:val="76"/>
              </w:rPr>
              <w:t>4</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Arial" w:cs="Arial" w:eastAsia="Arial" w:hAnsi="Arial"/>
                <w:sz w:val="14"/>
                <w:szCs w:val="14"/>
                <w:color w:val="auto"/>
              </w:rPr>
              <w:t>Business Services</w:t>
            </w:r>
          </w:p>
        </w:tc>
        <w:tc>
          <w:tcPr>
            <w:tcW w:w="2160" w:type="dxa"/>
            <w:vAlign w:val="bottom"/>
            <w:gridSpan w:val="2"/>
          </w:tcPr>
          <w:p>
            <w:pPr>
              <w:ind w:left="2100"/>
              <w:spacing w:after="0"/>
              <w:rPr>
                <w:sz w:val="20"/>
                <w:szCs w:val="20"/>
                <w:color w:val="auto"/>
              </w:rPr>
            </w:pPr>
            <w:r>
              <w:rPr>
                <w:rFonts w:ascii="Arial" w:cs="Arial" w:eastAsia="Arial" w:hAnsi="Arial"/>
                <w:sz w:val="10"/>
                <w:szCs w:val="10"/>
                <w:color w:val="auto"/>
                <w:w w:val="71"/>
              </w:rPr>
              <w:t>3</w:t>
            </w:r>
          </w:p>
        </w:tc>
        <w:tc>
          <w:tcPr>
            <w:tcW w:w="500" w:type="dxa"/>
            <w:vAlign w:val="bottom"/>
          </w:tcPr>
          <w:p>
            <w:pPr>
              <w:spacing w:after="0"/>
              <w:rPr>
                <w:sz w:val="14"/>
                <w:szCs w:val="14"/>
                <w:color w:val="auto"/>
              </w:rPr>
            </w:pPr>
          </w:p>
        </w:tc>
        <w:tc>
          <w:tcPr>
            <w:tcW w:w="1080" w:type="dxa"/>
            <w:vAlign w:val="bottom"/>
            <w:gridSpan w:val="2"/>
          </w:tcPr>
          <w:p>
            <w:pPr>
              <w:ind w:left="1000"/>
              <w:spacing w:after="0"/>
              <w:rPr>
                <w:sz w:val="20"/>
                <w:szCs w:val="20"/>
                <w:color w:val="auto"/>
              </w:rPr>
            </w:pPr>
            <w:r>
              <w:rPr>
                <w:rFonts w:ascii="Arial" w:cs="Arial" w:eastAsia="Arial" w:hAnsi="Arial"/>
                <w:sz w:val="14"/>
                <w:szCs w:val="14"/>
                <w:color w:val="auto"/>
                <w:w w:val="76"/>
              </w:rPr>
              <w:t>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Construction and Building</w:t>
            </w:r>
          </w:p>
        </w:tc>
        <w:tc>
          <w:tcPr>
            <w:tcW w:w="2160" w:type="dxa"/>
            <w:vAlign w:val="bottom"/>
            <w:gridSpan w:val="2"/>
            <w:shd w:val="clear" w:color="auto" w:fill="CCEEFF"/>
          </w:tcPr>
          <w:p>
            <w:pPr>
              <w:ind w:left="2100"/>
              <w:spacing w:after="0"/>
              <w:rPr>
                <w:sz w:val="20"/>
                <w:szCs w:val="20"/>
                <w:color w:val="auto"/>
              </w:rPr>
            </w:pPr>
            <w:r>
              <w:rPr>
                <w:rFonts w:ascii="Arial" w:cs="Arial" w:eastAsia="Arial" w:hAnsi="Arial"/>
                <w:sz w:val="10"/>
                <w:szCs w:val="10"/>
                <w:color w:val="auto"/>
                <w:w w:val="71"/>
              </w:rPr>
              <w:t>3</w:t>
            </w: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w w:val="76"/>
              </w:rPr>
              <w:t>3</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Arial" w:cs="Arial" w:eastAsia="Arial" w:hAnsi="Arial"/>
                <w:sz w:val="14"/>
                <w:szCs w:val="14"/>
                <w:color w:val="auto"/>
                <w:w w:val="97"/>
              </w:rPr>
              <w:t>Electronic Equipment, Instruments, and Components</w:t>
            </w:r>
          </w:p>
        </w:tc>
        <w:tc>
          <w:tcPr>
            <w:tcW w:w="2160" w:type="dxa"/>
            <w:vAlign w:val="bottom"/>
            <w:gridSpan w:val="2"/>
          </w:tcPr>
          <w:p>
            <w:pPr>
              <w:ind w:left="2100"/>
              <w:spacing w:after="0"/>
              <w:rPr>
                <w:sz w:val="20"/>
                <w:szCs w:val="20"/>
                <w:color w:val="auto"/>
              </w:rPr>
            </w:pPr>
            <w:r>
              <w:rPr>
                <w:rFonts w:ascii="Arial" w:cs="Arial" w:eastAsia="Arial" w:hAnsi="Arial"/>
                <w:sz w:val="10"/>
                <w:szCs w:val="10"/>
                <w:color w:val="auto"/>
                <w:w w:val="71"/>
              </w:rPr>
              <w:t>3</w:t>
            </w:r>
          </w:p>
        </w:tc>
        <w:tc>
          <w:tcPr>
            <w:tcW w:w="500" w:type="dxa"/>
            <w:vAlign w:val="bottom"/>
          </w:tcPr>
          <w:p>
            <w:pPr>
              <w:spacing w:after="0"/>
              <w:rPr>
                <w:sz w:val="14"/>
                <w:szCs w:val="14"/>
                <w:color w:val="auto"/>
              </w:rPr>
            </w:pPr>
          </w:p>
        </w:tc>
        <w:tc>
          <w:tcPr>
            <w:tcW w:w="1080" w:type="dxa"/>
            <w:vAlign w:val="bottom"/>
            <w:gridSpan w:val="2"/>
          </w:tcPr>
          <w:p>
            <w:pPr>
              <w:ind w:left="1000"/>
              <w:spacing w:after="0"/>
              <w:rPr>
                <w:sz w:val="20"/>
                <w:szCs w:val="20"/>
                <w:color w:val="auto"/>
              </w:rPr>
            </w:pPr>
            <w:r>
              <w:rPr>
                <w:rFonts w:ascii="Arial" w:cs="Arial" w:eastAsia="Arial" w:hAnsi="Arial"/>
                <w:sz w:val="14"/>
                <w:szCs w:val="14"/>
                <w:color w:val="auto"/>
                <w:w w:val="76"/>
              </w:rPr>
              <w:t>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Healthcare Providers and Service</w:t>
            </w:r>
          </w:p>
        </w:tc>
        <w:tc>
          <w:tcPr>
            <w:tcW w:w="2160" w:type="dxa"/>
            <w:vAlign w:val="bottom"/>
            <w:gridSpan w:val="2"/>
            <w:shd w:val="clear" w:color="auto" w:fill="CCEEFF"/>
          </w:tcPr>
          <w:p>
            <w:pPr>
              <w:ind w:left="2100"/>
              <w:spacing w:after="0"/>
              <w:rPr>
                <w:sz w:val="20"/>
                <w:szCs w:val="20"/>
                <w:color w:val="auto"/>
              </w:rPr>
            </w:pPr>
            <w:r>
              <w:rPr>
                <w:rFonts w:ascii="Arial" w:cs="Arial" w:eastAsia="Arial" w:hAnsi="Arial"/>
                <w:sz w:val="10"/>
                <w:szCs w:val="10"/>
                <w:color w:val="auto"/>
                <w:w w:val="71"/>
              </w:rPr>
              <w:t>3</w:t>
            </w: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w w:val="76"/>
              </w:rPr>
              <w:t>1</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Arial" w:cs="Arial" w:eastAsia="Arial" w:hAnsi="Arial"/>
                <w:sz w:val="14"/>
                <w:szCs w:val="14"/>
                <w:color w:val="auto"/>
              </w:rPr>
              <w:t>Chemicals, Plastics and Rubber</w:t>
            </w:r>
          </w:p>
        </w:tc>
        <w:tc>
          <w:tcPr>
            <w:tcW w:w="2160" w:type="dxa"/>
            <w:vAlign w:val="bottom"/>
            <w:gridSpan w:val="2"/>
          </w:tcPr>
          <w:p>
            <w:pPr>
              <w:ind w:left="2100"/>
              <w:spacing w:after="0"/>
              <w:rPr>
                <w:sz w:val="20"/>
                <w:szCs w:val="20"/>
                <w:color w:val="auto"/>
              </w:rPr>
            </w:pPr>
            <w:r>
              <w:rPr>
                <w:rFonts w:ascii="Arial" w:cs="Arial" w:eastAsia="Arial" w:hAnsi="Arial"/>
                <w:sz w:val="10"/>
                <w:szCs w:val="10"/>
                <w:color w:val="auto"/>
                <w:w w:val="71"/>
              </w:rPr>
              <w:t>2</w:t>
            </w:r>
          </w:p>
        </w:tc>
        <w:tc>
          <w:tcPr>
            <w:tcW w:w="500" w:type="dxa"/>
            <w:vAlign w:val="bottom"/>
          </w:tcPr>
          <w:p>
            <w:pPr>
              <w:spacing w:after="0"/>
              <w:rPr>
                <w:sz w:val="14"/>
                <w:szCs w:val="14"/>
                <w:color w:val="auto"/>
              </w:rPr>
            </w:pPr>
          </w:p>
        </w:tc>
        <w:tc>
          <w:tcPr>
            <w:tcW w:w="1080" w:type="dxa"/>
            <w:vAlign w:val="bottom"/>
            <w:gridSpan w:val="2"/>
          </w:tcPr>
          <w:p>
            <w:pPr>
              <w:ind w:left="1000"/>
              <w:spacing w:after="0"/>
              <w:rPr>
                <w:sz w:val="20"/>
                <w:szCs w:val="20"/>
                <w:color w:val="auto"/>
              </w:rPr>
            </w:pPr>
            <w:r>
              <w:rPr>
                <w:rFonts w:ascii="Arial" w:cs="Arial" w:eastAsia="Arial" w:hAnsi="Arial"/>
                <w:sz w:val="14"/>
                <w:szCs w:val="14"/>
                <w:color w:val="auto"/>
                <w:w w:val="76"/>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Consumer Services</w:t>
            </w:r>
          </w:p>
        </w:tc>
        <w:tc>
          <w:tcPr>
            <w:tcW w:w="2160" w:type="dxa"/>
            <w:vAlign w:val="bottom"/>
            <w:gridSpan w:val="2"/>
            <w:shd w:val="clear" w:color="auto" w:fill="CCEEFF"/>
          </w:tcPr>
          <w:p>
            <w:pPr>
              <w:ind w:left="2100"/>
              <w:spacing w:after="0"/>
              <w:rPr>
                <w:sz w:val="20"/>
                <w:szCs w:val="20"/>
                <w:color w:val="auto"/>
              </w:rPr>
            </w:pPr>
            <w:r>
              <w:rPr>
                <w:rFonts w:ascii="Arial" w:cs="Arial" w:eastAsia="Arial" w:hAnsi="Arial"/>
                <w:sz w:val="10"/>
                <w:szCs w:val="10"/>
                <w:color w:val="auto"/>
                <w:w w:val="71"/>
              </w:rPr>
              <w:t>2</w:t>
            </w: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w w:val="76"/>
              </w:rPr>
              <w:t>2</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Arial" w:cs="Arial" w:eastAsia="Arial" w:hAnsi="Arial"/>
                <w:sz w:val="14"/>
                <w:szCs w:val="14"/>
                <w:color w:val="auto"/>
              </w:rPr>
              <w:t>Distributors</w:t>
            </w:r>
          </w:p>
        </w:tc>
        <w:tc>
          <w:tcPr>
            <w:tcW w:w="2160" w:type="dxa"/>
            <w:vAlign w:val="bottom"/>
            <w:gridSpan w:val="2"/>
          </w:tcPr>
          <w:p>
            <w:pPr>
              <w:ind w:left="2100"/>
              <w:spacing w:after="0"/>
              <w:rPr>
                <w:sz w:val="20"/>
                <w:szCs w:val="20"/>
                <w:color w:val="auto"/>
              </w:rPr>
            </w:pPr>
            <w:r>
              <w:rPr>
                <w:rFonts w:ascii="Arial" w:cs="Arial" w:eastAsia="Arial" w:hAnsi="Arial"/>
                <w:sz w:val="10"/>
                <w:szCs w:val="10"/>
                <w:color w:val="auto"/>
                <w:w w:val="71"/>
              </w:rPr>
              <w:t>2</w:t>
            </w:r>
          </w:p>
        </w:tc>
        <w:tc>
          <w:tcPr>
            <w:tcW w:w="500" w:type="dxa"/>
            <w:vAlign w:val="bottom"/>
          </w:tcPr>
          <w:p>
            <w:pPr>
              <w:spacing w:after="0"/>
              <w:rPr>
                <w:sz w:val="14"/>
                <w:szCs w:val="14"/>
                <w:color w:val="auto"/>
              </w:rPr>
            </w:pPr>
          </w:p>
        </w:tc>
        <w:tc>
          <w:tcPr>
            <w:tcW w:w="1080" w:type="dxa"/>
            <w:vAlign w:val="bottom"/>
            <w:gridSpan w:val="2"/>
          </w:tcPr>
          <w:p>
            <w:pPr>
              <w:ind w:left="1000"/>
              <w:spacing w:after="0"/>
              <w:rPr>
                <w:sz w:val="20"/>
                <w:szCs w:val="20"/>
                <w:color w:val="auto"/>
              </w:rPr>
            </w:pPr>
            <w:r>
              <w:rPr>
                <w:rFonts w:ascii="Arial" w:cs="Arial" w:eastAsia="Arial" w:hAnsi="Arial"/>
                <w:sz w:val="14"/>
                <w:szCs w:val="14"/>
                <w:color w:val="auto"/>
                <w:w w:val="76"/>
              </w:rPr>
              <w:t>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Diversified Financial Services</w:t>
            </w:r>
          </w:p>
        </w:tc>
        <w:tc>
          <w:tcPr>
            <w:tcW w:w="2160" w:type="dxa"/>
            <w:vAlign w:val="bottom"/>
            <w:gridSpan w:val="2"/>
            <w:shd w:val="clear" w:color="auto" w:fill="CCEEFF"/>
          </w:tcPr>
          <w:p>
            <w:pPr>
              <w:ind w:left="2100"/>
              <w:spacing w:after="0"/>
              <w:rPr>
                <w:sz w:val="20"/>
                <w:szCs w:val="20"/>
                <w:color w:val="auto"/>
              </w:rPr>
            </w:pPr>
            <w:r>
              <w:rPr>
                <w:rFonts w:ascii="Arial" w:cs="Arial" w:eastAsia="Arial" w:hAnsi="Arial"/>
                <w:sz w:val="10"/>
                <w:szCs w:val="10"/>
                <w:color w:val="auto"/>
                <w:w w:val="71"/>
              </w:rPr>
              <w:t>2</w:t>
            </w: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w w:val="76"/>
              </w:rPr>
              <w:t>2</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Arial" w:cs="Arial" w:eastAsia="Arial" w:hAnsi="Arial"/>
                <w:sz w:val="14"/>
                <w:szCs w:val="14"/>
                <w:color w:val="auto"/>
              </w:rPr>
              <w:t>Healthcare Equipment and Supplies</w:t>
            </w:r>
          </w:p>
        </w:tc>
        <w:tc>
          <w:tcPr>
            <w:tcW w:w="2160" w:type="dxa"/>
            <w:vAlign w:val="bottom"/>
            <w:gridSpan w:val="2"/>
          </w:tcPr>
          <w:p>
            <w:pPr>
              <w:ind w:left="2100"/>
              <w:spacing w:after="0"/>
              <w:rPr>
                <w:sz w:val="20"/>
                <w:szCs w:val="20"/>
                <w:color w:val="auto"/>
              </w:rPr>
            </w:pPr>
            <w:r>
              <w:rPr>
                <w:rFonts w:ascii="Arial" w:cs="Arial" w:eastAsia="Arial" w:hAnsi="Arial"/>
                <w:sz w:val="10"/>
                <w:szCs w:val="10"/>
                <w:color w:val="auto"/>
                <w:w w:val="71"/>
              </w:rPr>
              <w:t>2</w:t>
            </w:r>
          </w:p>
        </w:tc>
        <w:tc>
          <w:tcPr>
            <w:tcW w:w="500" w:type="dxa"/>
            <w:vAlign w:val="bottom"/>
          </w:tcPr>
          <w:p>
            <w:pPr>
              <w:spacing w:after="0"/>
              <w:rPr>
                <w:sz w:val="14"/>
                <w:szCs w:val="14"/>
                <w:color w:val="auto"/>
              </w:rPr>
            </w:pPr>
          </w:p>
        </w:tc>
        <w:tc>
          <w:tcPr>
            <w:tcW w:w="1080" w:type="dxa"/>
            <w:vAlign w:val="bottom"/>
            <w:gridSpan w:val="2"/>
          </w:tcPr>
          <w:p>
            <w:pPr>
              <w:ind w:left="1000"/>
              <w:spacing w:after="0"/>
              <w:rPr>
                <w:sz w:val="20"/>
                <w:szCs w:val="20"/>
                <w:color w:val="auto"/>
              </w:rPr>
            </w:pPr>
            <w:r>
              <w:rPr>
                <w:rFonts w:ascii="Arial" w:cs="Arial" w:eastAsia="Arial" w:hAnsi="Arial"/>
                <w:sz w:val="14"/>
                <w:szCs w:val="14"/>
                <w:color w:val="auto"/>
                <w:w w:val="76"/>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Insurance</w:t>
            </w:r>
          </w:p>
        </w:tc>
        <w:tc>
          <w:tcPr>
            <w:tcW w:w="2160" w:type="dxa"/>
            <w:vAlign w:val="bottom"/>
            <w:gridSpan w:val="2"/>
            <w:shd w:val="clear" w:color="auto" w:fill="CCEEFF"/>
          </w:tcPr>
          <w:p>
            <w:pPr>
              <w:ind w:left="2100"/>
              <w:spacing w:after="0"/>
              <w:rPr>
                <w:sz w:val="20"/>
                <w:szCs w:val="20"/>
                <w:color w:val="auto"/>
              </w:rPr>
            </w:pPr>
            <w:r>
              <w:rPr>
                <w:rFonts w:ascii="Arial" w:cs="Arial" w:eastAsia="Arial" w:hAnsi="Arial"/>
                <w:sz w:val="10"/>
                <w:szCs w:val="10"/>
                <w:color w:val="auto"/>
                <w:w w:val="71"/>
              </w:rPr>
              <w:t>2</w:t>
            </w: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w w:val="76"/>
              </w:rPr>
              <w:t>1</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Arial" w:cs="Arial" w:eastAsia="Arial" w:hAnsi="Arial"/>
                <w:sz w:val="14"/>
                <w:szCs w:val="14"/>
                <w:color w:val="auto"/>
              </w:rPr>
              <w:t>Media: Broadcasting and Subscription</w:t>
            </w:r>
          </w:p>
        </w:tc>
        <w:tc>
          <w:tcPr>
            <w:tcW w:w="2160" w:type="dxa"/>
            <w:vAlign w:val="bottom"/>
            <w:gridSpan w:val="2"/>
          </w:tcPr>
          <w:p>
            <w:pPr>
              <w:ind w:left="2100"/>
              <w:spacing w:after="0"/>
              <w:rPr>
                <w:sz w:val="20"/>
                <w:szCs w:val="20"/>
                <w:color w:val="auto"/>
              </w:rPr>
            </w:pPr>
            <w:r>
              <w:rPr>
                <w:rFonts w:ascii="Arial" w:cs="Arial" w:eastAsia="Arial" w:hAnsi="Arial"/>
                <w:sz w:val="10"/>
                <w:szCs w:val="10"/>
                <w:color w:val="auto"/>
                <w:w w:val="71"/>
              </w:rPr>
              <w:t>2</w:t>
            </w:r>
          </w:p>
        </w:tc>
        <w:tc>
          <w:tcPr>
            <w:tcW w:w="500" w:type="dxa"/>
            <w:vAlign w:val="bottom"/>
          </w:tcPr>
          <w:p>
            <w:pPr>
              <w:spacing w:after="0"/>
              <w:rPr>
                <w:sz w:val="14"/>
                <w:szCs w:val="14"/>
                <w:color w:val="auto"/>
              </w:rPr>
            </w:pPr>
          </w:p>
        </w:tc>
        <w:tc>
          <w:tcPr>
            <w:tcW w:w="1080" w:type="dxa"/>
            <w:vAlign w:val="bottom"/>
            <w:gridSpan w:val="2"/>
          </w:tcPr>
          <w:p>
            <w:pPr>
              <w:ind w:left="1000"/>
              <w:spacing w:after="0"/>
              <w:rPr>
                <w:sz w:val="20"/>
                <w:szCs w:val="20"/>
                <w:color w:val="auto"/>
              </w:rPr>
            </w:pPr>
            <w:r>
              <w:rPr>
                <w:rFonts w:ascii="Arial" w:cs="Arial" w:eastAsia="Arial" w:hAnsi="Arial"/>
                <w:sz w:val="14"/>
                <w:szCs w:val="14"/>
                <w:color w:val="auto"/>
                <w:w w:val="76"/>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Air Freight and Logistics</w:t>
            </w:r>
          </w:p>
        </w:tc>
        <w:tc>
          <w:tcPr>
            <w:tcW w:w="2160" w:type="dxa"/>
            <w:vAlign w:val="bottom"/>
            <w:gridSpan w:val="2"/>
            <w:shd w:val="clear" w:color="auto" w:fill="CCEEFF"/>
          </w:tcPr>
          <w:p>
            <w:pPr>
              <w:ind w:left="2100"/>
              <w:spacing w:after="0"/>
              <w:rPr>
                <w:sz w:val="20"/>
                <w:szCs w:val="20"/>
                <w:color w:val="auto"/>
              </w:rPr>
            </w:pPr>
            <w:r>
              <w:rPr>
                <w:rFonts w:ascii="Arial" w:cs="Arial" w:eastAsia="Arial" w:hAnsi="Arial"/>
                <w:sz w:val="10"/>
                <w:szCs w:val="10"/>
                <w:color w:val="auto"/>
                <w:w w:val="71"/>
              </w:rPr>
              <w:t>1</w:t>
            </w: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w w:val="76"/>
              </w:rPr>
              <w:t>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Arial" w:cs="Arial" w:eastAsia="Arial" w:hAnsi="Arial"/>
                <w:sz w:val="14"/>
                <w:szCs w:val="14"/>
                <w:color w:val="auto"/>
              </w:rPr>
              <w:t>Automobiles</w:t>
            </w:r>
          </w:p>
        </w:tc>
        <w:tc>
          <w:tcPr>
            <w:tcW w:w="2160" w:type="dxa"/>
            <w:vAlign w:val="bottom"/>
            <w:gridSpan w:val="2"/>
          </w:tcPr>
          <w:p>
            <w:pPr>
              <w:ind w:left="2100"/>
              <w:spacing w:after="0"/>
              <w:rPr>
                <w:sz w:val="20"/>
                <w:szCs w:val="20"/>
                <w:color w:val="auto"/>
              </w:rPr>
            </w:pPr>
            <w:r>
              <w:rPr>
                <w:rFonts w:ascii="Arial" w:cs="Arial" w:eastAsia="Arial" w:hAnsi="Arial"/>
                <w:sz w:val="10"/>
                <w:szCs w:val="10"/>
                <w:color w:val="auto"/>
                <w:w w:val="71"/>
              </w:rPr>
              <w:t>1</w:t>
            </w:r>
          </w:p>
        </w:tc>
        <w:tc>
          <w:tcPr>
            <w:tcW w:w="500" w:type="dxa"/>
            <w:vAlign w:val="bottom"/>
          </w:tcPr>
          <w:p>
            <w:pPr>
              <w:spacing w:after="0"/>
              <w:rPr>
                <w:sz w:val="14"/>
                <w:szCs w:val="14"/>
                <w:color w:val="auto"/>
              </w:rPr>
            </w:pPr>
          </w:p>
        </w:tc>
        <w:tc>
          <w:tcPr>
            <w:tcW w:w="1080" w:type="dxa"/>
            <w:vAlign w:val="bottom"/>
            <w:gridSpan w:val="2"/>
          </w:tcPr>
          <w:p>
            <w:pPr>
              <w:ind w:left="1000"/>
              <w:spacing w:after="0"/>
              <w:rPr>
                <w:sz w:val="20"/>
                <w:szCs w:val="20"/>
                <w:color w:val="auto"/>
              </w:rPr>
            </w:pPr>
            <w:r>
              <w:rPr>
                <w:rFonts w:ascii="Arial" w:cs="Arial" w:eastAsia="Arial" w:hAnsi="Arial"/>
                <w:sz w:val="14"/>
                <w:szCs w:val="14"/>
                <w:color w:val="auto"/>
                <w:w w:val="76"/>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Banking, Finance, Insurance &amp; Real Estate</w:t>
            </w:r>
          </w:p>
        </w:tc>
        <w:tc>
          <w:tcPr>
            <w:tcW w:w="2160" w:type="dxa"/>
            <w:vAlign w:val="bottom"/>
            <w:gridSpan w:val="2"/>
            <w:shd w:val="clear" w:color="auto" w:fill="CCEEFF"/>
          </w:tcPr>
          <w:p>
            <w:pPr>
              <w:ind w:left="2100"/>
              <w:spacing w:after="0"/>
              <w:rPr>
                <w:sz w:val="20"/>
                <w:szCs w:val="20"/>
                <w:color w:val="auto"/>
              </w:rPr>
            </w:pPr>
            <w:r>
              <w:rPr>
                <w:rFonts w:ascii="Arial" w:cs="Arial" w:eastAsia="Arial" w:hAnsi="Arial"/>
                <w:sz w:val="10"/>
                <w:szCs w:val="10"/>
                <w:color w:val="auto"/>
                <w:w w:val="71"/>
              </w:rPr>
              <w:t>1</w:t>
            </w: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w w:val="76"/>
              </w:rPr>
              <w:t>1</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Arial" w:cs="Arial" w:eastAsia="Arial" w:hAnsi="Arial"/>
                <w:sz w:val="14"/>
                <w:szCs w:val="14"/>
                <w:color w:val="auto"/>
              </w:rPr>
              <w:t>Building Products</w:t>
            </w:r>
          </w:p>
        </w:tc>
        <w:tc>
          <w:tcPr>
            <w:tcW w:w="2160" w:type="dxa"/>
            <w:vAlign w:val="bottom"/>
            <w:gridSpan w:val="2"/>
          </w:tcPr>
          <w:p>
            <w:pPr>
              <w:ind w:left="2100"/>
              <w:spacing w:after="0"/>
              <w:rPr>
                <w:sz w:val="20"/>
                <w:szCs w:val="20"/>
                <w:color w:val="auto"/>
              </w:rPr>
            </w:pPr>
            <w:r>
              <w:rPr>
                <w:rFonts w:ascii="Arial" w:cs="Arial" w:eastAsia="Arial" w:hAnsi="Arial"/>
                <w:sz w:val="10"/>
                <w:szCs w:val="10"/>
                <w:color w:val="auto"/>
                <w:w w:val="71"/>
              </w:rPr>
              <w:t>1</w:t>
            </w:r>
          </w:p>
        </w:tc>
        <w:tc>
          <w:tcPr>
            <w:tcW w:w="500" w:type="dxa"/>
            <w:vAlign w:val="bottom"/>
          </w:tcPr>
          <w:p>
            <w:pPr>
              <w:spacing w:after="0"/>
              <w:rPr>
                <w:sz w:val="14"/>
                <w:szCs w:val="14"/>
                <w:color w:val="auto"/>
              </w:rPr>
            </w:pPr>
          </w:p>
        </w:tc>
        <w:tc>
          <w:tcPr>
            <w:tcW w:w="1080" w:type="dxa"/>
            <w:vAlign w:val="bottom"/>
            <w:gridSpan w:val="2"/>
          </w:tcPr>
          <w:p>
            <w:pPr>
              <w:ind w:left="1000"/>
              <w:spacing w:after="0"/>
              <w:rPr>
                <w:sz w:val="20"/>
                <w:szCs w:val="20"/>
                <w:color w:val="auto"/>
              </w:rPr>
            </w:pPr>
            <w:r>
              <w:rPr>
                <w:rFonts w:ascii="Arial" w:cs="Arial" w:eastAsia="Arial" w:hAnsi="Arial"/>
                <w:sz w:val="14"/>
                <w:szCs w:val="14"/>
                <w:color w:val="auto"/>
                <w:w w:val="76"/>
              </w:rPr>
              <w:t>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Energy Equipment and Services</w:t>
            </w:r>
          </w:p>
        </w:tc>
        <w:tc>
          <w:tcPr>
            <w:tcW w:w="2160" w:type="dxa"/>
            <w:vAlign w:val="bottom"/>
            <w:gridSpan w:val="2"/>
            <w:shd w:val="clear" w:color="auto" w:fill="CCEEFF"/>
          </w:tcPr>
          <w:p>
            <w:pPr>
              <w:ind w:left="2100"/>
              <w:spacing w:after="0"/>
              <w:rPr>
                <w:sz w:val="20"/>
                <w:szCs w:val="20"/>
                <w:color w:val="auto"/>
              </w:rPr>
            </w:pPr>
            <w:r>
              <w:rPr>
                <w:rFonts w:ascii="Arial" w:cs="Arial" w:eastAsia="Arial" w:hAnsi="Arial"/>
                <w:sz w:val="10"/>
                <w:szCs w:val="10"/>
                <w:color w:val="auto"/>
                <w:w w:val="71"/>
              </w:rPr>
              <w:t>1</w:t>
            </w: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w w:val="76"/>
              </w:rPr>
              <w:t>1</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Arial" w:cs="Arial" w:eastAsia="Arial" w:hAnsi="Arial"/>
                <w:sz w:val="14"/>
                <w:szCs w:val="14"/>
                <w:color w:val="auto"/>
              </w:rPr>
              <w:t>Financial Services</w:t>
            </w:r>
          </w:p>
        </w:tc>
        <w:tc>
          <w:tcPr>
            <w:tcW w:w="2160" w:type="dxa"/>
            <w:vAlign w:val="bottom"/>
            <w:gridSpan w:val="2"/>
          </w:tcPr>
          <w:p>
            <w:pPr>
              <w:ind w:left="2100"/>
              <w:spacing w:after="0"/>
              <w:rPr>
                <w:sz w:val="20"/>
                <w:szCs w:val="20"/>
                <w:color w:val="auto"/>
              </w:rPr>
            </w:pPr>
            <w:r>
              <w:rPr>
                <w:rFonts w:ascii="Arial" w:cs="Arial" w:eastAsia="Arial" w:hAnsi="Arial"/>
                <w:sz w:val="10"/>
                <w:szCs w:val="10"/>
                <w:color w:val="auto"/>
                <w:w w:val="71"/>
              </w:rPr>
              <w:t>1</w:t>
            </w:r>
          </w:p>
        </w:tc>
        <w:tc>
          <w:tcPr>
            <w:tcW w:w="500" w:type="dxa"/>
            <w:vAlign w:val="bottom"/>
          </w:tcPr>
          <w:p>
            <w:pPr>
              <w:spacing w:after="0"/>
              <w:rPr>
                <w:sz w:val="14"/>
                <w:szCs w:val="14"/>
                <w:color w:val="auto"/>
              </w:rPr>
            </w:pPr>
          </w:p>
        </w:tc>
        <w:tc>
          <w:tcPr>
            <w:tcW w:w="1080" w:type="dxa"/>
            <w:vAlign w:val="bottom"/>
            <w:gridSpan w:val="2"/>
          </w:tcPr>
          <w:p>
            <w:pPr>
              <w:ind w:left="1000"/>
              <w:spacing w:after="0"/>
              <w:rPr>
                <w:sz w:val="20"/>
                <w:szCs w:val="20"/>
                <w:color w:val="auto"/>
              </w:rPr>
            </w:pPr>
            <w:r>
              <w:rPr>
                <w:rFonts w:ascii="Arial" w:cs="Arial" w:eastAsia="Arial" w:hAnsi="Arial"/>
                <w:sz w:val="14"/>
                <w:szCs w:val="14"/>
                <w:color w:val="auto"/>
                <w:w w:val="76"/>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Food Products</w:t>
            </w:r>
          </w:p>
        </w:tc>
        <w:tc>
          <w:tcPr>
            <w:tcW w:w="2160" w:type="dxa"/>
            <w:vAlign w:val="bottom"/>
            <w:gridSpan w:val="2"/>
            <w:shd w:val="clear" w:color="auto" w:fill="CCEEFF"/>
          </w:tcPr>
          <w:p>
            <w:pPr>
              <w:ind w:left="2100"/>
              <w:spacing w:after="0"/>
              <w:rPr>
                <w:sz w:val="20"/>
                <w:szCs w:val="20"/>
                <w:color w:val="auto"/>
              </w:rPr>
            </w:pPr>
            <w:r>
              <w:rPr>
                <w:rFonts w:ascii="Arial" w:cs="Arial" w:eastAsia="Arial" w:hAnsi="Arial"/>
                <w:sz w:val="10"/>
                <w:szCs w:val="10"/>
                <w:color w:val="auto"/>
                <w:w w:val="71"/>
              </w:rPr>
              <w:t>1</w:t>
            </w: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w w:val="76"/>
              </w:rPr>
              <w:t>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Arial" w:cs="Arial" w:eastAsia="Arial" w:hAnsi="Arial"/>
                <w:sz w:val="14"/>
                <w:szCs w:val="14"/>
                <w:color w:val="auto"/>
              </w:rPr>
              <w:t>Hotels, Restaurants and Leisure</w:t>
            </w:r>
          </w:p>
        </w:tc>
        <w:tc>
          <w:tcPr>
            <w:tcW w:w="2160" w:type="dxa"/>
            <w:vAlign w:val="bottom"/>
            <w:gridSpan w:val="2"/>
          </w:tcPr>
          <w:p>
            <w:pPr>
              <w:ind w:left="2100"/>
              <w:spacing w:after="0"/>
              <w:rPr>
                <w:sz w:val="20"/>
                <w:szCs w:val="20"/>
                <w:color w:val="auto"/>
              </w:rPr>
            </w:pPr>
            <w:r>
              <w:rPr>
                <w:rFonts w:ascii="Arial" w:cs="Arial" w:eastAsia="Arial" w:hAnsi="Arial"/>
                <w:sz w:val="10"/>
                <w:szCs w:val="10"/>
                <w:color w:val="auto"/>
                <w:w w:val="71"/>
              </w:rPr>
              <w:t>1</w:t>
            </w:r>
          </w:p>
        </w:tc>
        <w:tc>
          <w:tcPr>
            <w:tcW w:w="500" w:type="dxa"/>
            <w:vAlign w:val="bottom"/>
          </w:tcPr>
          <w:p>
            <w:pPr>
              <w:spacing w:after="0"/>
              <w:rPr>
                <w:sz w:val="14"/>
                <w:szCs w:val="14"/>
                <w:color w:val="auto"/>
              </w:rPr>
            </w:pPr>
          </w:p>
        </w:tc>
        <w:tc>
          <w:tcPr>
            <w:tcW w:w="1080" w:type="dxa"/>
            <w:vAlign w:val="bottom"/>
            <w:gridSpan w:val="2"/>
          </w:tcPr>
          <w:p>
            <w:pPr>
              <w:ind w:left="1000"/>
              <w:spacing w:after="0"/>
              <w:rPr>
                <w:sz w:val="20"/>
                <w:szCs w:val="20"/>
                <w:color w:val="auto"/>
              </w:rPr>
            </w:pPr>
            <w:r>
              <w:rPr>
                <w:rFonts w:ascii="Arial" w:cs="Arial" w:eastAsia="Arial" w:hAnsi="Arial"/>
                <w:sz w:val="14"/>
                <w:szCs w:val="14"/>
                <w:color w:val="auto"/>
                <w:w w:val="76"/>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Leisure Products</w:t>
            </w:r>
          </w:p>
        </w:tc>
        <w:tc>
          <w:tcPr>
            <w:tcW w:w="2160" w:type="dxa"/>
            <w:vAlign w:val="bottom"/>
            <w:gridSpan w:val="2"/>
            <w:shd w:val="clear" w:color="auto" w:fill="CCEEFF"/>
          </w:tcPr>
          <w:p>
            <w:pPr>
              <w:ind w:left="2100"/>
              <w:spacing w:after="0"/>
              <w:rPr>
                <w:sz w:val="20"/>
                <w:szCs w:val="20"/>
                <w:color w:val="auto"/>
              </w:rPr>
            </w:pPr>
            <w:r>
              <w:rPr>
                <w:rFonts w:ascii="Arial" w:cs="Arial" w:eastAsia="Arial" w:hAnsi="Arial"/>
                <w:sz w:val="10"/>
                <w:szCs w:val="10"/>
                <w:color w:val="auto"/>
                <w:w w:val="71"/>
              </w:rPr>
              <w:t>1</w:t>
            </w: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w w:val="76"/>
              </w:rPr>
              <w:t>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Arial" w:cs="Arial" w:eastAsia="Arial" w:hAnsi="Arial"/>
                <w:sz w:val="14"/>
                <w:szCs w:val="14"/>
                <w:color w:val="auto"/>
              </w:rPr>
              <w:t>Textiles, Apparel and Luxury Goods</w:t>
            </w:r>
          </w:p>
        </w:tc>
        <w:tc>
          <w:tcPr>
            <w:tcW w:w="2160" w:type="dxa"/>
            <w:vAlign w:val="bottom"/>
            <w:gridSpan w:val="2"/>
          </w:tcPr>
          <w:p>
            <w:pPr>
              <w:ind w:left="2100"/>
              <w:spacing w:after="0"/>
              <w:rPr>
                <w:sz w:val="20"/>
                <w:szCs w:val="20"/>
                <w:color w:val="auto"/>
              </w:rPr>
            </w:pPr>
            <w:r>
              <w:rPr>
                <w:rFonts w:ascii="Arial" w:cs="Arial" w:eastAsia="Arial" w:hAnsi="Arial"/>
                <w:sz w:val="10"/>
                <w:szCs w:val="10"/>
                <w:color w:val="auto"/>
                <w:w w:val="71"/>
              </w:rPr>
              <w:t>1</w:t>
            </w:r>
          </w:p>
        </w:tc>
        <w:tc>
          <w:tcPr>
            <w:tcW w:w="500" w:type="dxa"/>
            <w:vAlign w:val="bottom"/>
          </w:tcPr>
          <w:p>
            <w:pPr>
              <w:spacing w:after="0"/>
              <w:rPr>
                <w:sz w:val="14"/>
                <w:szCs w:val="14"/>
                <w:color w:val="auto"/>
              </w:rPr>
            </w:pPr>
          </w:p>
        </w:tc>
        <w:tc>
          <w:tcPr>
            <w:tcW w:w="1080" w:type="dxa"/>
            <w:vAlign w:val="bottom"/>
            <w:gridSpan w:val="2"/>
          </w:tcPr>
          <w:p>
            <w:pPr>
              <w:ind w:left="1000"/>
              <w:spacing w:after="0"/>
              <w:rPr>
                <w:sz w:val="20"/>
                <w:szCs w:val="20"/>
                <w:color w:val="auto"/>
              </w:rPr>
            </w:pPr>
            <w:r>
              <w:rPr>
                <w:rFonts w:ascii="Arial" w:cs="Arial" w:eastAsia="Arial" w:hAnsi="Arial"/>
                <w:sz w:val="14"/>
                <w:szCs w:val="14"/>
                <w:color w:val="auto"/>
                <w:w w:val="76"/>
              </w:rPr>
              <w:t>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Wholesale</w:t>
            </w:r>
          </w:p>
        </w:tc>
        <w:tc>
          <w:tcPr>
            <w:tcW w:w="2160" w:type="dxa"/>
            <w:vAlign w:val="bottom"/>
            <w:gridSpan w:val="2"/>
            <w:shd w:val="clear" w:color="auto" w:fill="CCEEFF"/>
          </w:tcPr>
          <w:p>
            <w:pPr>
              <w:ind w:left="2100"/>
              <w:spacing w:after="0"/>
              <w:rPr>
                <w:sz w:val="20"/>
                <w:szCs w:val="20"/>
                <w:color w:val="auto"/>
              </w:rPr>
            </w:pPr>
            <w:r>
              <w:rPr>
                <w:rFonts w:ascii="Arial" w:cs="Arial" w:eastAsia="Arial" w:hAnsi="Arial"/>
                <w:sz w:val="10"/>
                <w:szCs w:val="10"/>
                <w:color w:val="auto"/>
                <w:w w:val="71"/>
              </w:rPr>
              <w:t>1</w:t>
            </w: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w w:val="76"/>
              </w:rPr>
              <w:t>2</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Arial" w:cs="Arial" w:eastAsia="Arial" w:hAnsi="Arial"/>
                <w:sz w:val="14"/>
                <w:szCs w:val="14"/>
                <w:color w:val="auto"/>
              </w:rPr>
              <w:t>Construction &amp; Engineering</w:t>
            </w:r>
          </w:p>
        </w:tc>
        <w:tc>
          <w:tcPr>
            <w:tcW w:w="2160" w:type="dxa"/>
            <w:vAlign w:val="bottom"/>
            <w:gridSpan w:val="2"/>
          </w:tcPr>
          <w:p>
            <w:pPr>
              <w:ind w:left="2100"/>
              <w:spacing w:after="0"/>
              <w:rPr>
                <w:sz w:val="20"/>
                <w:szCs w:val="20"/>
                <w:color w:val="auto"/>
              </w:rPr>
            </w:pPr>
            <w:r>
              <w:rPr>
                <w:rFonts w:ascii="Arial" w:cs="Arial" w:eastAsia="Arial" w:hAnsi="Arial"/>
                <w:sz w:val="10"/>
                <w:szCs w:val="10"/>
                <w:color w:val="auto"/>
                <w:w w:val="71"/>
              </w:rPr>
              <w:t>0</w:t>
            </w:r>
          </w:p>
        </w:tc>
        <w:tc>
          <w:tcPr>
            <w:tcW w:w="500" w:type="dxa"/>
            <w:vAlign w:val="bottom"/>
          </w:tcPr>
          <w:p>
            <w:pPr>
              <w:spacing w:after="0"/>
              <w:rPr>
                <w:sz w:val="14"/>
                <w:szCs w:val="14"/>
                <w:color w:val="auto"/>
              </w:rPr>
            </w:pPr>
          </w:p>
        </w:tc>
        <w:tc>
          <w:tcPr>
            <w:tcW w:w="1080" w:type="dxa"/>
            <w:vAlign w:val="bottom"/>
            <w:gridSpan w:val="2"/>
          </w:tcPr>
          <w:p>
            <w:pPr>
              <w:ind w:left="1000"/>
              <w:spacing w:after="0"/>
              <w:rPr>
                <w:sz w:val="20"/>
                <w:szCs w:val="20"/>
                <w:color w:val="auto"/>
              </w:rPr>
            </w:pPr>
            <w:r>
              <w:rPr>
                <w:rFonts w:ascii="Arial" w:cs="Arial" w:eastAsia="Arial" w:hAnsi="Arial"/>
                <w:sz w:val="14"/>
                <w:szCs w:val="14"/>
                <w:color w:val="auto"/>
                <w:w w:val="76"/>
              </w:rPr>
              <w:t>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Hotel, Gaming and Leisure</w:t>
            </w:r>
          </w:p>
        </w:tc>
        <w:tc>
          <w:tcPr>
            <w:tcW w:w="2660" w:type="dxa"/>
            <w:vAlign w:val="bottom"/>
            <w:gridSpan w:val="3"/>
            <w:shd w:val="clear" w:color="auto" w:fill="CCEEFF"/>
          </w:tcPr>
          <w:p>
            <w:pPr>
              <w:ind w:left="2100"/>
              <w:spacing w:after="0"/>
              <w:rPr>
                <w:sz w:val="20"/>
                <w:szCs w:val="20"/>
                <w:color w:val="auto"/>
              </w:rPr>
            </w:pPr>
            <w:r>
              <w:rPr>
                <w:rFonts w:ascii="Arial" w:cs="Arial" w:eastAsia="Arial" w:hAnsi="Arial"/>
                <w:sz w:val="14"/>
                <w:szCs w:val="14"/>
                <w:color w:val="auto"/>
              </w:rPr>
              <w:t>0%</w:t>
            </w:r>
          </w:p>
        </w:tc>
        <w:tc>
          <w:tcPr>
            <w:tcW w:w="1240" w:type="dxa"/>
            <w:vAlign w:val="bottom"/>
            <w:gridSpan w:val="3"/>
            <w:shd w:val="clear" w:color="auto" w:fill="CCEEFF"/>
          </w:tcPr>
          <w:p>
            <w:pPr>
              <w:ind w:left="100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9"/>
        </w:trPr>
        <w:tc>
          <w:tcPr>
            <w:tcW w:w="10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00" w:type="dxa"/>
            <w:vAlign w:val="bottom"/>
          </w:tcPr>
          <w:p>
            <w:pPr>
              <w:jc w:val="right"/>
              <w:ind w:right="1027"/>
              <w:spacing w:after="0"/>
              <w:rPr>
                <w:sz w:val="20"/>
                <w:szCs w:val="20"/>
                <w:color w:val="auto"/>
              </w:rPr>
            </w:pPr>
            <w:r>
              <w:rPr>
                <w:rFonts w:ascii="Arial" w:cs="Arial" w:eastAsia="Arial" w:hAnsi="Arial"/>
                <w:sz w:val="14"/>
                <w:szCs w:val="14"/>
                <w:color w:val="auto"/>
              </w:rPr>
              <w:t>29</w:t>
            </w: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33" w:name="page34"/>
    <w:bookmarkEnd w:id="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2805" cy="45720"/>
                    </a:xfrm>
                    <a:prstGeom prst="rect">
                      <a:avLst/>
                    </a:prstGeom>
                    <a:noFill/>
                  </pic:spPr>
                </pic:pic>
              </a:graphicData>
            </a:graphic>
          </wp:anchor>
        </w:drawing>
      </w:r>
    </w:p>
    <w:tbl>
      <w:tblPr>
        <w:tblLayout w:type="fixed"/>
        <w:tblInd w:w="960" w:type="dxa"/>
        <w:tblCellMar>
          <w:top w:w="0" w:type="dxa"/>
          <w:left w:w="0" w:type="dxa"/>
          <w:bottom w:w="0" w:type="dxa"/>
          <w:right w:w="0" w:type="dxa"/>
        </w:tblCellMar>
      </w:tblPr>
      <w:tr>
        <w:trPr>
          <w:trHeight w:val="126"/>
        </w:trPr>
        <w:tc>
          <w:tcPr>
            <w:tcW w:w="36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Industry Classification</w:t>
            </w:r>
          </w:p>
        </w:tc>
        <w:tc>
          <w:tcPr>
            <w:tcW w:w="1860" w:type="dxa"/>
            <w:vAlign w:val="bottom"/>
            <w:gridSpan w:val="2"/>
          </w:tcPr>
          <w:p>
            <w:pPr>
              <w:jc w:val="right"/>
              <w:spacing w:after="0"/>
              <w:rPr>
                <w:sz w:val="20"/>
                <w:szCs w:val="20"/>
                <w:color w:val="auto"/>
              </w:rPr>
            </w:pPr>
            <w:r>
              <w:rPr>
                <w:rFonts w:ascii="Arial" w:cs="Arial" w:eastAsia="Arial" w:hAnsi="Arial"/>
                <w:sz w:val="11"/>
                <w:szCs w:val="11"/>
                <w:b w:val="1"/>
                <w:bCs w:val="1"/>
                <w:color w:val="auto"/>
              </w:rPr>
              <w:t>September 30,</w:t>
            </w:r>
          </w:p>
        </w:tc>
        <w:tc>
          <w:tcPr>
            <w:tcW w:w="160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September 30,</w:t>
            </w:r>
          </w:p>
        </w:tc>
        <w:tc>
          <w:tcPr>
            <w:tcW w:w="0" w:type="dxa"/>
            <w:vAlign w:val="bottom"/>
          </w:tcPr>
          <w:p>
            <w:pPr>
              <w:spacing w:after="0"/>
              <w:rPr>
                <w:sz w:val="1"/>
                <w:szCs w:val="1"/>
                <w:color w:val="auto"/>
              </w:rPr>
            </w:pPr>
          </w:p>
        </w:tc>
      </w:tr>
      <w:tr>
        <w:trPr>
          <w:trHeight w:val="141"/>
        </w:trPr>
        <w:tc>
          <w:tcPr>
            <w:tcW w:w="3640" w:type="dxa"/>
            <w:vAlign w:val="bottom"/>
            <w:gridSpan w:val="2"/>
            <w:vMerge w:val="continue"/>
          </w:tcPr>
          <w:p>
            <w:pPr>
              <w:spacing w:after="0"/>
              <w:rPr>
                <w:sz w:val="12"/>
                <w:szCs w:val="12"/>
                <w:color w:val="auto"/>
              </w:rPr>
            </w:pPr>
          </w:p>
        </w:tc>
        <w:tc>
          <w:tcPr>
            <w:tcW w:w="1860" w:type="dxa"/>
            <w:vAlign w:val="bottom"/>
            <w:gridSpan w:val="2"/>
          </w:tcPr>
          <w:p>
            <w:pPr>
              <w:jc w:val="right"/>
              <w:ind w:right="111"/>
              <w:spacing w:after="0" w:line="121" w:lineRule="exact"/>
              <w:rPr>
                <w:sz w:val="20"/>
                <w:szCs w:val="20"/>
                <w:color w:val="auto"/>
              </w:rPr>
            </w:pPr>
            <w:r>
              <w:rPr>
                <w:rFonts w:ascii="Arial" w:cs="Arial" w:eastAsia="Arial" w:hAnsi="Arial"/>
                <w:sz w:val="11"/>
                <w:szCs w:val="11"/>
                <w:b w:val="1"/>
                <w:bCs w:val="1"/>
                <w:color w:val="auto"/>
              </w:rPr>
              <w:t>2022(1)</w:t>
            </w:r>
          </w:p>
        </w:tc>
        <w:tc>
          <w:tcPr>
            <w:tcW w:w="1440" w:type="dxa"/>
            <w:vAlign w:val="bottom"/>
            <w:gridSpan w:val="2"/>
          </w:tcPr>
          <w:p>
            <w:pPr>
              <w:jc w:val="right"/>
              <w:ind w:right="91"/>
              <w:spacing w:after="0" w:line="121" w:lineRule="exact"/>
              <w:rPr>
                <w:sz w:val="20"/>
                <w:szCs w:val="20"/>
                <w:color w:val="auto"/>
              </w:rPr>
            </w:pPr>
            <w:r>
              <w:rPr>
                <w:rFonts w:ascii="Arial" w:cs="Arial" w:eastAsia="Arial" w:hAnsi="Arial"/>
                <w:sz w:val="11"/>
                <w:szCs w:val="11"/>
                <w:b w:val="1"/>
                <w:bCs w:val="1"/>
                <w:color w:val="auto"/>
              </w:rPr>
              <w:t>2021(1)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8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w w:val="89"/>
              </w:rPr>
              <w:t>Media: Advertising,</w:t>
            </w:r>
          </w:p>
        </w:tc>
        <w:tc>
          <w:tcPr>
            <w:tcW w:w="2560" w:type="dxa"/>
            <w:vAlign w:val="bottom"/>
          </w:tcPr>
          <w:p>
            <w:pPr>
              <w:ind w:left="60"/>
              <w:spacing w:after="0" w:line="135" w:lineRule="exact"/>
              <w:rPr>
                <w:sz w:val="20"/>
                <w:szCs w:val="20"/>
                <w:color w:val="auto"/>
              </w:rPr>
            </w:pPr>
            <w:r>
              <w:rPr>
                <w:rFonts w:ascii="Arial" w:cs="Arial" w:eastAsia="Arial" w:hAnsi="Arial"/>
                <w:sz w:val="14"/>
                <w:szCs w:val="14"/>
                <w:color w:val="auto"/>
              </w:rPr>
              <w:t>Printing and Publishing</w:t>
            </w:r>
          </w:p>
        </w:tc>
        <w:tc>
          <w:tcPr>
            <w:tcW w:w="1180" w:type="dxa"/>
            <w:vAlign w:val="bottom"/>
          </w:tcPr>
          <w:p>
            <w:pPr>
              <w:spacing w:after="0"/>
              <w:rPr>
                <w:sz w:val="12"/>
                <w:szCs w:val="12"/>
                <w:color w:val="auto"/>
              </w:rPr>
            </w:pPr>
          </w:p>
        </w:tc>
        <w:tc>
          <w:tcPr>
            <w:tcW w:w="68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0</w:t>
            </w:r>
          </w:p>
        </w:tc>
        <w:tc>
          <w:tcPr>
            <w:tcW w:w="780" w:type="dxa"/>
            <w:vAlign w:val="bottom"/>
          </w:tcPr>
          <w:p>
            <w:pPr>
              <w:spacing w:after="0"/>
              <w:rPr>
                <w:sz w:val="12"/>
                <w:szCs w:val="12"/>
                <w:color w:val="auto"/>
              </w:rPr>
            </w:pPr>
          </w:p>
        </w:tc>
        <w:tc>
          <w:tcPr>
            <w:tcW w:w="6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All Other</w:t>
            </w:r>
          </w:p>
        </w:tc>
        <w:tc>
          <w:tcPr>
            <w:tcW w:w="118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7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40" w:type="dxa"/>
            <w:vAlign w:val="bottom"/>
            <w:gridSpan w:val="2"/>
          </w:tcPr>
          <w:p>
            <w:pPr>
              <w:spacing w:after="0"/>
              <w:rPr>
                <w:sz w:val="20"/>
                <w:szCs w:val="20"/>
                <w:color w:val="auto"/>
              </w:rPr>
            </w:pPr>
            <w:r>
              <w:rPr>
                <w:rFonts w:ascii="Arial" w:cs="Arial" w:eastAsia="Arial" w:hAnsi="Arial"/>
                <w:sz w:val="14"/>
                <w:szCs w:val="14"/>
                <w:color w:val="auto"/>
              </w:rPr>
              <w:t>Total</w:t>
            </w:r>
          </w:p>
        </w:tc>
        <w:tc>
          <w:tcPr>
            <w:tcW w:w="1180" w:type="dxa"/>
            <w:vAlign w:val="bottom"/>
          </w:tcPr>
          <w:p>
            <w:pPr>
              <w:spacing w:after="0"/>
              <w:rPr>
                <w:sz w:val="14"/>
                <w:szCs w:val="14"/>
                <w:color w:val="auto"/>
              </w:rPr>
            </w:pPr>
          </w:p>
        </w:tc>
        <w:tc>
          <w:tcPr>
            <w:tcW w:w="680" w:type="dxa"/>
            <w:vAlign w:val="bottom"/>
          </w:tcPr>
          <w:p>
            <w:pPr>
              <w:jc w:val="right"/>
              <w:ind w:right="231"/>
              <w:spacing w:after="0"/>
              <w:rPr>
                <w:sz w:val="20"/>
                <w:szCs w:val="20"/>
                <w:color w:val="auto"/>
              </w:rPr>
            </w:pPr>
            <w:r>
              <w:rPr>
                <w:rFonts w:ascii="Arial" w:cs="Arial" w:eastAsia="Arial" w:hAnsi="Arial"/>
                <w:sz w:val="14"/>
                <w:szCs w:val="14"/>
                <w:color w:val="auto"/>
              </w:rPr>
              <w:t>100%</w:t>
            </w:r>
          </w:p>
        </w:tc>
        <w:tc>
          <w:tcPr>
            <w:tcW w:w="7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4"/>
          <w:szCs w:val="14"/>
          <w:color w:val="auto"/>
        </w:rPr>
        <w:t>(1)</w:t>
        <w:tab/>
        <w:t>Excludes investments in PSSL.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-101600</wp:posOffset>
            </wp:positionV>
            <wp:extent cx="59245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2455" cy="6350"/>
                    </a:xfrm>
                    <a:prstGeom prst="rect">
                      <a:avLst/>
                    </a:prstGeom>
                    <a:noFill/>
                  </pic:spPr>
                </pic:pic>
              </a:graphicData>
            </a:graphic>
          </wp:anchor>
        </w:drawing>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9019"/>
          </w:cols>
          <w:pgMar w:left="1440" w:top="245" w:right="1440" w:bottom="1440" w:gutter="0" w:footer="0" w:header="0"/>
        </w:sectPr>
      </w:pPr>
    </w:p>
    <w:bookmarkStart w:id="34" w:name="page35"/>
    <w:bookmarkEnd w:id="34"/>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2805" cy="45720"/>
                    </a:xfrm>
                    <a:prstGeom prst="rect">
                      <a:avLst/>
                    </a:prstGeom>
                    <a:noFill/>
                  </pic:spPr>
                </pic:pic>
              </a:graphicData>
            </a:graphic>
          </wp:anchor>
        </w:drawing>
        <w:t>PORTFOLIO MANAGEMENT</w:t>
      </w:r>
    </w:p>
    <w:p>
      <w:pPr>
        <w:spacing w:after="0" w:line="175" w:lineRule="exact"/>
        <w:rPr>
          <w:sz w:val="20"/>
          <w:szCs w:val="20"/>
          <w:color w:val="auto"/>
        </w:rPr>
      </w:pPr>
    </w:p>
    <w:p>
      <w:pPr>
        <w:ind w:left="280" w:right="319" w:firstLine="338"/>
        <w:spacing w:after="0" w:line="271" w:lineRule="auto"/>
        <w:rPr>
          <w:sz w:val="20"/>
          <w:szCs w:val="20"/>
          <w:color w:val="auto"/>
        </w:rPr>
      </w:pPr>
      <w:r>
        <w:rPr>
          <w:rFonts w:ascii="Arial" w:cs="Arial" w:eastAsia="Arial" w:hAnsi="Arial"/>
          <w:sz w:val="13"/>
          <w:szCs w:val="13"/>
          <w:color w:val="auto"/>
        </w:rPr>
        <w:t>Our Investment Adviser, which manages our day-to-day investment activities under the supervision of our board of directors, has seven experienced senior investment professionals.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40" w:lineRule="exact"/>
        <w:rPr>
          <w:sz w:val="20"/>
          <w:szCs w:val="20"/>
          <w:color w:val="auto"/>
        </w:rPr>
      </w:pPr>
    </w:p>
    <w:p>
      <w:pPr>
        <w:ind w:left="280" w:right="319" w:firstLine="338"/>
        <w:spacing w:after="0" w:line="270" w:lineRule="auto"/>
        <w:rPr>
          <w:sz w:val="20"/>
          <w:szCs w:val="20"/>
          <w:color w:val="auto"/>
        </w:rPr>
      </w:pPr>
      <w:r>
        <w:rPr>
          <w:rFonts w:ascii="Arial" w:cs="Arial" w:eastAsia="Arial" w:hAnsi="Arial"/>
          <w:sz w:val="13"/>
          <w:szCs w:val="13"/>
          <w:color w:val="auto"/>
        </w:rPr>
        <w:t>Arthur H. Penn became the Chief Executive Officer and a Director of PennantPark Floating Rate Capital Ltd. at its inception in 2010.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143" w:lineRule="exact"/>
        <w:rPr>
          <w:sz w:val="20"/>
          <w:szCs w:val="20"/>
          <w:color w:val="auto"/>
        </w:rPr>
      </w:pPr>
    </w:p>
    <w:p>
      <w:pPr>
        <w:ind w:left="280" w:right="319" w:firstLine="338"/>
        <w:spacing w:after="0" w:line="304" w:lineRule="auto"/>
        <w:rPr>
          <w:sz w:val="20"/>
          <w:szCs w:val="20"/>
          <w:color w:val="auto"/>
        </w:rPr>
      </w:pPr>
      <w:r>
        <w:rPr>
          <w:rFonts w:ascii="Arial" w:cs="Arial" w:eastAsia="Arial" w:hAnsi="Arial"/>
          <w:sz w:val="12"/>
          <w:szCs w:val="12"/>
          <w:color w:val="auto"/>
        </w:rPr>
        <w:t>José A. Briones joined PennantPark Investment Advisers in December 2009 and became a member of the Board of Directors of PennantPark Floating Rate Capital Ltd. on May 3, 2022.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22" w:lineRule="exact"/>
        <w:rPr>
          <w:sz w:val="20"/>
          <w:szCs w:val="20"/>
          <w:color w:val="auto"/>
        </w:rPr>
      </w:pPr>
    </w:p>
    <w:p>
      <w:pPr>
        <w:ind w:left="280" w:right="359" w:firstLine="338"/>
        <w:spacing w:after="0" w:line="276" w:lineRule="auto"/>
        <w:rPr>
          <w:sz w:val="20"/>
          <w:szCs w:val="20"/>
          <w:color w:val="auto"/>
        </w:rPr>
      </w:pPr>
      <w:r>
        <w:rPr>
          <w:rFonts w:ascii="Arial" w:cs="Arial" w:eastAsia="Arial" w:hAnsi="Arial"/>
          <w:sz w:val="13"/>
          <w:szCs w:val="13"/>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36" w:lineRule="exact"/>
        <w:rPr>
          <w:sz w:val="20"/>
          <w:szCs w:val="20"/>
          <w:color w:val="auto"/>
        </w:rPr>
      </w:pPr>
    </w:p>
    <w:p>
      <w:pPr>
        <w:ind w:left="280" w:right="619" w:firstLine="338"/>
        <w:spacing w:after="0" w:line="268" w:lineRule="auto"/>
        <w:rPr>
          <w:sz w:val="20"/>
          <w:szCs w:val="20"/>
          <w:color w:val="auto"/>
        </w:rPr>
      </w:pPr>
      <w:r>
        <w:rPr>
          <w:rFonts w:ascii="Arial" w:cs="Arial" w:eastAsia="Arial" w:hAnsi="Arial"/>
          <w:sz w:val="14"/>
          <w:szCs w:val="14"/>
          <w:color w:val="auto"/>
        </w:rPr>
        <w:t>Ryan Raskopf joined PennantPark Investment Advisers in August 2007. Previously, Mr. Raskopf was an Analyst in the Financial Institutions Group at Credit Suisse Securities (USA) LLC from 2005 to 2007.</w:t>
      </w:r>
    </w:p>
    <w:p>
      <w:pPr>
        <w:spacing w:after="0" w:line="138" w:lineRule="exact"/>
        <w:rPr>
          <w:sz w:val="20"/>
          <w:szCs w:val="20"/>
          <w:color w:val="auto"/>
        </w:rPr>
      </w:pPr>
    </w:p>
    <w:p>
      <w:pPr>
        <w:ind w:left="280" w:right="299" w:firstLine="338"/>
        <w:spacing w:after="0" w:line="280" w:lineRule="auto"/>
        <w:rPr>
          <w:sz w:val="20"/>
          <w:szCs w:val="20"/>
          <w:color w:val="auto"/>
        </w:rPr>
      </w:pPr>
      <w:r>
        <w:rPr>
          <w:rFonts w:ascii="Arial" w:cs="Arial" w:eastAsia="Arial" w:hAnsi="Arial"/>
          <w:sz w:val="13"/>
          <w:szCs w:val="13"/>
          <w:color w:val="auto"/>
        </w:rPr>
        <w:t>Dan Horn joined PennantPark Investment Advisers in June 2015. Previously, Mr. Horn spent two and a half years at Loop Capital Markets in the Corporate Investment Banking Division based in Chicago from 2013 to 2015, two years in a similar role at boutique firm TTK Partners from 2011 to 2013, and 12 years at Deutsche Bank Securities and its predecessor firm, Bankers Trust, from 1991 to 2003. He also served as Chief Financial Officer of Unicous Marketing from 2005 to 2008, and served as Vice President of Finance at GDX Automotive in 2004.</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9019"/>
          </w:cols>
          <w:pgMar w:left="1440" w:top="260" w:right="1440" w:bottom="1440" w:gutter="0" w:footer="0" w:header="0"/>
        </w:sectPr>
      </w:pPr>
    </w:p>
    <w:bookmarkStart w:id="35" w:name="page36"/>
    <w:bookmarkEnd w:id="35"/>
    <w:p>
      <w:pPr>
        <w:ind w:left="280" w:right="1500" w:firstLine="338"/>
        <w:spacing w:after="0" w:line="25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2805" cy="45720"/>
                    </a:xfrm>
                    <a:prstGeom prst="rect">
                      <a:avLst/>
                    </a:prstGeom>
                    <a:noFill/>
                  </pic:spPr>
                </pic:pic>
              </a:graphicData>
            </a:graphic>
          </wp:anchor>
        </w:drawing>
        <w:t>James Stone joined PennantPark Investment Advisers in July 2015. Previously, Mr. Stone was a Managing Director and Head of Financial Sponsor Coverage at Cowen and Company, which he joined in 2012. He has over 20 years of leveraged finance experience, including Managing Director positions at Gleacher &amp; Company, Macquarie Capital, Imperial Capital, and Credit Suisse. Before joining Credit Suisse, he served as a Vice President in the Financial Sponsor Coverage Group at DLJ, as an Associate in the Corporate Finance Department at BT Securities, and was an Associate at BT Alex. Brown.</w:t>
      </w:r>
    </w:p>
    <w:p>
      <w:pPr>
        <w:spacing w:after="0" w:line="150" w:lineRule="exact"/>
        <w:rPr>
          <w:sz w:val="20"/>
          <w:szCs w:val="20"/>
          <w:color w:val="auto"/>
        </w:rPr>
      </w:pPr>
    </w:p>
    <w:p>
      <w:pPr>
        <w:ind w:left="280" w:right="1500" w:firstLine="338"/>
        <w:spacing w:after="0" w:line="295" w:lineRule="auto"/>
        <w:rPr>
          <w:sz w:val="20"/>
          <w:szCs w:val="20"/>
          <w:color w:val="auto"/>
        </w:rPr>
      </w:pPr>
      <w:r>
        <w:rPr>
          <w:rFonts w:ascii="Arial" w:cs="Arial" w:eastAsia="Arial" w:hAnsi="Arial"/>
          <w:sz w:val="12"/>
          <w:szCs w:val="12"/>
          <w:color w:val="auto"/>
        </w:rPr>
        <w:t>Steve Winograd joined PennantPark Investment Advisers in September 2015. Previously, Mr. Winograd spent 33 years in Investment Banking, Restructuring Advisory and Private Equity Investing. His Investment Banking experience includes 25 years originating and executing leveraged finance, M&amp;A, and public and private equity transactions for private equity firms and their portfolio companies. During this period he held senior positions in the Financial Sponsors Groups of BMO Capital Markets from 2011 to 2015, Bank of America Merrill Lynch from 2004 to 2011, Deutsche Bank from 2000 to 2004, Bear Stearns from 1994 to 2000, and Drexel Burnham Lambert from 1984 to 1989. He was also an associate for two years in the Corporate Finance Group of Shearson/American Express from 1982 to 1984. His Restructuring Advisory experience includes four years originating, negotiating and consummating restructuring advisory assignments at The Argosy Group from 1992 to 1994 and the Mercury Financial Group from 1990 to 1992. His Private Equity experience includes two years originating and closing control private equity investments as a General Partner of The Blackstone Group from 1989 to 1990. He is also currently a Director of Mspark, LLC and previously served as an Independent Director of Shopko Stores, Caesars Entertainment Operating Company, The Gymboree Corporation, and Linn Acquisition Company, LLC.</w:t>
      </w:r>
    </w:p>
    <w:p>
      <w:pPr>
        <w:spacing w:after="0" w:line="129" w:lineRule="exact"/>
        <w:rPr>
          <w:sz w:val="20"/>
          <w:szCs w:val="20"/>
          <w:color w:val="auto"/>
        </w:rPr>
      </w:pPr>
    </w:p>
    <w:p>
      <w:pPr>
        <w:ind w:left="280" w:right="1600" w:firstLine="338"/>
        <w:spacing w:after="0" w:line="268" w:lineRule="auto"/>
        <w:rPr>
          <w:sz w:val="20"/>
          <w:szCs w:val="20"/>
          <w:color w:val="auto"/>
        </w:rPr>
      </w:pPr>
      <w:r>
        <w:rPr>
          <w:rFonts w:ascii="Arial" w:cs="Arial" w:eastAsia="Arial" w:hAnsi="Arial"/>
          <w:sz w:val="14"/>
          <w:szCs w:val="14"/>
          <w:color w:val="auto"/>
        </w:rPr>
        <w:t>In addition to managing our investments, as of September 30, 2022, our portfolio managers also managed investments on behalf of the following entities:</w:t>
      </w:r>
    </w:p>
    <w:p>
      <w:pPr>
        <w:sectPr>
          <w:pgSz w:w="11900" w:h="16838" w:orient="portrait"/>
          <w:cols w:equalWidth="0" w:num="1">
            <w:col w:w="10220"/>
          </w:cols>
          <w:pgMar w:left="1440" w:top="264" w:right="239" w:bottom="1440" w:gutter="0" w:footer="0" w:header="0"/>
        </w:sectPr>
      </w:pPr>
    </w:p>
    <w:p>
      <w:pPr>
        <w:spacing w:after="0" w:line="256" w:lineRule="exact"/>
        <w:rPr>
          <w:sz w:val="20"/>
          <w:szCs w:val="20"/>
          <w:color w:val="auto"/>
        </w:rPr>
      </w:pPr>
    </w:p>
    <w:p>
      <w:pPr>
        <w:ind w:left="280"/>
        <w:spacing w:after="0"/>
        <w:rPr>
          <w:sz w:val="20"/>
          <w:szCs w:val="20"/>
          <w:color w:val="auto"/>
        </w:rPr>
      </w:pPr>
      <w:r>
        <w:rPr>
          <w:rFonts w:ascii="Arial" w:cs="Arial" w:eastAsia="Arial" w:hAnsi="Arial"/>
          <w:sz w:val="11"/>
          <w:szCs w:val="11"/>
          <w:b w:val="1"/>
          <w:bCs w:val="1"/>
          <w:u w:val="single" w:color="auto"/>
          <w:color w:val="auto"/>
        </w:rPr>
        <w:t>Name</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PennantPark</w:t>
      </w:r>
    </w:p>
    <w:p>
      <w:pPr>
        <w:spacing w:after="0" w:line="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Investment</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Corporation</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PennantPark</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Senior</w:t>
      </w:r>
    </w:p>
    <w:p>
      <w:pPr>
        <w:spacing w:after="0" w:line="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Secured</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Loan Fund I</w:t>
      </w:r>
    </w:p>
    <w:p>
      <w:pPr>
        <w:spacing w:after="0" w:line="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LLC</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480"/>
        <w:spacing w:after="0"/>
        <w:tabs>
          <w:tab w:leader="none" w:pos="5020" w:val="left"/>
        </w:tabs>
        <w:rPr>
          <w:sz w:val="20"/>
          <w:szCs w:val="20"/>
          <w:color w:val="auto"/>
        </w:rPr>
      </w:pPr>
      <w:r>
        <w:rPr>
          <w:rFonts w:ascii="Arial" w:cs="Arial" w:eastAsia="Arial" w:hAnsi="Arial"/>
          <w:sz w:val="11"/>
          <w:szCs w:val="11"/>
          <w:b w:val="1"/>
          <w:bCs w:val="1"/>
          <w:color w:val="auto"/>
        </w:rPr>
        <w:t>Entity</w:t>
      </w:r>
      <w:r>
        <w:rPr>
          <w:sz w:val="20"/>
          <w:szCs w:val="20"/>
          <w:color w:val="auto"/>
        </w:rPr>
        <w:tab/>
      </w:r>
      <w:r>
        <w:rPr>
          <w:rFonts w:ascii="Arial" w:cs="Arial" w:eastAsia="Arial" w:hAnsi="Arial"/>
          <w:sz w:val="11"/>
          <w:szCs w:val="11"/>
          <w:b w:val="1"/>
          <w:bCs w:val="1"/>
          <w:color w:val="auto"/>
        </w:rPr>
        <w:t>Investment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9525</wp:posOffset>
            </wp:positionV>
            <wp:extent cx="6316345" cy="3162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16345" cy="316230"/>
                    </a:xfrm>
                    <a:prstGeom prst="rect">
                      <a:avLst/>
                    </a:prstGeom>
                    <a:noFill/>
                  </pic:spPr>
                </pic:pic>
              </a:graphicData>
            </a:graphic>
          </wp:anchor>
        </w:drawing>
      </w:r>
    </w:p>
    <w:p>
      <w:pPr>
        <w:spacing w:after="0" w:line="6"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Business development Primarily in U.S. middle market companies in the form of first lien secured loans, second lien secured debt, subordinated debt and equity in company</w:t>
      </w:r>
    </w:p>
    <w:p>
      <w:pPr>
        <w:spacing w:after="0" w:line="222" w:lineRule="exact"/>
        <w:rPr>
          <w:sz w:val="20"/>
          <w:szCs w:val="20"/>
          <w:color w:val="auto"/>
        </w:rPr>
      </w:pPr>
    </w:p>
    <w:p>
      <w:pPr>
        <w:spacing w:after="0"/>
        <w:tabs>
          <w:tab w:leader="none" w:pos="1300" w:val="left"/>
        </w:tabs>
        <w:rPr>
          <w:sz w:val="20"/>
          <w:szCs w:val="20"/>
          <w:color w:val="auto"/>
        </w:rPr>
      </w:pPr>
      <w:r>
        <w:rPr>
          <w:rFonts w:ascii="Arial" w:cs="Arial" w:eastAsia="Arial" w:hAnsi="Arial"/>
          <w:sz w:val="14"/>
          <w:szCs w:val="14"/>
          <w:color w:val="auto"/>
        </w:rPr>
        <w:t>Joint Venture</w:t>
      </w:r>
      <w:r>
        <w:rPr>
          <w:sz w:val="20"/>
          <w:szCs w:val="20"/>
          <w:color w:val="auto"/>
        </w:rPr>
        <w:tab/>
      </w:r>
      <w:r>
        <w:rPr>
          <w:rFonts w:ascii="Arial" w:cs="Arial" w:eastAsia="Arial" w:hAnsi="Arial"/>
          <w:sz w:val="12"/>
          <w:szCs w:val="12"/>
          <w:color w:val="auto"/>
        </w:rPr>
        <w:t>Primarily Floating Rate Loans, with an emphasis on senior secured loans, in middle-market leveraged companies.</w:t>
      </w:r>
    </w:p>
    <w:p>
      <w:pPr>
        <w:spacing w:after="0" w:line="756" w:lineRule="exact"/>
        <w:rPr>
          <w:sz w:val="20"/>
          <w:szCs w:val="20"/>
          <w:color w:val="auto"/>
        </w:rPr>
      </w:pPr>
    </w:p>
    <w:p>
      <w:pPr>
        <w:sectPr>
          <w:pgSz w:w="11900" w:h="16838" w:orient="portrait"/>
          <w:cols w:equalWidth="0" w:num="2">
            <w:col w:w="1100" w:space="80"/>
            <w:col w:w="9040"/>
          </w:cols>
          <w:pgMar w:left="1440" w:top="264" w:right="239" w:bottom="1440" w:gutter="0" w:footer="0" w:header="0"/>
          <w:type w:val="continuous"/>
        </w:sectPr>
      </w:pPr>
    </w:p>
    <w:tbl>
      <w:tblPr>
        <w:tblLayout w:type="fixed"/>
        <w:tblInd w:w="280" w:type="dxa"/>
        <w:tblCellMar>
          <w:top w:w="0" w:type="dxa"/>
          <w:left w:w="0" w:type="dxa"/>
          <w:bottom w:w="0" w:type="dxa"/>
          <w:right w:w="0" w:type="dxa"/>
        </w:tblCellMar>
      </w:tblPr>
      <w:tr>
        <w:trPr>
          <w:trHeight w:val="161"/>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PennantPark</w:t>
            </w:r>
          </w:p>
        </w:tc>
        <w:tc>
          <w:tcPr>
            <w:tcW w:w="1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Joint Venture</w:t>
            </w:r>
          </w:p>
        </w:tc>
        <w:tc>
          <w:tcPr>
            <w:tcW w:w="7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Primarily invests in middle-market and other corporate debt consistent with PennantPark Investment Corporation’s strategy.</w:t>
            </w:r>
          </w:p>
        </w:tc>
      </w:tr>
      <w:tr>
        <w:trPr>
          <w:trHeight w:val="166"/>
        </w:trPr>
        <w:tc>
          <w:tcPr>
            <w:tcW w:w="86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Senior Loan</w:t>
            </w:r>
          </w:p>
        </w:tc>
        <w:tc>
          <w:tcPr>
            <w:tcW w:w="1320" w:type="dxa"/>
            <w:vAlign w:val="bottom"/>
            <w:shd w:val="clear" w:color="auto" w:fill="CCEEFF"/>
          </w:tcPr>
          <w:p>
            <w:pPr>
              <w:spacing w:after="0"/>
              <w:rPr>
                <w:sz w:val="14"/>
                <w:szCs w:val="14"/>
                <w:color w:val="auto"/>
              </w:rPr>
            </w:pPr>
          </w:p>
        </w:tc>
        <w:tc>
          <w:tcPr>
            <w:tcW w:w="7760" w:type="dxa"/>
            <w:vAlign w:val="bottom"/>
            <w:shd w:val="clear" w:color="auto" w:fill="CCEEFF"/>
          </w:tcPr>
          <w:p>
            <w:pPr>
              <w:spacing w:after="0"/>
              <w:rPr>
                <w:sz w:val="14"/>
                <w:szCs w:val="14"/>
                <w:color w:val="auto"/>
              </w:rPr>
            </w:pPr>
          </w:p>
        </w:tc>
      </w:tr>
      <w:tr>
        <w:trPr>
          <w:trHeight w:val="177"/>
        </w:trPr>
        <w:tc>
          <w:tcPr>
            <w:tcW w:w="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Fund, LLC</w:t>
            </w:r>
          </w:p>
        </w:tc>
        <w:tc>
          <w:tcPr>
            <w:tcW w:w="1320" w:type="dxa"/>
            <w:vAlign w:val="bottom"/>
            <w:shd w:val="clear" w:color="auto" w:fill="CCEEFF"/>
          </w:tcPr>
          <w:p>
            <w:pPr>
              <w:spacing w:after="0"/>
              <w:rPr>
                <w:sz w:val="15"/>
                <w:szCs w:val="15"/>
                <w:color w:val="auto"/>
              </w:rPr>
            </w:pPr>
          </w:p>
        </w:tc>
        <w:tc>
          <w:tcPr>
            <w:tcW w:w="7760" w:type="dxa"/>
            <w:vAlign w:val="bottom"/>
            <w:shd w:val="clear" w:color="auto" w:fill="CCEEFF"/>
          </w:tcPr>
          <w:p>
            <w:pPr>
              <w:spacing w:after="0"/>
              <w:rPr>
                <w:sz w:val="15"/>
                <w:szCs w:val="15"/>
                <w:color w:val="auto"/>
              </w:rPr>
            </w:pPr>
          </w:p>
        </w:tc>
      </w:tr>
      <w:tr>
        <w:trPr>
          <w:trHeight w:val="238"/>
        </w:trPr>
        <w:tc>
          <w:tcPr>
            <w:tcW w:w="860" w:type="dxa"/>
            <w:vAlign w:val="bottom"/>
          </w:tcPr>
          <w:p>
            <w:pPr>
              <w:spacing w:after="0"/>
              <w:rPr>
                <w:sz w:val="20"/>
                <w:szCs w:val="20"/>
                <w:color w:val="auto"/>
              </w:rPr>
            </w:pPr>
            <w:r>
              <w:rPr>
                <w:rFonts w:ascii="Arial" w:cs="Arial" w:eastAsia="Arial" w:hAnsi="Arial"/>
                <w:sz w:val="14"/>
                <w:szCs w:val="14"/>
                <w:color w:val="auto"/>
              </w:rPr>
              <w:t>Other</w:t>
            </w:r>
          </w:p>
        </w:tc>
        <w:tc>
          <w:tcPr>
            <w:tcW w:w="1320" w:type="dxa"/>
            <w:vAlign w:val="bottom"/>
          </w:tcPr>
          <w:p>
            <w:pPr>
              <w:ind w:left="40"/>
              <w:spacing w:after="0"/>
              <w:rPr>
                <w:sz w:val="20"/>
                <w:szCs w:val="20"/>
                <w:color w:val="auto"/>
              </w:rPr>
            </w:pPr>
            <w:r>
              <w:rPr>
                <w:rFonts w:ascii="Arial" w:cs="Arial" w:eastAsia="Arial" w:hAnsi="Arial"/>
                <w:sz w:val="14"/>
                <w:szCs w:val="14"/>
                <w:color w:val="auto"/>
                <w:w w:val="94"/>
              </w:rPr>
              <w:t>Direct Lending Funds</w:t>
            </w:r>
          </w:p>
        </w:tc>
        <w:tc>
          <w:tcPr>
            <w:tcW w:w="7760" w:type="dxa"/>
            <w:vAlign w:val="bottom"/>
          </w:tcPr>
          <w:p>
            <w:pPr>
              <w:ind w:left="40"/>
              <w:spacing w:after="0"/>
              <w:rPr>
                <w:sz w:val="20"/>
                <w:szCs w:val="20"/>
                <w:color w:val="auto"/>
              </w:rPr>
            </w:pPr>
            <w:r>
              <w:rPr>
                <w:rFonts w:ascii="Arial" w:cs="Arial" w:eastAsia="Arial" w:hAnsi="Arial"/>
                <w:sz w:val="14"/>
                <w:szCs w:val="14"/>
                <w:color w:val="auto"/>
              </w:rPr>
              <w:t>Other credit opportunities</w:t>
            </w:r>
          </w:p>
        </w:tc>
      </w:tr>
      <w:tr>
        <w:trPr>
          <w:trHeight w:val="166"/>
        </w:trPr>
        <w:tc>
          <w:tcPr>
            <w:tcW w:w="860" w:type="dxa"/>
            <w:vAlign w:val="bottom"/>
          </w:tcPr>
          <w:p>
            <w:pPr>
              <w:ind w:left="140"/>
              <w:spacing w:after="0"/>
              <w:rPr>
                <w:sz w:val="20"/>
                <w:szCs w:val="20"/>
                <w:color w:val="auto"/>
              </w:rPr>
            </w:pPr>
            <w:r>
              <w:rPr>
                <w:rFonts w:ascii="Arial" w:cs="Arial" w:eastAsia="Arial" w:hAnsi="Arial"/>
                <w:sz w:val="14"/>
                <w:szCs w:val="14"/>
                <w:color w:val="auto"/>
              </w:rPr>
              <w:t>Managed</w:t>
            </w:r>
          </w:p>
        </w:tc>
        <w:tc>
          <w:tcPr>
            <w:tcW w:w="1320" w:type="dxa"/>
            <w:vAlign w:val="bottom"/>
          </w:tcPr>
          <w:p>
            <w:pPr>
              <w:spacing w:after="0"/>
              <w:rPr>
                <w:sz w:val="14"/>
                <w:szCs w:val="14"/>
                <w:color w:val="auto"/>
              </w:rPr>
            </w:pPr>
          </w:p>
        </w:tc>
        <w:tc>
          <w:tcPr>
            <w:tcW w:w="7760" w:type="dxa"/>
            <w:vAlign w:val="bottom"/>
          </w:tcPr>
          <w:p>
            <w:pPr>
              <w:spacing w:after="0"/>
              <w:rPr>
                <w:sz w:val="14"/>
                <w:szCs w:val="14"/>
                <w:color w:val="auto"/>
              </w:rPr>
            </w:pPr>
          </w:p>
        </w:tc>
      </w:tr>
      <w:tr>
        <w:trPr>
          <w:trHeight w:val="175"/>
        </w:trPr>
        <w:tc>
          <w:tcPr>
            <w:tcW w:w="860" w:type="dxa"/>
            <w:vAlign w:val="bottom"/>
          </w:tcPr>
          <w:p>
            <w:pPr>
              <w:ind w:left="140"/>
              <w:spacing w:after="0"/>
              <w:rPr>
                <w:sz w:val="20"/>
                <w:szCs w:val="20"/>
                <w:color w:val="auto"/>
              </w:rPr>
            </w:pPr>
            <w:r>
              <w:rPr>
                <w:rFonts w:ascii="Arial" w:cs="Arial" w:eastAsia="Arial" w:hAnsi="Arial"/>
                <w:sz w:val="14"/>
                <w:szCs w:val="14"/>
                <w:color w:val="auto"/>
              </w:rPr>
              <w:t>Funds</w:t>
            </w:r>
          </w:p>
        </w:tc>
        <w:tc>
          <w:tcPr>
            <w:tcW w:w="1320" w:type="dxa"/>
            <w:vAlign w:val="bottom"/>
          </w:tcPr>
          <w:p>
            <w:pPr>
              <w:spacing w:after="0"/>
              <w:rPr>
                <w:sz w:val="15"/>
                <w:szCs w:val="15"/>
                <w:color w:val="auto"/>
              </w:rPr>
            </w:pPr>
          </w:p>
        </w:tc>
        <w:tc>
          <w:tcPr>
            <w:tcW w:w="7760" w:type="dxa"/>
            <w:vAlign w:val="bottom"/>
          </w:tcPr>
          <w:p>
            <w:pPr>
              <w:spacing w:after="0"/>
              <w:rPr>
                <w:sz w:val="15"/>
                <w:szCs w:val="15"/>
                <w:color w:val="auto"/>
              </w:rPr>
            </w:pPr>
          </w:p>
        </w:tc>
      </w:tr>
      <w:tr>
        <w:trPr>
          <w:trHeight w:val="280"/>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760" w:type="dxa"/>
            <w:vAlign w:val="bottom"/>
          </w:tcPr>
          <w:p>
            <w:pPr>
              <w:jc w:val="right"/>
              <w:ind w:right="5571"/>
              <w:spacing w:after="0"/>
              <w:rPr>
                <w:sz w:val="20"/>
                <w:szCs w:val="20"/>
                <w:color w:val="auto"/>
              </w:rPr>
            </w:pPr>
            <w:r>
              <w:rPr>
                <w:rFonts w:ascii="Arial" w:cs="Arial" w:eastAsia="Arial" w:hAnsi="Arial"/>
                <w:sz w:val="14"/>
                <w:szCs w:val="14"/>
                <w:color w:val="auto"/>
              </w:rPr>
              <w:t>32</w:t>
            </w:r>
          </w:p>
        </w:tc>
      </w:tr>
    </w:tbl>
    <w:p>
      <w:pPr>
        <w:sectPr>
          <w:pgSz w:w="11900" w:h="16838" w:orient="portrait"/>
          <w:cols w:equalWidth="0" w:num="1">
            <w:col w:w="10220"/>
          </w:cols>
          <w:pgMar w:left="1440" w:top="264" w:right="239" w:bottom="1440" w:gutter="0" w:footer="0" w:header="0"/>
          <w:type w:val="continuous"/>
        </w:sectPr>
      </w:pPr>
    </w:p>
    <w:bookmarkStart w:id="36" w:name="page37"/>
    <w:bookmarkEnd w:id="36"/>
    <w:p>
      <w:pPr>
        <w:ind w:left="280" w:right="299" w:firstLine="338"/>
        <w:spacing w:after="0" w:line="25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2805" cy="45720"/>
                    </a:xfrm>
                    <a:prstGeom prst="rect">
                      <a:avLst/>
                    </a:prstGeom>
                    <a:noFill/>
                  </pic:spPr>
                </pic:pic>
              </a:graphicData>
            </a:graphic>
          </wp:anchor>
        </w:drawing>
        <w:t>The following table sets forth the dollar range of our common stock beneficially owned by each of our senior investment professionals as of September 30, 2022. Information as to the beneficial ownerships is based on information furnished to us by such persons. We are not part of a “family of investment companies,” as that term is defined in the 1940 Act.</w:t>
      </w:r>
    </w:p>
    <w:p>
      <w:pPr>
        <w:spacing w:after="0" w:line="148" w:lineRule="exact"/>
        <w:rPr>
          <w:sz w:val="20"/>
          <w:szCs w:val="20"/>
          <w:color w:val="auto"/>
        </w:rPr>
      </w:pPr>
    </w:p>
    <w:tbl>
      <w:tblPr>
        <w:tblLayout w:type="fixed"/>
        <w:tblInd w:w="280" w:type="dxa"/>
        <w:tblCellMar>
          <w:top w:w="0" w:type="dxa"/>
          <w:left w:w="0" w:type="dxa"/>
          <w:bottom w:w="0" w:type="dxa"/>
          <w:right w:w="0" w:type="dxa"/>
        </w:tblCellMar>
      </w:tblPr>
      <w:tr>
        <w:trPr>
          <w:trHeight w:val="126"/>
        </w:trPr>
        <w:tc>
          <w:tcPr>
            <w:tcW w:w="6760" w:type="dxa"/>
            <w:vAlign w:val="bottom"/>
          </w:tcPr>
          <w:p>
            <w:pPr>
              <w:spacing w:after="0"/>
              <w:rPr>
                <w:sz w:val="10"/>
                <w:szCs w:val="10"/>
                <w:color w:val="auto"/>
              </w:rPr>
            </w:pPr>
          </w:p>
        </w:tc>
        <w:tc>
          <w:tcPr>
            <w:tcW w:w="17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1"/>
              </w:rPr>
              <w:t>Dollar Range of the</w:t>
            </w:r>
          </w:p>
        </w:tc>
      </w:tr>
      <w:tr>
        <w:trPr>
          <w:trHeight w:val="114"/>
        </w:trPr>
        <w:tc>
          <w:tcPr>
            <w:tcW w:w="6760" w:type="dxa"/>
            <w:vAlign w:val="bottom"/>
          </w:tcPr>
          <w:p>
            <w:pPr>
              <w:spacing w:after="0"/>
              <w:rPr>
                <w:sz w:val="9"/>
                <w:szCs w:val="9"/>
                <w:color w:val="auto"/>
              </w:rPr>
            </w:pPr>
          </w:p>
        </w:tc>
        <w:tc>
          <w:tcPr>
            <w:tcW w:w="1700" w:type="dxa"/>
            <w:vAlign w:val="bottom"/>
            <w:gridSpan w:val="2"/>
          </w:tcPr>
          <w:p>
            <w:pPr>
              <w:jc w:val="center"/>
              <w:ind w:right="80"/>
              <w:spacing w:after="0" w:line="114" w:lineRule="exact"/>
              <w:rPr>
                <w:sz w:val="20"/>
                <w:szCs w:val="20"/>
                <w:color w:val="auto"/>
              </w:rPr>
            </w:pPr>
            <w:r>
              <w:rPr>
                <w:rFonts w:ascii="Arial" w:cs="Arial" w:eastAsia="Arial" w:hAnsi="Arial"/>
                <w:sz w:val="11"/>
                <w:szCs w:val="11"/>
                <w:b w:val="1"/>
                <w:bCs w:val="1"/>
                <w:color w:val="auto"/>
                <w:w w:val="91"/>
              </w:rPr>
              <w:t>Common Stock of</w:t>
            </w:r>
          </w:p>
        </w:tc>
      </w:tr>
      <w:tr>
        <w:trPr>
          <w:trHeight w:val="114"/>
        </w:trPr>
        <w:tc>
          <w:tcPr>
            <w:tcW w:w="6760" w:type="dxa"/>
            <w:vAlign w:val="bottom"/>
          </w:tcPr>
          <w:p>
            <w:pPr>
              <w:spacing w:after="0"/>
              <w:rPr>
                <w:sz w:val="9"/>
                <w:szCs w:val="9"/>
                <w:color w:val="auto"/>
              </w:rPr>
            </w:pPr>
          </w:p>
        </w:tc>
        <w:tc>
          <w:tcPr>
            <w:tcW w:w="1700" w:type="dxa"/>
            <w:vAlign w:val="bottom"/>
            <w:gridSpan w:val="2"/>
          </w:tcPr>
          <w:p>
            <w:pPr>
              <w:jc w:val="center"/>
              <w:ind w:right="60"/>
              <w:spacing w:after="0" w:line="114" w:lineRule="exact"/>
              <w:rPr>
                <w:sz w:val="20"/>
                <w:szCs w:val="20"/>
                <w:color w:val="auto"/>
              </w:rPr>
            </w:pPr>
            <w:r>
              <w:rPr>
                <w:rFonts w:ascii="Arial" w:cs="Arial" w:eastAsia="Arial" w:hAnsi="Arial"/>
                <w:sz w:val="11"/>
                <w:szCs w:val="11"/>
                <w:b w:val="1"/>
                <w:bCs w:val="1"/>
                <w:color w:val="auto"/>
                <w:w w:val="91"/>
              </w:rPr>
              <w:t>PennantPark Floating</w:t>
            </w:r>
          </w:p>
        </w:tc>
      </w:tr>
      <w:tr>
        <w:trPr>
          <w:trHeight w:val="131"/>
        </w:trPr>
        <w:tc>
          <w:tcPr>
            <w:tcW w:w="6760" w:type="dxa"/>
            <w:vAlign w:val="bottom"/>
          </w:tcPr>
          <w:p>
            <w:pPr>
              <w:spacing w:after="0"/>
              <w:rPr>
                <w:sz w:val="11"/>
                <w:szCs w:val="11"/>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4"/>
              </w:rPr>
              <w:t>Rate Capital Ltd. (1)</w:t>
            </w:r>
          </w:p>
        </w:tc>
      </w:tr>
      <w:tr>
        <w:trPr>
          <w:trHeight w:val="156"/>
        </w:trPr>
        <w:tc>
          <w:tcPr>
            <w:tcW w:w="676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4"/>
                <w:szCs w:val="14"/>
                <w:color w:val="auto"/>
              </w:rPr>
              <w:t>Arthur H. Penn</w:t>
            </w:r>
            <w:r>
              <w:rPr>
                <w:rFonts w:ascii="Arial" w:cs="Arial" w:eastAsia="Arial" w:hAnsi="Arial"/>
                <w:sz w:val="17"/>
                <w:szCs w:val="17"/>
                <w:color w:val="auto"/>
                <w:vertAlign w:val="superscript"/>
              </w:rPr>
              <w:t>(2)</w:t>
            </w:r>
          </w:p>
        </w:tc>
        <w:tc>
          <w:tcPr>
            <w:tcW w:w="16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Over $1,000,000</w:t>
            </w:r>
          </w:p>
        </w:tc>
        <w:tc>
          <w:tcPr>
            <w:tcW w:w="60" w:type="dxa"/>
            <w:vAlign w:val="bottom"/>
            <w:tcBorders>
              <w:top w:val="single" w:sz="8" w:color="CCEEFF"/>
            </w:tcBorders>
            <w:shd w:val="clear" w:color="auto" w:fill="CCEEFF"/>
          </w:tcPr>
          <w:p>
            <w:pPr>
              <w:spacing w:after="0"/>
              <w:rPr>
                <w:sz w:val="13"/>
                <w:szCs w:val="13"/>
                <w:color w:val="auto"/>
              </w:rPr>
            </w:pPr>
          </w:p>
        </w:tc>
      </w:tr>
      <w:tr>
        <w:trPr>
          <w:trHeight w:val="166"/>
        </w:trPr>
        <w:tc>
          <w:tcPr>
            <w:tcW w:w="6760" w:type="dxa"/>
            <w:vAlign w:val="bottom"/>
          </w:tcPr>
          <w:p>
            <w:pPr>
              <w:spacing w:after="0"/>
              <w:rPr>
                <w:sz w:val="20"/>
                <w:szCs w:val="20"/>
                <w:color w:val="auto"/>
              </w:rPr>
            </w:pPr>
            <w:r>
              <w:rPr>
                <w:rFonts w:ascii="Arial" w:cs="Arial" w:eastAsia="Arial" w:hAnsi="Arial"/>
                <w:sz w:val="14"/>
                <w:szCs w:val="14"/>
                <w:color w:val="auto"/>
              </w:rPr>
              <w:t>José A. Briones</w:t>
            </w:r>
          </w:p>
        </w:tc>
        <w:tc>
          <w:tcPr>
            <w:tcW w:w="1700" w:type="dxa"/>
            <w:vAlign w:val="bottom"/>
            <w:gridSpan w:val="2"/>
          </w:tcPr>
          <w:p>
            <w:pPr>
              <w:jc w:val="right"/>
              <w:ind w:right="60"/>
              <w:spacing w:after="0"/>
              <w:rPr>
                <w:sz w:val="20"/>
                <w:szCs w:val="20"/>
                <w:color w:val="auto"/>
              </w:rPr>
            </w:pPr>
            <w:r>
              <w:rPr>
                <w:rFonts w:ascii="Arial" w:cs="Arial" w:eastAsia="Arial" w:hAnsi="Arial"/>
                <w:sz w:val="14"/>
                <w:szCs w:val="14"/>
                <w:color w:val="auto"/>
              </w:rPr>
              <w:t>Over $1,000,000</w:t>
            </w:r>
          </w:p>
        </w:tc>
      </w:tr>
      <w:tr>
        <w:trPr>
          <w:trHeight w:val="166"/>
        </w:trPr>
        <w:tc>
          <w:tcPr>
            <w:tcW w:w="6760" w:type="dxa"/>
            <w:vAlign w:val="bottom"/>
            <w:shd w:val="clear" w:color="auto" w:fill="CCEEFF"/>
          </w:tcPr>
          <w:p>
            <w:pPr>
              <w:spacing w:after="0"/>
              <w:rPr>
                <w:sz w:val="20"/>
                <w:szCs w:val="20"/>
                <w:color w:val="auto"/>
              </w:rPr>
            </w:pPr>
            <w:r>
              <w:rPr>
                <w:rFonts w:ascii="Arial" w:cs="Arial" w:eastAsia="Arial" w:hAnsi="Arial"/>
                <w:sz w:val="14"/>
                <w:szCs w:val="14"/>
                <w:color w:val="auto"/>
              </w:rPr>
              <w:t>Salvatore Giannetti III</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Over $1,000,000</w:t>
            </w:r>
          </w:p>
        </w:tc>
      </w:tr>
      <w:tr>
        <w:trPr>
          <w:trHeight w:val="166"/>
        </w:trPr>
        <w:tc>
          <w:tcPr>
            <w:tcW w:w="6760" w:type="dxa"/>
            <w:vAlign w:val="bottom"/>
          </w:tcPr>
          <w:p>
            <w:pPr>
              <w:spacing w:after="0"/>
              <w:rPr>
                <w:sz w:val="20"/>
                <w:szCs w:val="20"/>
                <w:color w:val="auto"/>
              </w:rPr>
            </w:pPr>
            <w:r>
              <w:rPr>
                <w:rFonts w:ascii="Arial" w:cs="Arial" w:eastAsia="Arial" w:hAnsi="Arial"/>
                <w:sz w:val="14"/>
                <w:szCs w:val="14"/>
                <w:color w:val="auto"/>
              </w:rPr>
              <w:t>Ryan Raskopf</w:t>
            </w:r>
          </w:p>
        </w:tc>
        <w:tc>
          <w:tcPr>
            <w:tcW w:w="1700" w:type="dxa"/>
            <w:vAlign w:val="bottom"/>
            <w:gridSpan w:val="2"/>
          </w:tcPr>
          <w:p>
            <w:pPr>
              <w:jc w:val="right"/>
              <w:ind w:right="60"/>
              <w:spacing w:after="0"/>
              <w:rPr>
                <w:sz w:val="20"/>
                <w:szCs w:val="20"/>
                <w:color w:val="auto"/>
              </w:rPr>
            </w:pPr>
            <w:r>
              <w:rPr>
                <w:rFonts w:ascii="Arial" w:cs="Arial" w:eastAsia="Arial" w:hAnsi="Arial"/>
                <w:sz w:val="14"/>
                <w:szCs w:val="14"/>
                <w:color w:val="auto"/>
              </w:rPr>
              <w:t>$100,001 - $500,000</w:t>
            </w:r>
          </w:p>
        </w:tc>
      </w:tr>
      <w:tr>
        <w:trPr>
          <w:trHeight w:val="166"/>
        </w:trPr>
        <w:tc>
          <w:tcPr>
            <w:tcW w:w="6760" w:type="dxa"/>
            <w:vAlign w:val="bottom"/>
            <w:shd w:val="clear" w:color="auto" w:fill="CCEEFF"/>
          </w:tcPr>
          <w:p>
            <w:pPr>
              <w:spacing w:after="0"/>
              <w:rPr>
                <w:sz w:val="20"/>
                <w:szCs w:val="20"/>
                <w:color w:val="auto"/>
              </w:rPr>
            </w:pPr>
            <w:r>
              <w:rPr>
                <w:rFonts w:ascii="Arial" w:cs="Arial" w:eastAsia="Arial" w:hAnsi="Arial"/>
                <w:sz w:val="14"/>
                <w:szCs w:val="14"/>
                <w:color w:val="auto"/>
              </w:rPr>
              <w:t>Dan Horn</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Over $1,000,000</w:t>
            </w:r>
          </w:p>
        </w:tc>
      </w:tr>
      <w:tr>
        <w:trPr>
          <w:trHeight w:val="166"/>
        </w:trPr>
        <w:tc>
          <w:tcPr>
            <w:tcW w:w="6760" w:type="dxa"/>
            <w:vAlign w:val="bottom"/>
          </w:tcPr>
          <w:p>
            <w:pPr>
              <w:spacing w:after="0"/>
              <w:rPr>
                <w:sz w:val="20"/>
                <w:szCs w:val="20"/>
                <w:color w:val="auto"/>
              </w:rPr>
            </w:pPr>
            <w:r>
              <w:rPr>
                <w:rFonts w:ascii="Arial" w:cs="Arial" w:eastAsia="Arial" w:hAnsi="Arial"/>
                <w:sz w:val="14"/>
                <w:szCs w:val="14"/>
                <w:color w:val="auto"/>
              </w:rPr>
              <w:t>James Stone</w:t>
            </w:r>
          </w:p>
        </w:tc>
        <w:tc>
          <w:tcPr>
            <w:tcW w:w="1700" w:type="dxa"/>
            <w:vAlign w:val="bottom"/>
            <w:gridSpan w:val="2"/>
          </w:tcPr>
          <w:p>
            <w:pPr>
              <w:jc w:val="right"/>
              <w:ind w:right="60"/>
              <w:spacing w:after="0"/>
              <w:rPr>
                <w:sz w:val="20"/>
                <w:szCs w:val="20"/>
                <w:color w:val="auto"/>
              </w:rPr>
            </w:pPr>
            <w:r>
              <w:rPr>
                <w:rFonts w:ascii="Arial" w:cs="Arial" w:eastAsia="Arial" w:hAnsi="Arial"/>
                <w:sz w:val="14"/>
                <w:szCs w:val="14"/>
                <w:color w:val="auto"/>
              </w:rPr>
              <w:t>$10,001 - $50,000</w:t>
            </w:r>
          </w:p>
        </w:tc>
      </w:tr>
      <w:tr>
        <w:trPr>
          <w:trHeight w:val="166"/>
        </w:trPr>
        <w:tc>
          <w:tcPr>
            <w:tcW w:w="6760" w:type="dxa"/>
            <w:vAlign w:val="bottom"/>
            <w:shd w:val="clear" w:color="auto" w:fill="CCEEFF"/>
          </w:tcPr>
          <w:p>
            <w:pPr>
              <w:spacing w:after="0"/>
              <w:rPr>
                <w:sz w:val="20"/>
                <w:szCs w:val="20"/>
                <w:color w:val="auto"/>
              </w:rPr>
            </w:pPr>
            <w:r>
              <w:rPr>
                <w:rFonts w:ascii="Arial" w:cs="Arial" w:eastAsia="Arial" w:hAnsi="Arial"/>
                <w:sz w:val="14"/>
                <w:szCs w:val="14"/>
                <w:color w:val="auto"/>
              </w:rPr>
              <w:t>Steve Winograd</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$500,001 - $1,000,000</w:t>
            </w:r>
          </w:p>
        </w:tc>
      </w:tr>
    </w:tbl>
    <w:p>
      <w:pPr>
        <w:spacing w:after="0" w:line="114" w:lineRule="exact"/>
        <w:rPr>
          <w:sz w:val="20"/>
          <w:szCs w:val="20"/>
          <w:color w:val="auto"/>
        </w:rPr>
      </w:pPr>
    </w:p>
    <w:p>
      <w:pPr>
        <w:ind w:left="600" w:right="799" w:hanging="327"/>
        <w:spacing w:after="0" w:line="353" w:lineRule="auto"/>
        <w:tabs>
          <w:tab w:leader="none" w:pos="6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Dollar ranges are as follows: None; $1-$10,000; $10,001-$50,000; $50,001-$100,000; $100,001-$500,000; $500,001-$1,000,000; or over $1,000,000. Beneficial ownership has been determined in accordance with Rule 16a-1(a)(2) promulgated under the Exchange Act.</w:t>
      </w:r>
    </w:p>
    <w:p>
      <w:pPr>
        <w:spacing w:after="0" w:line="19" w:lineRule="exact"/>
        <w:rPr>
          <w:rFonts w:ascii="Arial" w:cs="Arial" w:eastAsia="Arial" w:hAnsi="Arial"/>
          <w:sz w:val="12"/>
          <w:szCs w:val="12"/>
          <w:color w:val="auto"/>
        </w:rPr>
      </w:pPr>
    </w:p>
    <w:p>
      <w:pPr>
        <w:ind w:left="600" w:hanging="327"/>
        <w:spacing w:after="0"/>
        <w:tabs>
          <w:tab w:leader="none" w:pos="6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Also reflects holdings of PennantPark Investment Advisers,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-371475</wp:posOffset>
            </wp:positionV>
            <wp:extent cx="59245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2455" cy="6350"/>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9019"/>
          </w:cols>
          <w:pgMar w:left="1440" w:top="264" w:right="1440"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2805" cy="45720"/>
                    </a:xfrm>
                    <a:prstGeom prst="rect">
                      <a:avLst/>
                    </a:prstGeom>
                    <a:noFill/>
                  </pic:spPr>
                </pic:pic>
              </a:graphicData>
            </a:graphic>
          </wp:anchor>
        </w:drawing>
        <w:t>DETERMINATION OF NET ASSET VALUE</w:t>
      </w:r>
    </w:p>
    <w:p>
      <w:pPr>
        <w:spacing w:after="0" w:line="175" w:lineRule="exact"/>
        <w:rPr>
          <w:sz w:val="20"/>
          <w:szCs w:val="20"/>
          <w:color w:val="auto"/>
        </w:rPr>
      </w:pPr>
    </w:p>
    <w:p>
      <w:pPr>
        <w:ind w:left="280" w:right="319" w:firstLine="338"/>
        <w:spacing w:after="0" w:line="268" w:lineRule="auto"/>
        <w:rPr>
          <w:sz w:val="20"/>
          <w:szCs w:val="20"/>
          <w:color w:val="auto"/>
        </w:rPr>
      </w:pPr>
      <w:r>
        <w:rPr>
          <w:rFonts w:ascii="Arial" w:cs="Arial" w:eastAsia="Arial" w:hAnsi="Arial"/>
          <w:sz w:val="14"/>
          <w:szCs w:val="14"/>
          <w:color w:val="auto"/>
        </w:rPr>
        <w:t>The NAV per share of our outstanding shares of common stock is determined quarterly by dividing the value of total assets minus liabilities by the total number of shares outstanding.</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As a BDC, we generally invest in illiquid securities including debt and equity investments of middle-market companies.</w:t>
      </w:r>
    </w:p>
    <w:p>
      <w:pPr>
        <w:spacing w:after="0" w:line="171" w:lineRule="exact"/>
        <w:rPr>
          <w:sz w:val="20"/>
          <w:szCs w:val="20"/>
          <w:color w:val="auto"/>
        </w:rPr>
      </w:pPr>
    </w:p>
    <w:p>
      <w:pPr>
        <w:ind w:left="280" w:right="299" w:firstLine="338"/>
        <w:spacing w:after="0" w:line="295" w:lineRule="auto"/>
        <w:rPr>
          <w:sz w:val="20"/>
          <w:szCs w:val="20"/>
          <w:color w:val="auto"/>
        </w:rPr>
      </w:pPr>
      <w:r>
        <w:rPr>
          <w:rFonts w:ascii="Arial" w:cs="Arial" w:eastAsia="Arial" w:hAnsi="Arial"/>
          <w:sz w:val="12"/>
          <w:szCs w:val="12"/>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3" w:lineRule="exact"/>
        <w:rPr>
          <w:sz w:val="20"/>
          <w:szCs w:val="20"/>
          <w:color w:val="auto"/>
        </w:rPr>
      </w:pPr>
    </w:p>
    <w:p>
      <w:pPr>
        <w:ind w:left="1020" w:right="299" w:hanging="415"/>
        <w:spacing w:after="0" w:line="268" w:lineRule="auto"/>
        <w:tabs>
          <w:tab w:leader="none" w:pos="10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65" w:lineRule="exact"/>
        <w:rPr>
          <w:rFonts w:ascii="Arial" w:cs="Arial" w:eastAsia="Arial" w:hAnsi="Arial"/>
          <w:sz w:val="14"/>
          <w:szCs w:val="14"/>
          <w:color w:val="auto"/>
        </w:rPr>
      </w:pPr>
    </w:p>
    <w:p>
      <w:pPr>
        <w:ind w:left="1020" w:hanging="415"/>
        <w:spacing w:after="0"/>
        <w:tabs>
          <w:tab w:leader="none" w:pos="10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98" w:lineRule="exact"/>
        <w:rPr>
          <w:rFonts w:ascii="Arial" w:cs="Arial" w:eastAsia="Arial" w:hAnsi="Arial"/>
          <w:sz w:val="14"/>
          <w:szCs w:val="14"/>
          <w:color w:val="auto"/>
        </w:rPr>
      </w:pPr>
    </w:p>
    <w:p>
      <w:pPr>
        <w:ind w:left="1020" w:right="399" w:hanging="415"/>
        <w:spacing w:after="0" w:line="280" w:lineRule="auto"/>
        <w:tabs>
          <w:tab w:leader="none" w:pos="10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59" w:lineRule="exact"/>
        <w:rPr>
          <w:rFonts w:ascii="Arial" w:cs="Arial" w:eastAsia="Arial" w:hAnsi="Arial"/>
          <w:sz w:val="13"/>
          <w:szCs w:val="13"/>
          <w:color w:val="auto"/>
        </w:rPr>
      </w:pPr>
    </w:p>
    <w:p>
      <w:pPr>
        <w:ind w:left="1020" w:right="359" w:hanging="415"/>
        <w:spacing w:after="0" w:line="320" w:lineRule="auto"/>
        <w:tabs>
          <w:tab w:leader="none" w:pos="10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39" w:lineRule="exact"/>
        <w:rPr>
          <w:rFonts w:ascii="Arial" w:cs="Arial" w:eastAsia="Arial" w:hAnsi="Arial"/>
          <w:sz w:val="12"/>
          <w:szCs w:val="12"/>
          <w:color w:val="auto"/>
        </w:rPr>
      </w:pPr>
    </w:p>
    <w:p>
      <w:pPr>
        <w:ind w:left="1020" w:right="399" w:hanging="415"/>
        <w:spacing w:after="0" w:line="268" w:lineRule="auto"/>
        <w:tabs>
          <w:tab w:leader="none" w:pos="10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38" w:lineRule="exact"/>
        <w:rPr>
          <w:sz w:val="20"/>
          <w:szCs w:val="20"/>
          <w:color w:val="auto"/>
        </w:rPr>
      </w:pPr>
    </w:p>
    <w:p>
      <w:pPr>
        <w:ind w:left="280" w:right="379" w:firstLine="338"/>
        <w:spacing w:after="0" w:line="251" w:lineRule="auto"/>
        <w:rPr>
          <w:sz w:val="20"/>
          <w:szCs w:val="20"/>
          <w:color w:val="auto"/>
        </w:rPr>
      </w:pPr>
      <w:r>
        <w:rPr>
          <w:rFonts w:ascii="Arial" w:cs="Arial" w:eastAsia="Arial" w:hAnsi="Arial"/>
          <w:sz w:val="14"/>
          <w:szCs w:val="14"/>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9019"/>
          </w:cols>
          <w:pgMar w:left="1440" w:top="260" w:right="1440" w:bottom="1440" w:gutter="0" w:footer="0" w:header="0"/>
        </w:sectPr>
      </w:pPr>
    </w:p>
    <w:bookmarkStart w:id="38" w:name="page39"/>
    <w:bookmarkEnd w:id="38"/>
    <w:p>
      <w:pPr>
        <w:ind w:left="62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2805" cy="45720"/>
                    </a:xfrm>
                    <a:prstGeom prst="rect">
                      <a:avLst/>
                    </a:prstGeom>
                    <a:noFill/>
                  </pic:spPr>
                </pic:pic>
              </a:graphicData>
            </a:graphic>
          </wp:anchor>
        </w:drawing>
        <w:t>To the extent we invest in derivative instruments in the future, such instruments would be valued in accordance with our valuation policy.</w:t>
      </w:r>
    </w:p>
    <w:p>
      <w:pPr>
        <w:spacing w:after="0" w:line="182" w:lineRule="exact"/>
        <w:rPr>
          <w:sz w:val="20"/>
          <w:szCs w:val="20"/>
          <w:color w:val="auto"/>
        </w:rPr>
      </w:pPr>
    </w:p>
    <w:p>
      <w:pPr>
        <w:ind w:left="280" w:right="299" w:firstLine="338"/>
        <w:spacing w:after="0" w:line="250" w:lineRule="auto"/>
        <w:rPr>
          <w:sz w:val="20"/>
          <w:szCs w:val="20"/>
          <w:color w:val="auto"/>
        </w:rPr>
      </w:pPr>
      <w:r>
        <w:rPr>
          <w:rFonts w:ascii="Arial" w:cs="Arial" w:eastAsia="Arial" w:hAnsi="Arial"/>
          <w:sz w:val="14"/>
          <w:szCs w:val="14"/>
          <w:color w:val="auto"/>
        </w:rPr>
        <w:t>Fair value, as defined under the Financial Accounting Standards Board’s Accounting Standards Codification,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98" w:lineRule="exact"/>
        <w:rPr>
          <w:sz w:val="20"/>
          <w:szCs w:val="20"/>
          <w:color w:val="auto"/>
        </w:rPr>
      </w:pPr>
    </w:p>
    <w:p>
      <w:pPr>
        <w:ind w:left="1360" w:right="559" w:hanging="756"/>
        <w:spacing w:after="0" w:line="268" w:lineRule="auto"/>
        <w:tabs>
          <w:tab w:leader="none" w:pos="13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4"/>
          <w:szCs w:val="14"/>
          <w:color w:val="auto"/>
        </w:rPr>
        <w:t>Inputs that are quoted prices (unadjusted) in active markets for identical assets or liabilities, accessible by us at the measurement date.</w:t>
      </w:r>
    </w:p>
    <w:p>
      <w:pPr>
        <w:spacing w:after="0" w:line="66" w:lineRule="exact"/>
        <w:rPr>
          <w:sz w:val="20"/>
          <w:szCs w:val="20"/>
          <w:color w:val="auto"/>
        </w:rPr>
      </w:pPr>
    </w:p>
    <w:p>
      <w:pPr>
        <w:ind w:left="1360" w:right="399" w:hanging="756"/>
        <w:spacing w:after="0" w:line="257" w:lineRule="auto"/>
        <w:tabs>
          <w:tab w:leader="none" w:pos="13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4" w:lineRule="exact"/>
        <w:rPr>
          <w:sz w:val="20"/>
          <w:szCs w:val="20"/>
          <w:color w:val="auto"/>
        </w:rPr>
      </w:pPr>
    </w:p>
    <w:p>
      <w:pPr>
        <w:ind w:left="1360" w:right="419" w:hanging="756"/>
        <w:spacing w:after="0" w:line="268" w:lineRule="auto"/>
        <w:tabs>
          <w:tab w:leader="none" w:pos="13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138" w:lineRule="exact"/>
        <w:rPr>
          <w:sz w:val="20"/>
          <w:szCs w:val="20"/>
          <w:color w:val="auto"/>
        </w:rPr>
      </w:pPr>
    </w:p>
    <w:p>
      <w:pPr>
        <w:ind w:left="280" w:right="299" w:firstLine="338"/>
        <w:spacing w:after="0" w:line="304" w:lineRule="auto"/>
        <w:rPr>
          <w:sz w:val="20"/>
          <w:szCs w:val="20"/>
          <w:color w:val="auto"/>
        </w:rPr>
      </w:pPr>
      <w:r>
        <w:rPr>
          <w:rFonts w:ascii="Arial" w:cs="Arial" w:eastAsia="Arial" w:hAnsi="Arial"/>
          <w:sz w:val="12"/>
          <w:szCs w:val="12"/>
          <w:color w:val="auto"/>
        </w:rPr>
        <w:t>A financial instrument’s categorization within the valuation hierarchy is based upon the lowest level of input that is significant to the fair value measurement. Generally, most of our investments, our 2031 Asset-Backed Debt and the Credit Facility are classified as Level 3. Our 2026 Notes are classified as Level 2 as they are financial instruments with readily observable market inputs.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22" w:lineRule="exact"/>
        <w:rPr>
          <w:sz w:val="20"/>
          <w:szCs w:val="20"/>
          <w:color w:val="auto"/>
        </w:rPr>
      </w:pPr>
    </w:p>
    <w:p>
      <w:pPr>
        <w:ind w:left="280" w:right="319" w:firstLine="338"/>
        <w:spacing w:after="0" w:line="272" w:lineRule="auto"/>
        <w:rPr>
          <w:sz w:val="20"/>
          <w:szCs w:val="20"/>
          <w:color w:val="auto"/>
        </w:rPr>
      </w:pPr>
      <w:r>
        <w:rPr>
          <w:rFonts w:ascii="Arial" w:cs="Arial" w:eastAsia="Arial" w:hAnsi="Arial"/>
          <w:sz w:val="13"/>
          <w:szCs w:val="13"/>
          <w:color w:val="auto"/>
        </w:rPr>
        <w:t>On December 3, 2020, the SEC adopted Rule 2a-5 under the 1940 Act, which establishes an updated regulatory framework for determining fair value in good faith for purposes of the 1940 Act. The new rule clarifies how fund boards of directors can satisfy their valuation obligations and requires, among other things, the board of directors to periodically assess material valuation risks and take steps to manage those risks. The rule also permit boards of directors, subject to board oversight and certain other conditions, to designate the fund’s investment adviser to perform fair value determinations. The new rule went into effect on March 8, 2021 and had a compliance date of September 8, 2022. We came into compliance with Rule 2a-5 under the 1940 Act before the compliance date. While our board of directors has not elected to designate the Investment Adviser as the valuation designee at this time, we have adopted certain revisions to our valuation policies and procedures in order comply with the applicable requirements of Rule 2a-5 under the 1940 Act.</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Determinations In Connection With Offerings</w:t>
      </w:r>
    </w:p>
    <w:p>
      <w:pPr>
        <w:spacing w:after="0" w:line="92" w:lineRule="exact"/>
        <w:rPr>
          <w:sz w:val="20"/>
          <w:szCs w:val="20"/>
          <w:color w:val="auto"/>
        </w:rPr>
      </w:pPr>
    </w:p>
    <w:p>
      <w:pPr>
        <w:ind w:left="280" w:right="339" w:firstLine="338"/>
        <w:spacing w:after="0" w:line="254" w:lineRule="auto"/>
        <w:rPr>
          <w:sz w:val="20"/>
          <w:szCs w:val="20"/>
          <w:color w:val="auto"/>
        </w:rPr>
      </w:pPr>
      <w:r>
        <w:rPr>
          <w:rFonts w:ascii="Arial" w:cs="Arial" w:eastAsia="Arial" w:hAnsi="Arial"/>
          <w:sz w:val="14"/>
          <w:szCs w:val="14"/>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9019"/>
          </w:cols>
          <w:pgMar w:left="1440" w:top="264" w:right="1440" w:bottom="1440" w:gutter="0" w:footer="0" w:header="0"/>
        </w:sectPr>
      </w:pPr>
    </w:p>
    <w:bookmarkStart w:id="39" w:name="page40"/>
    <w:bookmarkEnd w:id="39"/>
    <w:p>
      <w:pPr>
        <w:ind w:left="280" w:right="519"/>
        <w:spacing w:after="0" w:line="26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2805" cy="45720"/>
                    </a:xfrm>
                    <a:prstGeom prst="rect">
                      <a:avLst/>
                    </a:prstGeom>
                    <a:noFill/>
                  </pic:spPr>
                </pic:pic>
              </a:graphicData>
            </a:graphic>
          </wp:anchor>
        </w:drawing>
        <w:t>directors decides that such an offering is in the best interests of our common stockholders. Our board of directors will consider the following factors, among others, in making such determination:</w:t>
      </w:r>
    </w:p>
    <w:p>
      <w:pPr>
        <w:spacing w:after="0" w:line="66" w:lineRule="exact"/>
        <w:rPr>
          <w:sz w:val="20"/>
          <w:szCs w:val="20"/>
          <w:color w:val="auto"/>
        </w:rPr>
      </w:pPr>
    </w:p>
    <w:p>
      <w:pPr>
        <w:ind w:left="1020" w:hanging="332"/>
        <w:spacing w:after="0"/>
        <w:tabs>
          <w:tab w:leader="none" w:pos="10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NAV of our common stock disclosed in the most recent periodic report that we filed with the SEC;</w:t>
      </w:r>
    </w:p>
    <w:p>
      <w:pPr>
        <w:spacing w:after="0" w:line="98" w:lineRule="exact"/>
        <w:rPr>
          <w:rFonts w:ascii="Arial" w:cs="Arial" w:eastAsia="Arial" w:hAnsi="Arial"/>
          <w:sz w:val="14"/>
          <w:szCs w:val="14"/>
          <w:color w:val="auto"/>
        </w:rPr>
      </w:pPr>
    </w:p>
    <w:p>
      <w:pPr>
        <w:ind w:left="1020" w:right="399" w:hanging="332"/>
        <w:spacing w:after="0" w:line="286" w:lineRule="auto"/>
        <w:tabs>
          <w:tab w:leader="none" w:pos="10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56" w:lineRule="exact"/>
        <w:rPr>
          <w:rFonts w:ascii="Arial" w:cs="Arial" w:eastAsia="Arial" w:hAnsi="Arial"/>
          <w:sz w:val="13"/>
          <w:szCs w:val="13"/>
          <w:color w:val="auto"/>
        </w:rPr>
      </w:pPr>
    </w:p>
    <w:p>
      <w:pPr>
        <w:ind w:left="1020" w:right="399" w:hanging="332"/>
        <w:spacing w:after="0" w:line="268" w:lineRule="auto"/>
        <w:tabs>
          <w:tab w:leader="none" w:pos="10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38" w:lineRule="exact"/>
        <w:rPr>
          <w:sz w:val="20"/>
          <w:szCs w:val="20"/>
          <w:color w:val="auto"/>
        </w:rPr>
      </w:pPr>
    </w:p>
    <w:p>
      <w:pPr>
        <w:jc w:val="both"/>
        <w:ind w:left="280" w:right="359" w:firstLine="338"/>
        <w:spacing w:after="0" w:line="280" w:lineRule="auto"/>
        <w:rPr>
          <w:sz w:val="20"/>
          <w:szCs w:val="20"/>
          <w:color w:val="auto"/>
        </w:rPr>
      </w:pPr>
      <w:r>
        <w:rPr>
          <w:rFonts w:ascii="Arial" w:cs="Arial" w:eastAsia="Arial" w:hAnsi="Arial"/>
          <w:sz w:val="13"/>
          <w:szCs w:val="13"/>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3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In addition, we will only sell shares of our common stock at a price below NAV per share if the following conditions are met:</w:t>
      </w:r>
    </w:p>
    <w:p>
      <w:pPr>
        <w:spacing w:after="0" w:line="98" w:lineRule="exact"/>
        <w:rPr>
          <w:sz w:val="20"/>
          <w:szCs w:val="20"/>
          <w:color w:val="auto"/>
        </w:rPr>
      </w:pPr>
    </w:p>
    <w:p>
      <w:pPr>
        <w:ind w:left="1020" w:hanging="332"/>
        <w:spacing w:after="0"/>
        <w:tabs>
          <w:tab w:leader="none" w:pos="10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 majority of our independent directors who have no financial interest in the sale must have approved the sale; and</w:t>
      </w:r>
    </w:p>
    <w:p>
      <w:pPr>
        <w:spacing w:after="0" w:line="98" w:lineRule="exact"/>
        <w:rPr>
          <w:rFonts w:ascii="Arial" w:cs="Arial" w:eastAsia="Arial" w:hAnsi="Arial"/>
          <w:sz w:val="14"/>
          <w:szCs w:val="14"/>
          <w:color w:val="auto"/>
        </w:rPr>
      </w:pPr>
    </w:p>
    <w:p>
      <w:pPr>
        <w:ind w:left="1020" w:right="359" w:hanging="332"/>
        <w:spacing w:after="0" w:line="280" w:lineRule="auto"/>
        <w:tabs>
          <w:tab w:leader="none" w:pos="10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32" w:lineRule="exact"/>
        <w:rPr>
          <w:sz w:val="20"/>
          <w:szCs w:val="20"/>
          <w:color w:val="auto"/>
        </w:rPr>
      </w:pPr>
    </w:p>
    <w:p>
      <w:pPr>
        <w:ind w:left="280" w:right="379" w:firstLine="338"/>
        <w:spacing w:after="0" w:line="271" w:lineRule="auto"/>
        <w:rPr>
          <w:sz w:val="20"/>
          <w:szCs w:val="20"/>
          <w:color w:val="auto"/>
        </w:rPr>
      </w:pPr>
      <w:r>
        <w:rPr>
          <w:rFonts w:ascii="Arial" w:cs="Arial" w:eastAsia="Arial" w:hAnsi="Arial"/>
          <w:sz w:val="13"/>
          <w:szCs w:val="13"/>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40" w:lineRule="exact"/>
        <w:rPr>
          <w:sz w:val="20"/>
          <w:szCs w:val="20"/>
          <w:color w:val="auto"/>
        </w:rPr>
      </w:pPr>
    </w:p>
    <w:p>
      <w:pPr>
        <w:ind w:left="280" w:right="359" w:firstLine="338"/>
        <w:spacing w:after="0" w:line="257" w:lineRule="auto"/>
        <w:rPr>
          <w:sz w:val="20"/>
          <w:szCs w:val="20"/>
          <w:color w:val="auto"/>
        </w:rPr>
      </w:pPr>
      <w:r>
        <w:rPr>
          <w:rFonts w:ascii="Arial" w:cs="Arial" w:eastAsia="Arial" w:hAnsi="Arial"/>
          <w:sz w:val="14"/>
          <w:szCs w:val="14"/>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9019"/>
          </w:cols>
          <w:pgMar w:left="1440" w:top="264" w:right="1440" w:bottom="1440" w:gutter="0" w:footer="0" w:header="0"/>
        </w:sectPr>
      </w:pPr>
    </w:p>
    <w:bookmarkStart w:id="40" w:name="page41"/>
    <w:bookmarkEnd w:id="40"/>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2805" cy="45720"/>
                    </a:xfrm>
                    <a:prstGeom prst="rect">
                      <a:avLst/>
                    </a:prstGeom>
                    <a:noFill/>
                  </pic:spPr>
                </pic:pic>
              </a:graphicData>
            </a:graphic>
          </wp:anchor>
        </w:drawing>
        <w:t>DESCRIPTION OF OUR CAPITAL STOCK</w:t>
      </w:r>
    </w:p>
    <w:p>
      <w:pPr>
        <w:spacing w:after="0" w:line="175" w:lineRule="exact"/>
        <w:rPr>
          <w:sz w:val="20"/>
          <w:szCs w:val="20"/>
          <w:color w:val="auto"/>
        </w:rPr>
      </w:pPr>
    </w:p>
    <w:p>
      <w:pPr>
        <w:jc w:val="both"/>
        <w:ind w:left="280" w:right="399" w:firstLine="338"/>
        <w:spacing w:after="0" w:line="257" w:lineRule="auto"/>
        <w:rPr>
          <w:sz w:val="20"/>
          <w:szCs w:val="20"/>
          <w:color w:val="auto"/>
        </w:rPr>
      </w:pPr>
      <w:r>
        <w:rPr>
          <w:rFonts w:ascii="Arial" w:cs="Arial" w:eastAsia="Arial" w:hAnsi="Arial"/>
          <w:sz w:val="14"/>
          <w:szCs w:val="14"/>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Capital Stock</w:t>
      </w:r>
    </w:p>
    <w:p>
      <w:pPr>
        <w:spacing w:after="0" w:line="92" w:lineRule="exact"/>
        <w:rPr>
          <w:sz w:val="20"/>
          <w:szCs w:val="20"/>
          <w:color w:val="auto"/>
        </w:rPr>
      </w:pPr>
    </w:p>
    <w:p>
      <w:pPr>
        <w:ind w:left="280" w:right="419" w:firstLine="338"/>
        <w:spacing w:after="0" w:line="280" w:lineRule="auto"/>
        <w:rPr>
          <w:sz w:val="20"/>
          <w:szCs w:val="20"/>
          <w:color w:val="auto"/>
        </w:rPr>
      </w:pPr>
      <w:r>
        <w:rPr>
          <w:rFonts w:ascii="Arial" w:cs="Arial" w:eastAsia="Arial" w:hAnsi="Arial"/>
          <w:sz w:val="13"/>
          <w:szCs w:val="13"/>
          <w:color w:val="auto"/>
        </w:rPr>
        <w:t>As of September 30, 2022, our authorized capital stock consisted of 100,000,000 shares of stock, par value $0.001 per share, all of which is classified as common stock. Our common stock is quoted on The New York Stock Exchange and the TASE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32" w:lineRule="exact"/>
        <w:rPr>
          <w:sz w:val="20"/>
          <w:szCs w:val="20"/>
          <w:color w:val="auto"/>
        </w:rPr>
      </w:pPr>
    </w:p>
    <w:p>
      <w:pPr>
        <w:ind w:left="280" w:right="459" w:firstLine="338"/>
        <w:spacing w:after="0" w:line="268" w:lineRule="auto"/>
        <w:rPr>
          <w:sz w:val="20"/>
          <w:szCs w:val="20"/>
          <w:color w:val="auto"/>
        </w:rPr>
      </w:pPr>
      <w:r>
        <w:rPr>
          <w:rFonts w:ascii="Arial" w:cs="Arial" w:eastAsia="Arial" w:hAnsi="Arial"/>
          <w:sz w:val="14"/>
          <w:szCs w:val="14"/>
          <w:color w:val="auto"/>
        </w:rPr>
        <w:t>The last reported closing market price of our common stock on December 13, 2022 was $11.44 per share. As of September 30, 2022, we had 37 stockholders of record.</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following are our outstanding classes of securities as of November 30, 2022:</w:t>
      </w:r>
    </w:p>
    <w:p>
      <w:pPr>
        <w:spacing w:after="0" w:line="173" w:lineRule="exact"/>
        <w:rPr>
          <w:sz w:val="20"/>
          <w:szCs w:val="20"/>
          <w:color w:val="auto"/>
        </w:rPr>
      </w:pPr>
    </w:p>
    <w:tbl>
      <w:tblPr>
        <w:tblLayout w:type="fixed"/>
        <w:tblInd w:w="280" w:type="dxa"/>
        <w:tblCellMar>
          <w:top w:w="0" w:type="dxa"/>
          <w:left w:w="0" w:type="dxa"/>
          <w:bottom w:w="0" w:type="dxa"/>
          <w:right w:w="0" w:type="dxa"/>
        </w:tblCellMar>
      </w:tblPr>
      <w:tr>
        <w:trPr>
          <w:trHeight w:val="126"/>
        </w:trPr>
        <w:tc>
          <w:tcPr>
            <w:tcW w:w="6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2"/>
              </w:rPr>
              <w:t>Amount Held by</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w w:val="87"/>
              </w:rPr>
              <w:t>Title of Class</w:t>
            </w:r>
          </w:p>
        </w:tc>
        <w:tc>
          <w:tcPr>
            <w:tcW w:w="4880" w:type="dxa"/>
            <w:vAlign w:val="bottom"/>
            <w:vMerge w:val="restart"/>
          </w:tcPr>
          <w:p>
            <w:pPr>
              <w:spacing w:after="0"/>
              <w:rPr>
                <w:sz w:val="9"/>
                <w:szCs w:val="9"/>
                <w:color w:val="auto"/>
              </w:rPr>
            </w:pPr>
          </w:p>
        </w:tc>
        <w:tc>
          <w:tcPr>
            <w:tcW w:w="1100" w:type="dxa"/>
            <w:vAlign w:val="bottom"/>
            <w:gridSpan w:val="2"/>
          </w:tcPr>
          <w:p>
            <w:pPr>
              <w:jc w:val="center"/>
              <w:ind w:right="360"/>
              <w:spacing w:after="0" w:line="114" w:lineRule="exact"/>
              <w:rPr>
                <w:sz w:val="20"/>
                <w:szCs w:val="20"/>
                <w:color w:val="auto"/>
              </w:rPr>
            </w:pPr>
            <w:r>
              <w:rPr>
                <w:rFonts w:ascii="Arial" w:cs="Arial" w:eastAsia="Arial" w:hAnsi="Arial"/>
                <w:sz w:val="11"/>
                <w:szCs w:val="11"/>
                <w:b w:val="1"/>
                <w:bCs w:val="1"/>
                <w:color w:val="auto"/>
                <w:w w:val="91"/>
              </w:rPr>
              <w:t>Amount</w:t>
            </w:r>
          </w:p>
        </w:tc>
        <w:tc>
          <w:tcPr>
            <w:tcW w:w="1140" w:type="dxa"/>
            <w:vAlign w:val="bottom"/>
            <w:gridSpan w:val="2"/>
          </w:tcPr>
          <w:p>
            <w:pPr>
              <w:jc w:val="center"/>
              <w:ind w:right="360"/>
              <w:spacing w:after="0" w:line="114" w:lineRule="exact"/>
              <w:rPr>
                <w:sz w:val="20"/>
                <w:szCs w:val="20"/>
                <w:color w:val="auto"/>
              </w:rPr>
            </w:pPr>
            <w:r>
              <w:rPr>
                <w:rFonts w:ascii="Arial" w:cs="Arial" w:eastAsia="Arial" w:hAnsi="Arial"/>
                <w:sz w:val="11"/>
                <w:szCs w:val="11"/>
                <w:b w:val="1"/>
                <w:bCs w:val="1"/>
                <w:color w:val="auto"/>
                <w:w w:val="96"/>
              </w:rPr>
              <w:t>Us or for Our</w:t>
            </w:r>
          </w:p>
        </w:tc>
        <w:tc>
          <w:tcPr>
            <w:tcW w:w="720" w:type="dxa"/>
            <w:vAlign w:val="bottom"/>
            <w:gridSpan w:val="2"/>
          </w:tcPr>
          <w:p>
            <w:pPr>
              <w:ind w:left="140"/>
              <w:spacing w:after="0" w:line="114" w:lineRule="exact"/>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141"/>
        </w:trPr>
        <w:tc>
          <w:tcPr>
            <w:tcW w:w="620" w:type="dxa"/>
            <w:vAlign w:val="bottom"/>
            <w:tcBorders>
              <w:bottom w:val="single" w:sz="8" w:color="auto"/>
            </w:tcBorders>
            <w:vMerge w:val="continue"/>
          </w:tcPr>
          <w:p>
            <w:pPr>
              <w:spacing w:after="0"/>
              <w:rPr>
                <w:sz w:val="12"/>
                <w:szCs w:val="12"/>
                <w:color w:val="auto"/>
              </w:rPr>
            </w:pPr>
          </w:p>
        </w:tc>
        <w:tc>
          <w:tcPr>
            <w:tcW w:w="4880" w:type="dxa"/>
            <w:vAlign w:val="bottom"/>
            <w:vMerge w:val="continue"/>
          </w:tcPr>
          <w:p>
            <w:pPr>
              <w:spacing w:after="0"/>
              <w:rPr>
                <w:sz w:val="12"/>
                <w:szCs w:val="12"/>
                <w:color w:val="auto"/>
              </w:rPr>
            </w:pPr>
          </w:p>
        </w:tc>
        <w:tc>
          <w:tcPr>
            <w:tcW w:w="1100" w:type="dxa"/>
            <w:vAlign w:val="bottom"/>
            <w:gridSpan w:val="2"/>
          </w:tcPr>
          <w:p>
            <w:pPr>
              <w:jc w:val="center"/>
              <w:ind w:right="360"/>
              <w:spacing w:after="0" w:line="121" w:lineRule="exact"/>
              <w:rPr>
                <w:sz w:val="20"/>
                <w:szCs w:val="20"/>
                <w:color w:val="auto"/>
              </w:rPr>
            </w:pPr>
            <w:r>
              <w:rPr>
                <w:rFonts w:ascii="Arial" w:cs="Arial" w:eastAsia="Arial" w:hAnsi="Arial"/>
                <w:sz w:val="11"/>
                <w:szCs w:val="11"/>
                <w:b w:val="1"/>
                <w:bCs w:val="1"/>
                <w:color w:val="auto"/>
                <w:w w:val="93"/>
              </w:rPr>
              <w:t>Authorized</w:t>
            </w:r>
          </w:p>
        </w:tc>
        <w:tc>
          <w:tcPr>
            <w:tcW w:w="1140" w:type="dxa"/>
            <w:vAlign w:val="bottom"/>
            <w:gridSpan w:val="2"/>
          </w:tcPr>
          <w:p>
            <w:pPr>
              <w:jc w:val="center"/>
              <w:ind w:right="360"/>
              <w:spacing w:after="0" w:line="121" w:lineRule="exact"/>
              <w:rPr>
                <w:sz w:val="20"/>
                <w:szCs w:val="20"/>
                <w:color w:val="auto"/>
              </w:rPr>
            </w:pPr>
            <w:r>
              <w:rPr>
                <w:rFonts w:ascii="Arial" w:cs="Arial" w:eastAsia="Arial" w:hAnsi="Arial"/>
                <w:sz w:val="11"/>
                <w:szCs w:val="11"/>
                <w:b w:val="1"/>
                <w:bCs w:val="1"/>
                <w:color w:val="auto"/>
                <w:w w:val="86"/>
              </w:rPr>
              <w:t>Account</w:t>
            </w:r>
          </w:p>
        </w:tc>
        <w:tc>
          <w:tcPr>
            <w:tcW w:w="7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Outstanding</w:t>
            </w:r>
          </w:p>
        </w:tc>
        <w:tc>
          <w:tcPr>
            <w:tcW w:w="0" w:type="dxa"/>
            <w:vAlign w:val="bottom"/>
          </w:tcPr>
          <w:p>
            <w:pPr>
              <w:spacing w:after="0"/>
              <w:rPr>
                <w:sz w:val="1"/>
                <w:szCs w:val="1"/>
                <w:color w:val="auto"/>
              </w:rPr>
            </w:pPr>
          </w:p>
        </w:tc>
      </w:tr>
      <w:tr>
        <w:trPr>
          <w:trHeight w:val="147"/>
        </w:trPr>
        <w:tc>
          <w:tcPr>
            <w:tcW w:w="5500" w:type="dxa"/>
            <w:vAlign w:val="bottom"/>
            <w:tcBorders>
              <w:top w:val="single" w:sz="8" w:color="CCEEFF"/>
            </w:tcBorders>
            <w:gridSpan w:val="2"/>
            <w:shd w:val="clear" w:color="auto" w:fill="CCEEFF"/>
          </w:tcPr>
          <w:p>
            <w:pPr>
              <w:spacing w:after="0" w:line="147" w:lineRule="exact"/>
              <w:rPr>
                <w:sz w:val="20"/>
                <w:szCs w:val="20"/>
                <w:color w:val="auto"/>
              </w:rPr>
            </w:pPr>
            <w:r>
              <w:rPr>
                <w:rFonts w:ascii="Arial" w:cs="Arial" w:eastAsia="Arial" w:hAnsi="Arial"/>
                <w:sz w:val="14"/>
                <w:szCs w:val="14"/>
                <w:color w:val="auto"/>
              </w:rPr>
              <w:t>Common Stock, par value $0.001 per share</w:t>
            </w:r>
          </w:p>
        </w:tc>
        <w:tc>
          <w:tcPr>
            <w:tcW w:w="740" w:type="dxa"/>
            <w:vAlign w:val="bottom"/>
            <w:tcBorders>
              <w:top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w w:val="92"/>
              </w:rPr>
              <w:t>100,000,000</w:t>
            </w:r>
          </w:p>
        </w:tc>
        <w:tc>
          <w:tcPr>
            <w:tcW w:w="3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ind w:left="580"/>
              <w:spacing w:after="0" w:line="147"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ind w:left="60"/>
              <w:spacing w:after="0" w:line="147" w:lineRule="exact"/>
              <w:rPr>
                <w:sz w:val="20"/>
                <w:szCs w:val="20"/>
                <w:color w:val="auto"/>
              </w:rPr>
            </w:pPr>
            <w:r>
              <w:rPr>
                <w:rFonts w:ascii="Arial" w:cs="Arial" w:eastAsia="Arial" w:hAnsi="Arial"/>
                <w:sz w:val="14"/>
                <w:szCs w:val="14"/>
                <w:color w:val="auto"/>
                <w:w w:val="85"/>
              </w:rPr>
              <w:t>45,345,638</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280" w:right="339" w:firstLine="338"/>
        <w:spacing w:after="0" w:line="280" w:lineRule="auto"/>
        <w:rPr>
          <w:sz w:val="20"/>
          <w:szCs w:val="20"/>
          <w:color w:val="auto"/>
        </w:rPr>
      </w:pPr>
      <w:r>
        <w:rPr>
          <w:rFonts w:ascii="Arial" w:cs="Arial" w:eastAsia="Arial" w:hAnsi="Arial"/>
          <w:sz w:val="13"/>
          <w:szCs w:val="13"/>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Common Stock</w:t>
      </w:r>
    </w:p>
    <w:p>
      <w:pPr>
        <w:spacing w:after="0" w:line="92" w:lineRule="exact"/>
        <w:rPr>
          <w:sz w:val="20"/>
          <w:szCs w:val="20"/>
          <w:color w:val="auto"/>
        </w:rPr>
      </w:pPr>
    </w:p>
    <w:p>
      <w:pPr>
        <w:ind w:left="280" w:right="299" w:firstLine="338"/>
        <w:spacing w:after="0" w:line="295" w:lineRule="auto"/>
        <w:rPr>
          <w:sz w:val="20"/>
          <w:szCs w:val="20"/>
          <w:color w:val="auto"/>
        </w:rPr>
      </w:pPr>
      <w:r>
        <w:rPr>
          <w:rFonts w:ascii="Arial" w:cs="Arial" w:eastAsia="Arial" w:hAnsi="Arial"/>
          <w:sz w:val="12"/>
          <w:szCs w:val="12"/>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08"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Limitation on Liability of Directors and Officers; Indemnification and Advance of Expenses</w:t>
      </w:r>
    </w:p>
    <w:p>
      <w:pPr>
        <w:spacing w:after="0" w:line="92" w:lineRule="exact"/>
        <w:rPr>
          <w:sz w:val="20"/>
          <w:szCs w:val="20"/>
          <w:color w:val="auto"/>
        </w:rPr>
      </w:pPr>
    </w:p>
    <w:p>
      <w:pPr>
        <w:ind w:left="280" w:right="679" w:firstLine="338"/>
        <w:spacing w:after="0" w:line="268" w:lineRule="auto"/>
        <w:rPr>
          <w:sz w:val="20"/>
          <w:szCs w:val="20"/>
          <w:color w:val="auto"/>
        </w:rPr>
      </w:pPr>
      <w:r>
        <w:rPr>
          <w:rFonts w:ascii="Arial" w:cs="Arial" w:eastAsia="Arial" w:hAnsi="Arial"/>
          <w:sz w:val="14"/>
          <w:szCs w:val="14"/>
          <w:color w:val="auto"/>
        </w:rPr>
        <w:t>Maryland law permits a Maryland corporation to include in its charter a provision eliminating the liability of its directors and officers to the corporation and its stockholders for money damages except for liability resulting</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9019"/>
          </w:cols>
          <w:pgMar w:left="1440" w:top="260" w:right="1440" w:bottom="1440" w:gutter="0" w:footer="0" w:header="0"/>
        </w:sectPr>
      </w:pPr>
    </w:p>
    <w:bookmarkStart w:id="41" w:name="page42"/>
    <w:bookmarkEnd w:id="41"/>
    <w:p>
      <w:pPr>
        <w:ind w:left="280" w:right="679"/>
        <w:spacing w:after="0" w:line="25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2805" cy="45720"/>
                    </a:xfrm>
                    <a:prstGeom prst="rect">
                      <a:avLst/>
                    </a:prstGeom>
                    <a:noFill/>
                  </pic:spPr>
                </pic:pic>
              </a:graphicData>
            </a:graphic>
          </wp:anchor>
        </w:drawing>
        <w:t>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46" w:lineRule="exact"/>
        <w:rPr>
          <w:sz w:val="20"/>
          <w:szCs w:val="20"/>
          <w:color w:val="auto"/>
        </w:rPr>
      </w:pPr>
    </w:p>
    <w:p>
      <w:pPr>
        <w:ind w:left="280" w:right="319" w:firstLine="338"/>
        <w:spacing w:after="0" w:line="251" w:lineRule="auto"/>
        <w:rPr>
          <w:sz w:val="20"/>
          <w:szCs w:val="20"/>
          <w:color w:val="auto"/>
        </w:rPr>
      </w:pPr>
      <w:r>
        <w:rPr>
          <w:rFonts w:ascii="Arial" w:cs="Arial" w:eastAsia="Arial" w:hAnsi="Arial"/>
          <w:sz w:val="14"/>
          <w:szCs w:val="14"/>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51" w:lineRule="exact"/>
        <w:rPr>
          <w:sz w:val="20"/>
          <w:szCs w:val="20"/>
          <w:color w:val="auto"/>
        </w:rPr>
      </w:pPr>
    </w:p>
    <w:p>
      <w:pPr>
        <w:ind w:left="280" w:right="339" w:firstLine="338"/>
        <w:spacing w:after="0" w:line="270" w:lineRule="auto"/>
        <w:rPr>
          <w:sz w:val="20"/>
          <w:szCs w:val="20"/>
          <w:color w:val="auto"/>
        </w:rPr>
      </w:pPr>
      <w:r>
        <w:rPr>
          <w:rFonts w:ascii="Arial" w:cs="Arial" w:eastAsia="Arial" w:hAnsi="Arial"/>
          <w:sz w:val="13"/>
          <w:szCs w:val="13"/>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43" w:lineRule="exact"/>
        <w:rPr>
          <w:sz w:val="20"/>
          <w:szCs w:val="20"/>
          <w:color w:val="auto"/>
        </w:rPr>
      </w:pPr>
    </w:p>
    <w:p>
      <w:pPr>
        <w:ind w:left="280" w:right="659" w:firstLine="338"/>
        <w:spacing w:after="0" w:line="353" w:lineRule="auto"/>
        <w:rPr>
          <w:sz w:val="20"/>
          <w:szCs w:val="20"/>
          <w:color w:val="auto"/>
        </w:rPr>
      </w:pPr>
      <w:r>
        <w:rPr>
          <w:rFonts w:ascii="Arial" w:cs="Arial" w:eastAsia="Arial" w:hAnsi="Arial"/>
          <w:sz w:val="12"/>
          <w:szCs w:val="12"/>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92" w:lineRule="exact"/>
        <w:rPr>
          <w:sz w:val="20"/>
          <w:szCs w:val="20"/>
          <w:color w:val="auto"/>
        </w:rPr>
      </w:pPr>
    </w:p>
    <w:p>
      <w:pPr>
        <w:ind w:left="280" w:right="299" w:firstLine="338"/>
        <w:spacing w:after="0" w:line="269" w:lineRule="auto"/>
        <w:rPr>
          <w:sz w:val="20"/>
          <w:szCs w:val="20"/>
          <w:color w:val="auto"/>
        </w:rPr>
      </w:pPr>
      <w:r>
        <w:rPr>
          <w:rFonts w:ascii="Arial" w:cs="Arial" w:eastAsia="Arial" w:hAnsi="Arial"/>
          <w:sz w:val="13"/>
          <w:szCs w:val="13"/>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9019"/>
          </w:cols>
          <w:pgMar w:left="1440" w:top="264" w:right="1440" w:bottom="1440" w:gutter="0" w:footer="0" w:header="0"/>
        </w:sectPr>
      </w:pPr>
    </w:p>
    <w:bookmarkStart w:id="42" w:name="page43"/>
    <w:bookmarkEnd w:id="42"/>
    <w:p>
      <w:pPr>
        <w:ind w:left="2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2805" cy="45720"/>
                    </a:xfrm>
                    <a:prstGeom prst="rect">
                      <a:avLst/>
                    </a:prstGeom>
                    <a:noFill/>
                  </pic:spPr>
                </pic:pic>
              </a:graphicData>
            </a:graphic>
          </wp:anchor>
        </w:drawing>
        <w:t>Provisions of the Maryland General Corporation Law and our Charter and Bylaws</w:t>
      </w:r>
    </w:p>
    <w:p>
      <w:pPr>
        <w:spacing w:after="0" w:line="92" w:lineRule="exact"/>
        <w:rPr>
          <w:sz w:val="20"/>
          <w:szCs w:val="20"/>
          <w:color w:val="auto"/>
        </w:rPr>
      </w:pPr>
    </w:p>
    <w:p>
      <w:pPr>
        <w:ind w:left="280" w:right="319" w:firstLine="338"/>
        <w:spacing w:after="0" w:line="252" w:lineRule="auto"/>
        <w:rPr>
          <w:sz w:val="20"/>
          <w:szCs w:val="20"/>
          <w:color w:val="auto"/>
        </w:rPr>
      </w:pPr>
      <w:r>
        <w:rPr>
          <w:rFonts w:ascii="Arial" w:cs="Arial" w:eastAsia="Arial" w:hAnsi="Arial"/>
          <w:sz w:val="14"/>
          <w:szCs w:val="14"/>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33" w:lineRule="exact"/>
        <w:rPr>
          <w:sz w:val="20"/>
          <w:szCs w:val="20"/>
          <w:color w:val="auto"/>
        </w:rPr>
      </w:pPr>
    </w:p>
    <w:p>
      <w:pPr>
        <w:ind w:left="280"/>
        <w:spacing w:after="0"/>
        <w:rPr>
          <w:sz w:val="20"/>
          <w:szCs w:val="20"/>
          <w:color w:val="auto"/>
        </w:rPr>
      </w:pPr>
      <w:r>
        <w:rPr>
          <w:rFonts w:ascii="Arial" w:cs="Arial" w:eastAsia="Arial" w:hAnsi="Arial"/>
          <w:sz w:val="14"/>
          <w:szCs w:val="14"/>
          <w:b w:val="1"/>
          <w:bCs w:val="1"/>
          <w:i w:val="1"/>
          <w:iCs w:val="1"/>
          <w:color w:val="auto"/>
        </w:rPr>
        <w:t>Classified board of directors</w:t>
      </w:r>
    </w:p>
    <w:p>
      <w:pPr>
        <w:spacing w:after="0" w:line="88" w:lineRule="exact"/>
        <w:rPr>
          <w:sz w:val="20"/>
          <w:szCs w:val="20"/>
          <w:color w:val="auto"/>
        </w:rPr>
      </w:pPr>
    </w:p>
    <w:p>
      <w:pPr>
        <w:ind w:left="280" w:right="359" w:firstLine="338"/>
        <w:spacing w:after="0" w:line="273" w:lineRule="auto"/>
        <w:rPr>
          <w:sz w:val="20"/>
          <w:szCs w:val="20"/>
          <w:color w:val="auto"/>
        </w:rPr>
      </w:pPr>
      <w:r>
        <w:rPr>
          <w:rFonts w:ascii="Arial" w:cs="Arial" w:eastAsia="Arial" w:hAnsi="Arial"/>
          <w:sz w:val="13"/>
          <w:szCs w:val="13"/>
          <w:color w:val="auto"/>
        </w:rPr>
        <w:t>Our board of directors is divided into three classes of directors serving staggered three-year terms. The terms of the first, second and third classes will expire at the annual meeting of stockholders held in 2024, 2025 and 2023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20" w:lineRule="exact"/>
        <w:rPr>
          <w:sz w:val="20"/>
          <w:szCs w:val="20"/>
          <w:color w:val="auto"/>
        </w:rPr>
      </w:pPr>
    </w:p>
    <w:p>
      <w:pPr>
        <w:ind w:left="280"/>
        <w:spacing w:after="0"/>
        <w:rPr>
          <w:sz w:val="20"/>
          <w:szCs w:val="20"/>
          <w:color w:val="auto"/>
        </w:rPr>
      </w:pPr>
      <w:r>
        <w:rPr>
          <w:rFonts w:ascii="Arial" w:cs="Arial" w:eastAsia="Arial" w:hAnsi="Arial"/>
          <w:sz w:val="14"/>
          <w:szCs w:val="14"/>
          <w:b w:val="1"/>
          <w:bCs w:val="1"/>
          <w:i w:val="1"/>
          <w:iCs w:val="1"/>
          <w:color w:val="auto"/>
        </w:rPr>
        <w:t>Election of directors</w:t>
      </w:r>
    </w:p>
    <w:p>
      <w:pPr>
        <w:spacing w:after="0" w:line="88" w:lineRule="exact"/>
        <w:rPr>
          <w:sz w:val="20"/>
          <w:szCs w:val="20"/>
          <w:color w:val="auto"/>
        </w:rPr>
      </w:pPr>
    </w:p>
    <w:p>
      <w:pPr>
        <w:ind w:left="280" w:right="339" w:firstLine="338"/>
        <w:spacing w:after="0" w:line="254" w:lineRule="auto"/>
        <w:rPr>
          <w:sz w:val="20"/>
          <w:szCs w:val="20"/>
          <w:color w:val="auto"/>
        </w:rPr>
      </w:pPr>
      <w:r>
        <w:rPr>
          <w:rFonts w:ascii="Arial" w:cs="Arial" w:eastAsia="Arial" w:hAnsi="Arial"/>
          <w:sz w:val="14"/>
          <w:szCs w:val="14"/>
          <w:color w:val="auto"/>
        </w:rPr>
        <w:t>Our charter and bylaws provide that, to elect a director, the affirmative vote of a majority of the total votes cast with respect to a director nominee is required (i.e., the number of votes cast for a director nominee must exceed the number of votes cast against the nominee), provided that if the election is contested, directors shall be elected by a plurality of the votes cast. Pursuant to the charter, our board of directors may amend the bylaws to alter the vote required to elect directors.</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4"/>
          <w:szCs w:val="14"/>
          <w:b w:val="1"/>
          <w:bCs w:val="1"/>
          <w:i w:val="1"/>
          <w:iCs w:val="1"/>
          <w:color w:val="auto"/>
        </w:rPr>
        <w:t>Number of directors; vacancies; removal</w:t>
      </w:r>
    </w:p>
    <w:p>
      <w:pPr>
        <w:spacing w:after="0" w:line="88" w:lineRule="exact"/>
        <w:rPr>
          <w:sz w:val="20"/>
          <w:szCs w:val="20"/>
          <w:color w:val="auto"/>
        </w:rPr>
      </w:pPr>
    </w:p>
    <w:p>
      <w:pPr>
        <w:ind w:left="280" w:right="279" w:firstLine="338"/>
        <w:spacing w:after="0" w:line="272" w:lineRule="auto"/>
        <w:rPr>
          <w:sz w:val="20"/>
          <w:szCs w:val="20"/>
          <w:color w:val="auto"/>
        </w:rPr>
      </w:pPr>
      <w:r>
        <w:rPr>
          <w:rFonts w:ascii="Arial" w:cs="Arial" w:eastAsia="Arial" w:hAnsi="Arial"/>
          <w:sz w:val="13"/>
          <w:szCs w:val="13"/>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38" w:lineRule="exact"/>
        <w:rPr>
          <w:sz w:val="20"/>
          <w:szCs w:val="20"/>
          <w:color w:val="auto"/>
        </w:rPr>
      </w:pPr>
    </w:p>
    <w:p>
      <w:pPr>
        <w:ind w:left="280" w:right="599" w:firstLine="338"/>
        <w:spacing w:after="0" w:line="268" w:lineRule="auto"/>
        <w:rPr>
          <w:sz w:val="20"/>
          <w:szCs w:val="20"/>
          <w:color w:val="auto"/>
        </w:rPr>
      </w:pPr>
      <w:r>
        <w:rPr>
          <w:rFonts w:ascii="Arial" w:cs="Arial" w:eastAsia="Arial" w:hAnsi="Arial"/>
          <w:sz w:val="14"/>
          <w:szCs w:val="14"/>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4"/>
          <w:szCs w:val="14"/>
          <w:b w:val="1"/>
          <w:bCs w:val="1"/>
          <w:i w:val="1"/>
          <w:iCs w:val="1"/>
          <w:color w:val="auto"/>
        </w:rPr>
        <w:t>Action by stockholders</w:t>
      </w:r>
    </w:p>
    <w:p>
      <w:pPr>
        <w:spacing w:after="0" w:line="88" w:lineRule="exact"/>
        <w:rPr>
          <w:sz w:val="20"/>
          <w:szCs w:val="20"/>
          <w:color w:val="auto"/>
        </w:rPr>
      </w:pPr>
    </w:p>
    <w:p>
      <w:pPr>
        <w:ind w:left="280" w:right="519" w:firstLine="338"/>
        <w:spacing w:after="0" w:line="286" w:lineRule="auto"/>
        <w:rPr>
          <w:sz w:val="20"/>
          <w:szCs w:val="20"/>
          <w:color w:val="auto"/>
        </w:rPr>
      </w:pPr>
      <w:r>
        <w:rPr>
          <w:rFonts w:ascii="Arial" w:cs="Arial" w:eastAsia="Arial" w:hAnsi="Arial"/>
          <w:sz w:val="13"/>
          <w:szCs w:val="13"/>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9019"/>
          </w:cols>
          <w:pgMar w:left="1440" w:top="260" w:right="1440" w:bottom="1440" w:gutter="0" w:footer="0" w:header="0"/>
        </w:sectPr>
      </w:pPr>
    </w:p>
    <w:bookmarkStart w:id="43" w:name="page44"/>
    <w:bookmarkEnd w:id="43"/>
    <w:p>
      <w:pPr>
        <w:ind w:left="280"/>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2805" cy="45720"/>
                    </a:xfrm>
                    <a:prstGeom prst="rect">
                      <a:avLst/>
                    </a:prstGeom>
                    <a:noFill/>
                  </pic:spPr>
                </pic:pic>
              </a:graphicData>
            </a:graphic>
          </wp:anchor>
        </w:drawing>
        <w:t>Advance notice provisions for stockholder nominations and stockholder proposals</w:t>
      </w:r>
    </w:p>
    <w:p>
      <w:pPr>
        <w:spacing w:after="0" w:line="88" w:lineRule="exact"/>
        <w:rPr>
          <w:sz w:val="20"/>
          <w:szCs w:val="20"/>
          <w:color w:val="auto"/>
        </w:rPr>
      </w:pPr>
    </w:p>
    <w:p>
      <w:pPr>
        <w:ind w:left="280" w:right="319" w:firstLine="338"/>
        <w:spacing w:after="0" w:line="297" w:lineRule="auto"/>
        <w:rPr>
          <w:sz w:val="20"/>
          <w:szCs w:val="20"/>
          <w:color w:val="auto"/>
        </w:rPr>
      </w:pPr>
      <w:r>
        <w:rPr>
          <w:rFonts w:ascii="Arial" w:cs="Arial" w:eastAsia="Arial" w:hAnsi="Arial"/>
          <w:sz w:val="12"/>
          <w:szCs w:val="12"/>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27" w:lineRule="exact"/>
        <w:rPr>
          <w:sz w:val="20"/>
          <w:szCs w:val="20"/>
          <w:color w:val="auto"/>
        </w:rPr>
      </w:pPr>
    </w:p>
    <w:p>
      <w:pPr>
        <w:ind w:left="280" w:right="299" w:firstLine="338"/>
        <w:spacing w:after="0" w:line="272" w:lineRule="auto"/>
        <w:rPr>
          <w:sz w:val="20"/>
          <w:szCs w:val="20"/>
          <w:color w:val="auto"/>
        </w:rPr>
      </w:pPr>
      <w:r>
        <w:rPr>
          <w:rFonts w:ascii="Arial" w:cs="Arial" w:eastAsia="Arial" w:hAnsi="Arial"/>
          <w:sz w:val="13"/>
          <w:szCs w:val="13"/>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4"/>
          <w:szCs w:val="14"/>
          <w:b w:val="1"/>
          <w:bCs w:val="1"/>
          <w:i w:val="1"/>
          <w:iCs w:val="1"/>
          <w:color w:val="auto"/>
        </w:rPr>
        <w:t>Calling of special meetings of stockholders</w:t>
      </w:r>
    </w:p>
    <w:p>
      <w:pPr>
        <w:spacing w:after="0" w:line="88" w:lineRule="exact"/>
        <w:rPr>
          <w:sz w:val="20"/>
          <w:szCs w:val="20"/>
          <w:color w:val="auto"/>
        </w:rPr>
      </w:pPr>
    </w:p>
    <w:p>
      <w:pPr>
        <w:ind w:left="280" w:right="359" w:firstLine="338"/>
        <w:spacing w:after="0" w:line="254" w:lineRule="auto"/>
        <w:rPr>
          <w:sz w:val="20"/>
          <w:szCs w:val="20"/>
          <w:color w:val="auto"/>
        </w:rPr>
      </w:pPr>
      <w:r>
        <w:rPr>
          <w:rFonts w:ascii="Arial" w:cs="Arial" w:eastAsia="Arial" w:hAnsi="Arial"/>
          <w:sz w:val="14"/>
          <w:szCs w:val="14"/>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4"/>
          <w:szCs w:val="14"/>
          <w:b w:val="1"/>
          <w:bCs w:val="1"/>
          <w:i w:val="1"/>
          <w:iCs w:val="1"/>
          <w:color w:val="auto"/>
        </w:rPr>
        <w:t>Approval of extraordinary corporate action; amendment of charter and bylaws</w:t>
      </w:r>
    </w:p>
    <w:p>
      <w:pPr>
        <w:spacing w:after="0" w:line="88" w:lineRule="exact"/>
        <w:rPr>
          <w:sz w:val="20"/>
          <w:szCs w:val="20"/>
          <w:color w:val="auto"/>
        </w:rPr>
      </w:pPr>
    </w:p>
    <w:p>
      <w:pPr>
        <w:ind w:left="280" w:right="299" w:firstLine="338"/>
        <w:spacing w:after="0" w:line="270" w:lineRule="auto"/>
        <w:rPr>
          <w:sz w:val="20"/>
          <w:szCs w:val="20"/>
          <w:color w:val="auto"/>
        </w:rPr>
      </w:pPr>
      <w:r>
        <w:rPr>
          <w:rFonts w:ascii="Arial" w:cs="Arial" w:eastAsia="Arial" w:hAnsi="Arial"/>
          <w:sz w:val="13"/>
          <w:szCs w:val="13"/>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9019"/>
          </w:cols>
          <w:pgMar w:left="1440" w:top="264" w:right="1440" w:bottom="1440" w:gutter="0" w:footer="0" w:header="0"/>
        </w:sectPr>
      </w:pPr>
    </w:p>
    <w:bookmarkStart w:id="44" w:name="page45"/>
    <w:bookmarkEnd w:id="44"/>
    <w:p>
      <w:pPr>
        <w:ind w:left="280" w:right="379" w:firstLine="338"/>
        <w:spacing w:after="0" w:line="26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2805" cy="45720"/>
                    </a:xfrm>
                    <a:prstGeom prst="rect">
                      <a:avLst/>
                    </a:prstGeom>
                    <a:noFill/>
                  </pic:spPr>
                </pic:pic>
              </a:graphicData>
            </a:graphic>
          </wp:anchor>
        </w:drawing>
        <w:t>Our charter and bylaws provide that the board of directors will have the exclusive power to adopt, alter or repeal any provision of our bylaws and to make new bylaws.</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4"/>
          <w:szCs w:val="14"/>
          <w:b w:val="1"/>
          <w:bCs w:val="1"/>
          <w:i w:val="1"/>
          <w:iCs w:val="1"/>
          <w:color w:val="auto"/>
        </w:rPr>
        <w:t>No appraisal rights</w:t>
      </w:r>
    </w:p>
    <w:p>
      <w:pPr>
        <w:spacing w:after="0" w:line="88" w:lineRule="exact"/>
        <w:rPr>
          <w:sz w:val="20"/>
          <w:szCs w:val="20"/>
          <w:color w:val="auto"/>
        </w:rPr>
      </w:pPr>
    </w:p>
    <w:p>
      <w:pPr>
        <w:ind w:left="280" w:right="839" w:firstLine="338"/>
        <w:spacing w:after="0" w:line="307" w:lineRule="auto"/>
        <w:rPr>
          <w:sz w:val="20"/>
          <w:szCs w:val="20"/>
          <w:color w:val="auto"/>
        </w:rPr>
      </w:pPr>
      <w:r>
        <w:rPr>
          <w:rFonts w:ascii="Arial" w:cs="Arial" w:eastAsia="Arial" w:hAnsi="Arial"/>
          <w:sz w:val="13"/>
          <w:szCs w:val="13"/>
          <w:color w:val="auto"/>
        </w:rPr>
        <w:t>Except with respect to appraisal rights arising in connection with the Control Share Acquisition Act discussed below, as permitted by the Maryland General Corporation Law, our charter provides that stockholders will not be entitled to exercise appraisal rights.</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4"/>
          <w:szCs w:val="14"/>
          <w:b w:val="1"/>
          <w:bCs w:val="1"/>
          <w:i w:val="1"/>
          <w:iCs w:val="1"/>
          <w:color w:val="auto"/>
        </w:rPr>
        <w:t>Control share acquisitions</w:t>
      </w:r>
    </w:p>
    <w:p>
      <w:pPr>
        <w:spacing w:after="0" w:line="88" w:lineRule="exact"/>
        <w:rPr>
          <w:sz w:val="20"/>
          <w:szCs w:val="20"/>
          <w:color w:val="auto"/>
        </w:rPr>
      </w:pPr>
    </w:p>
    <w:p>
      <w:pPr>
        <w:ind w:left="620"/>
        <w:spacing w:after="0"/>
        <w:rPr>
          <w:sz w:val="20"/>
          <w:szCs w:val="20"/>
          <w:color w:val="auto"/>
        </w:rPr>
      </w:pPr>
      <w:r>
        <w:rPr>
          <w:rFonts w:ascii="Arial" w:cs="Arial" w:eastAsia="Arial" w:hAnsi="Arial"/>
          <w:sz w:val="12"/>
          <w:szCs w:val="12"/>
          <w:color w:val="auto"/>
        </w:rPr>
        <w:t>Our bylaws contain a provision exempting from the Control Share Acquisition Act any and all acquisitions by any person of shares of our stock.</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2"/>
          <w:szCs w:val="12"/>
          <w:color w:val="auto"/>
        </w:rPr>
        <w:t>There can be no assurance that such provision will not be amended or eliminated at any time in the future to the extent permitted by the 1940 Act.</w:t>
      </w:r>
    </w:p>
    <w:p>
      <w:pPr>
        <w:spacing w:after="0" w:line="194" w:lineRule="exact"/>
        <w:rPr>
          <w:sz w:val="20"/>
          <w:szCs w:val="20"/>
          <w:color w:val="auto"/>
        </w:rPr>
      </w:pPr>
    </w:p>
    <w:p>
      <w:pPr>
        <w:ind w:left="280" w:right="359" w:firstLine="338"/>
        <w:spacing w:after="0" w:line="251" w:lineRule="auto"/>
        <w:rPr>
          <w:sz w:val="20"/>
          <w:szCs w:val="20"/>
          <w:color w:val="auto"/>
        </w:rPr>
      </w:pPr>
      <w:r>
        <w:rPr>
          <w:rFonts w:ascii="Arial" w:cs="Arial" w:eastAsia="Arial" w:hAnsi="Arial"/>
          <w:sz w:val="14"/>
          <w:szCs w:val="14"/>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79" w:lineRule="exact"/>
        <w:rPr>
          <w:sz w:val="20"/>
          <w:szCs w:val="20"/>
          <w:color w:val="auto"/>
        </w:rPr>
      </w:pPr>
    </w:p>
    <w:p>
      <w:pPr>
        <w:ind w:left="1020" w:hanging="332"/>
        <w:spacing w:after="0"/>
        <w:tabs>
          <w:tab w:leader="none" w:pos="10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one-tenth or more but less than one-third;</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one-third or more but less than a majority; or</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 majority or more of all voting power.</w:t>
      </w:r>
    </w:p>
    <w:p>
      <w:pPr>
        <w:spacing w:after="0" w:line="171" w:lineRule="exact"/>
        <w:rPr>
          <w:sz w:val="20"/>
          <w:szCs w:val="20"/>
          <w:color w:val="auto"/>
        </w:rPr>
      </w:pPr>
    </w:p>
    <w:p>
      <w:pPr>
        <w:ind w:left="280" w:right="399" w:firstLine="338"/>
        <w:spacing w:after="0" w:line="320" w:lineRule="auto"/>
        <w:rPr>
          <w:sz w:val="20"/>
          <w:szCs w:val="20"/>
          <w:color w:val="auto"/>
        </w:rPr>
      </w:pPr>
      <w:r>
        <w:rPr>
          <w:rFonts w:ascii="Arial" w:cs="Arial" w:eastAsia="Arial" w:hAnsi="Arial"/>
          <w:sz w:val="12"/>
          <w:szCs w:val="12"/>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control shares, subject to certain exceptions.</w:t>
      </w:r>
    </w:p>
    <w:p>
      <w:pPr>
        <w:spacing w:after="0" w:line="112" w:lineRule="exact"/>
        <w:rPr>
          <w:sz w:val="20"/>
          <w:szCs w:val="20"/>
          <w:color w:val="auto"/>
        </w:rPr>
      </w:pPr>
    </w:p>
    <w:p>
      <w:pPr>
        <w:ind w:left="280" w:right="499" w:firstLine="338"/>
        <w:spacing w:after="0" w:line="280" w:lineRule="auto"/>
        <w:rPr>
          <w:sz w:val="20"/>
          <w:szCs w:val="20"/>
          <w:color w:val="auto"/>
        </w:rPr>
      </w:pPr>
      <w:r>
        <w:rPr>
          <w:rFonts w:ascii="Arial" w:cs="Arial" w:eastAsia="Arial" w:hAnsi="Arial"/>
          <w:sz w:val="13"/>
          <w:szCs w:val="13"/>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32" w:lineRule="exact"/>
        <w:rPr>
          <w:sz w:val="20"/>
          <w:szCs w:val="20"/>
          <w:color w:val="auto"/>
        </w:rPr>
      </w:pPr>
    </w:p>
    <w:p>
      <w:pPr>
        <w:ind w:left="280" w:right="319" w:firstLine="338"/>
        <w:spacing w:after="0" w:line="272" w:lineRule="auto"/>
        <w:rPr>
          <w:sz w:val="20"/>
          <w:szCs w:val="20"/>
          <w:color w:val="auto"/>
        </w:rPr>
      </w:pPr>
      <w:r>
        <w:rPr>
          <w:rFonts w:ascii="Arial" w:cs="Arial" w:eastAsia="Arial" w:hAnsi="Arial"/>
          <w:sz w:val="13"/>
          <w:szCs w:val="13"/>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9019"/>
          </w:cols>
          <w:pgMar w:left="1440" w:top="264" w:right="1440" w:bottom="1440" w:gutter="0" w:footer="0" w:header="0"/>
        </w:sectPr>
      </w:pPr>
    </w:p>
    <w:bookmarkStart w:id="45" w:name="page46"/>
    <w:bookmarkEnd w:id="45"/>
    <w:p>
      <w:pPr>
        <w:ind w:left="280" w:right="379" w:firstLine="338"/>
        <w:spacing w:after="0" w:line="26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2805" cy="45720"/>
                    </a:xfrm>
                    <a:prstGeom prst="rect">
                      <a:avLst/>
                    </a:prstGeom>
                    <a:noFill/>
                  </pic:spPr>
                </pic:pic>
              </a:graphicData>
            </a:graphic>
          </wp:anchor>
        </w:drawing>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88" w:lineRule="exact"/>
        <w:rPr>
          <w:sz w:val="20"/>
          <w:szCs w:val="20"/>
          <w:color w:val="auto"/>
        </w:rPr>
      </w:pPr>
    </w:p>
    <w:p>
      <w:pPr>
        <w:ind w:left="280" w:right="639" w:firstLine="338"/>
        <w:spacing w:after="0" w:line="280" w:lineRule="auto"/>
        <w:rPr>
          <w:sz w:val="20"/>
          <w:szCs w:val="20"/>
          <w:color w:val="auto"/>
        </w:rPr>
      </w:pPr>
      <w:r>
        <w:rPr>
          <w:rFonts w:ascii="Arial" w:cs="Arial" w:eastAsia="Arial" w:hAnsi="Arial"/>
          <w:sz w:val="13"/>
          <w:szCs w:val="13"/>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59" w:lineRule="exact"/>
        <w:rPr>
          <w:sz w:val="20"/>
          <w:szCs w:val="20"/>
          <w:color w:val="auto"/>
        </w:rPr>
      </w:pPr>
    </w:p>
    <w:p>
      <w:pPr>
        <w:ind w:left="1020" w:hanging="332"/>
        <w:spacing w:after="0"/>
        <w:tabs>
          <w:tab w:leader="none" w:pos="10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any person who beneficially owns, directly or indirectly, 10% or more of the voting power of the corporation’s shares; or</w:t>
      </w:r>
    </w:p>
    <w:p>
      <w:pPr>
        <w:spacing w:after="0" w:line="98" w:lineRule="exact"/>
        <w:rPr>
          <w:rFonts w:ascii="Arial" w:cs="Arial" w:eastAsia="Arial" w:hAnsi="Arial"/>
          <w:sz w:val="14"/>
          <w:szCs w:val="14"/>
          <w:color w:val="auto"/>
        </w:rPr>
      </w:pPr>
    </w:p>
    <w:p>
      <w:pPr>
        <w:ind w:left="1020" w:right="619" w:hanging="332"/>
        <w:spacing w:after="0" w:line="353" w:lineRule="auto"/>
        <w:tabs>
          <w:tab w:leader="none" w:pos="10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92" w:lineRule="exact"/>
        <w:rPr>
          <w:sz w:val="20"/>
          <w:szCs w:val="20"/>
          <w:color w:val="auto"/>
        </w:rPr>
      </w:pPr>
    </w:p>
    <w:p>
      <w:pPr>
        <w:jc w:val="both"/>
        <w:ind w:left="280" w:right="519" w:firstLine="338"/>
        <w:spacing w:after="0" w:line="286" w:lineRule="auto"/>
        <w:rPr>
          <w:sz w:val="20"/>
          <w:szCs w:val="20"/>
          <w:color w:val="auto"/>
        </w:rPr>
      </w:pPr>
      <w:r>
        <w:rPr>
          <w:rFonts w:ascii="Arial" w:cs="Arial" w:eastAsia="Arial" w:hAnsi="Arial"/>
          <w:sz w:val="13"/>
          <w:szCs w:val="13"/>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29" w:lineRule="exact"/>
        <w:rPr>
          <w:sz w:val="20"/>
          <w:szCs w:val="20"/>
          <w:color w:val="auto"/>
        </w:rPr>
      </w:pPr>
    </w:p>
    <w:p>
      <w:pPr>
        <w:ind w:left="280" w:right="379" w:firstLine="338"/>
        <w:spacing w:after="0" w:line="268" w:lineRule="auto"/>
        <w:rPr>
          <w:sz w:val="20"/>
          <w:szCs w:val="20"/>
          <w:color w:val="auto"/>
        </w:rPr>
      </w:pPr>
      <w:r>
        <w:rPr>
          <w:rFonts w:ascii="Arial" w:cs="Arial" w:eastAsia="Arial" w:hAnsi="Arial"/>
          <w:sz w:val="14"/>
          <w:szCs w:val="14"/>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66" w:lineRule="exact"/>
        <w:rPr>
          <w:sz w:val="20"/>
          <w:szCs w:val="20"/>
          <w:color w:val="auto"/>
        </w:rPr>
      </w:pPr>
    </w:p>
    <w:p>
      <w:pPr>
        <w:ind w:left="1020" w:hanging="332"/>
        <w:spacing w:after="0"/>
        <w:tabs>
          <w:tab w:leader="none" w:pos="10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80% of the votes entitled to be cast by holders of outstanding shares of voting stock of the corporation; and</w:t>
      </w:r>
    </w:p>
    <w:p>
      <w:pPr>
        <w:spacing w:after="0" w:line="98" w:lineRule="exact"/>
        <w:rPr>
          <w:rFonts w:ascii="Arial" w:cs="Arial" w:eastAsia="Arial" w:hAnsi="Arial"/>
          <w:sz w:val="14"/>
          <w:szCs w:val="14"/>
          <w:color w:val="auto"/>
        </w:rPr>
      </w:pPr>
    </w:p>
    <w:p>
      <w:pPr>
        <w:ind w:left="1020" w:right="379" w:hanging="332"/>
        <w:spacing w:after="0" w:line="257" w:lineRule="auto"/>
        <w:tabs>
          <w:tab w:leader="none" w:pos="10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46" w:lineRule="exact"/>
        <w:rPr>
          <w:sz w:val="20"/>
          <w:szCs w:val="20"/>
          <w:color w:val="auto"/>
        </w:rPr>
      </w:pPr>
    </w:p>
    <w:p>
      <w:pPr>
        <w:ind w:left="280" w:right="359" w:firstLine="338"/>
        <w:spacing w:after="0" w:line="353" w:lineRule="auto"/>
        <w:rPr>
          <w:sz w:val="20"/>
          <w:szCs w:val="20"/>
          <w:color w:val="auto"/>
        </w:rPr>
      </w:pPr>
      <w:r>
        <w:rPr>
          <w:rFonts w:ascii="Arial" w:cs="Arial" w:eastAsia="Arial" w:hAnsi="Arial"/>
          <w:sz w:val="12"/>
          <w:szCs w:val="12"/>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92" w:lineRule="exact"/>
        <w:rPr>
          <w:sz w:val="20"/>
          <w:szCs w:val="20"/>
          <w:color w:val="auto"/>
        </w:rPr>
      </w:pPr>
    </w:p>
    <w:p>
      <w:pPr>
        <w:ind w:left="280" w:right="299" w:firstLine="338"/>
        <w:spacing w:after="0" w:line="301" w:lineRule="auto"/>
        <w:rPr>
          <w:sz w:val="20"/>
          <w:szCs w:val="20"/>
          <w:color w:val="auto"/>
        </w:rPr>
      </w:pPr>
      <w:r>
        <w:rPr>
          <w:rFonts w:ascii="Arial" w:cs="Arial" w:eastAsia="Arial" w:hAnsi="Arial"/>
          <w:sz w:val="12"/>
          <w:szCs w:val="12"/>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4"/>
          <w:szCs w:val="14"/>
          <w:b w:val="1"/>
          <w:bCs w:val="1"/>
          <w:i w:val="1"/>
          <w:iCs w:val="1"/>
          <w:color w:val="auto"/>
        </w:rPr>
        <w:t>Conflict with 1940 Act</w:t>
      </w:r>
    </w:p>
    <w:p>
      <w:pPr>
        <w:spacing w:after="0" w:line="171" w:lineRule="exact"/>
        <w:rPr>
          <w:sz w:val="20"/>
          <w:szCs w:val="20"/>
          <w:color w:val="auto"/>
        </w:rPr>
      </w:pPr>
    </w:p>
    <w:p>
      <w:pPr>
        <w:ind w:left="280" w:right="379" w:firstLine="338"/>
        <w:spacing w:after="0" w:line="257" w:lineRule="auto"/>
        <w:rPr>
          <w:sz w:val="20"/>
          <w:szCs w:val="20"/>
          <w:color w:val="auto"/>
        </w:rPr>
      </w:pPr>
      <w:r>
        <w:rPr>
          <w:rFonts w:ascii="Arial" w:cs="Arial" w:eastAsia="Arial" w:hAnsi="Arial"/>
          <w:sz w:val="14"/>
          <w:szCs w:val="14"/>
          <w:color w:val="auto"/>
        </w:rPr>
        <w:t>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9019"/>
          </w:cols>
          <w:pgMar w:left="1440" w:top="264" w:right="1440" w:bottom="1440" w:gutter="0" w:footer="0" w:header="0"/>
        </w:sectPr>
      </w:pPr>
    </w:p>
    <w:bookmarkStart w:id="46" w:name="page47"/>
    <w:bookmarkEnd w:id="46"/>
    <w:p>
      <w:pPr>
        <w:ind w:left="280"/>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2805" cy="45720"/>
                    </a:xfrm>
                    <a:prstGeom prst="rect">
                      <a:avLst/>
                    </a:prstGeom>
                    <a:noFill/>
                  </pic:spPr>
                </pic:pic>
              </a:graphicData>
            </a:graphic>
          </wp:anchor>
        </w:drawing>
        <w:t>Exclusive Forum</w:t>
      </w:r>
    </w:p>
    <w:p>
      <w:pPr>
        <w:spacing w:after="0" w:line="88" w:lineRule="exact"/>
        <w:rPr>
          <w:sz w:val="20"/>
          <w:szCs w:val="20"/>
          <w:color w:val="auto"/>
        </w:rPr>
      </w:pPr>
    </w:p>
    <w:p>
      <w:pPr>
        <w:ind w:left="280" w:right="379" w:firstLine="338"/>
        <w:spacing w:after="0" w:line="292" w:lineRule="auto"/>
        <w:rPr>
          <w:sz w:val="20"/>
          <w:szCs w:val="20"/>
          <w:color w:val="auto"/>
        </w:rPr>
      </w:pPr>
      <w:r>
        <w:rPr>
          <w:rFonts w:ascii="Arial" w:cs="Arial" w:eastAsia="Arial" w:hAnsi="Arial"/>
          <w:sz w:val="12"/>
          <w:szCs w:val="12"/>
          <w:color w:val="auto"/>
        </w:rPr>
        <w:t>Our bylaws provide that, unless we consent in writing to the selection of an alternative forum, the Circuit Court for Baltimore City, Maryland, or, if that court does not have jurisdiction, the United States District Court for the District of Maryland, Baltimore Division, will be the sole and exclusive forum for (a) any Internal Corporate Claim, as such term is defined in Section 1-101(q) of the Maryland General Corporation Law, or any successor provision thereof, (b) any derivative action or proceeding brought on behalf of the Company, other than actions arising under federal securities laws,</w:t>
      </w:r>
    </w:p>
    <w:p>
      <w:pPr>
        <w:spacing w:after="0" w:line="1" w:lineRule="exact"/>
        <w:rPr>
          <w:sz w:val="20"/>
          <w:szCs w:val="20"/>
          <w:color w:val="auto"/>
        </w:rPr>
      </w:pPr>
    </w:p>
    <w:p>
      <w:pPr>
        <w:ind w:left="280" w:right="319" w:hanging="7"/>
        <w:spacing w:after="0" w:line="300" w:lineRule="auto"/>
        <w:tabs>
          <w:tab w:leader="none" w:pos="468" w:val="left"/>
        </w:tabs>
        <w:numPr>
          <w:ilvl w:val="0"/>
          <w:numId w:val="27"/>
        </w:numPr>
        <w:rPr>
          <w:rFonts w:ascii="Arial" w:cs="Arial" w:eastAsia="Arial" w:hAnsi="Arial"/>
          <w:sz w:val="12"/>
          <w:szCs w:val="12"/>
          <w:color w:val="auto"/>
        </w:rPr>
      </w:pPr>
      <w:r>
        <w:rPr>
          <w:rFonts w:ascii="Arial" w:cs="Arial" w:eastAsia="Arial" w:hAnsi="Arial"/>
          <w:sz w:val="12"/>
          <w:szCs w:val="12"/>
          <w:color w:val="auto"/>
        </w:rPr>
        <w:t>any action asserting a claim of breach of any duty owed by any director or officer or other agent of the Company to the Company or to the stockholders of the Company, (d) any action asserting a claim against the Company or any director or officer or other agent of the Company arising pursuant to any provision of the Maryland General Corporation Law or our charter or bylaws or (e) any other action asserting a claim against the Company or any director or officer or other agent of the Company that is governed by the internal affairs doctrine. None of the foregoing actions, claims or proceedings may be brought in any court sitting outside the State of Maryland unless the Company consents in writing to such court.</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OUR PREFERRED STOCK</w:t>
      </w:r>
    </w:p>
    <w:p>
      <w:pPr>
        <w:spacing w:after="0" w:line="175" w:lineRule="exact"/>
        <w:rPr>
          <w:sz w:val="20"/>
          <w:szCs w:val="20"/>
          <w:color w:val="auto"/>
        </w:rPr>
      </w:pPr>
    </w:p>
    <w:p>
      <w:pPr>
        <w:ind w:left="280" w:right="339" w:firstLine="338"/>
        <w:spacing w:after="0" w:line="250" w:lineRule="auto"/>
        <w:rPr>
          <w:sz w:val="20"/>
          <w:szCs w:val="20"/>
          <w:color w:val="auto"/>
        </w:rPr>
      </w:pPr>
      <w:r>
        <w:rPr>
          <w:rFonts w:ascii="Arial" w:cs="Arial" w:eastAsia="Arial" w:hAnsi="Arial"/>
          <w:sz w:val="14"/>
          <w:szCs w:val="14"/>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53" w:lineRule="exact"/>
        <w:rPr>
          <w:sz w:val="20"/>
          <w:szCs w:val="20"/>
          <w:color w:val="auto"/>
        </w:rPr>
      </w:pPr>
    </w:p>
    <w:p>
      <w:pPr>
        <w:ind w:left="280" w:right="439" w:firstLine="338"/>
        <w:spacing w:after="0" w:line="299" w:lineRule="auto"/>
        <w:rPr>
          <w:sz w:val="20"/>
          <w:szCs w:val="20"/>
          <w:color w:val="auto"/>
        </w:rPr>
      </w:pPr>
      <w:r>
        <w:rPr>
          <w:rFonts w:ascii="Arial" w:cs="Arial" w:eastAsia="Arial" w:hAnsi="Arial"/>
          <w:sz w:val="12"/>
          <w:szCs w:val="12"/>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66 2/3%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24" w:lineRule="exact"/>
        <w:rPr>
          <w:sz w:val="20"/>
          <w:szCs w:val="20"/>
          <w:color w:val="auto"/>
        </w:rPr>
      </w:pPr>
    </w:p>
    <w:p>
      <w:pPr>
        <w:ind w:left="280" w:right="519" w:firstLine="338"/>
        <w:spacing w:after="0" w:line="268" w:lineRule="auto"/>
        <w:rPr>
          <w:sz w:val="20"/>
          <w:szCs w:val="20"/>
          <w:color w:val="auto"/>
        </w:rPr>
      </w:pPr>
      <w:r>
        <w:rPr>
          <w:rFonts w:ascii="Arial" w:cs="Arial" w:eastAsia="Arial" w:hAnsi="Arial"/>
          <w:sz w:val="14"/>
          <w:szCs w:val="14"/>
          <w:color w:val="auto"/>
        </w:rPr>
        <w:t>For any series of preferred stock that we may issue, our board of directors will determine and the prospectus supplement relating to such series will describe:</w:t>
      </w:r>
    </w:p>
    <w:p>
      <w:pPr>
        <w:spacing w:after="0" w:line="66" w:lineRule="exact"/>
        <w:rPr>
          <w:sz w:val="20"/>
          <w:szCs w:val="20"/>
          <w:color w:val="auto"/>
        </w:rPr>
      </w:pPr>
    </w:p>
    <w:p>
      <w:pPr>
        <w:ind w:left="1020" w:hanging="332"/>
        <w:spacing w:after="0"/>
        <w:tabs>
          <w:tab w:leader="none" w:pos="10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designation and number of shares of such series;</w:t>
      </w:r>
    </w:p>
    <w:p>
      <w:pPr>
        <w:spacing w:after="0" w:line="98" w:lineRule="exact"/>
        <w:rPr>
          <w:rFonts w:ascii="Arial" w:cs="Arial" w:eastAsia="Arial" w:hAnsi="Arial"/>
          <w:sz w:val="14"/>
          <w:szCs w:val="14"/>
          <w:color w:val="auto"/>
        </w:rPr>
      </w:pPr>
    </w:p>
    <w:p>
      <w:pPr>
        <w:ind w:left="1020" w:right="379" w:hanging="332"/>
        <w:spacing w:after="0" w:line="268" w:lineRule="auto"/>
        <w:tabs>
          <w:tab w:leader="none" w:pos="10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65" w:lineRule="exact"/>
        <w:rPr>
          <w:rFonts w:ascii="Arial" w:cs="Arial" w:eastAsia="Arial" w:hAnsi="Arial"/>
          <w:sz w:val="14"/>
          <w:szCs w:val="14"/>
          <w:color w:val="auto"/>
        </w:rPr>
      </w:pPr>
    </w:p>
    <w:p>
      <w:pPr>
        <w:ind w:left="1020" w:hanging="332"/>
        <w:spacing w:after="0"/>
        <w:tabs>
          <w:tab w:leader="none" w:pos="10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any provisions relating to convertibility or exchangeability of the shares of such series;</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rights and preferences, if any, of holders of shares of such series upon our liquidation, dissolution or winding up of our affairs;</w:t>
      </w:r>
    </w:p>
    <w:p>
      <w:pPr>
        <w:spacing w:after="0" w:line="109" w:lineRule="exact"/>
        <w:rPr>
          <w:rFonts w:ascii="Arial" w:cs="Arial" w:eastAsia="Arial" w:hAnsi="Arial"/>
          <w:sz w:val="13"/>
          <w:szCs w:val="13"/>
          <w:color w:val="auto"/>
        </w:rPr>
      </w:pPr>
    </w:p>
    <w:p>
      <w:pPr>
        <w:ind w:left="1020" w:hanging="332"/>
        <w:spacing w:after="0"/>
        <w:tabs>
          <w:tab w:leader="none" w:pos="10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voting powers, if any, of the holders of shares of such series;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9019"/>
          </w:cols>
          <w:pgMar w:left="1440" w:top="264" w:right="1440" w:bottom="1440" w:gutter="0" w:footer="0" w:header="0"/>
        </w:sectPr>
      </w:pPr>
    </w:p>
    <w:bookmarkStart w:id="47" w:name="page48"/>
    <w:bookmarkEnd w:id="47"/>
    <w:p>
      <w:pPr>
        <w:ind w:left="1020" w:hanging="332"/>
        <w:spacing w:after="0"/>
        <w:tabs>
          <w:tab w:leader="none" w:pos="1020" w:val="left"/>
        </w:tabs>
        <w:numPr>
          <w:ilvl w:val="0"/>
          <w:numId w:val="2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2805" cy="45720"/>
                    </a:xfrm>
                    <a:prstGeom prst="rect">
                      <a:avLst/>
                    </a:prstGeom>
                    <a:noFill/>
                  </pic:spPr>
                </pic:pic>
              </a:graphicData>
            </a:graphic>
          </wp:anchor>
        </w:drawing>
        <w:t>any provisions relating to the redemption of the shares of such series;</w:t>
      </w:r>
    </w:p>
    <w:p>
      <w:pPr>
        <w:spacing w:after="0" w:line="98" w:lineRule="exact"/>
        <w:rPr>
          <w:rFonts w:ascii="Arial" w:cs="Arial" w:eastAsia="Arial" w:hAnsi="Arial"/>
          <w:sz w:val="14"/>
          <w:szCs w:val="14"/>
          <w:color w:val="auto"/>
        </w:rPr>
      </w:pPr>
    </w:p>
    <w:p>
      <w:pPr>
        <w:ind w:left="1020" w:right="439" w:hanging="332"/>
        <w:spacing w:after="0" w:line="268" w:lineRule="auto"/>
        <w:tabs>
          <w:tab w:leader="none" w:pos="10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any limitations on our ability to pay dividends or make distributions on, or acquire or redeem, other securities while shares of such series are outstanding;</w:t>
      </w:r>
    </w:p>
    <w:p>
      <w:pPr>
        <w:spacing w:after="0" w:line="65" w:lineRule="exact"/>
        <w:rPr>
          <w:rFonts w:ascii="Arial" w:cs="Arial" w:eastAsia="Arial" w:hAnsi="Arial"/>
          <w:sz w:val="14"/>
          <w:szCs w:val="14"/>
          <w:color w:val="auto"/>
        </w:rPr>
      </w:pPr>
    </w:p>
    <w:p>
      <w:pPr>
        <w:ind w:left="1020" w:hanging="332"/>
        <w:spacing w:after="0"/>
        <w:tabs>
          <w:tab w:leader="none" w:pos="10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any conditions or restrictions on our ability to issue additional shares of such series or other securities;</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if applicable, a discussion of certain U.S. federal income tax considerations; and</w:t>
      </w:r>
    </w:p>
    <w:p>
      <w:pPr>
        <w:spacing w:after="0" w:line="98" w:lineRule="exact"/>
        <w:rPr>
          <w:rFonts w:ascii="Arial" w:cs="Arial" w:eastAsia="Arial" w:hAnsi="Arial"/>
          <w:sz w:val="14"/>
          <w:szCs w:val="14"/>
          <w:color w:val="auto"/>
        </w:rPr>
      </w:pPr>
    </w:p>
    <w:p>
      <w:pPr>
        <w:ind w:left="1020" w:right="319" w:hanging="332"/>
        <w:spacing w:after="0" w:line="268" w:lineRule="auto"/>
        <w:tabs>
          <w:tab w:leader="none" w:pos="10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any other relative power, preferences and participating, optional or special rights of shares of such series, and the qualifications, limitations or restrictions thereof.</w:t>
      </w:r>
    </w:p>
    <w:p>
      <w:pPr>
        <w:spacing w:after="0" w:line="138" w:lineRule="exact"/>
        <w:rPr>
          <w:sz w:val="20"/>
          <w:szCs w:val="20"/>
          <w:color w:val="auto"/>
        </w:rPr>
      </w:pPr>
    </w:p>
    <w:p>
      <w:pPr>
        <w:ind w:left="280" w:right="359" w:firstLine="338"/>
        <w:spacing w:after="0" w:line="251" w:lineRule="auto"/>
        <w:rPr>
          <w:sz w:val="20"/>
          <w:szCs w:val="20"/>
          <w:color w:val="auto"/>
        </w:rPr>
      </w:pPr>
      <w:r>
        <w:rPr>
          <w:rFonts w:ascii="Arial" w:cs="Arial" w:eastAsia="Arial" w:hAnsi="Arial"/>
          <w:sz w:val="14"/>
          <w:szCs w:val="14"/>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OUR WARRANTS</w:t>
      </w:r>
    </w:p>
    <w:p>
      <w:pPr>
        <w:spacing w:after="0" w:line="175" w:lineRule="exact"/>
        <w:rPr>
          <w:sz w:val="20"/>
          <w:szCs w:val="20"/>
          <w:color w:val="auto"/>
        </w:rPr>
      </w:pPr>
    </w:p>
    <w:p>
      <w:pPr>
        <w:ind w:left="280" w:right="379" w:firstLine="338"/>
        <w:spacing w:after="0" w:line="268" w:lineRule="auto"/>
        <w:rPr>
          <w:sz w:val="20"/>
          <w:szCs w:val="20"/>
          <w:color w:val="auto"/>
        </w:rPr>
      </w:pPr>
      <w:r>
        <w:rPr>
          <w:rFonts w:ascii="Arial" w:cs="Arial" w:eastAsia="Arial" w:hAnsi="Arial"/>
          <w:sz w:val="14"/>
          <w:szCs w:val="14"/>
          <w:color w:val="auto"/>
        </w:rPr>
        <w:t>The following is a general description of the terms of the warrants we may issue from time to time. Particular terms of any warrants we offer will be described in the prospectus supplement relating to such warrants.</w:t>
      </w:r>
    </w:p>
    <w:p>
      <w:pPr>
        <w:spacing w:after="0" w:line="138" w:lineRule="exact"/>
        <w:rPr>
          <w:sz w:val="20"/>
          <w:szCs w:val="20"/>
          <w:color w:val="auto"/>
        </w:rPr>
      </w:pPr>
    </w:p>
    <w:p>
      <w:pPr>
        <w:ind w:left="280" w:right="359" w:firstLine="338"/>
        <w:spacing w:after="0" w:line="310" w:lineRule="auto"/>
        <w:rPr>
          <w:sz w:val="20"/>
          <w:szCs w:val="20"/>
          <w:color w:val="auto"/>
        </w:rPr>
      </w:pPr>
      <w:r>
        <w:rPr>
          <w:rFonts w:ascii="Arial" w:cs="Arial" w:eastAsia="Arial" w:hAnsi="Arial"/>
          <w:sz w:val="12"/>
          <w:szCs w:val="12"/>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4"/>
          <w:szCs w:val="14"/>
          <w:color w:val="auto"/>
        </w:rPr>
        <w:t>A prospectus supplement will describe the particular terms of any series of warrants we may issue, including the following:</w:t>
      </w:r>
    </w:p>
    <w:p>
      <w:pPr>
        <w:spacing w:after="0" w:line="98" w:lineRule="exact"/>
        <w:rPr>
          <w:sz w:val="20"/>
          <w:szCs w:val="20"/>
          <w:color w:val="auto"/>
        </w:rPr>
      </w:pPr>
    </w:p>
    <w:p>
      <w:pPr>
        <w:ind w:left="1020" w:hanging="332"/>
        <w:spacing w:after="0"/>
        <w:tabs>
          <w:tab w:leader="none" w:pos="10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title of such warrants;</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aggregate number of such warrants;</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price or prices at which such warrants will be issued;</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currency or currencies, including composite currencies, in which the price of such warrants may be payable;</w:t>
      </w:r>
    </w:p>
    <w:p>
      <w:pPr>
        <w:spacing w:after="0" w:line="98" w:lineRule="exact"/>
        <w:rPr>
          <w:rFonts w:ascii="Arial" w:cs="Arial" w:eastAsia="Arial" w:hAnsi="Arial"/>
          <w:sz w:val="14"/>
          <w:szCs w:val="14"/>
          <w:color w:val="auto"/>
        </w:rPr>
      </w:pPr>
    </w:p>
    <w:p>
      <w:pPr>
        <w:ind w:left="1020" w:right="459" w:hanging="332"/>
        <w:spacing w:after="0" w:line="268" w:lineRule="auto"/>
        <w:tabs>
          <w:tab w:leader="none" w:pos="10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if applicable, the designation and terms of the securities with which the warrants are issued and the number of warrants issued with each such security or each principal amount of such security;</w:t>
      </w:r>
    </w:p>
    <w:p>
      <w:pPr>
        <w:spacing w:after="0" w:line="65" w:lineRule="exact"/>
        <w:rPr>
          <w:rFonts w:ascii="Arial" w:cs="Arial" w:eastAsia="Arial" w:hAnsi="Arial"/>
          <w:sz w:val="14"/>
          <w:szCs w:val="14"/>
          <w:color w:val="auto"/>
        </w:rPr>
      </w:pPr>
    </w:p>
    <w:p>
      <w:pPr>
        <w:ind w:left="1020" w:right="299" w:hanging="332"/>
        <w:spacing w:after="0" w:line="257" w:lineRule="auto"/>
        <w:tabs>
          <w:tab w:leader="none" w:pos="10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73" w:lineRule="exact"/>
        <w:rPr>
          <w:rFonts w:ascii="Arial" w:cs="Arial" w:eastAsia="Arial" w:hAnsi="Arial"/>
          <w:sz w:val="14"/>
          <w:szCs w:val="14"/>
          <w:color w:val="auto"/>
        </w:rPr>
      </w:pPr>
    </w:p>
    <w:p>
      <w:pPr>
        <w:jc w:val="both"/>
        <w:ind w:left="1020" w:right="299" w:hanging="332"/>
        <w:spacing w:after="0" w:line="257" w:lineRule="auto"/>
        <w:tabs>
          <w:tab w:leader="none" w:pos="10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9019"/>
          </w:cols>
          <w:pgMar w:left="1440" w:top="264" w:right="1440" w:bottom="1440" w:gutter="0" w:footer="0" w:header="0"/>
        </w:sectPr>
      </w:pPr>
    </w:p>
    <w:bookmarkStart w:id="48" w:name="page49"/>
    <w:bookmarkEnd w:id="48"/>
    <w:p>
      <w:pPr>
        <w:ind w:left="1020" w:hanging="332"/>
        <w:spacing w:after="0"/>
        <w:tabs>
          <w:tab w:leader="none" w:pos="1020" w:val="left"/>
        </w:tabs>
        <w:numPr>
          <w:ilvl w:val="0"/>
          <w:numId w:val="3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2805" cy="45720"/>
                    </a:xfrm>
                    <a:prstGeom prst="rect">
                      <a:avLst/>
                    </a:prstGeom>
                    <a:noFill/>
                  </pic:spPr>
                </pic:pic>
              </a:graphicData>
            </a:graphic>
          </wp:anchor>
        </w:drawing>
        <w:t>the date on which the right to exercise such warrants will commence and the date on which such right will expire;</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whether such warrants will be issued in registered form or bearer form;</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if applicable, the minimum or maximum amount of such warrants which may be exercised at any one time;</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if applicable, the date on and after which such warrants and the related securities will be separately transferable;</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information with respect to book-entry procedures, if any;</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terms of the securities issuable upon exercise of the warrants;</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if applicable, a discussion of certain U.S. federal income tax considerations; and</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any other terms of such warrants, including terms, procedures and limitations relating to the exchange and exercise of such warrants.</w:t>
      </w:r>
    </w:p>
    <w:p>
      <w:pPr>
        <w:spacing w:after="0" w:line="182" w:lineRule="exact"/>
        <w:rPr>
          <w:sz w:val="20"/>
          <w:szCs w:val="20"/>
          <w:color w:val="auto"/>
        </w:rPr>
      </w:pPr>
    </w:p>
    <w:p>
      <w:pPr>
        <w:ind w:left="280" w:right="379" w:firstLine="338"/>
        <w:spacing w:after="0" w:line="257" w:lineRule="auto"/>
        <w:rPr>
          <w:sz w:val="20"/>
          <w:szCs w:val="20"/>
          <w:color w:val="auto"/>
        </w:rPr>
      </w:pPr>
      <w:r>
        <w:rPr>
          <w:rFonts w:ascii="Arial" w:cs="Arial" w:eastAsia="Arial" w:hAnsi="Arial"/>
          <w:sz w:val="14"/>
          <w:szCs w:val="14"/>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46" w:lineRule="exact"/>
        <w:rPr>
          <w:sz w:val="20"/>
          <w:szCs w:val="20"/>
          <w:color w:val="auto"/>
        </w:rPr>
      </w:pPr>
    </w:p>
    <w:p>
      <w:pPr>
        <w:jc w:val="both"/>
        <w:ind w:left="280" w:right="399" w:firstLine="338"/>
        <w:spacing w:after="0" w:line="310" w:lineRule="auto"/>
        <w:rPr>
          <w:sz w:val="20"/>
          <w:szCs w:val="20"/>
          <w:color w:val="auto"/>
        </w:rPr>
      </w:pPr>
      <w:r>
        <w:rPr>
          <w:rFonts w:ascii="Arial" w:cs="Arial" w:eastAsia="Arial" w:hAnsi="Arial"/>
          <w:sz w:val="12"/>
          <w:szCs w:val="12"/>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7" w:lineRule="exact"/>
        <w:rPr>
          <w:sz w:val="20"/>
          <w:szCs w:val="20"/>
          <w:color w:val="auto"/>
        </w:rPr>
      </w:pPr>
    </w:p>
    <w:p>
      <w:pPr>
        <w:ind w:left="280" w:right="299" w:firstLine="338"/>
        <w:spacing w:after="0" w:line="250" w:lineRule="auto"/>
        <w:rPr>
          <w:sz w:val="20"/>
          <w:szCs w:val="20"/>
          <w:color w:val="auto"/>
        </w:rPr>
      </w:pPr>
      <w:r>
        <w:rPr>
          <w:rFonts w:ascii="Arial" w:cs="Arial" w:eastAsia="Arial" w:hAnsi="Arial"/>
          <w:sz w:val="14"/>
          <w:szCs w:val="14"/>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OUR SUBSCRIPTION RIGHTS</w:t>
      </w:r>
    </w:p>
    <w:p>
      <w:pPr>
        <w:spacing w:after="0" w:line="175" w:lineRule="exact"/>
        <w:rPr>
          <w:sz w:val="20"/>
          <w:szCs w:val="20"/>
          <w:color w:val="auto"/>
        </w:rPr>
      </w:pPr>
    </w:p>
    <w:p>
      <w:pPr>
        <w:ind w:left="280" w:right="359" w:firstLine="338"/>
        <w:spacing w:after="0" w:line="273" w:lineRule="auto"/>
        <w:rPr>
          <w:sz w:val="20"/>
          <w:szCs w:val="20"/>
          <w:color w:val="auto"/>
        </w:rPr>
      </w:pPr>
      <w:r>
        <w:rPr>
          <w:rFonts w:ascii="Arial" w:cs="Arial" w:eastAsia="Arial" w:hAnsi="Arial"/>
          <w:sz w:val="13"/>
          <w:szCs w:val="13"/>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9019"/>
          </w:cols>
          <w:pgMar w:left="1440" w:top="264" w:right="1440" w:bottom="1440" w:gutter="0" w:footer="0" w:header="0"/>
        </w:sectPr>
      </w:pPr>
    </w:p>
    <w:bookmarkStart w:id="49" w:name="page50"/>
    <w:bookmarkEnd w:id="49"/>
    <w:p>
      <w:pPr>
        <w:ind w:left="280" w:right="419"/>
        <w:spacing w:after="0" w:line="25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2805" cy="45720"/>
                    </a:xfrm>
                    <a:prstGeom prst="rect">
                      <a:avLst/>
                    </a:prstGeom>
                    <a:noFill/>
                  </pic:spPr>
                </pic:pic>
              </a:graphicData>
            </a:graphic>
          </wp:anchor>
        </w:drawing>
        <w:t>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46" w:lineRule="exact"/>
        <w:rPr>
          <w:sz w:val="20"/>
          <w:szCs w:val="20"/>
          <w:color w:val="auto"/>
        </w:rPr>
      </w:pPr>
    </w:p>
    <w:p>
      <w:pPr>
        <w:ind w:left="280" w:right="679" w:firstLine="338"/>
        <w:spacing w:after="0" w:line="268" w:lineRule="auto"/>
        <w:rPr>
          <w:sz w:val="20"/>
          <w:szCs w:val="20"/>
          <w:color w:val="auto"/>
        </w:rPr>
      </w:pPr>
      <w:r>
        <w:rPr>
          <w:rFonts w:ascii="Arial" w:cs="Arial" w:eastAsia="Arial" w:hAnsi="Arial"/>
          <w:sz w:val="14"/>
          <w:szCs w:val="14"/>
          <w:color w:val="auto"/>
        </w:rPr>
        <w:t>The applicable prospectus supplement would describe the following terms of subscription rights in respect of which this prospectus is being delivered:</w:t>
      </w:r>
    </w:p>
    <w:p>
      <w:pPr>
        <w:spacing w:after="0" w:line="66" w:lineRule="exact"/>
        <w:rPr>
          <w:sz w:val="20"/>
          <w:szCs w:val="20"/>
          <w:color w:val="auto"/>
        </w:rPr>
      </w:pPr>
    </w:p>
    <w:p>
      <w:pPr>
        <w:ind w:left="1020" w:hanging="332"/>
        <w:spacing w:after="0"/>
        <w:tabs>
          <w:tab w:leader="none" w:pos="10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title of such subscription rights;</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exercise price or a formula for the determination of the exercise price for such subscription rights;</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number or a formula for the determination of the number of such subscription rights issued to each stockholder;</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extent to which such subscription rights are transferable;</w:t>
      </w:r>
    </w:p>
    <w:p>
      <w:pPr>
        <w:spacing w:after="0" w:line="98" w:lineRule="exact"/>
        <w:rPr>
          <w:rFonts w:ascii="Arial" w:cs="Arial" w:eastAsia="Arial" w:hAnsi="Arial"/>
          <w:sz w:val="14"/>
          <w:szCs w:val="14"/>
          <w:color w:val="auto"/>
        </w:rPr>
      </w:pPr>
    </w:p>
    <w:p>
      <w:pPr>
        <w:ind w:left="1020" w:right="319" w:hanging="332"/>
        <w:spacing w:after="0" w:line="268" w:lineRule="auto"/>
        <w:tabs>
          <w:tab w:leader="none" w:pos="10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if applicable, a discussion of the material U.S. federal income tax considerations applicable to the issuance or exercise of such subscription rights;</w:t>
      </w:r>
    </w:p>
    <w:p>
      <w:pPr>
        <w:spacing w:after="0" w:line="65" w:lineRule="exact"/>
        <w:rPr>
          <w:rFonts w:ascii="Arial" w:cs="Arial" w:eastAsia="Arial" w:hAnsi="Arial"/>
          <w:sz w:val="14"/>
          <w:szCs w:val="14"/>
          <w:color w:val="auto"/>
        </w:rPr>
      </w:pPr>
    </w:p>
    <w:p>
      <w:pPr>
        <w:ind w:left="1020" w:right="359" w:hanging="332"/>
        <w:spacing w:after="0" w:line="268" w:lineRule="auto"/>
        <w:tabs>
          <w:tab w:leader="none" w:pos="10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date on which the right to exercise such subscription rights would commence, and the date on which such rights will expire (subject to any extension);</w:t>
      </w:r>
    </w:p>
    <w:p>
      <w:pPr>
        <w:spacing w:after="0" w:line="65" w:lineRule="exact"/>
        <w:rPr>
          <w:rFonts w:ascii="Arial" w:cs="Arial" w:eastAsia="Arial" w:hAnsi="Arial"/>
          <w:sz w:val="14"/>
          <w:szCs w:val="14"/>
          <w:color w:val="auto"/>
        </w:rPr>
      </w:pPr>
    </w:p>
    <w:p>
      <w:pPr>
        <w:ind w:left="1020" w:hanging="332"/>
        <w:spacing w:after="0"/>
        <w:tabs>
          <w:tab w:leader="none" w:pos="10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extent to which such subscription rights include an over-subscription privilege with respect to unsubscribed securities;</w:t>
      </w:r>
    </w:p>
    <w:p>
      <w:pPr>
        <w:spacing w:after="0" w:line="98" w:lineRule="exact"/>
        <w:rPr>
          <w:rFonts w:ascii="Arial" w:cs="Arial" w:eastAsia="Arial" w:hAnsi="Arial"/>
          <w:sz w:val="14"/>
          <w:szCs w:val="14"/>
          <w:color w:val="auto"/>
        </w:rPr>
      </w:pPr>
    </w:p>
    <w:p>
      <w:pPr>
        <w:ind w:left="1020" w:right="399" w:hanging="332"/>
        <w:spacing w:after="0" w:line="268" w:lineRule="auto"/>
        <w:tabs>
          <w:tab w:leader="none" w:pos="10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if applicable, the material terms of any standby underwriting or other purchase arrangement that we may enter into in connection with the subscription rights offering; and</w:t>
      </w:r>
    </w:p>
    <w:p>
      <w:pPr>
        <w:spacing w:after="0" w:line="65" w:lineRule="exact"/>
        <w:rPr>
          <w:rFonts w:ascii="Arial" w:cs="Arial" w:eastAsia="Arial" w:hAnsi="Arial"/>
          <w:sz w:val="14"/>
          <w:szCs w:val="14"/>
          <w:color w:val="auto"/>
        </w:rPr>
      </w:pPr>
    </w:p>
    <w:p>
      <w:pPr>
        <w:ind w:left="1020" w:right="659" w:hanging="332"/>
        <w:spacing w:after="0" w:line="268" w:lineRule="auto"/>
        <w:tabs>
          <w:tab w:leader="none" w:pos="10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any other terms of such subscription rights, including terms, procedures and limitations relating to the exchange and exercise of such subscription rights.</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Exercise of Subscription Rights</w:t>
      </w:r>
    </w:p>
    <w:p>
      <w:pPr>
        <w:spacing w:after="0" w:line="175" w:lineRule="exact"/>
        <w:rPr>
          <w:sz w:val="20"/>
          <w:szCs w:val="20"/>
          <w:color w:val="auto"/>
        </w:rPr>
      </w:pPr>
    </w:p>
    <w:p>
      <w:pPr>
        <w:ind w:left="280" w:right="399" w:firstLine="338"/>
        <w:spacing w:after="0" w:line="252" w:lineRule="auto"/>
        <w:rPr>
          <w:sz w:val="20"/>
          <w:szCs w:val="20"/>
          <w:color w:val="auto"/>
        </w:rPr>
      </w:pPr>
      <w:r>
        <w:rPr>
          <w:rFonts w:ascii="Arial" w:cs="Arial" w:eastAsia="Arial" w:hAnsi="Arial"/>
          <w:sz w:val="14"/>
          <w:szCs w:val="14"/>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50" w:lineRule="exact"/>
        <w:rPr>
          <w:sz w:val="20"/>
          <w:szCs w:val="20"/>
          <w:color w:val="auto"/>
        </w:rPr>
      </w:pPr>
    </w:p>
    <w:p>
      <w:pPr>
        <w:ind w:left="280" w:right="319" w:firstLine="338"/>
        <w:spacing w:after="0" w:line="251" w:lineRule="auto"/>
        <w:rPr>
          <w:sz w:val="20"/>
          <w:szCs w:val="20"/>
          <w:color w:val="auto"/>
        </w:rPr>
      </w:pPr>
      <w:r>
        <w:rPr>
          <w:rFonts w:ascii="Arial" w:cs="Arial" w:eastAsia="Arial" w:hAnsi="Arial"/>
          <w:sz w:val="14"/>
          <w:szCs w:val="14"/>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9019"/>
          </w:cols>
          <w:pgMar w:left="1440" w:top="264" w:right="1440"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2805" cy="45720"/>
                    </a:xfrm>
                    <a:prstGeom prst="rect">
                      <a:avLst/>
                    </a:prstGeom>
                    <a:noFill/>
                  </pic:spPr>
                </pic:pic>
              </a:graphicData>
            </a:graphic>
          </wp:anchor>
        </w:drawing>
        <w:t>DESCRIPTION OF OUR DEBT SECURITIES</w:t>
      </w:r>
    </w:p>
    <w:p>
      <w:pPr>
        <w:spacing w:after="0" w:line="175" w:lineRule="exact"/>
        <w:rPr>
          <w:sz w:val="20"/>
          <w:szCs w:val="20"/>
          <w:color w:val="auto"/>
        </w:rPr>
      </w:pPr>
    </w:p>
    <w:p>
      <w:pPr>
        <w:ind w:left="280" w:right="359" w:firstLine="338"/>
        <w:spacing w:after="0" w:line="268" w:lineRule="auto"/>
        <w:rPr>
          <w:sz w:val="20"/>
          <w:szCs w:val="20"/>
          <w:color w:val="auto"/>
        </w:rPr>
      </w:pPr>
      <w:r>
        <w:rPr>
          <w:rFonts w:ascii="Arial" w:cs="Arial" w:eastAsia="Arial" w:hAnsi="Arial"/>
          <w:sz w:val="14"/>
          <w:szCs w:val="14"/>
          <w:color w:val="auto"/>
        </w:rPr>
        <w:t>In November 2017, we issued $138.6 million in aggregate principal amount of our 2023 Notes. The 2023 Notes were issued pursuant to a deed of trust between the Company and Mishmeret Trust Company, Ltd. as trustee.</w:t>
      </w:r>
    </w:p>
    <w:p>
      <w:pPr>
        <w:spacing w:after="0" w:line="138" w:lineRule="exact"/>
        <w:rPr>
          <w:sz w:val="20"/>
          <w:szCs w:val="20"/>
          <w:color w:val="auto"/>
        </w:rPr>
      </w:pPr>
    </w:p>
    <w:p>
      <w:pPr>
        <w:ind w:left="280" w:right="299" w:firstLine="338"/>
        <w:spacing w:after="0" w:line="254" w:lineRule="auto"/>
        <w:rPr>
          <w:sz w:val="20"/>
          <w:szCs w:val="20"/>
          <w:color w:val="auto"/>
        </w:rPr>
      </w:pPr>
      <w:r>
        <w:rPr>
          <w:rFonts w:ascii="Arial" w:cs="Arial" w:eastAsia="Arial" w:hAnsi="Arial"/>
          <w:sz w:val="14"/>
          <w:szCs w:val="14"/>
          <w:color w:val="auto"/>
        </w:rPr>
        <w:t>The 2023 Notes pay interest at a rate of 4.3%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48" w:lineRule="exact"/>
        <w:rPr>
          <w:sz w:val="20"/>
          <w:szCs w:val="20"/>
          <w:color w:val="auto"/>
        </w:rPr>
      </w:pPr>
    </w:p>
    <w:p>
      <w:pPr>
        <w:ind w:left="280" w:right="319" w:firstLine="338"/>
        <w:spacing w:after="0" w:line="254" w:lineRule="auto"/>
        <w:rPr>
          <w:sz w:val="20"/>
          <w:szCs w:val="20"/>
          <w:color w:val="auto"/>
        </w:rPr>
      </w:pPr>
      <w:r>
        <w:rPr>
          <w:rFonts w:ascii="Arial" w:cs="Arial" w:eastAsia="Arial" w:hAnsi="Arial"/>
          <w:sz w:val="14"/>
          <w:szCs w:val="14"/>
          <w:color w:val="auto"/>
        </w:rPr>
        <w:t>The 2023 Notes are general, unsecured obligations, rank equal in right of payment with all of PennantPark Floating Rate Capital Ltd.’s existing and future senior unsecured indebtedness and are generally redeemable at our option. The deed of trust governing the 2023 Notes includes certain customary covenants, including minimum equity requirements, and events of default. The 2023 Notes are rated ilA- by S&amp;P Global Ratings Maalot Ltd. and are listed for trading on the TASE.</w:t>
      </w:r>
    </w:p>
    <w:p>
      <w:pPr>
        <w:spacing w:after="0" w:line="148" w:lineRule="exact"/>
        <w:rPr>
          <w:sz w:val="20"/>
          <w:szCs w:val="20"/>
          <w:color w:val="auto"/>
        </w:rPr>
      </w:pPr>
    </w:p>
    <w:p>
      <w:pPr>
        <w:ind w:left="280" w:right="679" w:firstLine="338"/>
        <w:spacing w:after="0" w:line="307" w:lineRule="auto"/>
        <w:rPr>
          <w:sz w:val="20"/>
          <w:szCs w:val="20"/>
          <w:color w:val="auto"/>
        </w:rPr>
      </w:pPr>
      <w:r>
        <w:rPr>
          <w:rFonts w:ascii="Arial" w:cs="Arial" w:eastAsia="Arial" w:hAnsi="Arial"/>
          <w:sz w:val="13"/>
          <w:szCs w:val="13"/>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15" w:lineRule="exact"/>
        <w:rPr>
          <w:sz w:val="20"/>
          <w:szCs w:val="20"/>
          <w:color w:val="auto"/>
        </w:rPr>
      </w:pPr>
    </w:p>
    <w:p>
      <w:pPr>
        <w:ind w:left="280" w:right="299" w:firstLine="338"/>
        <w:spacing w:after="0" w:line="252" w:lineRule="auto"/>
        <w:rPr>
          <w:sz w:val="20"/>
          <w:szCs w:val="20"/>
          <w:color w:val="auto"/>
        </w:rPr>
      </w:pPr>
      <w:r>
        <w:rPr>
          <w:rFonts w:ascii="Arial" w:cs="Arial" w:eastAsia="Arial" w:hAnsi="Arial"/>
          <w:sz w:val="14"/>
          <w:szCs w:val="14"/>
          <w:color w:val="auto"/>
        </w:rPr>
        <w:t>In March 2021, and in October 2021, we issued $100.0 million and $85.0 million, respectively, in aggregate principal amount of our 2026 Notes at a public offering price per note of 99.4% and 101.5%, respectively. The 2026 Notes were issued pursuant to the Base Indenture, dated March 23, 2021 (the “Base Indenture”), between the Company and American Stock Transfer &amp; Trust Company, LLC, or AST, as trustee, as supplemented by the First Supplemental Indenture, dated March 23, 2021, between the Company and AST. The 2026 Notes are due on April 1, 2026 and may be redeemed in whole or in part at the Company’s option.</w:t>
      </w:r>
    </w:p>
    <w:p>
      <w:pPr>
        <w:spacing w:after="0" w:line="150" w:lineRule="exact"/>
        <w:rPr>
          <w:sz w:val="20"/>
          <w:szCs w:val="20"/>
          <w:color w:val="auto"/>
        </w:rPr>
      </w:pPr>
    </w:p>
    <w:p>
      <w:pPr>
        <w:ind w:left="280" w:right="379" w:firstLine="338"/>
        <w:spacing w:after="0" w:line="299" w:lineRule="auto"/>
        <w:rPr>
          <w:sz w:val="20"/>
          <w:szCs w:val="20"/>
          <w:color w:val="auto"/>
        </w:rPr>
      </w:pPr>
      <w:r>
        <w:rPr>
          <w:rFonts w:ascii="Arial" w:cs="Arial" w:eastAsia="Arial" w:hAnsi="Arial"/>
          <w:sz w:val="12"/>
          <w:szCs w:val="12"/>
          <w:color w:val="auto"/>
        </w:rPr>
        <w:t>The 2026 Notes bear interest at a rate of 4.25% per year payable semi-annually on April 1 and October 1 of each year. The 2026 Notes are the Company’s direct unsecured obligations and rank pari passu in right of payment with the Company’s current and future unsecured unsubordinated indebtedness, senior to any of the Company’s future indebtedness that expressly states it is subordinated in right of payment to the 2026 Notes, effectively subordinated in right of payment to all of the Company’s existing and future secured indebtedness (including indebtedness that is initially unsecured, but to which the Company subsequently grant security) to the extent of the value of the assets securing such indebtedness, and structurally subordinated to all existing and future indebtedness and other obligations of any of the Company’s subsidiaries, financing vehicles, or similar facilities. We do not intend to list the 2026 Notes on any securities exchange or automated dealer quotation system.</w:t>
      </w:r>
    </w:p>
    <w:p>
      <w:pPr>
        <w:spacing w:after="0" w:line="124" w:lineRule="exact"/>
        <w:rPr>
          <w:sz w:val="20"/>
          <w:szCs w:val="20"/>
          <w:color w:val="auto"/>
        </w:rPr>
      </w:pPr>
    </w:p>
    <w:p>
      <w:pPr>
        <w:ind w:left="280" w:right="479" w:firstLine="338"/>
        <w:spacing w:after="0" w:line="254" w:lineRule="auto"/>
        <w:rPr>
          <w:sz w:val="20"/>
          <w:szCs w:val="20"/>
          <w:color w:val="auto"/>
        </w:rPr>
      </w:pPr>
      <w:r>
        <w:rPr>
          <w:rFonts w:ascii="Arial" w:cs="Arial" w:eastAsia="Arial" w:hAnsi="Arial"/>
          <w:sz w:val="14"/>
          <w:szCs w:val="14"/>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8" w:lineRule="exact"/>
        <w:rPr>
          <w:sz w:val="20"/>
          <w:szCs w:val="20"/>
          <w:color w:val="auto"/>
        </w:rPr>
      </w:pPr>
    </w:p>
    <w:p>
      <w:pPr>
        <w:ind w:left="280" w:right="299" w:firstLine="338"/>
        <w:spacing w:after="0" w:line="304" w:lineRule="auto"/>
        <w:rPr>
          <w:sz w:val="20"/>
          <w:szCs w:val="20"/>
          <w:color w:val="auto"/>
        </w:rPr>
      </w:pPr>
      <w:r>
        <w:rPr>
          <w:rFonts w:ascii="Arial" w:cs="Arial" w:eastAsia="Arial" w:hAnsi="Arial"/>
          <w:sz w:val="12"/>
          <w:szCs w:val="12"/>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For more information. Second, the trustee performs certain administrative duties for us, such as sending interest and principal payments to holders.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9019"/>
          </w:cols>
          <w:pgMar w:left="1440" w:top="260" w:right="1440" w:bottom="1440" w:gutter="0" w:footer="0" w:header="0"/>
        </w:sectPr>
      </w:pPr>
    </w:p>
    <w:bookmarkStart w:id="51" w:name="page52"/>
    <w:bookmarkEnd w:id="51"/>
    <w:p>
      <w:pPr>
        <w:ind w:left="280" w:right="299" w:firstLine="338"/>
        <w:spacing w:after="0" w:line="25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2805" cy="45720"/>
                    </a:xfrm>
                    <a:prstGeom prst="rect">
                      <a:avLst/>
                    </a:prstGeom>
                    <a:noFill/>
                  </pic:spPr>
                </pic:pic>
              </a:graphicData>
            </a:graphic>
          </wp:anchor>
        </w:drawing>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See “Available Information” for information on how to obtain a copy of the indenture.</w:t>
      </w:r>
    </w:p>
    <w:p>
      <w:pPr>
        <w:spacing w:after="0" w:line="150" w:lineRule="exact"/>
        <w:rPr>
          <w:sz w:val="20"/>
          <w:szCs w:val="20"/>
          <w:color w:val="auto"/>
        </w:rPr>
      </w:pPr>
    </w:p>
    <w:p>
      <w:pPr>
        <w:ind w:left="280" w:right="319" w:firstLine="338"/>
        <w:spacing w:after="0" w:line="268" w:lineRule="auto"/>
        <w:rPr>
          <w:sz w:val="20"/>
          <w:szCs w:val="20"/>
          <w:color w:val="auto"/>
        </w:rPr>
      </w:pPr>
      <w:r>
        <w:rPr>
          <w:rFonts w:ascii="Arial" w:cs="Arial" w:eastAsia="Arial" w:hAnsi="Arial"/>
          <w:sz w:val="14"/>
          <w:szCs w:val="14"/>
          <w:color w:val="auto"/>
        </w:rPr>
        <w:t>A prospectus supplement, which will accompany this prospectus with respect to a particular offering of debt securities, will describe the particular series of debt securities being offered by including:</w:t>
      </w:r>
    </w:p>
    <w:p>
      <w:pPr>
        <w:spacing w:after="0" w:line="66" w:lineRule="exact"/>
        <w:rPr>
          <w:sz w:val="20"/>
          <w:szCs w:val="20"/>
          <w:color w:val="auto"/>
        </w:rPr>
      </w:pPr>
    </w:p>
    <w:p>
      <w:pPr>
        <w:ind w:left="1020" w:hanging="332"/>
        <w:spacing w:after="0"/>
        <w:tabs>
          <w:tab w:leader="none" w:pos="10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designation or title of the series of debt securities;</w:t>
      </w:r>
    </w:p>
    <w:p>
      <w:pPr>
        <w:spacing w:after="0" w:line="98" w:lineRule="exact"/>
        <w:rPr>
          <w:rFonts w:ascii="Arial" w:cs="Arial" w:eastAsia="Arial" w:hAnsi="Arial"/>
          <w:sz w:val="14"/>
          <w:szCs w:val="14"/>
          <w:color w:val="auto"/>
        </w:rPr>
      </w:pPr>
    </w:p>
    <w:p>
      <w:pPr>
        <w:ind w:left="1020" w:right="439" w:hanging="332"/>
        <w:spacing w:after="0" w:line="268" w:lineRule="auto"/>
        <w:tabs>
          <w:tab w:leader="none" w:pos="10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total principal amount of the series of debt securities and whether or not the offering may be reopened for additional securities of that series and on what terms;</w:t>
      </w:r>
    </w:p>
    <w:p>
      <w:pPr>
        <w:spacing w:after="0" w:line="65" w:lineRule="exact"/>
        <w:rPr>
          <w:rFonts w:ascii="Arial" w:cs="Arial" w:eastAsia="Arial" w:hAnsi="Arial"/>
          <w:sz w:val="14"/>
          <w:szCs w:val="14"/>
          <w:color w:val="auto"/>
        </w:rPr>
      </w:pPr>
    </w:p>
    <w:p>
      <w:pPr>
        <w:ind w:left="1020" w:hanging="332"/>
        <w:spacing w:after="0"/>
        <w:tabs>
          <w:tab w:leader="none" w:pos="10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percentage of the principal amount at which the series of debt securities will be offered;</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date or dates on which principal will be payable;</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rate or rates (which may be either fixed or variable) and/or the method of determining such rate or rates of interest, if any;</w:t>
      </w:r>
    </w:p>
    <w:p>
      <w:pPr>
        <w:spacing w:after="0" w:line="109" w:lineRule="exact"/>
        <w:rPr>
          <w:rFonts w:ascii="Arial" w:cs="Arial" w:eastAsia="Arial" w:hAnsi="Arial"/>
          <w:sz w:val="13"/>
          <w:szCs w:val="13"/>
          <w:color w:val="auto"/>
        </w:rPr>
      </w:pPr>
    </w:p>
    <w:p>
      <w:pPr>
        <w:ind w:left="1020" w:right="399" w:hanging="332"/>
        <w:spacing w:after="0" w:line="268" w:lineRule="auto"/>
        <w:tabs>
          <w:tab w:leader="none" w:pos="10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date or dates from which any interest will accrue, or the method of determining such date or dates, and the date or dates on which any interest will be payable;</w:t>
      </w:r>
    </w:p>
    <w:p>
      <w:pPr>
        <w:spacing w:after="0" w:line="65" w:lineRule="exact"/>
        <w:rPr>
          <w:rFonts w:ascii="Arial" w:cs="Arial" w:eastAsia="Arial" w:hAnsi="Arial"/>
          <w:sz w:val="14"/>
          <w:szCs w:val="14"/>
          <w:color w:val="auto"/>
        </w:rPr>
      </w:pPr>
    </w:p>
    <w:p>
      <w:pPr>
        <w:ind w:left="1020" w:hanging="332"/>
        <w:spacing w:after="0"/>
        <w:tabs>
          <w:tab w:leader="none" w:pos="10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terms for redemption, extension or early repayment, if any;</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currencies in which the series of debt securities are issued and payable;</w:t>
      </w:r>
    </w:p>
    <w:p>
      <w:pPr>
        <w:spacing w:after="0" w:line="98" w:lineRule="exact"/>
        <w:rPr>
          <w:rFonts w:ascii="Arial" w:cs="Arial" w:eastAsia="Arial" w:hAnsi="Arial"/>
          <w:sz w:val="14"/>
          <w:szCs w:val="14"/>
          <w:color w:val="auto"/>
        </w:rPr>
      </w:pPr>
    </w:p>
    <w:p>
      <w:pPr>
        <w:ind w:left="1020" w:right="299" w:hanging="332"/>
        <w:spacing w:after="0" w:line="257" w:lineRule="auto"/>
        <w:tabs>
          <w:tab w:leader="none" w:pos="10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73" w:lineRule="exact"/>
        <w:rPr>
          <w:rFonts w:ascii="Arial" w:cs="Arial" w:eastAsia="Arial" w:hAnsi="Arial"/>
          <w:sz w:val="14"/>
          <w:szCs w:val="14"/>
          <w:color w:val="auto"/>
        </w:rPr>
      </w:pPr>
    </w:p>
    <w:p>
      <w:pPr>
        <w:ind w:left="1020" w:right="359" w:hanging="332"/>
        <w:spacing w:after="0" w:line="268" w:lineRule="auto"/>
        <w:tabs>
          <w:tab w:leader="none" w:pos="10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place or places, if any, other than or in addition to The City of New York, of payment, transfer, conversion and/or exchange of the debt securities;</w:t>
      </w:r>
    </w:p>
    <w:p>
      <w:pPr>
        <w:spacing w:after="0" w:line="65" w:lineRule="exact"/>
        <w:rPr>
          <w:rFonts w:ascii="Arial" w:cs="Arial" w:eastAsia="Arial" w:hAnsi="Arial"/>
          <w:sz w:val="14"/>
          <w:szCs w:val="14"/>
          <w:color w:val="auto"/>
        </w:rPr>
      </w:pPr>
    </w:p>
    <w:p>
      <w:pPr>
        <w:ind w:left="1020" w:hanging="332"/>
        <w:spacing w:after="0"/>
        <w:tabs>
          <w:tab w:leader="none" w:pos="10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denominations in which the offered debt securities will be issued;</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provision for any sinking fund;</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any restrictive covenants;</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any Events of Default;</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whether the series of debt securities are issuable in certificated form;</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any provisions for defeasance or covenant defeasance;</w:t>
      </w:r>
    </w:p>
    <w:p>
      <w:pPr>
        <w:spacing w:after="0" w:line="98" w:lineRule="exact"/>
        <w:rPr>
          <w:rFonts w:ascii="Arial" w:cs="Arial" w:eastAsia="Arial" w:hAnsi="Arial"/>
          <w:sz w:val="14"/>
          <w:szCs w:val="14"/>
          <w:color w:val="auto"/>
        </w:rPr>
      </w:pPr>
    </w:p>
    <w:p>
      <w:pPr>
        <w:ind w:left="1020" w:right="419" w:hanging="332"/>
        <w:spacing w:after="0" w:line="268" w:lineRule="auto"/>
        <w:tabs>
          <w:tab w:leader="none" w:pos="10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any special federal income tax implications, including, if applicable, federal income tax considerations relating to original issue discount, or OID;</w:t>
      </w:r>
    </w:p>
    <w:p>
      <w:pPr>
        <w:spacing w:after="0" w:line="65" w:lineRule="exact"/>
        <w:rPr>
          <w:rFonts w:ascii="Arial" w:cs="Arial" w:eastAsia="Arial" w:hAnsi="Arial"/>
          <w:sz w:val="14"/>
          <w:szCs w:val="14"/>
          <w:color w:val="auto"/>
        </w:rPr>
      </w:pPr>
    </w:p>
    <w:p>
      <w:pPr>
        <w:ind w:left="1020" w:right="319" w:hanging="332"/>
        <w:spacing w:after="0" w:line="353" w:lineRule="auto"/>
        <w:tabs>
          <w:tab w:leader="none" w:pos="10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19" w:lineRule="exact"/>
        <w:rPr>
          <w:rFonts w:ascii="Arial" w:cs="Arial" w:eastAsia="Arial" w:hAnsi="Arial"/>
          <w:sz w:val="12"/>
          <w:szCs w:val="12"/>
          <w:color w:val="auto"/>
        </w:rPr>
      </w:pPr>
    </w:p>
    <w:p>
      <w:pPr>
        <w:ind w:left="1020" w:hanging="332"/>
        <w:spacing w:after="0"/>
        <w:tabs>
          <w:tab w:leader="none" w:pos="10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any provisions for convertibility or exchangeability of the debt securities into or for any other securities;</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whether the debt securities are subject to subordination and the terms of such subordination;</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listing, if any, on a securities exchange; and</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any other terms.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9019"/>
          </w:cols>
          <w:pgMar w:left="1440" w:top="264" w:right="1440" w:bottom="1440" w:gutter="0" w:footer="0" w:header="0"/>
        </w:sectPr>
      </w:pPr>
    </w:p>
    <w:bookmarkStart w:id="52" w:name="page53"/>
    <w:bookmarkEnd w:id="52"/>
    <w:p>
      <w:pPr>
        <w:ind w:left="280" w:right="319" w:firstLine="338"/>
        <w:spacing w:after="0" w:line="286"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2805" cy="45720"/>
                    </a:xfrm>
                    <a:prstGeom prst="rect">
                      <a:avLst/>
                    </a:prstGeom>
                    <a:noFill/>
                  </pic:spPr>
                </pic:pic>
              </a:graphicData>
            </a:graphic>
          </wp:anchor>
        </w:drawing>
        <w:t>The debt securities may be secured or unsecured obligations. Under the provisions of the 1940 Act, we are permitted, as a BDC, to issue debt only in amounts such that we are in compliance with our asset coverage ratio, as defined in the 1940 Act, after each issuance of debt. Unless the prospectus supplement states otherwise, principal (and premium, if any) and interest, if any, will be paid by us in immediately available funds.</w:t>
      </w:r>
    </w:p>
    <w:p>
      <w:pPr>
        <w:spacing w:after="0" w:line="208"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General</w:t>
      </w:r>
    </w:p>
    <w:p>
      <w:pPr>
        <w:spacing w:after="0" w:line="92" w:lineRule="exact"/>
        <w:rPr>
          <w:sz w:val="20"/>
          <w:szCs w:val="20"/>
          <w:color w:val="auto"/>
        </w:rPr>
      </w:pPr>
    </w:p>
    <w:p>
      <w:pPr>
        <w:ind w:left="280" w:right="399" w:firstLine="338"/>
        <w:spacing w:after="0" w:line="257" w:lineRule="auto"/>
        <w:rPr>
          <w:sz w:val="20"/>
          <w:szCs w:val="20"/>
          <w:color w:val="auto"/>
        </w:rPr>
      </w:pPr>
      <w:r>
        <w:rPr>
          <w:rFonts w:ascii="Arial" w:cs="Arial" w:eastAsia="Arial" w:hAnsi="Arial"/>
          <w:sz w:val="14"/>
          <w:szCs w:val="14"/>
          <w:color w:val="auto"/>
        </w:rPr>
        <w:t>The indenture provides that any debt securities proposed to be sold under this prospectus and any prospectus supplement, or offered debt securities, and any debt securities issuable upon the exercise of warrants or upon conversion or exchange of other offered securities, or underlying debt securities may be issued under the indenture in one or more series.</w:t>
      </w:r>
    </w:p>
    <w:p>
      <w:pPr>
        <w:spacing w:after="0" w:line="146" w:lineRule="exact"/>
        <w:rPr>
          <w:sz w:val="20"/>
          <w:szCs w:val="20"/>
          <w:color w:val="auto"/>
        </w:rPr>
      </w:pPr>
    </w:p>
    <w:p>
      <w:pPr>
        <w:ind w:left="280" w:right="739" w:firstLine="338"/>
        <w:spacing w:after="0" w:line="268" w:lineRule="auto"/>
        <w:rPr>
          <w:sz w:val="20"/>
          <w:szCs w:val="20"/>
          <w:color w:val="auto"/>
        </w:rPr>
      </w:pPr>
      <w:r>
        <w:rPr>
          <w:rFonts w:ascii="Arial" w:cs="Arial" w:eastAsia="Arial" w:hAnsi="Arial"/>
          <w:sz w:val="14"/>
          <w:szCs w:val="14"/>
          <w:color w:val="auto"/>
        </w:rPr>
        <w:t>For purposes of this prospectus, any reference to the payment of principal of, or premium or interest, if any, on, debt securities will include additional amounts if required by the terms of the debt securities.</w:t>
      </w:r>
    </w:p>
    <w:p>
      <w:pPr>
        <w:spacing w:after="0" w:line="138" w:lineRule="exact"/>
        <w:rPr>
          <w:sz w:val="20"/>
          <w:szCs w:val="20"/>
          <w:color w:val="auto"/>
        </w:rPr>
      </w:pPr>
    </w:p>
    <w:p>
      <w:pPr>
        <w:ind w:left="280" w:right="379" w:firstLine="338"/>
        <w:spacing w:after="0" w:line="272" w:lineRule="auto"/>
        <w:rPr>
          <w:sz w:val="20"/>
          <w:szCs w:val="20"/>
          <w:color w:val="auto"/>
        </w:rPr>
      </w:pPr>
      <w:r>
        <w:rPr>
          <w:rFonts w:ascii="Arial" w:cs="Arial" w:eastAsia="Arial" w:hAnsi="Arial"/>
          <w:sz w:val="13"/>
          <w:szCs w:val="13"/>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38" w:lineRule="exact"/>
        <w:rPr>
          <w:sz w:val="20"/>
          <w:szCs w:val="20"/>
          <w:color w:val="auto"/>
        </w:rPr>
      </w:pPr>
    </w:p>
    <w:p>
      <w:pPr>
        <w:ind w:left="280" w:right="359" w:firstLine="338"/>
        <w:spacing w:after="0" w:line="268" w:lineRule="auto"/>
        <w:rPr>
          <w:sz w:val="20"/>
          <w:szCs w:val="20"/>
          <w:color w:val="auto"/>
        </w:rPr>
      </w:pPr>
      <w:r>
        <w:rPr>
          <w:rFonts w:ascii="Arial" w:cs="Arial" w:eastAsia="Arial" w:hAnsi="Arial"/>
          <w:sz w:val="14"/>
          <w:szCs w:val="14"/>
          <w:color w:val="auto"/>
        </w:rPr>
        <w:t>The indenture does not contain any provisions that give you protection in the event we issue a large amount of debt or we are acquired by another entity.</w:t>
      </w:r>
    </w:p>
    <w:p>
      <w:pPr>
        <w:spacing w:after="0" w:line="138" w:lineRule="exact"/>
        <w:rPr>
          <w:sz w:val="20"/>
          <w:szCs w:val="20"/>
          <w:color w:val="auto"/>
        </w:rPr>
      </w:pPr>
    </w:p>
    <w:p>
      <w:pPr>
        <w:ind w:left="280" w:right="319" w:firstLine="338"/>
        <w:spacing w:after="0" w:line="307" w:lineRule="auto"/>
        <w:rPr>
          <w:sz w:val="20"/>
          <w:szCs w:val="20"/>
          <w:color w:val="auto"/>
        </w:rPr>
      </w:pPr>
      <w:r>
        <w:rPr>
          <w:rFonts w:ascii="Arial" w:cs="Arial" w:eastAsia="Arial" w:hAnsi="Arial"/>
          <w:sz w:val="13"/>
          <w:szCs w:val="13"/>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15" w:lineRule="exact"/>
        <w:rPr>
          <w:sz w:val="20"/>
          <w:szCs w:val="20"/>
          <w:color w:val="auto"/>
        </w:rPr>
      </w:pPr>
    </w:p>
    <w:p>
      <w:pPr>
        <w:ind w:left="280" w:right="359" w:firstLine="338"/>
        <w:spacing w:after="0" w:line="257" w:lineRule="auto"/>
        <w:rPr>
          <w:sz w:val="20"/>
          <w:szCs w:val="20"/>
          <w:color w:val="auto"/>
        </w:rPr>
      </w:pPr>
      <w:r>
        <w:rPr>
          <w:rFonts w:ascii="Arial" w:cs="Arial" w:eastAsia="Arial" w:hAnsi="Arial"/>
          <w:sz w:val="14"/>
          <w:szCs w:val="14"/>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46" w:lineRule="exact"/>
        <w:rPr>
          <w:sz w:val="20"/>
          <w:szCs w:val="20"/>
          <w:color w:val="auto"/>
        </w:rPr>
      </w:pPr>
    </w:p>
    <w:p>
      <w:pPr>
        <w:ind w:left="280" w:right="479" w:firstLine="338"/>
        <w:spacing w:after="0" w:line="276" w:lineRule="auto"/>
        <w:rPr>
          <w:sz w:val="20"/>
          <w:szCs w:val="20"/>
          <w:color w:val="auto"/>
        </w:rPr>
      </w:pPr>
      <w:r>
        <w:rPr>
          <w:rFonts w:ascii="Arial" w:cs="Arial" w:eastAsia="Arial" w:hAnsi="Arial"/>
          <w:sz w:val="13"/>
          <w:szCs w:val="13"/>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15"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Conversion and Exchange</w:t>
      </w:r>
    </w:p>
    <w:p>
      <w:pPr>
        <w:spacing w:after="0" w:line="92" w:lineRule="exact"/>
        <w:rPr>
          <w:sz w:val="20"/>
          <w:szCs w:val="20"/>
          <w:color w:val="auto"/>
        </w:rPr>
      </w:pPr>
    </w:p>
    <w:p>
      <w:pPr>
        <w:jc w:val="both"/>
        <w:ind w:left="280" w:right="319" w:firstLine="338"/>
        <w:spacing w:after="0" w:line="257" w:lineRule="auto"/>
        <w:rPr>
          <w:sz w:val="20"/>
          <w:szCs w:val="20"/>
          <w:color w:val="auto"/>
        </w:rPr>
      </w:pPr>
      <w:r>
        <w:rPr>
          <w:rFonts w:ascii="Arial" w:cs="Arial" w:eastAsia="Arial" w:hAnsi="Arial"/>
          <w:sz w:val="14"/>
          <w:szCs w:val="14"/>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9019"/>
          </w:cols>
          <w:pgMar w:left="1440" w:top="264" w:right="1440" w:bottom="1440" w:gutter="0" w:footer="0" w:header="0"/>
        </w:sectPr>
      </w:pPr>
    </w:p>
    <w:bookmarkStart w:id="53" w:name="page54"/>
    <w:bookmarkEnd w:id="53"/>
    <w:p>
      <w:pPr>
        <w:ind w:left="280" w:right="459"/>
        <w:spacing w:after="0" w:line="28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2805" cy="45720"/>
                    </a:xfrm>
                    <a:prstGeom prst="rect">
                      <a:avLst/>
                    </a:prstGeom>
                    <a:noFill/>
                  </pic:spPr>
                </pic:pic>
              </a:graphicData>
            </a:graphic>
          </wp:anchor>
        </w:drawing>
        <w:t>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Issuance of Securities in Registered Form</w:t>
      </w:r>
    </w:p>
    <w:p>
      <w:pPr>
        <w:spacing w:after="0" w:line="92" w:lineRule="exact"/>
        <w:rPr>
          <w:sz w:val="20"/>
          <w:szCs w:val="20"/>
          <w:color w:val="auto"/>
        </w:rPr>
      </w:pPr>
    </w:p>
    <w:p>
      <w:pPr>
        <w:ind w:left="280" w:right="419" w:firstLine="338"/>
        <w:spacing w:after="0" w:line="257" w:lineRule="auto"/>
        <w:rPr>
          <w:sz w:val="20"/>
          <w:szCs w:val="20"/>
          <w:color w:val="auto"/>
        </w:rPr>
      </w:pPr>
      <w:r>
        <w:rPr>
          <w:rFonts w:ascii="Arial" w:cs="Arial" w:eastAsia="Arial" w:hAnsi="Arial"/>
          <w:sz w:val="14"/>
          <w:szCs w:val="14"/>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46" w:lineRule="exact"/>
        <w:rPr>
          <w:sz w:val="20"/>
          <w:szCs w:val="20"/>
          <w:color w:val="auto"/>
        </w:rPr>
      </w:pPr>
    </w:p>
    <w:p>
      <w:pPr>
        <w:ind w:left="280" w:right="559" w:firstLine="338"/>
        <w:spacing w:after="0" w:line="304" w:lineRule="auto"/>
        <w:rPr>
          <w:sz w:val="20"/>
          <w:szCs w:val="20"/>
          <w:color w:val="auto"/>
        </w:rPr>
      </w:pPr>
      <w:r>
        <w:rPr>
          <w:rFonts w:ascii="Arial" w:cs="Arial" w:eastAsia="Arial" w:hAnsi="Arial"/>
          <w:sz w:val="12"/>
          <w:szCs w:val="12"/>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Book-Entry Holders</w:t>
      </w:r>
    </w:p>
    <w:p>
      <w:pPr>
        <w:spacing w:after="0" w:line="88" w:lineRule="exact"/>
        <w:rPr>
          <w:sz w:val="20"/>
          <w:szCs w:val="20"/>
          <w:color w:val="auto"/>
        </w:rPr>
      </w:pPr>
    </w:p>
    <w:p>
      <w:pPr>
        <w:ind w:left="280" w:right="339" w:firstLine="338"/>
        <w:spacing w:after="0" w:line="280" w:lineRule="auto"/>
        <w:rPr>
          <w:sz w:val="20"/>
          <w:szCs w:val="20"/>
          <w:color w:val="auto"/>
        </w:rPr>
      </w:pPr>
      <w:r>
        <w:rPr>
          <w:rFonts w:ascii="Arial" w:cs="Arial" w:eastAsia="Arial" w:hAnsi="Arial"/>
          <w:sz w:val="13"/>
          <w:szCs w:val="13"/>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32" w:lineRule="exact"/>
        <w:rPr>
          <w:sz w:val="20"/>
          <w:szCs w:val="20"/>
          <w:color w:val="auto"/>
        </w:rPr>
      </w:pPr>
    </w:p>
    <w:p>
      <w:pPr>
        <w:ind w:left="280" w:right="279" w:firstLine="338"/>
        <w:spacing w:after="0" w:line="276" w:lineRule="auto"/>
        <w:rPr>
          <w:sz w:val="20"/>
          <w:szCs w:val="20"/>
          <w:color w:val="auto"/>
        </w:rPr>
      </w:pPr>
      <w:r>
        <w:rPr>
          <w:rFonts w:ascii="Arial" w:cs="Arial" w:eastAsia="Arial" w:hAnsi="Arial"/>
          <w:sz w:val="13"/>
          <w:szCs w:val="13"/>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36" w:lineRule="exact"/>
        <w:rPr>
          <w:sz w:val="20"/>
          <w:szCs w:val="20"/>
          <w:color w:val="auto"/>
        </w:rPr>
      </w:pPr>
    </w:p>
    <w:p>
      <w:pPr>
        <w:jc w:val="both"/>
        <w:ind w:left="280" w:right="299" w:firstLine="338"/>
        <w:spacing w:after="0" w:line="286" w:lineRule="auto"/>
        <w:rPr>
          <w:sz w:val="20"/>
          <w:szCs w:val="20"/>
          <w:color w:val="auto"/>
        </w:rPr>
      </w:pPr>
      <w:r>
        <w:rPr>
          <w:rFonts w:ascii="Arial" w:cs="Arial" w:eastAsia="Arial" w:hAnsi="Arial"/>
          <w:sz w:val="13"/>
          <w:szCs w:val="13"/>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Street Name Holders</w:t>
      </w:r>
    </w:p>
    <w:p>
      <w:pPr>
        <w:spacing w:after="0" w:line="88" w:lineRule="exact"/>
        <w:rPr>
          <w:sz w:val="20"/>
          <w:szCs w:val="20"/>
          <w:color w:val="auto"/>
        </w:rPr>
      </w:pPr>
    </w:p>
    <w:p>
      <w:pPr>
        <w:ind w:left="280" w:right="379" w:firstLine="338"/>
        <w:spacing w:after="0" w:line="254" w:lineRule="auto"/>
        <w:rPr>
          <w:sz w:val="20"/>
          <w:szCs w:val="20"/>
          <w:color w:val="auto"/>
        </w:rPr>
      </w:pPr>
      <w:r>
        <w:rPr>
          <w:rFonts w:ascii="Arial" w:cs="Arial" w:eastAsia="Arial" w:hAnsi="Arial"/>
          <w:sz w:val="14"/>
          <w:szCs w:val="14"/>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9019"/>
          </w:cols>
          <w:pgMar w:left="1440" w:top="264" w:right="1440" w:bottom="1440" w:gutter="0" w:footer="0" w:header="0"/>
        </w:sectPr>
      </w:pPr>
    </w:p>
    <w:bookmarkStart w:id="54" w:name="page55"/>
    <w:bookmarkEnd w:id="54"/>
    <w:p>
      <w:pPr>
        <w:ind w:left="280" w:right="339" w:firstLine="338"/>
        <w:spacing w:after="0" w:line="25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2805" cy="45720"/>
                    </a:xfrm>
                    <a:prstGeom prst="rect">
                      <a:avLst/>
                    </a:prstGeom>
                    <a:noFill/>
                  </pic:spPr>
                </pic:pic>
              </a:graphicData>
            </a:graphic>
          </wp:anchor>
        </w:drawing>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33"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Legal Holders</w:t>
      </w:r>
    </w:p>
    <w:p>
      <w:pPr>
        <w:spacing w:after="0" w:line="88" w:lineRule="exact"/>
        <w:rPr>
          <w:sz w:val="20"/>
          <w:szCs w:val="20"/>
          <w:color w:val="auto"/>
        </w:rPr>
      </w:pPr>
    </w:p>
    <w:p>
      <w:pPr>
        <w:ind w:left="280" w:right="339" w:firstLine="338"/>
        <w:spacing w:after="0" w:line="254" w:lineRule="auto"/>
        <w:rPr>
          <w:sz w:val="20"/>
          <w:szCs w:val="20"/>
          <w:color w:val="auto"/>
        </w:rPr>
      </w:pPr>
      <w:r>
        <w:rPr>
          <w:rFonts w:ascii="Arial" w:cs="Arial" w:eastAsia="Arial" w:hAnsi="Arial"/>
          <w:sz w:val="14"/>
          <w:szCs w:val="14"/>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8" w:lineRule="exact"/>
        <w:rPr>
          <w:sz w:val="20"/>
          <w:szCs w:val="20"/>
          <w:color w:val="auto"/>
        </w:rPr>
      </w:pPr>
    </w:p>
    <w:p>
      <w:pPr>
        <w:ind w:left="280" w:right="359" w:firstLine="338"/>
        <w:spacing w:after="0" w:line="276" w:lineRule="auto"/>
        <w:rPr>
          <w:sz w:val="20"/>
          <w:szCs w:val="20"/>
          <w:color w:val="auto"/>
        </w:rPr>
      </w:pPr>
      <w:r>
        <w:rPr>
          <w:rFonts w:ascii="Arial" w:cs="Arial" w:eastAsia="Arial" w:hAnsi="Arial"/>
          <w:sz w:val="13"/>
          <w:szCs w:val="13"/>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36" w:lineRule="exact"/>
        <w:rPr>
          <w:sz w:val="20"/>
          <w:szCs w:val="20"/>
          <w:color w:val="auto"/>
        </w:rPr>
      </w:pPr>
    </w:p>
    <w:p>
      <w:pPr>
        <w:ind w:left="280" w:right="639" w:firstLine="338"/>
        <w:spacing w:after="0" w:line="257" w:lineRule="auto"/>
        <w:rPr>
          <w:sz w:val="20"/>
          <w:szCs w:val="20"/>
          <w:color w:val="auto"/>
        </w:rPr>
      </w:pPr>
      <w:r>
        <w:rPr>
          <w:rFonts w:ascii="Arial" w:cs="Arial" w:eastAsia="Arial" w:hAnsi="Arial"/>
          <w:sz w:val="14"/>
          <w:szCs w:val="14"/>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Special Considerations for Indirect Holders</w:t>
      </w:r>
    </w:p>
    <w:p>
      <w:pPr>
        <w:spacing w:after="0" w:line="88" w:lineRule="exact"/>
        <w:rPr>
          <w:sz w:val="20"/>
          <w:szCs w:val="20"/>
          <w:color w:val="auto"/>
        </w:rPr>
      </w:pPr>
    </w:p>
    <w:p>
      <w:pPr>
        <w:ind w:left="280" w:right="419" w:firstLine="338"/>
        <w:spacing w:after="0" w:line="268" w:lineRule="auto"/>
        <w:rPr>
          <w:sz w:val="20"/>
          <w:szCs w:val="20"/>
          <w:color w:val="auto"/>
        </w:rPr>
      </w:pPr>
      <w:r>
        <w:rPr>
          <w:rFonts w:ascii="Arial" w:cs="Arial" w:eastAsia="Arial" w:hAnsi="Arial"/>
          <w:sz w:val="14"/>
          <w:szCs w:val="14"/>
          <w:color w:val="auto"/>
        </w:rPr>
        <w:t>If you hold debt securities through a bank, broker or other financial institution, either in book-entry form or in street name, we urge you to check with that institution to find out:</w:t>
      </w:r>
    </w:p>
    <w:p>
      <w:pPr>
        <w:spacing w:after="0" w:line="66" w:lineRule="exact"/>
        <w:rPr>
          <w:sz w:val="20"/>
          <w:szCs w:val="20"/>
          <w:color w:val="auto"/>
        </w:rPr>
      </w:pPr>
    </w:p>
    <w:p>
      <w:pPr>
        <w:ind w:left="1020" w:hanging="332"/>
        <w:spacing w:after="0"/>
        <w:tabs>
          <w:tab w:leader="none" w:pos="10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how it handles securities payments and notices;</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whether it imposes fees or charges;</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how it would handle a request for the holders’ consent, if ever required;</w:t>
      </w:r>
    </w:p>
    <w:p>
      <w:pPr>
        <w:spacing w:after="0" w:line="98" w:lineRule="exact"/>
        <w:rPr>
          <w:rFonts w:ascii="Arial" w:cs="Arial" w:eastAsia="Arial" w:hAnsi="Arial"/>
          <w:sz w:val="14"/>
          <w:szCs w:val="14"/>
          <w:color w:val="auto"/>
        </w:rPr>
      </w:pPr>
    </w:p>
    <w:p>
      <w:pPr>
        <w:ind w:left="1020" w:right="399" w:hanging="332"/>
        <w:spacing w:after="0" w:line="268" w:lineRule="auto"/>
        <w:tabs>
          <w:tab w:leader="none" w:pos="10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whether and how you can instruct it to send you debt securities registered in your own name so you can be a holder, if that is permitted in the future for a particular series of debt securities;</w:t>
      </w:r>
    </w:p>
    <w:p>
      <w:pPr>
        <w:spacing w:after="0" w:line="65" w:lineRule="exact"/>
        <w:rPr>
          <w:rFonts w:ascii="Arial" w:cs="Arial" w:eastAsia="Arial" w:hAnsi="Arial"/>
          <w:sz w:val="14"/>
          <w:szCs w:val="14"/>
          <w:color w:val="auto"/>
        </w:rPr>
      </w:pPr>
    </w:p>
    <w:p>
      <w:pPr>
        <w:ind w:left="1020" w:right="379" w:hanging="332"/>
        <w:spacing w:after="0" w:line="268" w:lineRule="auto"/>
        <w:tabs>
          <w:tab w:leader="none" w:pos="10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how it would exercise rights under the debt securities if there were a default or other event triggering the need for holders to act to protect their interests; and</w:t>
      </w:r>
    </w:p>
    <w:p>
      <w:pPr>
        <w:spacing w:after="0" w:line="65" w:lineRule="exact"/>
        <w:rPr>
          <w:rFonts w:ascii="Arial" w:cs="Arial" w:eastAsia="Arial" w:hAnsi="Arial"/>
          <w:sz w:val="14"/>
          <w:szCs w:val="14"/>
          <w:color w:val="auto"/>
        </w:rPr>
      </w:pPr>
    </w:p>
    <w:p>
      <w:pPr>
        <w:ind w:left="1020" w:hanging="332"/>
        <w:spacing w:after="0"/>
        <w:tabs>
          <w:tab w:leader="none" w:pos="10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if the debt securities are in book-entry form, how the depositary’s rules and procedures will affect these matters.</w:t>
      </w:r>
    </w:p>
    <w:p>
      <w:pPr>
        <w:spacing w:after="0" w:line="250"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Global Securities</w:t>
      </w:r>
    </w:p>
    <w:p>
      <w:pPr>
        <w:spacing w:after="0" w:line="92" w:lineRule="exact"/>
        <w:rPr>
          <w:sz w:val="20"/>
          <w:szCs w:val="20"/>
          <w:color w:val="auto"/>
        </w:rPr>
      </w:pPr>
    </w:p>
    <w:p>
      <w:pPr>
        <w:ind w:left="280" w:right="459" w:firstLine="338"/>
        <w:spacing w:after="0" w:line="353" w:lineRule="auto"/>
        <w:rPr>
          <w:sz w:val="20"/>
          <w:szCs w:val="20"/>
          <w:color w:val="auto"/>
        </w:rPr>
      </w:pPr>
      <w:r>
        <w:rPr>
          <w:rFonts w:ascii="Arial" w:cs="Arial" w:eastAsia="Arial" w:hAnsi="Arial"/>
          <w:sz w:val="12"/>
          <w:szCs w:val="12"/>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9019"/>
          </w:cols>
          <w:pgMar w:left="1440" w:top="264" w:right="1440" w:bottom="1440" w:gutter="0" w:footer="0" w:header="0"/>
        </w:sectPr>
      </w:pPr>
    </w:p>
    <w:bookmarkStart w:id="55" w:name="page56"/>
    <w:bookmarkEnd w:id="55"/>
    <w:p>
      <w:pPr>
        <w:ind w:left="280" w:right="399" w:firstLine="338"/>
        <w:spacing w:after="0" w:line="25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2805" cy="45720"/>
                    </a:xfrm>
                    <a:prstGeom prst="rect">
                      <a:avLst/>
                    </a:prstGeom>
                    <a:noFill/>
                  </pic:spPr>
                </pic:pic>
              </a:graphicData>
            </a:graphic>
          </wp:anchor>
        </w:drawing>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8" w:lineRule="exact"/>
        <w:rPr>
          <w:sz w:val="20"/>
          <w:szCs w:val="20"/>
          <w:color w:val="auto"/>
        </w:rPr>
      </w:pPr>
    </w:p>
    <w:p>
      <w:pPr>
        <w:ind w:left="280" w:right="299" w:firstLine="338"/>
        <w:spacing w:after="0" w:line="273" w:lineRule="auto"/>
        <w:rPr>
          <w:sz w:val="20"/>
          <w:szCs w:val="20"/>
          <w:color w:val="auto"/>
        </w:rPr>
      </w:pPr>
      <w:r>
        <w:rPr>
          <w:rFonts w:ascii="Arial" w:cs="Arial" w:eastAsia="Arial" w:hAnsi="Arial"/>
          <w:sz w:val="13"/>
          <w:szCs w:val="13"/>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20"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Special Considerations for Global Securities</w:t>
      </w:r>
    </w:p>
    <w:p>
      <w:pPr>
        <w:spacing w:after="0" w:line="171" w:lineRule="exact"/>
        <w:rPr>
          <w:sz w:val="20"/>
          <w:szCs w:val="20"/>
          <w:color w:val="auto"/>
        </w:rPr>
      </w:pPr>
    </w:p>
    <w:p>
      <w:pPr>
        <w:jc w:val="both"/>
        <w:ind w:left="280" w:right="419" w:firstLine="338"/>
        <w:spacing w:after="0" w:line="257" w:lineRule="auto"/>
        <w:rPr>
          <w:sz w:val="20"/>
          <w:szCs w:val="20"/>
          <w:color w:val="auto"/>
        </w:rPr>
      </w:pPr>
      <w:r>
        <w:rPr>
          <w:rFonts w:ascii="Arial" w:cs="Arial" w:eastAsia="Arial" w:hAnsi="Arial"/>
          <w:sz w:val="14"/>
          <w:szCs w:val="14"/>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14"/>
          <w:szCs w:val="14"/>
          <w:color w:val="auto"/>
        </w:rPr>
        <w:t>If debt securities are issued only in the form of a global security, an investor should be aware of the following:</w:t>
      </w:r>
    </w:p>
    <w:p>
      <w:pPr>
        <w:spacing w:after="0" w:line="98" w:lineRule="exact"/>
        <w:rPr>
          <w:sz w:val="20"/>
          <w:szCs w:val="20"/>
          <w:color w:val="auto"/>
        </w:rPr>
      </w:pPr>
    </w:p>
    <w:p>
      <w:pPr>
        <w:ind w:left="1020" w:right="499" w:hanging="332"/>
        <w:spacing w:after="0" w:line="268" w:lineRule="auto"/>
        <w:tabs>
          <w:tab w:leader="none" w:pos="10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an investor cannot cause the debt securities to be registered in his or her name and cannot obtain certificates for his or her interest in the debt securities, except in the special situations we describe below;</w:t>
      </w:r>
    </w:p>
    <w:p>
      <w:pPr>
        <w:spacing w:after="0" w:line="65" w:lineRule="exact"/>
        <w:rPr>
          <w:rFonts w:ascii="Arial" w:cs="Arial" w:eastAsia="Arial" w:hAnsi="Arial"/>
          <w:sz w:val="14"/>
          <w:szCs w:val="14"/>
          <w:color w:val="auto"/>
        </w:rPr>
      </w:pPr>
    </w:p>
    <w:p>
      <w:pPr>
        <w:ind w:left="1020" w:right="379" w:hanging="332"/>
        <w:spacing w:after="0" w:line="257" w:lineRule="auto"/>
        <w:tabs>
          <w:tab w:leader="none" w:pos="10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73" w:lineRule="exact"/>
        <w:rPr>
          <w:rFonts w:ascii="Arial" w:cs="Arial" w:eastAsia="Arial" w:hAnsi="Arial"/>
          <w:sz w:val="14"/>
          <w:szCs w:val="14"/>
          <w:color w:val="auto"/>
        </w:rPr>
      </w:pPr>
    </w:p>
    <w:p>
      <w:pPr>
        <w:ind w:left="1020" w:right="459" w:hanging="332"/>
        <w:spacing w:after="0" w:line="268" w:lineRule="auto"/>
        <w:tabs>
          <w:tab w:leader="none" w:pos="10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an investor may not be able to sell interests in the debt securities to some insurance companies and other institutions that are required by law to own their securities in non-book-entry form;</w:t>
      </w:r>
    </w:p>
    <w:p>
      <w:pPr>
        <w:spacing w:after="0" w:line="65" w:lineRule="exact"/>
        <w:rPr>
          <w:rFonts w:ascii="Arial" w:cs="Arial" w:eastAsia="Arial" w:hAnsi="Arial"/>
          <w:sz w:val="14"/>
          <w:szCs w:val="14"/>
          <w:color w:val="auto"/>
        </w:rPr>
      </w:pPr>
    </w:p>
    <w:p>
      <w:pPr>
        <w:ind w:left="1020" w:right="679" w:hanging="332"/>
        <w:spacing w:after="0" w:line="307" w:lineRule="auto"/>
        <w:tabs>
          <w:tab w:leader="none" w:pos="10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42" w:lineRule="exact"/>
        <w:rPr>
          <w:rFonts w:ascii="Arial" w:cs="Arial" w:eastAsia="Arial" w:hAnsi="Arial"/>
          <w:sz w:val="13"/>
          <w:szCs w:val="13"/>
          <w:color w:val="auto"/>
        </w:rPr>
      </w:pPr>
    </w:p>
    <w:p>
      <w:pPr>
        <w:jc w:val="both"/>
        <w:ind w:left="1020" w:right="339" w:hanging="332"/>
        <w:spacing w:after="0" w:line="286" w:lineRule="auto"/>
        <w:tabs>
          <w:tab w:leader="none" w:pos="10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56" w:lineRule="exact"/>
        <w:rPr>
          <w:rFonts w:ascii="Arial" w:cs="Arial" w:eastAsia="Arial" w:hAnsi="Arial"/>
          <w:sz w:val="13"/>
          <w:szCs w:val="13"/>
          <w:color w:val="auto"/>
        </w:rPr>
      </w:pPr>
    </w:p>
    <w:p>
      <w:pPr>
        <w:ind w:left="1020" w:right="399" w:hanging="332"/>
        <w:spacing w:after="0" w:line="268" w:lineRule="auto"/>
        <w:tabs>
          <w:tab w:leader="none" w:pos="10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if we redeem less than all the debt securities of a particular series being redeemed, DTC’s practice is to determine by lot the amount to be redeemed from each of its participants holding that series;</w:t>
      </w:r>
    </w:p>
    <w:p>
      <w:pPr>
        <w:spacing w:after="0" w:line="65" w:lineRule="exact"/>
        <w:rPr>
          <w:rFonts w:ascii="Arial" w:cs="Arial" w:eastAsia="Arial" w:hAnsi="Arial"/>
          <w:sz w:val="14"/>
          <w:szCs w:val="14"/>
          <w:color w:val="auto"/>
        </w:rPr>
      </w:pPr>
    </w:p>
    <w:p>
      <w:pPr>
        <w:jc w:val="both"/>
        <w:ind w:left="1020" w:right="659" w:hanging="332"/>
        <w:spacing w:after="0" w:line="257" w:lineRule="auto"/>
        <w:tabs>
          <w:tab w:leader="none" w:pos="10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73" w:lineRule="exact"/>
        <w:rPr>
          <w:rFonts w:ascii="Arial" w:cs="Arial" w:eastAsia="Arial" w:hAnsi="Arial"/>
          <w:sz w:val="14"/>
          <w:szCs w:val="14"/>
          <w:color w:val="auto"/>
        </w:rPr>
      </w:pPr>
    </w:p>
    <w:p>
      <w:pPr>
        <w:ind w:left="1020" w:right="419" w:hanging="332"/>
        <w:spacing w:after="0" w:line="257" w:lineRule="auto"/>
        <w:tabs>
          <w:tab w:leader="none" w:pos="10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9019"/>
          </w:cols>
          <w:pgMar w:left="1440" w:top="264" w:right="1440" w:bottom="1440" w:gutter="0" w:footer="0" w:header="0"/>
        </w:sectPr>
      </w:pPr>
    </w:p>
    <w:bookmarkStart w:id="56" w:name="page57"/>
    <w:bookmarkEnd w:id="56"/>
    <w:p>
      <w:pPr>
        <w:ind w:left="1020" w:right="359" w:hanging="332"/>
        <w:spacing w:after="0" w:line="254" w:lineRule="auto"/>
        <w:tabs>
          <w:tab w:leader="none" w:pos="1020" w:val="left"/>
        </w:tabs>
        <w:numPr>
          <w:ilvl w:val="0"/>
          <w:numId w:val="36"/>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2805" cy="45720"/>
                    </a:xfrm>
                    <a:prstGeom prst="rect">
                      <a:avLst/>
                    </a:prstGeom>
                    <a:noFill/>
                  </pic:spPr>
                </pic:pic>
              </a:graphicData>
            </a:graphic>
          </wp:anchor>
        </w:drawing>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Special Situations when a Global Security Will Be Terminated</w:t>
      </w:r>
    </w:p>
    <w:p>
      <w:pPr>
        <w:spacing w:after="0" w:line="88" w:lineRule="exact"/>
        <w:rPr>
          <w:sz w:val="20"/>
          <w:szCs w:val="20"/>
          <w:color w:val="auto"/>
        </w:rPr>
      </w:pPr>
    </w:p>
    <w:p>
      <w:pPr>
        <w:ind w:left="280" w:right="319" w:firstLine="338"/>
        <w:spacing w:after="0" w:line="252" w:lineRule="auto"/>
        <w:rPr>
          <w:sz w:val="20"/>
          <w:szCs w:val="20"/>
          <w:color w:val="auto"/>
        </w:rPr>
      </w:pPr>
      <w:r>
        <w:rPr>
          <w:rFonts w:ascii="Arial" w:cs="Arial" w:eastAsia="Arial" w:hAnsi="Arial"/>
          <w:sz w:val="14"/>
          <w:szCs w:val="14"/>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special situations for termination of a global security are as follows:</w:t>
      </w:r>
    </w:p>
    <w:p>
      <w:pPr>
        <w:spacing w:after="0" w:line="98" w:lineRule="exact"/>
        <w:rPr>
          <w:sz w:val="20"/>
          <w:szCs w:val="20"/>
          <w:color w:val="auto"/>
        </w:rPr>
      </w:pPr>
    </w:p>
    <w:p>
      <w:pPr>
        <w:ind w:left="1020" w:right="419" w:hanging="332"/>
        <w:spacing w:after="0" w:line="268" w:lineRule="auto"/>
        <w:tabs>
          <w:tab w:leader="none" w:pos="10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if the depositary notifies us that it is unwilling, unable or no longer qualified to continue as depositary for that global security, and we are unable to appoint another institution to act as depositary;</w:t>
      </w:r>
    </w:p>
    <w:p>
      <w:pPr>
        <w:spacing w:after="0" w:line="65" w:lineRule="exact"/>
        <w:rPr>
          <w:rFonts w:ascii="Arial" w:cs="Arial" w:eastAsia="Arial" w:hAnsi="Arial"/>
          <w:sz w:val="14"/>
          <w:szCs w:val="14"/>
          <w:color w:val="auto"/>
        </w:rPr>
      </w:pPr>
    </w:p>
    <w:p>
      <w:pPr>
        <w:ind w:left="1020" w:hanging="332"/>
        <w:spacing w:after="0"/>
        <w:tabs>
          <w:tab w:leader="none" w:pos="10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if we notify the trustee that we wish to terminate that global security; or</w:t>
      </w:r>
    </w:p>
    <w:p>
      <w:pPr>
        <w:spacing w:after="0" w:line="98" w:lineRule="exact"/>
        <w:rPr>
          <w:rFonts w:ascii="Arial" w:cs="Arial" w:eastAsia="Arial" w:hAnsi="Arial"/>
          <w:sz w:val="14"/>
          <w:szCs w:val="14"/>
          <w:color w:val="auto"/>
        </w:rPr>
      </w:pPr>
    </w:p>
    <w:p>
      <w:pPr>
        <w:ind w:left="1020" w:right="399" w:hanging="332"/>
        <w:spacing w:after="0" w:line="268" w:lineRule="auto"/>
        <w:tabs>
          <w:tab w:leader="none" w:pos="10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38" w:lineRule="exact"/>
        <w:rPr>
          <w:sz w:val="20"/>
          <w:szCs w:val="20"/>
          <w:color w:val="auto"/>
        </w:rPr>
      </w:pPr>
    </w:p>
    <w:p>
      <w:pPr>
        <w:ind w:left="280" w:right="319" w:firstLine="338"/>
        <w:spacing w:after="0" w:line="254" w:lineRule="auto"/>
        <w:rPr>
          <w:sz w:val="20"/>
          <w:szCs w:val="20"/>
          <w:color w:val="auto"/>
        </w:rPr>
      </w:pPr>
      <w:r>
        <w:rPr>
          <w:rFonts w:ascii="Arial" w:cs="Arial" w:eastAsia="Arial" w:hAnsi="Arial"/>
          <w:sz w:val="14"/>
          <w:szCs w:val="14"/>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27"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Payment and Paying Agents</w:t>
      </w:r>
    </w:p>
    <w:p>
      <w:pPr>
        <w:spacing w:after="0" w:line="92" w:lineRule="exact"/>
        <w:rPr>
          <w:sz w:val="20"/>
          <w:szCs w:val="20"/>
          <w:color w:val="auto"/>
        </w:rPr>
      </w:pPr>
    </w:p>
    <w:p>
      <w:pPr>
        <w:ind w:left="280" w:right="359" w:firstLine="338"/>
        <w:spacing w:after="0" w:line="274" w:lineRule="auto"/>
        <w:rPr>
          <w:sz w:val="20"/>
          <w:szCs w:val="20"/>
          <w:color w:val="auto"/>
        </w:rPr>
      </w:pPr>
      <w:r>
        <w:rPr>
          <w:rFonts w:ascii="Arial" w:cs="Arial" w:eastAsia="Arial" w:hAnsi="Arial"/>
          <w:sz w:val="13"/>
          <w:szCs w:val="13"/>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20"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Payments on Global Securities</w:t>
      </w:r>
    </w:p>
    <w:p>
      <w:pPr>
        <w:spacing w:after="0" w:line="88" w:lineRule="exact"/>
        <w:rPr>
          <w:sz w:val="20"/>
          <w:szCs w:val="20"/>
          <w:color w:val="auto"/>
        </w:rPr>
      </w:pPr>
    </w:p>
    <w:p>
      <w:pPr>
        <w:ind w:left="280" w:right="579" w:firstLine="338"/>
        <w:spacing w:after="0" w:line="254" w:lineRule="auto"/>
        <w:rPr>
          <w:sz w:val="20"/>
          <w:szCs w:val="20"/>
          <w:color w:val="auto"/>
        </w:rPr>
      </w:pPr>
      <w:r>
        <w:rPr>
          <w:rFonts w:ascii="Arial" w:cs="Arial" w:eastAsia="Arial" w:hAnsi="Arial"/>
          <w:sz w:val="14"/>
          <w:szCs w:val="14"/>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9019"/>
          </w:cols>
          <w:pgMar w:left="1440" w:top="264" w:right="1440" w:bottom="1440" w:gutter="0" w:footer="0" w:header="0"/>
        </w:sectPr>
      </w:pPr>
    </w:p>
    <w:bookmarkStart w:id="57" w:name="page58"/>
    <w:bookmarkEnd w:id="57"/>
    <w:p>
      <w:pPr>
        <w:ind w:left="280"/>
        <w:spacing w:after="0"/>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2805" cy="45720"/>
                    </a:xfrm>
                    <a:prstGeom prst="rect">
                      <a:avLst/>
                    </a:prstGeom>
                    <a:noFill/>
                  </pic:spPr>
                </pic:pic>
              </a:graphicData>
            </a:graphic>
          </wp:anchor>
        </w:drawing>
        <w:t>Payments on Certificated Securities</w:t>
      </w:r>
    </w:p>
    <w:p>
      <w:pPr>
        <w:spacing w:after="0" w:line="88" w:lineRule="exact"/>
        <w:rPr>
          <w:sz w:val="20"/>
          <w:szCs w:val="20"/>
          <w:color w:val="auto"/>
        </w:rPr>
      </w:pPr>
    </w:p>
    <w:p>
      <w:pPr>
        <w:jc w:val="both"/>
        <w:ind w:left="280" w:right="359" w:firstLine="338"/>
        <w:spacing w:after="0" w:line="280" w:lineRule="auto"/>
        <w:rPr>
          <w:sz w:val="20"/>
          <w:szCs w:val="20"/>
          <w:color w:val="auto"/>
        </w:rPr>
      </w:pPr>
      <w:r>
        <w:rPr>
          <w:rFonts w:ascii="Arial" w:cs="Arial" w:eastAsia="Arial" w:hAnsi="Arial"/>
          <w:sz w:val="13"/>
          <w:szCs w:val="13"/>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32" w:lineRule="exact"/>
        <w:rPr>
          <w:sz w:val="20"/>
          <w:szCs w:val="20"/>
          <w:color w:val="auto"/>
        </w:rPr>
      </w:pPr>
    </w:p>
    <w:p>
      <w:pPr>
        <w:ind w:left="280" w:right="299" w:firstLine="338"/>
        <w:spacing w:after="0" w:line="304" w:lineRule="auto"/>
        <w:rPr>
          <w:sz w:val="20"/>
          <w:szCs w:val="20"/>
          <w:color w:val="auto"/>
        </w:rPr>
      </w:pPr>
      <w:r>
        <w:rPr>
          <w:rFonts w:ascii="Arial" w:cs="Arial" w:eastAsia="Arial" w:hAnsi="Arial"/>
          <w:sz w:val="12"/>
          <w:szCs w:val="12"/>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Payment When Offices Are Closed</w:t>
      </w:r>
    </w:p>
    <w:p>
      <w:pPr>
        <w:spacing w:after="0" w:line="88" w:lineRule="exact"/>
        <w:rPr>
          <w:sz w:val="20"/>
          <w:szCs w:val="20"/>
          <w:color w:val="auto"/>
        </w:rPr>
      </w:pPr>
    </w:p>
    <w:p>
      <w:pPr>
        <w:ind w:left="280" w:right="539" w:firstLine="338"/>
        <w:spacing w:after="0" w:line="310" w:lineRule="auto"/>
        <w:rPr>
          <w:sz w:val="20"/>
          <w:szCs w:val="20"/>
          <w:color w:val="auto"/>
        </w:rPr>
      </w:pPr>
      <w:r>
        <w:rPr>
          <w:rFonts w:ascii="Arial" w:cs="Arial" w:eastAsia="Arial" w:hAnsi="Arial"/>
          <w:sz w:val="12"/>
          <w:szCs w:val="12"/>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7" w:lineRule="exact"/>
        <w:rPr>
          <w:sz w:val="20"/>
          <w:szCs w:val="20"/>
          <w:color w:val="auto"/>
        </w:rPr>
      </w:pPr>
    </w:p>
    <w:p>
      <w:pPr>
        <w:ind w:left="280" w:right="659" w:firstLine="338"/>
        <w:spacing w:after="0" w:line="268" w:lineRule="auto"/>
        <w:rPr>
          <w:sz w:val="20"/>
          <w:szCs w:val="20"/>
          <w:color w:val="auto"/>
        </w:rPr>
      </w:pPr>
      <w:r>
        <w:rPr>
          <w:rFonts w:ascii="Arial" w:cs="Arial" w:eastAsia="Arial" w:hAnsi="Arial"/>
          <w:sz w:val="14"/>
          <w:szCs w:val="14"/>
          <w:color w:val="auto"/>
        </w:rPr>
        <w:t>Book-entry and other indirect holders should consult their banks or brokers for information on how they will receive payments on their debt securities.</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Events of Default</w:t>
      </w:r>
    </w:p>
    <w:p>
      <w:pPr>
        <w:spacing w:after="0" w:line="92" w:lineRule="exact"/>
        <w:rPr>
          <w:sz w:val="20"/>
          <w:szCs w:val="20"/>
          <w:color w:val="auto"/>
        </w:rPr>
      </w:pPr>
    </w:p>
    <w:p>
      <w:pPr>
        <w:ind w:left="280" w:right="799" w:firstLine="338"/>
        <w:spacing w:after="0" w:line="268" w:lineRule="auto"/>
        <w:rPr>
          <w:sz w:val="20"/>
          <w:szCs w:val="20"/>
          <w:color w:val="auto"/>
        </w:rPr>
      </w:pPr>
      <w:r>
        <w:rPr>
          <w:rFonts w:ascii="Arial" w:cs="Arial" w:eastAsia="Arial" w:hAnsi="Arial"/>
          <w:sz w:val="14"/>
          <w:szCs w:val="14"/>
          <w:color w:val="auto"/>
        </w:rPr>
        <w:t>You will have rights if an Event of Default occurs in respect of the debt securities of your series and is not cured, as described later in this subsection.</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term “Event of Default” in respect of the debt securities of your series means any of the following:</w:t>
      </w:r>
    </w:p>
    <w:p>
      <w:pPr>
        <w:spacing w:after="0" w:line="98" w:lineRule="exact"/>
        <w:rPr>
          <w:sz w:val="20"/>
          <w:szCs w:val="20"/>
          <w:color w:val="auto"/>
        </w:rPr>
      </w:pPr>
    </w:p>
    <w:p>
      <w:pPr>
        <w:ind w:left="1020" w:hanging="332"/>
        <w:spacing w:after="0"/>
        <w:tabs>
          <w:tab w:leader="none" w:pos="10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we do not pay the principal of, or any premium on, a debt security of the series on its due date;</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we do not pay interest on a debt security of the series within 30 days of its due date;</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we do not deposit any sinking fund payment in respect of debt securities of the series on its due date;</w:t>
      </w:r>
    </w:p>
    <w:p>
      <w:pPr>
        <w:spacing w:after="0" w:line="98" w:lineRule="exact"/>
        <w:rPr>
          <w:rFonts w:ascii="Arial" w:cs="Arial" w:eastAsia="Arial" w:hAnsi="Arial"/>
          <w:sz w:val="14"/>
          <w:szCs w:val="14"/>
          <w:color w:val="auto"/>
        </w:rPr>
      </w:pPr>
    </w:p>
    <w:p>
      <w:pPr>
        <w:ind w:left="1020" w:right="399" w:hanging="332"/>
        <w:spacing w:after="0" w:line="257" w:lineRule="auto"/>
        <w:tabs>
          <w:tab w:leader="none" w:pos="10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73" w:lineRule="exact"/>
        <w:rPr>
          <w:rFonts w:ascii="Arial" w:cs="Arial" w:eastAsia="Arial" w:hAnsi="Arial"/>
          <w:sz w:val="14"/>
          <w:szCs w:val="14"/>
          <w:color w:val="auto"/>
        </w:rPr>
      </w:pPr>
    </w:p>
    <w:p>
      <w:pPr>
        <w:ind w:left="1020" w:hanging="332"/>
        <w:spacing w:after="0"/>
        <w:tabs>
          <w:tab w:leader="none" w:pos="10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we file for bankruptcy or certain other events of bankruptcy, insolvency or reorganization occur; and</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any other Event of Default in respect of debt securities of the series described in the prospectus supplement occurs.</w:t>
      </w:r>
    </w:p>
    <w:p>
      <w:pPr>
        <w:spacing w:after="0" w:line="171" w:lineRule="exact"/>
        <w:rPr>
          <w:sz w:val="20"/>
          <w:szCs w:val="20"/>
          <w:color w:val="auto"/>
        </w:rPr>
      </w:pPr>
    </w:p>
    <w:p>
      <w:pPr>
        <w:ind w:left="280" w:right="519" w:firstLine="338"/>
        <w:spacing w:after="0" w:line="286" w:lineRule="auto"/>
        <w:rPr>
          <w:sz w:val="20"/>
          <w:szCs w:val="20"/>
          <w:color w:val="auto"/>
        </w:rPr>
      </w:pPr>
      <w:r>
        <w:rPr>
          <w:rFonts w:ascii="Arial" w:cs="Arial" w:eastAsia="Arial" w:hAnsi="Arial"/>
          <w:sz w:val="13"/>
          <w:szCs w:val="13"/>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9019"/>
          </w:cols>
          <w:pgMar w:left="1440" w:top="264" w:right="1440" w:bottom="1440" w:gutter="0" w:footer="0" w:header="0"/>
        </w:sectPr>
      </w:pPr>
    </w:p>
    <w:bookmarkStart w:id="58" w:name="page59"/>
    <w:bookmarkEnd w:id="58"/>
    <w:p>
      <w:pPr>
        <w:ind w:left="280"/>
        <w:spacing w:after="0"/>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2805" cy="45720"/>
                    </a:xfrm>
                    <a:prstGeom prst="rect">
                      <a:avLst/>
                    </a:prstGeom>
                    <a:noFill/>
                  </pic:spPr>
                </pic:pic>
              </a:graphicData>
            </a:graphic>
          </wp:anchor>
        </w:drawing>
        <w:t>Remedies if an Event of Default Occurs</w:t>
      </w:r>
    </w:p>
    <w:p>
      <w:pPr>
        <w:spacing w:after="0" w:line="88" w:lineRule="exact"/>
        <w:rPr>
          <w:sz w:val="20"/>
          <w:szCs w:val="20"/>
          <w:color w:val="auto"/>
        </w:rPr>
      </w:pPr>
    </w:p>
    <w:p>
      <w:pPr>
        <w:ind w:left="280" w:right="439" w:firstLine="338"/>
        <w:spacing w:after="0" w:line="310" w:lineRule="auto"/>
        <w:rPr>
          <w:sz w:val="20"/>
          <w:szCs w:val="20"/>
          <w:color w:val="auto"/>
        </w:rPr>
      </w:pPr>
      <w:r>
        <w:rPr>
          <w:rFonts w:ascii="Arial" w:cs="Arial" w:eastAsia="Arial" w:hAnsi="Arial"/>
          <w:sz w:val="12"/>
          <w:szCs w:val="12"/>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7" w:lineRule="exact"/>
        <w:rPr>
          <w:sz w:val="20"/>
          <w:szCs w:val="20"/>
          <w:color w:val="auto"/>
        </w:rPr>
      </w:pPr>
    </w:p>
    <w:p>
      <w:pPr>
        <w:ind w:left="280" w:right="359" w:firstLine="338"/>
        <w:spacing w:after="0" w:line="251" w:lineRule="auto"/>
        <w:rPr>
          <w:sz w:val="20"/>
          <w:szCs w:val="20"/>
          <w:color w:val="auto"/>
        </w:rPr>
      </w:pPr>
      <w:r>
        <w:rPr>
          <w:rFonts w:ascii="Arial" w:cs="Arial" w:eastAsia="Arial" w:hAnsi="Arial"/>
          <w:sz w:val="14"/>
          <w:szCs w:val="14"/>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51" w:lineRule="exact"/>
        <w:rPr>
          <w:sz w:val="20"/>
          <w:szCs w:val="20"/>
          <w:color w:val="auto"/>
        </w:rPr>
      </w:pPr>
    </w:p>
    <w:p>
      <w:pPr>
        <w:ind w:left="280" w:right="339" w:firstLine="338"/>
        <w:spacing w:after="0" w:line="268" w:lineRule="auto"/>
        <w:rPr>
          <w:sz w:val="20"/>
          <w:szCs w:val="20"/>
          <w:color w:val="auto"/>
        </w:rPr>
      </w:pPr>
      <w:r>
        <w:rPr>
          <w:rFonts w:ascii="Arial" w:cs="Arial" w:eastAsia="Arial" w:hAnsi="Arial"/>
          <w:sz w:val="14"/>
          <w:szCs w:val="14"/>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66" w:lineRule="exact"/>
        <w:rPr>
          <w:sz w:val="20"/>
          <w:szCs w:val="20"/>
          <w:color w:val="auto"/>
        </w:rPr>
      </w:pPr>
    </w:p>
    <w:p>
      <w:pPr>
        <w:ind w:left="1020" w:hanging="332"/>
        <w:spacing w:after="0"/>
        <w:tabs>
          <w:tab w:leader="none" w:pos="10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you must give the trustee written notice that an Event of Default has occurred and remains uncured;</w:t>
      </w:r>
    </w:p>
    <w:p>
      <w:pPr>
        <w:spacing w:after="0" w:line="98" w:lineRule="exact"/>
        <w:rPr>
          <w:rFonts w:ascii="Arial" w:cs="Arial" w:eastAsia="Arial" w:hAnsi="Arial"/>
          <w:sz w:val="14"/>
          <w:szCs w:val="14"/>
          <w:color w:val="auto"/>
        </w:rPr>
      </w:pPr>
    </w:p>
    <w:p>
      <w:pPr>
        <w:ind w:left="1020" w:right="359" w:hanging="332"/>
        <w:spacing w:after="0" w:line="257" w:lineRule="auto"/>
        <w:tabs>
          <w:tab w:leader="none" w:pos="10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73" w:lineRule="exact"/>
        <w:rPr>
          <w:rFonts w:ascii="Arial" w:cs="Arial" w:eastAsia="Arial" w:hAnsi="Arial"/>
          <w:sz w:val="14"/>
          <w:szCs w:val="14"/>
          <w:color w:val="auto"/>
        </w:rPr>
      </w:pPr>
    </w:p>
    <w:p>
      <w:pPr>
        <w:ind w:left="1020" w:hanging="332"/>
        <w:spacing w:after="0"/>
        <w:tabs>
          <w:tab w:leader="none" w:pos="10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trustee must not have taken action for 60 days after receipt of the above notice and offer of indemnity; and</w:t>
      </w:r>
    </w:p>
    <w:p>
      <w:pPr>
        <w:spacing w:after="0" w:line="98" w:lineRule="exact"/>
        <w:rPr>
          <w:rFonts w:ascii="Arial" w:cs="Arial" w:eastAsia="Arial" w:hAnsi="Arial"/>
          <w:sz w:val="14"/>
          <w:szCs w:val="14"/>
          <w:color w:val="auto"/>
        </w:rPr>
      </w:pPr>
    </w:p>
    <w:p>
      <w:pPr>
        <w:ind w:left="1020" w:right="419" w:hanging="332"/>
        <w:spacing w:after="0" w:line="268" w:lineRule="auto"/>
        <w:tabs>
          <w:tab w:leader="none" w:pos="10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holders of a majority in principal amount of the debt securities must not have given the trustee a direction inconsistent with the above notice during that 60-day period.</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3"/>
          <w:szCs w:val="13"/>
          <w:color w:val="auto"/>
        </w:rPr>
        <w:t>However, you are entitled at any time to bring a lawsuit for the payment of money due on your debt securities on or after the due date.</w:t>
      </w:r>
    </w:p>
    <w:p>
      <w:pPr>
        <w:spacing w:after="0" w:line="178" w:lineRule="exact"/>
        <w:rPr>
          <w:sz w:val="20"/>
          <w:szCs w:val="20"/>
          <w:color w:val="auto"/>
        </w:rPr>
      </w:pPr>
    </w:p>
    <w:p>
      <w:pPr>
        <w:ind w:left="280" w:right="299" w:firstLine="338"/>
        <w:spacing w:after="0" w:line="274" w:lineRule="auto"/>
        <w:rPr>
          <w:sz w:val="20"/>
          <w:szCs w:val="20"/>
          <w:color w:val="auto"/>
        </w:rPr>
      </w:pPr>
      <w:r>
        <w:rPr>
          <w:rFonts w:ascii="Arial" w:cs="Arial" w:eastAsia="Arial" w:hAnsi="Arial"/>
          <w:sz w:val="14"/>
          <w:szCs w:val="14"/>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34" w:lineRule="exact"/>
        <w:rPr>
          <w:sz w:val="20"/>
          <w:szCs w:val="20"/>
          <w:color w:val="auto"/>
        </w:rPr>
      </w:pPr>
    </w:p>
    <w:p>
      <w:pPr>
        <w:ind w:left="280" w:right="559" w:firstLine="338"/>
        <w:spacing w:after="0" w:line="268" w:lineRule="auto"/>
        <w:rPr>
          <w:sz w:val="20"/>
          <w:szCs w:val="20"/>
          <w:color w:val="auto"/>
        </w:rPr>
      </w:pPr>
      <w:r>
        <w:rPr>
          <w:rFonts w:ascii="Arial" w:cs="Arial" w:eastAsia="Arial" w:hAnsi="Arial"/>
          <w:sz w:val="14"/>
          <w:szCs w:val="14"/>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Waiver of Default</w:t>
      </w:r>
    </w:p>
    <w:p>
      <w:pPr>
        <w:spacing w:after="0" w:line="88" w:lineRule="exact"/>
        <w:rPr>
          <w:sz w:val="20"/>
          <w:szCs w:val="20"/>
          <w:color w:val="auto"/>
        </w:rPr>
      </w:pPr>
    </w:p>
    <w:p>
      <w:pPr>
        <w:ind w:left="280" w:right="359" w:firstLine="338"/>
        <w:spacing w:after="0" w:line="257" w:lineRule="auto"/>
        <w:rPr>
          <w:sz w:val="20"/>
          <w:szCs w:val="20"/>
          <w:color w:val="auto"/>
        </w:rPr>
      </w:pPr>
      <w:r>
        <w:rPr>
          <w:rFonts w:ascii="Arial" w:cs="Arial" w:eastAsia="Arial" w:hAnsi="Arial"/>
          <w:sz w:val="14"/>
          <w:szCs w:val="14"/>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Merger or Consolidation</w:t>
      </w:r>
    </w:p>
    <w:p>
      <w:pPr>
        <w:spacing w:after="0" w:line="92" w:lineRule="exact"/>
        <w:rPr>
          <w:sz w:val="20"/>
          <w:szCs w:val="20"/>
          <w:color w:val="auto"/>
        </w:rPr>
      </w:pPr>
    </w:p>
    <w:p>
      <w:pPr>
        <w:ind w:left="280" w:right="699" w:firstLine="338"/>
        <w:spacing w:after="0" w:line="353" w:lineRule="auto"/>
        <w:rPr>
          <w:sz w:val="20"/>
          <w:szCs w:val="20"/>
          <w:color w:val="auto"/>
        </w:rPr>
      </w:pPr>
      <w:r>
        <w:rPr>
          <w:rFonts w:ascii="Arial" w:cs="Arial" w:eastAsia="Arial" w:hAnsi="Arial"/>
          <w:sz w:val="12"/>
          <w:szCs w:val="12"/>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113" w:lineRule="exact"/>
        <w:rPr>
          <w:sz w:val="20"/>
          <w:szCs w:val="20"/>
          <w:color w:val="auto"/>
        </w:rPr>
      </w:pPr>
    </w:p>
    <w:p>
      <w:pPr>
        <w:ind w:left="1020" w:right="479" w:hanging="332"/>
        <w:spacing w:after="0" w:line="268" w:lineRule="auto"/>
        <w:tabs>
          <w:tab w:leader="none" w:pos="10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where we merge out of existence or sell our assets, the resulting entity must agree to be legally responsible for our obligations under the debt securities;</w:t>
      </w:r>
    </w:p>
    <w:p>
      <w:pPr>
        <w:spacing w:after="0" w:line="65" w:lineRule="exact"/>
        <w:rPr>
          <w:rFonts w:ascii="Arial" w:cs="Arial" w:eastAsia="Arial" w:hAnsi="Arial"/>
          <w:sz w:val="14"/>
          <w:szCs w:val="14"/>
          <w:color w:val="auto"/>
        </w:rPr>
      </w:pPr>
    </w:p>
    <w:p>
      <w:pPr>
        <w:ind w:left="1020" w:hanging="332"/>
        <w:spacing w:after="0"/>
        <w:tabs>
          <w:tab w:leader="none" w:pos="10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alternatively, we must be the surviving company;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9019"/>
          </w:cols>
          <w:pgMar w:left="1440" w:top="264" w:right="1440" w:bottom="1440" w:gutter="0" w:footer="0" w:header="0"/>
        </w:sectPr>
      </w:pPr>
    </w:p>
    <w:bookmarkStart w:id="59" w:name="page60"/>
    <w:bookmarkEnd w:id="59"/>
    <w:p>
      <w:pPr>
        <w:ind w:left="1020" w:hanging="332"/>
        <w:spacing w:after="0"/>
        <w:tabs>
          <w:tab w:leader="none" w:pos="1020" w:val="left"/>
        </w:tabs>
        <w:numPr>
          <w:ilvl w:val="0"/>
          <w:numId w:val="4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2805" cy="45720"/>
                    </a:xfrm>
                    <a:prstGeom prst="rect">
                      <a:avLst/>
                    </a:prstGeom>
                    <a:noFill/>
                  </pic:spPr>
                </pic:pic>
              </a:graphicData>
            </a:graphic>
          </wp:anchor>
        </w:drawing>
        <w:t>immediately after the transaction no event of default will exist;</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we must deliver certain certificates and documents to the trustee; and</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we must satisfy any other requirements specified in the prospectus supplement relating to a particular series of debt securities.</w:t>
      </w:r>
    </w:p>
    <w:p>
      <w:pPr>
        <w:spacing w:after="0" w:line="26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Modification or Waiver</w:t>
      </w:r>
    </w:p>
    <w:p>
      <w:pPr>
        <w:spacing w:after="0" w:line="9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There are three types of changes we can make to the indenture and the debt securities issued thereunder.</w:t>
      </w:r>
    </w:p>
    <w:p>
      <w:pPr>
        <w:spacing w:after="0" w:line="254"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Changes Requiring Your Approval</w:t>
      </w:r>
    </w:p>
    <w:p>
      <w:pPr>
        <w:spacing w:after="0" w:line="88" w:lineRule="exact"/>
        <w:rPr>
          <w:sz w:val="20"/>
          <w:szCs w:val="20"/>
          <w:color w:val="auto"/>
        </w:rPr>
      </w:pPr>
    </w:p>
    <w:p>
      <w:pPr>
        <w:ind w:left="280" w:right="739" w:firstLine="338"/>
        <w:spacing w:after="0" w:line="268" w:lineRule="auto"/>
        <w:rPr>
          <w:sz w:val="20"/>
          <w:szCs w:val="20"/>
          <w:color w:val="auto"/>
        </w:rPr>
      </w:pPr>
      <w:r>
        <w:rPr>
          <w:rFonts w:ascii="Arial" w:cs="Arial" w:eastAsia="Arial" w:hAnsi="Arial"/>
          <w:sz w:val="14"/>
          <w:szCs w:val="14"/>
          <w:color w:val="auto"/>
        </w:rPr>
        <w:t>First, there are changes that we cannot make to your debt securities without your specific approval. The following is a list of those types of changes:</w:t>
      </w:r>
    </w:p>
    <w:p>
      <w:pPr>
        <w:spacing w:after="0" w:line="66" w:lineRule="exact"/>
        <w:rPr>
          <w:sz w:val="20"/>
          <w:szCs w:val="20"/>
          <w:color w:val="auto"/>
        </w:rPr>
      </w:pPr>
    </w:p>
    <w:p>
      <w:pPr>
        <w:ind w:left="1020" w:hanging="332"/>
        <w:spacing w:after="0"/>
        <w:tabs>
          <w:tab w:leader="none" w:pos="10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change the stated maturity of the principal of or interest on a debt security;</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reduce any amounts due on a debt security;</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reduce the amount of principal payable upon acceleration of the maturity of a security following a default;</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adversely affect any right of repayment at the holder’s option;</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change the place or currency of payment on a debt security (except as otherwise described in the prospectus or prospectus supplement);</w:t>
      </w:r>
    </w:p>
    <w:p>
      <w:pPr>
        <w:spacing w:after="0" w:line="121" w:lineRule="exact"/>
        <w:rPr>
          <w:rFonts w:ascii="Arial" w:cs="Arial" w:eastAsia="Arial" w:hAnsi="Arial"/>
          <w:sz w:val="12"/>
          <w:szCs w:val="12"/>
          <w:color w:val="auto"/>
        </w:rPr>
      </w:pPr>
    </w:p>
    <w:p>
      <w:pPr>
        <w:ind w:left="1020" w:hanging="332"/>
        <w:spacing w:after="0"/>
        <w:tabs>
          <w:tab w:leader="none" w:pos="10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impair your right to sue for payment;</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adversely affect any right to convert or exchange a debt security in accordance with its terms;</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reduce the percentage of holders of debt securities whose consent is needed to modify or amend the indenture;</w:t>
      </w:r>
    </w:p>
    <w:p>
      <w:pPr>
        <w:spacing w:after="0" w:line="98" w:lineRule="exact"/>
        <w:rPr>
          <w:rFonts w:ascii="Arial" w:cs="Arial" w:eastAsia="Arial" w:hAnsi="Arial"/>
          <w:sz w:val="14"/>
          <w:szCs w:val="14"/>
          <w:color w:val="auto"/>
        </w:rPr>
      </w:pPr>
    </w:p>
    <w:p>
      <w:pPr>
        <w:ind w:left="1020" w:right="299" w:hanging="332"/>
        <w:spacing w:after="0" w:line="268" w:lineRule="auto"/>
        <w:tabs>
          <w:tab w:leader="none" w:pos="10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reduce the percentage of holders of debt securities whose consent is needed to waive compliance with certain provisions of the indenture or to waive certain defaults;</w:t>
      </w:r>
    </w:p>
    <w:p>
      <w:pPr>
        <w:spacing w:after="0" w:line="65" w:lineRule="exact"/>
        <w:rPr>
          <w:rFonts w:ascii="Arial" w:cs="Arial" w:eastAsia="Arial" w:hAnsi="Arial"/>
          <w:sz w:val="14"/>
          <w:szCs w:val="14"/>
          <w:color w:val="auto"/>
        </w:rPr>
      </w:pPr>
    </w:p>
    <w:p>
      <w:pPr>
        <w:ind w:left="1020" w:right="359" w:hanging="332"/>
        <w:spacing w:after="0" w:line="268" w:lineRule="auto"/>
        <w:tabs>
          <w:tab w:leader="none" w:pos="10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65" w:lineRule="exact"/>
        <w:rPr>
          <w:rFonts w:ascii="Arial" w:cs="Arial" w:eastAsia="Arial" w:hAnsi="Arial"/>
          <w:sz w:val="14"/>
          <w:szCs w:val="14"/>
          <w:color w:val="auto"/>
        </w:rPr>
      </w:pPr>
    </w:p>
    <w:p>
      <w:pPr>
        <w:ind w:left="1020" w:hanging="332"/>
        <w:spacing w:after="0"/>
        <w:tabs>
          <w:tab w:leader="none" w:pos="10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change any obligation we have to pay additional amounts.</w:t>
      </w:r>
    </w:p>
    <w:p>
      <w:pPr>
        <w:spacing w:after="0" w:line="254"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Changes Not Requiring Approval</w:t>
      </w:r>
    </w:p>
    <w:p>
      <w:pPr>
        <w:spacing w:after="0" w:line="88" w:lineRule="exact"/>
        <w:rPr>
          <w:sz w:val="20"/>
          <w:szCs w:val="20"/>
          <w:color w:val="auto"/>
        </w:rPr>
      </w:pPr>
    </w:p>
    <w:p>
      <w:pPr>
        <w:ind w:left="280" w:right="319" w:firstLine="338"/>
        <w:spacing w:after="0" w:line="257" w:lineRule="auto"/>
        <w:rPr>
          <w:sz w:val="20"/>
          <w:szCs w:val="20"/>
          <w:color w:val="auto"/>
        </w:rPr>
      </w:pPr>
      <w:r>
        <w:rPr>
          <w:rFonts w:ascii="Arial" w:cs="Arial" w:eastAsia="Arial" w:hAnsi="Arial"/>
          <w:sz w:val="14"/>
          <w:szCs w:val="14"/>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Changes Requiring Majority Approval</w:t>
      </w:r>
    </w:p>
    <w:p>
      <w:pPr>
        <w:spacing w:after="0" w:line="8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Any other change to the indenture and the debt securities would require the following approval:</w:t>
      </w:r>
    </w:p>
    <w:p>
      <w:pPr>
        <w:spacing w:after="0" w:line="98" w:lineRule="exact"/>
        <w:rPr>
          <w:sz w:val="20"/>
          <w:szCs w:val="20"/>
          <w:color w:val="auto"/>
        </w:rPr>
      </w:pPr>
    </w:p>
    <w:p>
      <w:pPr>
        <w:ind w:left="1020" w:right="419" w:hanging="332"/>
        <w:spacing w:after="0" w:line="268" w:lineRule="auto"/>
        <w:tabs>
          <w:tab w:leader="none" w:pos="10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if the change affects only one series of debt securities, it must be approved by the holders of a majority in principal amount of that series; and</w:t>
      </w:r>
    </w:p>
    <w:p>
      <w:pPr>
        <w:spacing w:after="0" w:line="65" w:lineRule="exact"/>
        <w:rPr>
          <w:rFonts w:ascii="Arial" w:cs="Arial" w:eastAsia="Arial" w:hAnsi="Arial"/>
          <w:sz w:val="14"/>
          <w:szCs w:val="14"/>
          <w:color w:val="auto"/>
        </w:rPr>
      </w:pPr>
    </w:p>
    <w:p>
      <w:pPr>
        <w:ind w:left="1020" w:right="299" w:hanging="332"/>
        <w:spacing w:after="0" w:line="315" w:lineRule="auto"/>
        <w:tabs>
          <w:tab w:leader="none" w:pos="10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9019"/>
          </w:cols>
          <w:pgMar w:left="1440" w:top="264" w:right="1440" w:bottom="1440" w:gutter="0" w:footer="0" w:header="0"/>
        </w:sectPr>
      </w:pPr>
    </w:p>
    <w:bookmarkStart w:id="60" w:name="page61"/>
    <w:bookmarkEnd w:id="60"/>
    <w:p>
      <w:pPr>
        <w:ind w:left="6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2805" cy="45720"/>
                    </a:xfrm>
                    <a:prstGeom prst="rect">
                      <a:avLst/>
                    </a:prstGeom>
                    <a:noFill/>
                  </pic:spPr>
                </pic:pic>
              </a:graphicData>
            </a:graphic>
          </wp:anchor>
        </w:drawing>
        <w:t>In each case, the required approval must be given by written consent.</w:t>
      </w:r>
    </w:p>
    <w:p>
      <w:pPr>
        <w:spacing w:after="0" w:line="171" w:lineRule="exact"/>
        <w:rPr>
          <w:sz w:val="20"/>
          <w:szCs w:val="20"/>
          <w:color w:val="auto"/>
        </w:rPr>
      </w:pPr>
    </w:p>
    <w:p>
      <w:pPr>
        <w:ind w:left="280" w:right="299" w:firstLine="338"/>
        <w:spacing w:after="0" w:line="254" w:lineRule="auto"/>
        <w:rPr>
          <w:sz w:val="20"/>
          <w:szCs w:val="20"/>
          <w:color w:val="auto"/>
        </w:rPr>
      </w:pPr>
      <w:r>
        <w:rPr>
          <w:rFonts w:ascii="Arial" w:cs="Arial" w:eastAsia="Arial" w:hAnsi="Arial"/>
          <w:sz w:val="14"/>
          <w:szCs w:val="14"/>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Further Details Concerning Voting</w:t>
      </w:r>
    </w:p>
    <w:p>
      <w:pPr>
        <w:spacing w:after="0" w:line="8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When taking a vote, we will use the following rules to decide how much principal to attribute to a debt security:</w:t>
      </w:r>
    </w:p>
    <w:p>
      <w:pPr>
        <w:spacing w:after="0" w:line="98" w:lineRule="exact"/>
        <w:rPr>
          <w:sz w:val="20"/>
          <w:szCs w:val="20"/>
          <w:color w:val="auto"/>
        </w:rPr>
      </w:pPr>
    </w:p>
    <w:p>
      <w:pPr>
        <w:ind w:left="1020" w:right="819" w:hanging="332"/>
        <w:spacing w:after="0" w:line="268" w:lineRule="auto"/>
        <w:tabs>
          <w:tab w:leader="none" w:pos="10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for OID securities, we will use the principal amount that would be due and payable on the voting date if the maturity of these debt securities were accelerated to that date because of a default;</w:t>
      </w:r>
    </w:p>
    <w:p>
      <w:pPr>
        <w:spacing w:after="0" w:line="65" w:lineRule="exact"/>
        <w:rPr>
          <w:rFonts w:ascii="Arial" w:cs="Arial" w:eastAsia="Arial" w:hAnsi="Arial"/>
          <w:sz w:val="14"/>
          <w:szCs w:val="14"/>
          <w:color w:val="auto"/>
        </w:rPr>
      </w:pPr>
    </w:p>
    <w:p>
      <w:pPr>
        <w:ind w:left="1020" w:right="439" w:hanging="332"/>
        <w:spacing w:after="0" w:line="268" w:lineRule="auto"/>
        <w:tabs>
          <w:tab w:leader="none" w:pos="10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for debt securities whose principal amount is not known (for example, because it is based on an index), we will use a special rule for that debt security described in the prospectus supplement; and</w:t>
      </w:r>
    </w:p>
    <w:p>
      <w:pPr>
        <w:spacing w:after="0" w:line="65" w:lineRule="exact"/>
        <w:rPr>
          <w:rFonts w:ascii="Arial" w:cs="Arial" w:eastAsia="Arial" w:hAnsi="Arial"/>
          <w:sz w:val="14"/>
          <w:szCs w:val="14"/>
          <w:color w:val="auto"/>
        </w:rPr>
      </w:pPr>
    </w:p>
    <w:p>
      <w:pPr>
        <w:ind w:left="1020" w:hanging="332"/>
        <w:spacing w:after="0"/>
        <w:tabs>
          <w:tab w:leader="none" w:pos="10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for debt securities denominated in one or more foreign currencies, we will use the U.S. dollar equivalent.</w:t>
      </w:r>
    </w:p>
    <w:p>
      <w:pPr>
        <w:spacing w:after="0" w:line="171" w:lineRule="exact"/>
        <w:rPr>
          <w:sz w:val="20"/>
          <w:szCs w:val="20"/>
          <w:color w:val="auto"/>
        </w:rPr>
      </w:pPr>
    </w:p>
    <w:p>
      <w:pPr>
        <w:ind w:left="280" w:right="299" w:firstLine="338"/>
        <w:spacing w:after="0" w:line="274" w:lineRule="auto"/>
        <w:rPr>
          <w:sz w:val="20"/>
          <w:szCs w:val="20"/>
          <w:color w:val="auto"/>
        </w:rPr>
      </w:pPr>
      <w:r>
        <w:rPr>
          <w:rFonts w:ascii="Arial" w:cs="Arial" w:eastAsia="Arial" w:hAnsi="Arial"/>
          <w:sz w:val="13"/>
          <w:szCs w:val="13"/>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33" w:lineRule="exact"/>
        <w:rPr>
          <w:sz w:val="20"/>
          <w:szCs w:val="20"/>
          <w:color w:val="auto"/>
        </w:rPr>
      </w:pPr>
    </w:p>
    <w:p>
      <w:pPr>
        <w:ind w:left="280" w:right="399" w:firstLine="338"/>
        <w:spacing w:after="0" w:line="274" w:lineRule="auto"/>
        <w:rPr>
          <w:sz w:val="20"/>
          <w:szCs w:val="20"/>
          <w:color w:val="auto"/>
        </w:rPr>
      </w:pPr>
      <w:r>
        <w:rPr>
          <w:rFonts w:ascii="Arial" w:cs="Arial" w:eastAsia="Arial" w:hAnsi="Arial"/>
          <w:sz w:val="14"/>
          <w:szCs w:val="14"/>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Defeasance</w:t>
      </w:r>
    </w:p>
    <w:p>
      <w:pPr>
        <w:spacing w:after="0" w:line="92" w:lineRule="exact"/>
        <w:rPr>
          <w:sz w:val="20"/>
          <w:szCs w:val="20"/>
          <w:color w:val="auto"/>
        </w:rPr>
      </w:pPr>
    </w:p>
    <w:p>
      <w:pPr>
        <w:ind w:left="280" w:right="679" w:firstLine="338"/>
        <w:spacing w:after="0" w:line="268" w:lineRule="auto"/>
        <w:rPr>
          <w:sz w:val="20"/>
          <w:szCs w:val="20"/>
          <w:color w:val="auto"/>
        </w:rPr>
      </w:pPr>
      <w:r>
        <w:rPr>
          <w:rFonts w:ascii="Arial" w:cs="Arial" w:eastAsia="Arial" w:hAnsi="Arial"/>
          <w:sz w:val="14"/>
          <w:szCs w:val="14"/>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Covenant Defeasance</w:t>
      </w:r>
    </w:p>
    <w:p>
      <w:pPr>
        <w:spacing w:after="0" w:line="88" w:lineRule="exact"/>
        <w:rPr>
          <w:sz w:val="20"/>
          <w:szCs w:val="20"/>
          <w:color w:val="auto"/>
        </w:rPr>
      </w:pPr>
    </w:p>
    <w:p>
      <w:pPr>
        <w:ind w:left="280" w:right="379" w:firstLine="338"/>
        <w:spacing w:after="0" w:line="276" w:lineRule="auto"/>
        <w:rPr>
          <w:sz w:val="20"/>
          <w:szCs w:val="20"/>
          <w:color w:val="auto"/>
        </w:rPr>
      </w:pPr>
      <w:r>
        <w:rPr>
          <w:rFonts w:ascii="Arial" w:cs="Arial" w:eastAsia="Arial" w:hAnsi="Arial"/>
          <w:sz w:val="13"/>
          <w:szCs w:val="13"/>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 Subordination” below. In order to achieve covenant defeasance, we must do the following:</w:t>
      </w:r>
    </w:p>
    <w:p>
      <w:pPr>
        <w:spacing w:after="0" w:line="63" w:lineRule="exact"/>
        <w:rPr>
          <w:sz w:val="20"/>
          <w:szCs w:val="20"/>
          <w:color w:val="auto"/>
        </w:rPr>
      </w:pPr>
    </w:p>
    <w:p>
      <w:pPr>
        <w:ind w:left="1020" w:right="359" w:hanging="332"/>
        <w:spacing w:after="0" w:line="286" w:lineRule="auto"/>
        <w:tabs>
          <w:tab w:leader="none" w:pos="1020" w:val="left"/>
        </w:tabs>
        <w:numPr>
          <w:ilvl w:val="0"/>
          <w:numId w:val="45"/>
        </w:numPr>
        <w:rPr>
          <w:rFonts w:ascii="Arial" w:cs="Arial" w:eastAsia="Arial" w:hAnsi="Arial"/>
          <w:sz w:val="13"/>
          <w:szCs w:val="13"/>
          <w:color w:val="auto"/>
        </w:rPr>
      </w:pPr>
      <w:r>
        <w:rPr>
          <w:rFonts w:ascii="Arial" w:cs="Arial" w:eastAsia="Arial" w:hAnsi="Arial"/>
          <w:sz w:val="13"/>
          <w:szCs w:val="13"/>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9019"/>
          </w:cols>
          <w:pgMar w:left="1440" w:top="264" w:right="1440" w:bottom="1440" w:gutter="0" w:footer="0" w:header="0"/>
        </w:sectPr>
      </w:pPr>
    </w:p>
    <w:bookmarkStart w:id="61" w:name="page62"/>
    <w:bookmarkEnd w:id="61"/>
    <w:p>
      <w:pPr>
        <w:ind w:left="1020" w:right="359" w:hanging="332"/>
        <w:spacing w:after="0" w:line="257" w:lineRule="auto"/>
        <w:tabs>
          <w:tab w:leader="none" w:pos="1020" w:val="left"/>
        </w:tabs>
        <w:numPr>
          <w:ilvl w:val="0"/>
          <w:numId w:val="46"/>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2805" cy="45720"/>
                    </a:xfrm>
                    <a:prstGeom prst="rect">
                      <a:avLst/>
                    </a:prstGeom>
                    <a:noFill/>
                  </pic:spPr>
                </pic:pic>
              </a:graphicData>
            </a:graphic>
          </wp:anchor>
        </w:drawing>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6" w:lineRule="exact"/>
        <w:rPr>
          <w:sz w:val="20"/>
          <w:szCs w:val="20"/>
          <w:color w:val="auto"/>
        </w:rPr>
      </w:pPr>
    </w:p>
    <w:p>
      <w:pPr>
        <w:ind w:left="280" w:right="379" w:firstLine="338"/>
        <w:spacing w:after="0" w:line="353" w:lineRule="auto"/>
        <w:rPr>
          <w:sz w:val="20"/>
          <w:szCs w:val="20"/>
          <w:color w:val="auto"/>
        </w:rPr>
      </w:pPr>
      <w:r>
        <w:rPr>
          <w:rFonts w:ascii="Arial" w:cs="Arial" w:eastAsia="Arial" w:hAnsi="Arial"/>
          <w:sz w:val="12"/>
          <w:szCs w:val="12"/>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92" w:lineRule="exact"/>
        <w:rPr>
          <w:sz w:val="20"/>
          <w:szCs w:val="20"/>
          <w:color w:val="auto"/>
        </w:rPr>
      </w:pPr>
    </w:p>
    <w:p>
      <w:pPr>
        <w:ind w:left="280" w:right="419" w:firstLine="338"/>
        <w:spacing w:after="0" w:line="254" w:lineRule="auto"/>
        <w:rPr>
          <w:sz w:val="20"/>
          <w:szCs w:val="20"/>
          <w:color w:val="auto"/>
        </w:rPr>
      </w:pPr>
      <w:r>
        <w:rPr>
          <w:rFonts w:ascii="Arial" w:cs="Arial" w:eastAsia="Arial" w:hAnsi="Arial"/>
          <w:sz w:val="14"/>
          <w:szCs w:val="14"/>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Full Defeasance</w:t>
      </w:r>
    </w:p>
    <w:p>
      <w:pPr>
        <w:spacing w:after="0" w:line="88" w:lineRule="exact"/>
        <w:rPr>
          <w:sz w:val="20"/>
          <w:szCs w:val="20"/>
          <w:color w:val="auto"/>
        </w:rPr>
      </w:pPr>
    </w:p>
    <w:p>
      <w:pPr>
        <w:ind w:left="280" w:right="299" w:firstLine="338"/>
        <w:spacing w:after="0" w:line="307" w:lineRule="auto"/>
        <w:rPr>
          <w:sz w:val="20"/>
          <w:szCs w:val="20"/>
          <w:color w:val="auto"/>
        </w:rPr>
      </w:pPr>
      <w:r>
        <w:rPr>
          <w:rFonts w:ascii="Arial" w:cs="Arial" w:eastAsia="Arial" w:hAnsi="Arial"/>
          <w:sz w:val="13"/>
          <w:szCs w:val="13"/>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3" w:lineRule="exact"/>
        <w:rPr>
          <w:sz w:val="20"/>
          <w:szCs w:val="20"/>
          <w:color w:val="auto"/>
        </w:rPr>
      </w:pPr>
    </w:p>
    <w:p>
      <w:pPr>
        <w:ind w:left="1020" w:right="359" w:hanging="332"/>
        <w:spacing w:after="0" w:line="286" w:lineRule="auto"/>
        <w:tabs>
          <w:tab w:leader="none" w:pos="10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6" w:lineRule="exact"/>
        <w:rPr>
          <w:rFonts w:ascii="Arial" w:cs="Arial" w:eastAsia="Arial" w:hAnsi="Arial"/>
          <w:sz w:val="13"/>
          <w:szCs w:val="13"/>
          <w:color w:val="auto"/>
        </w:rPr>
      </w:pPr>
    </w:p>
    <w:p>
      <w:pPr>
        <w:ind w:left="1020" w:right="339" w:hanging="332"/>
        <w:spacing w:after="0" w:line="274" w:lineRule="auto"/>
        <w:tabs>
          <w:tab w:leader="none" w:pos="10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64" w:lineRule="exact"/>
        <w:rPr>
          <w:rFonts w:ascii="Arial" w:cs="Arial" w:eastAsia="Arial" w:hAnsi="Arial"/>
          <w:sz w:val="13"/>
          <w:szCs w:val="13"/>
          <w:color w:val="auto"/>
        </w:rPr>
      </w:pPr>
    </w:p>
    <w:p>
      <w:pPr>
        <w:ind w:left="1020" w:right="559" w:hanging="332"/>
        <w:spacing w:after="0" w:line="307" w:lineRule="auto"/>
        <w:tabs>
          <w:tab w:leader="none" w:pos="10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15" w:lineRule="exact"/>
        <w:rPr>
          <w:sz w:val="20"/>
          <w:szCs w:val="20"/>
          <w:color w:val="auto"/>
        </w:rPr>
      </w:pPr>
    </w:p>
    <w:p>
      <w:pPr>
        <w:ind w:left="280" w:right="319" w:firstLine="338"/>
        <w:spacing w:after="0" w:line="280" w:lineRule="auto"/>
        <w:rPr>
          <w:sz w:val="20"/>
          <w:szCs w:val="20"/>
          <w:color w:val="auto"/>
        </w:rPr>
      </w:pPr>
      <w:r>
        <w:rPr>
          <w:rFonts w:ascii="Arial" w:cs="Arial" w:eastAsia="Arial" w:hAnsi="Arial"/>
          <w:sz w:val="13"/>
          <w:szCs w:val="13"/>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Form, Exchange and Transfer of Certificated Registered Securities</w:t>
      </w:r>
    </w:p>
    <w:p>
      <w:pPr>
        <w:spacing w:after="0" w:line="9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If registered debt securities cease to be issued in book-entry form, they will be issued:</w:t>
      </w:r>
    </w:p>
    <w:p>
      <w:pPr>
        <w:spacing w:after="0" w:line="98" w:lineRule="exact"/>
        <w:rPr>
          <w:sz w:val="20"/>
          <w:szCs w:val="20"/>
          <w:color w:val="auto"/>
        </w:rPr>
      </w:pPr>
    </w:p>
    <w:p>
      <w:pPr>
        <w:ind w:left="1020" w:hanging="332"/>
        <w:spacing w:after="0"/>
        <w:tabs>
          <w:tab w:leader="none" w:pos="10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only in fully registered certificated form;</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without interest coupons; and</w:t>
      </w:r>
    </w:p>
    <w:p>
      <w:pPr>
        <w:spacing w:after="0" w:line="98" w:lineRule="exact"/>
        <w:rPr>
          <w:rFonts w:ascii="Arial" w:cs="Arial" w:eastAsia="Arial" w:hAnsi="Arial"/>
          <w:sz w:val="14"/>
          <w:szCs w:val="14"/>
          <w:color w:val="auto"/>
        </w:rPr>
      </w:pPr>
    </w:p>
    <w:p>
      <w:pPr>
        <w:ind w:left="1020" w:hanging="332"/>
        <w:spacing w:after="0"/>
        <w:tabs>
          <w:tab w:leader="none" w:pos="10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unless we indicate otherwise in the prospectus supplement, in denominations of $1,000 and amounts that are multiples of $1,000.</w:t>
      </w:r>
    </w:p>
    <w:p>
      <w:pPr>
        <w:spacing w:after="0" w:line="130" w:lineRule="exact"/>
        <w:rPr>
          <w:rFonts w:ascii="Arial" w:cs="Arial" w:eastAsia="Arial" w:hAnsi="Arial"/>
          <w:sz w:val="13"/>
          <w:szCs w:val="13"/>
          <w:color w:val="auto"/>
        </w:rPr>
      </w:pPr>
    </w:p>
    <w:p>
      <w:pPr>
        <w:ind w:left="4440"/>
        <w:spacing w:after="0"/>
        <w:rPr>
          <w:rFonts w:ascii="Arial" w:cs="Arial" w:eastAsia="Arial" w:hAnsi="Arial"/>
          <w:sz w:val="13"/>
          <w:szCs w:val="13"/>
          <w:color w:val="auto"/>
        </w:rPr>
      </w:pPr>
      <w:r>
        <w:rPr>
          <w:rFonts w:ascii="Arial" w:cs="Arial" w:eastAsia="Arial" w:hAnsi="Arial"/>
          <w:sz w:val="14"/>
          <w:szCs w:val="14"/>
          <w:color w:val="auto"/>
        </w:rPr>
        <w:t>58</w:t>
      </w:r>
    </w:p>
    <w:p>
      <w:pPr>
        <w:sectPr>
          <w:pgSz w:w="11900" w:h="16838" w:orient="portrait"/>
          <w:cols w:equalWidth="0" w:num="1">
            <w:col w:w="9019"/>
          </w:cols>
          <w:pgMar w:left="1440" w:top="264" w:right="1440" w:bottom="1440" w:gutter="0" w:footer="0" w:header="0"/>
        </w:sectPr>
      </w:pPr>
    </w:p>
    <w:bookmarkStart w:id="62" w:name="page63"/>
    <w:bookmarkEnd w:id="62"/>
    <w:p>
      <w:pPr>
        <w:ind w:left="280" w:right="519" w:firstLine="338"/>
        <w:spacing w:after="0" w:line="26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2805" cy="45720"/>
                    </a:xfrm>
                    <a:prstGeom prst="rect">
                      <a:avLst/>
                    </a:prstGeom>
                    <a:noFill/>
                  </pic:spPr>
                </pic:pic>
              </a:graphicData>
            </a:graphic>
          </wp:anchor>
        </w:drawing>
        <w:t>Holders may exchange their certificated securities for debt securities of smaller denominations or combined into fewer debt securities of larger denominations, as long as the total principal amount is not changed.</w:t>
      </w:r>
    </w:p>
    <w:p>
      <w:pPr>
        <w:spacing w:after="0" w:line="138" w:lineRule="exact"/>
        <w:rPr>
          <w:sz w:val="20"/>
          <w:szCs w:val="20"/>
          <w:color w:val="auto"/>
        </w:rPr>
      </w:pPr>
    </w:p>
    <w:p>
      <w:pPr>
        <w:ind w:left="280" w:right="299" w:firstLine="338"/>
        <w:spacing w:after="0" w:line="257" w:lineRule="auto"/>
        <w:rPr>
          <w:sz w:val="20"/>
          <w:szCs w:val="20"/>
          <w:color w:val="auto"/>
        </w:rPr>
      </w:pPr>
      <w:r>
        <w:rPr>
          <w:rFonts w:ascii="Arial" w:cs="Arial" w:eastAsia="Arial" w:hAnsi="Arial"/>
          <w:sz w:val="14"/>
          <w:szCs w:val="14"/>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46" w:lineRule="exact"/>
        <w:rPr>
          <w:sz w:val="20"/>
          <w:szCs w:val="20"/>
          <w:color w:val="auto"/>
        </w:rPr>
      </w:pPr>
    </w:p>
    <w:p>
      <w:pPr>
        <w:jc w:val="both"/>
        <w:ind w:left="280" w:right="319" w:firstLine="338"/>
        <w:spacing w:after="0" w:line="257" w:lineRule="auto"/>
        <w:rPr>
          <w:sz w:val="20"/>
          <w:szCs w:val="20"/>
          <w:color w:val="auto"/>
        </w:rPr>
      </w:pPr>
      <w:r>
        <w:rPr>
          <w:rFonts w:ascii="Arial" w:cs="Arial" w:eastAsia="Arial" w:hAnsi="Arial"/>
          <w:sz w:val="14"/>
          <w:szCs w:val="14"/>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6" w:lineRule="exact"/>
        <w:rPr>
          <w:sz w:val="20"/>
          <w:szCs w:val="20"/>
          <w:color w:val="auto"/>
        </w:rPr>
      </w:pPr>
    </w:p>
    <w:p>
      <w:pPr>
        <w:ind w:left="280" w:right="599" w:firstLine="338"/>
        <w:spacing w:after="0" w:line="257" w:lineRule="auto"/>
        <w:rPr>
          <w:sz w:val="20"/>
          <w:szCs w:val="20"/>
          <w:color w:val="auto"/>
        </w:rPr>
      </w:pPr>
      <w:r>
        <w:rPr>
          <w:rFonts w:ascii="Arial" w:cs="Arial" w:eastAsia="Arial" w:hAnsi="Arial"/>
          <w:sz w:val="14"/>
          <w:szCs w:val="14"/>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46" w:lineRule="exact"/>
        <w:rPr>
          <w:sz w:val="20"/>
          <w:szCs w:val="20"/>
          <w:color w:val="auto"/>
        </w:rPr>
      </w:pPr>
    </w:p>
    <w:p>
      <w:pPr>
        <w:ind w:left="280" w:right="339" w:firstLine="338"/>
        <w:spacing w:after="0" w:line="252" w:lineRule="auto"/>
        <w:rPr>
          <w:sz w:val="20"/>
          <w:szCs w:val="20"/>
          <w:color w:val="auto"/>
        </w:rPr>
      </w:pPr>
      <w:r>
        <w:rPr>
          <w:rFonts w:ascii="Arial" w:cs="Arial" w:eastAsia="Arial" w:hAnsi="Arial"/>
          <w:sz w:val="14"/>
          <w:szCs w:val="14"/>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50" w:lineRule="exact"/>
        <w:rPr>
          <w:sz w:val="20"/>
          <w:szCs w:val="20"/>
          <w:color w:val="auto"/>
        </w:rPr>
      </w:pPr>
    </w:p>
    <w:p>
      <w:pPr>
        <w:ind w:left="280" w:right="819" w:firstLine="338"/>
        <w:spacing w:after="0" w:line="268" w:lineRule="auto"/>
        <w:rPr>
          <w:sz w:val="20"/>
          <w:szCs w:val="20"/>
          <w:color w:val="auto"/>
        </w:rPr>
      </w:pPr>
      <w:r>
        <w:rPr>
          <w:rFonts w:ascii="Arial" w:cs="Arial" w:eastAsia="Arial" w:hAnsi="Arial"/>
          <w:sz w:val="14"/>
          <w:szCs w:val="14"/>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Resignation of Trustee</w:t>
      </w:r>
    </w:p>
    <w:p>
      <w:pPr>
        <w:spacing w:after="0" w:line="175" w:lineRule="exact"/>
        <w:rPr>
          <w:sz w:val="20"/>
          <w:szCs w:val="20"/>
          <w:color w:val="auto"/>
        </w:rPr>
      </w:pPr>
    </w:p>
    <w:p>
      <w:pPr>
        <w:ind w:left="280" w:right="299" w:firstLine="338"/>
        <w:spacing w:after="0" w:line="320" w:lineRule="auto"/>
        <w:rPr>
          <w:sz w:val="20"/>
          <w:szCs w:val="20"/>
          <w:color w:val="auto"/>
        </w:rPr>
      </w:pPr>
      <w:r>
        <w:rPr>
          <w:rFonts w:ascii="Arial" w:cs="Arial" w:eastAsia="Arial" w:hAnsi="Arial"/>
          <w:sz w:val="12"/>
          <w:szCs w:val="12"/>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Indenture Provisions—Subordination</w:t>
      </w:r>
    </w:p>
    <w:p>
      <w:pPr>
        <w:spacing w:after="0" w:line="175" w:lineRule="exact"/>
        <w:rPr>
          <w:sz w:val="20"/>
          <w:szCs w:val="20"/>
          <w:color w:val="auto"/>
        </w:rPr>
      </w:pPr>
    </w:p>
    <w:p>
      <w:pPr>
        <w:ind w:left="280" w:right="319" w:firstLine="338"/>
        <w:spacing w:after="0" w:line="250" w:lineRule="auto"/>
        <w:rPr>
          <w:sz w:val="20"/>
          <w:szCs w:val="20"/>
          <w:color w:val="auto"/>
        </w:rPr>
      </w:pPr>
      <w:r>
        <w:rPr>
          <w:rFonts w:ascii="Arial" w:cs="Arial" w:eastAsia="Arial" w:hAnsi="Arial"/>
          <w:sz w:val="14"/>
          <w:szCs w:val="14"/>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53" w:lineRule="exact"/>
        <w:rPr>
          <w:sz w:val="20"/>
          <w:szCs w:val="20"/>
          <w:color w:val="auto"/>
        </w:rPr>
      </w:pPr>
    </w:p>
    <w:p>
      <w:pPr>
        <w:ind w:left="280" w:right="359" w:firstLine="338"/>
        <w:spacing w:after="0" w:line="252" w:lineRule="auto"/>
        <w:rPr>
          <w:sz w:val="20"/>
          <w:szCs w:val="20"/>
          <w:color w:val="auto"/>
        </w:rPr>
      </w:pPr>
      <w:r>
        <w:rPr>
          <w:rFonts w:ascii="Arial" w:cs="Arial" w:eastAsia="Arial" w:hAnsi="Arial"/>
          <w:sz w:val="14"/>
          <w:szCs w:val="14"/>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9019"/>
          </w:cols>
          <w:pgMar w:left="1440" w:top="264" w:right="1440" w:bottom="1440" w:gutter="0" w:footer="0" w:header="0"/>
        </w:sectPr>
      </w:pPr>
    </w:p>
    <w:bookmarkStart w:id="63" w:name="page64"/>
    <w:bookmarkEnd w:id="63"/>
    <w:p>
      <w:pPr>
        <w:ind w:left="280" w:right="339"/>
        <w:spacing w:after="0" w:line="35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2805" cy="45720"/>
                    </a:xfrm>
                    <a:prstGeom prst="rect">
                      <a:avLst/>
                    </a:prstGeom>
                    <a:noFill/>
                  </pic:spPr>
                </pic:pic>
              </a:graphicData>
            </a:graphic>
          </wp:anchor>
        </w:drawing>
        <w:t>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92" w:lineRule="exact"/>
        <w:rPr>
          <w:sz w:val="20"/>
          <w:szCs w:val="20"/>
          <w:color w:val="auto"/>
        </w:rPr>
      </w:pPr>
    </w:p>
    <w:p>
      <w:pPr>
        <w:ind w:left="280" w:right="379" w:firstLine="338"/>
        <w:spacing w:after="0" w:line="257" w:lineRule="auto"/>
        <w:rPr>
          <w:sz w:val="20"/>
          <w:szCs w:val="20"/>
          <w:color w:val="auto"/>
        </w:rPr>
      </w:pPr>
      <w:r>
        <w:rPr>
          <w:rFonts w:ascii="Arial" w:cs="Arial" w:eastAsia="Arial" w:hAnsi="Arial"/>
          <w:sz w:val="14"/>
          <w:szCs w:val="14"/>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14"/>
          <w:szCs w:val="14"/>
          <w:color w:val="auto"/>
        </w:rPr>
        <w:t>Senior Indebtedness is defined in the indenture as the principal of (and premium, if any) and unpaid interest on:</w:t>
      </w:r>
    </w:p>
    <w:p>
      <w:pPr>
        <w:spacing w:after="0" w:line="98" w:lineRule="exact"/>
        <w:rPr>
          <w:sz w:val="20"/>
          <w:szCs w:val="20"/>
          <w:color w:val="auto"/>
        </w:rPr>
      </w:pPr>
    </w:p>
    <w:p>
      <w:pPr>
        <w:ind w:left="1020" w:right="559" w:hanging="332"/>
        <w:spacing w:after="0" w:line="280" w:lineRule="auto"/>
        <w:tabs>
          <w:tab w:leader="none" w:pos="1020" w:val="left"/>
        </w:tabs>
        <w:numPr>
          <w:ilvl w:val="0"/>
          <w:numId w:val="49"/>
        </w:numPr>
        <w:rPr>
          <w:rFonts w:ascii="Arial" w:cs="Arial" w:eastAsia="Arial" w:hAnsi="Arial"/>
          <w:sz w:val="13"/>
          <w:szCs w:val="13"/>
          <w:color w:val="auto"/>
        </w:rPr>
      </w:pPr>
      <w:r>
        <w:rPr>
          <w:rFonts w:ascii="Arial" w:cs="Arial" w:eastAsia="Arial" w:hAnsi="Arial"/>
          <w:sz w:val="13"/>
          <w:szCs w:val="13"/>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59" w:lineRule="exact"/>
        <w:rPr>
          <w:rFonts w:ascii="Arial" w:cs="Arial" w:eastAsia="Arial" w:hAnsi="Arial"/>
          <w:sz w:val="13"/>
          <w:szCs w:val="13"/>
          <w:color w:val="auto"/>
        </w:rPr>
      </w:pPr>
    </w:p>
    <w:p>
      <w:pPr>
        <w:ind w:left="1020" w:hanging="332"/>
        <w:spacing w:after="0"/>
        <w:tabs>
          <w:tab w:leader="none" w:pos="10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renewals, extensions, modifications and refinancings of any of this indebtedness.</w:t>
      </w:r>
    </w:p>
    <w:p>
      <w:pPr>
        <w:spacing w:after="0" w:line="171" w:lineRule="exact"/>
        <w:rPr>
          <w:sz w:val="20"/>
          <w:szCs w:val="20"/>
          <w:color w:val="auto"/>
        </w:rPr>
      </w:pPr>
    </w:p>
    <w:p>
      <w:pPr>
        <w:ind w:left="280" w:right="319" w:firstLine="338"/>
        <w:spacing w:after="0" w:line="353" w:lineRule="auto"/>
        <w:rPr>
          <w:sz w:val="20"/>
          <w:szCs w:val="20"/>
          <w:color w:val="auto"/>
        </w:rPr>
      </w:pPr>
      <w:r>
        <w:rPr>
          <w:rFonts w:ascii="Arial" w:cs="Arial" w:eastAsia="Arial" w:hAnsi="Arial"/>
          <w:sz w:val="12"/>
          <w:szCs w:val="12"/>
          <w:color w:val="auto"/>
        </w:rPr>
        <w:t>If this prospectus is being delivered in connection with the offering of a series of indenture securities denominated as subordinated debt securities, an accompanying prospectus supplement will set forth the approximate amount of our Senior Indebtedness outstanding as of a recent date.</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The Trustee under the Indenture</w:t>
      </w:r>
    </w:p>
    <w:p>
      <w:pPr>
        <w:spacing w:after="0" w:line="92" w:lineRule="exact"/>
        <w:rPr>
          <w:sz w:val="20"/>
          <w:szCs w:val="20"/>
          <w:color w:val="auto"/>
        </w:rPr>
      </w:pPr>
    </w:p>
    <w:p>
      <w:pPr>
        <w:ind w:left="280" w:right="339" w:firstLine="338"/>
        <w:spacing w:after="0" w:line="268" w:lineRule="auto"/>
        <w:rPr>
          <w:sz w:val="20"/>
          <w:szCs w:val="20"/>
          <w:color w:val="auto"/>
        </w:rPr>
      </w:pPr>
      <w:r>
        <w:rPr>
          <w:rFonts w:ascii="Arial" w:cs="Arial" w:eastAsia="Arial" w:hAnsi="Arial"/>
          <w:sz w:val="14"/>
          <w:szCs w:val="14"/>
          <w:color w:val="auto"/>
        </w:rPr>
        <w:t>American Stock Transfer &amp; Trust Company, LLC is the trustee under the indenture and the 2026 Notes. Mishmeret Trust Company, Ltd. serves as trustee for our 2023 Notes.</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Certain Considerations Relating to Foreign Currencies</w:t>
      </w:r>
    </w:p>
    <w:p>
      <w:pPr>
        <w:spacing w:after="0" w:line="92" w:lineRule="exact"/>
        <w:rPr>
          <w:sz w:val="20"/>
          <w:szCs w:val="20"/>
          <w:color w:val="auto"/>
        </w:rPr>
      </w:pPr>
    </w:p>
    <w:p>
      <w:pPr>
        <w:ind w:left="280" w:right="679" w:firstLine="338"/>
        <w:spacing w:after="0" w:line="254" w:lineRule="auto"/>
        <w:rPr>
          <w:sz w:val="20"/>
          <w:szCs w:val="20"/>
          <w:color w:val="auto"/>
        </w:rPr>
      </w:pPr>
      <w:r>
        <w:rPr>
          <w:rFonts w:ascii="Arial" w:cs="Arial" w:eastAsia="Arial" w:hAnsi="Arial"/>
          <w:sz w:val="14"/>
          <w:szCs w:val="14"/>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BROKERAGE ALLOCATIONS AND OTHER PRACTICES</w:t>
      </w:r>
    </w:p>
    <w:p>
      <w:pPr>
        <w:spacing w:after="0" w:line="175" w:lineRule="exact"/>
        <w:rPr>
          <w:sz w:val="20"/>
          <w:szCs w:val="20"/>
          <w:color w:val="auto"/>
        </w:rPr>
      </w:pPr>
    </w:p>
    <w:p>
      <w:pPr>
        <w:ind w:left="280" w:right="379" w:firstLine="338"/>
        <w:spacing w:after="0" w:line="270" w:lineRule="auto"/>
        <w:rPr>
          <w:sz w:val="20"/>
          <w:szCs w:val="20"/>
          <w:color w:val="auto"/>
        </w:rPr>
      </w:pPr>
      <w:r>
        <w:rPr>
          <w:rFonts w:ascii="Arial" w:cs="Arial" w:eastAsia="Arial" w:hAnsi="Arial"/>
          <w:sz w:val="13"/>
          <w:szCs w:val="13"/>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us,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9019"/>
          </w:cols>
          <w:pgMar w:left="1440" w:top="264" w:right="1440" w:bottom="1440" w:gutter="0" w:footer="0" w:header="0"/>
        </w:sectPr>
      </w:pPr>
    </w:p>
    <w:bookmarkStart w:id="64" w:name="page65"/>
    <w:bookmarkEnd w:id="64"/>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2805" cy="45720"/>
                    </a:xfrm>
                    <a:prstGeom prst="rect">
                      <a:avLst/>
                    </a:prstGeom>
                    <a:noFill/>
                  </pic:spPr>
                </pic:pic>
              </a:graphicData>
            </a:graphic>
          </wp:anchor>
        </w:drawing>
        <w:t>MATERIAL U.S. FEDERAL INCOME TAX CONSIDERATIONS</w:t>
      </w:r>
    </w:p>
    <w:p>
      <w:pPr>
        <w:spacing w:after="0" w:line="175" w:lineRule="exact"/>
        <w:rPr>
          <w:sz w:val="20"/>
          <w:szCs w:val="20"/>
          <w:color w:val="auto"/>
        </w:rPr>
      </w:pPr>
    </w:p>
    <w:p>
      <w:pPr>
        <w:ind w:left="280" w:right="279" w:firstLine="338"/>
        <w:spacing w:after="0" w:line="295" w:lineRule="auto"/>
        <w:rPr>
          <w:sz w:val="20"/>
          <w:szCs w:val="20"/>
          <w:color w:val="auto"/>
        </w:rPr>
      </w:pPr>
      <w:r>
        <w:rPr>
          <w:rFonts w:ascii="Arial" w:cs="Arial" w:eastAsia="Arial" w:hAnsi="Arial"/>
          <w:sz w:val="12"/>
          <w:szCs w:val="12"/>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5" w:lineRule="exact"/>
        <w:rPr>
          <w:sz w:val="20"/>
          <w:szCs w:val="20"/>
          <w:color w:val="auto"/>
        </w:rPr>
      </w:pPr>
    </w:p>
    <w:p>
      <w:pPr>
        <w:ind w:left="620"/>
        <w:spacing w:after="0"/>
        <w:rPr>
          <w:sz w:val="20"/>
          <w:szCs w:val="20"/>
          <w:color w:val="auto"/>
        </w:rPr>
      </w:pPr>
      <w:r>
        <w:rPr>
          <w:rFonts w:ascii="Arial" w:cs="Arial" w:eastAsia="Arial" w:hAnsi="Arial"/>
          <w:sz w:val="14"/>
          <w:szCs w:val="14"/>
          <w:color w:val="auto"/>
        </w:rPr>
        <w:t>A “U.S. stockholder” generally is a beneficial owner of shares of our common stock that is for U.S. federal income tax purposes:</w:t>
      </w:r>
    </w:p>
    <w:p>
      <w:pPr>
        <w:spacing w:after="0" w:line="98" w:lineRule="exact"/>
        <w:rPr>
          <w:sz w:val="20"/>
          <w:szCs w:val="20"/>
          <w:color w:val="auto"/>
        </w:rPr>
      </w:pPr>
    </w:p>
    <w:p>
      <w:pPr>
        <w:ind w:left="1020" w:hanging="332"/>
        <w:spacing w:after="0"/>
        <w:tabs>
          <w:tab w:leader="none" w:pos="10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 citizen or individual resident of the United States;</w:t>
      </w:r>
    </w:p>
    <w:p>
      <w:pPr>
        <w:spacing w:after="0" w:line="98" w:lineRule="exact"/>
        <w:rPr>
          <w:rFonts w:ascii="Arial" w:cs="Arial" w:eastAsia="Arial" w:hAnsi="Arial"/>
          <w:sz w:val="14"/>
          <w:szCs w:val="14"/>
          <w:color w:val="auto"/>
        </w:rPr>
      </w:pPr>
    </w:p>
    <w:p>
      <w:pPr>
        <w:ind w:left="1020" w:right="339" w:hanging="332"/>
        <w:spacing w:after="0" w:line="268" w:lineRule="auto"/>
        <w:tabs>
          <w:tab w:leader="none" w:pos="10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 corporation, or other entity treated as a corporation for U.S. federal income tax purposes, created or organized in or under the laws of the United States or any state thereof or the District of Columbia; or</w:t>
      </w:r>
    </w:p>
    <w:p>
      <w:pPr>
        <w:spacing w:after="0" w:line="65" w:lineRule="exact"/>
        <w:rPr>
          <w:rFonts w:ascii="Arial" w:cs="Arial" w:eastAsia="Arial" w:hAnsi="Arial"/>
          <w:sz w:val="14"/>
          <w:szCs w:val="14"/>
          <w:color w:val="auto"/>
        </w:rPr>
      </w:pPr>
    </w:p>
    <w:p>
      <w:pPr>
        <w:ind w:left="1020" w:right="479" w:hanging="332"/>
        <w:spacing w:after="0" w:line="257" w:lineRule="auto"/>
        <w:tabs>
          <w:tab w:leader="none" w:pos="10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73" w:lineRule="exact"/>
        <w:rPr>
          <w:rFonts w:ascii="Arial" w:cs="Arial" w:eastAsia="Arial" w:hAnsi="Arial"/>
          <w:sz w:val="14"/>
          <w:szCs w:val="14"/>
          <w:color w:val="auto"/>
        </w:rPr>
      </w:pPr>
    </w:p>
    <w:p>
      <w:pPr>
        <w:ind w:left="1020" w:hanging="332"/>
        <w:spacing w:after="0"/>
        <w:tabs>
          <w:tab w:leader="none" w:pos="10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 estate, the income of which is subject to U.S. federal income taxation regardless of its source.</w:t>
      </w:r>
    </w:p>
    <w:p>
      <w:pPr>
        <w:spacing w:after="0" w:line="171" w:lineRule="exact"/>
        <w:rPr>
          <w:sz w:val="20"/>
          <w:szCs w:val="20"/>
          <w:color w:val="auto"/>
        </w:rPr>
      </w:pPr>
    </w:p>
    <w:p>
      <w:pPr>
        <w:ind w:left="280" w:right="319" w:firstLine="338"/>
        <w:spacing w:after="0" w:line="268" w:lineRule="auto"/>
        <w:rPr>
          <w:sz w:val="20"/>
          <w:szCs w:val="20"/>
          <w:color w:val="auto"/>
        </w:rPr>
      </w:pPr>
      <w:r>
        <w:rPr>
          <w:rFonts w:ascii="Arial" w:cs="Arial" w:eastAsia="Arial" w:hAnsi="Arial"/>
          <w:sz w:val="14"/>
          <w:szCs w:val="14"/>
          <w:color w:val="auto"/>
        </w:rPr>
        <w:t>A “Non-U.S. stockholder” is a beneficial owner of shares of our common stock that is neither a U.S. stockholder nor a partnership for U.S. federal income tax purposes.</w:t>
      </w:r>
    </w:p>
    <w:p>
      <w:pPr>
        <w:spacing w:after="0" w:line="138" w:lineRule="exact"/>
        <w:rPr>
          <w:sz w:val="20"/>
          <w:szCs w:val="20"/>
          <w:color w:val="auto"/>
        </w:rPr>
      </w:pPr>
    </w:p>
    <w:p>
      <w:pPr>
        <w:ind w:left="280" w:right="339" w:firstLine="338"/>
        <w:spacing w:after="0" w:line="254" w:lineRule="auto"/>
        <w:rPr>
          <w:sz w:val="20"/>
          <w:szCs w:val="20"/>
          <w:color w:val="auto"/>
        </w:rPr>
      </w:pPr>
      <w:r>
        <w:rPr>
          <w:rFonts w:ascii="Arial" w:cs="Arial" w:eastAsia="Arial" w:hAnsi="Arial"/>
          <w:sz w:val="14"/>
          <w:szCs w:val="14"/>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8" w:lineRule="exact"/>
        <w:rPr>
          <w:sz w:val="20"/>
          <w:szCs w:val="20"/>
          <w:color w:val="auto"/>
        </w:rPr>
      </w:pPr>
    </w:p>
    <w:p>
      <w:pPr>
        <w:jc w:val="both"/>
        <w:ind w:left="280" w:right="379" w:firstLine="338"/>
        <w:spacing w:after="0" w:line="254" w:lineRule="auto"/>
        <w:rPr>
          <w:sz w:val="20"/>
          <w:szCs w:val="20"/>
          <w:color w:val="auto"/>
        </w:rPr>
      </w:pPr>
      <w:r>
        <w:rPr>
          <w:rFonts w:ascii="Arial" w:cs="Arial" w:eastAsia="Arial" w:hAnsi="Arial"/>
          <w:sz w:val="14"/>
          <w:szCs w:val="14"/>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27"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Taxation in Connection with Holding Securities other than our Common Stock</w:t>
      </w:r>
    </w:p>
    <w:p>
      <w:pPr>
        <w:spacing w:after="0" w:line="92" w:lineRule="exact"/>
        <w:rPr>
          <w:sz w:val="20"/>
          <w:szCs w:val="20"/>
          <w:color w:val="auto"/>
        </w:rPr>
      </w:pPr>
    </w:p>
    <w:p>
      <w:pPr>
        <w:ind w:left="280" w:right="419" w:firstLine="338"/>
        <w:spacing w:after="0" w:line="320" w:lineRule="auto"/>
        <w:rPr>
          <w:sz w:val="20"/>
          <w:szCs w:val="20"/>
          <w:color w:val="auto"/>
        </w:rPr>
      </w:pPr>
      <w:r>
        <w:rPr>
          <w:rFonts w:ascii="Arial" w:cs="Arial" w:eastAsia="Arial" w:hAnsi="Arial"/>
          <w:sz w:val="12"/>
          <w:szCs w:val="12"/>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9019"/>
          </w:cols>
          <w:pgMar w:left="1440" w:top="260" w:right="1440" w:bottom="1440" w:gutter="0" w:footer="0" w:header="0"/>
        </w:sectPr>
      </w:pPr>
    </w:p>
    <w:bookmarkStart w:id="65" w:name="page66"/>
    <w:bookmarkEnd w:id="65"/>
    <w:p>
      <w:pPr>
        <w:ind w:left="280" w:right="299"/>
        <w:spacing w:after="0" w:line="26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2805" cy="45720"/>
                    </a:xfrm>
                    <a:prstGeom prst="rect">
                      <a:avLst/>
                    </a:prstGeom>
                    <a:noFill/>
                  </pic:spPr>
                </pic:pic>
              </a:graphicData>
            </a:graphic>
          </wp:anchor>
        </w:drawing>
        <w:t>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Election to be Taxed as a RIC</w:t>
      </w:r>
    </w:p>
    <w:p>
      <w:pPr>
        <w:spacing w:after="0" w:line="92" w:lineRule="exact"/>
        <w:rPr>
          <w:sz w:val="20"/>
          <w:szCs w:val="20"/>
          <w:color w:val="auto"/>
        </w:rPr>
      </w:pPr>
    </w:p>
    <w:p>
      <w:pPr>
        <w:ind w:left="280" w:right="399" w:firstLine="338"/>
        <w:spacing w:after="0" w:line="274"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if any, or investment company taxable income, and determined without regard to any deduction for dividends paid, out of the assets legally available for distribution, or the Annual Distribution Requirement.</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14"/>
          <w:szCs w:val="14"/>
          <w:color w:val="auto"/>
        </w:rPr>
        <w:t>In order to qualify as a RIC for federal income tax purposes, we must:</w:t>
      </w:r>
    </w:p>
    <w:p>
      <w:pPr>
        <w:spacing w:after="0" w:line="98" w:lineRule="exact"/>
        <w:rPr>
          <w:sz w:val="20"/>
          <w:szCs w:val="20"/>
          <w:color w:val="auto"/>
        </w:rPr>
      </w:pPr>
    </w:p>
    <w:p>
      <w:pPr>
        <w:ind w:left="1020" w:hanging="332"/>
        <w:spacing w:after="0"/>
        <w:tabs>
          <w:tab w:leader="none" w:pos="10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maintain an election to be treated as a BDC under the 1940 Act at all times during each taxable year;</w:t>
      </w:r>
    </w:p>
    <w:p>
      <w:pPr>
        <w:spacing w:after="0" w:line="98" w:lineRule="exact"/>
        <w:rPr>
          <w:rFonts w:ascii="Arial" w:cs="Arial" w:eastAsia="Arial" w:hAnsi="Arial"/>
          <w:sz w:val="14"/>
          <w:szCs w:val="14"/>
          <w:color w:val="auto"/>
        </w:rPr>
      </w:pPr>
    </w:p>
    <w:p>
      <w:pPr>
        <w:ind w:left="1020" w:right="319" w:hanging="332"/>
        <w:spacing w:after="0" w:line="286" w:lineRule="auto"/>
        <w:tabs>
          <w:tab w:leader="none" w:pos="1020" w:val="left"/>
        </w:tabs>
        <w:numPr>
          <w:ilvl w:val="0"/>
          <w:numId w:val="51"/>
        </w:numPr>
        <w:rPr>
          <w:rFonts w:ascii="Arial" w:cs="Arial" w:eastAsia="Arial" w:hAnsi="Arial"/>
          <w:sz w:val="13"/>
          <w:szCs w:val="13"/>
          <w:color w:val="auto"/>
        </w:rPr>
      </w:pPr>
      <w:r>
        <w:rPr>
          <w:rFonts w:ascii="Arial" w:cs="Arial" w:eastAsia="Arial" w:hAnsi="Arial"/>
          <w:sz w:val="13"/>
          <w:szCs w:val="13"/>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56" w:lineRule="exact"/>
        <w:rPr>
          <w:rFonts w:ascii="Arial" w:cs="Arial" w:eastAsia="Arial" w:hAnsi="Arial"/>
          <w:sz w:val="13"/>
          <w:szCs w:val="13"/>
          <w:color w:val="auto"/>
        </w:rPr>
      </w:pPr>
    </w:p>
    <w:p>
      <w:pPr>
        <w:ind w:left="1020" w:hanging="332"/>
        <w:spacing w:after="0"/>
        <w:tabs>
          <w:tab w:leader="none" w:pos="10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diversify our holdings, or the Diversification Tests, so that at the end of each quarter of the taxable year:</w:t>
      </w:r>
    </w:p>
    <w:p>
      <w:pPr>
        <w:spacing w:after="0" w:line="98" w:lineRule="exact"/>
        <w:rPr>
          <w:rFonts w:ascii="Arial" w:cs="Arial" w:eastAsia="Arial" w:hAnsi="Arial"/>
          <w:sz w:val="14"/>
          <w:szCs w:val="14"/>
          <w:color w:val="auto"/>
        </w:rPr>
      </w:pPr>
    </w:p>
    <w:p>
      <w:pPr>
        <w:ind w:left="1360" w:right="439" w:hanging="330"/>
        <w:spacing w:after="0" w:line="257" w:lineRule="auto"/>
        <w:tabs>
          <w:tab w:leader="none" w:pos="1360" w:val="left"/>
        </w:tabs>
        <w:numPr>
          <w:ilvl w:val="1"/>
          <w:numId w:val="51"/>
        </w:numPr>
        <w:rPr>
          <w:rFonts w:ascii="Arial" w:cs="Arial" w:eastAsia="Arial" w:hAnsi="Arial"/>
          <w:sz w:val="14"/>
          <w:szCs w:val="14"/>
          <w:color w:val="auto"/>
        </w:rPr>
      </w:pPr>
      <w:r>
        <w:rPr>
          <w:rFonts w:ascii="Arial" w:cs="Arial" w:eastAsia="Arial" w:hAnsi="Arial"/>
          <w:sz w:val="14"/>
          <w:szCs w:val="14"/>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73" w:lineRule="exact"/>
        <w:rPr>
          <w:rFonts w:ascii="Arial" w:cs="Arial" w:eastAsia="Arial" w:hAnsi="Arial"/>
          <w:sz w:val="14"/>
          <w:szCs w:val="14"/>
          <w:color w:val="auto"/>
        </w:rPr>
      </w:pPr>
    </w:p>
    <w:p>
      <w:pPr>
        <w:jc w:val="both"/>
        <w:ind w:left="1360" w:right="299" w:hanging="330"/>
        <w:spacing w:after="0" w:line="286" w:lineRule="auto"/>
        <w:tabs>
          <w:tab w:leader="none" w:pos="1360" w:val="left"/>
        </w:tabs>
        <w:numPr>
          <w:ilvl w:val="1"/>
          <w:numId w:val="51"/>
        </w:numPr>
        <w:rPr>
          <w:rFonts w:ascii="Arial" w:cs="Arial" w:eastAsia="Arial" w:hAnsi="Arial"/>
          <w:sz w:val="13"/>
          <w:szCs w:val="13"/>
          <w:color w:val="auto"/>
        </w:rPr>
      </w:pPr>
      <w:r>
        <w:rPr>
          <w:rFonts w:ascii="Arial" w:cs="Arial" w:eastAsia="Arial" w:hAnsi="Arial"/>
          <w:sz w:val="13"/>
          <w:szCs w:val="13"/>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29" w:lineRule="exact"/>
        <w:rPr>
          <w:sz w:val="20"/>
          <w:szCs w:val="20"/>
          <w:color w:val="auto"/>
        </w:rPr>
      </w:pPr>
    </w:p>
    <w:p>
      <w:pPr>
        <w:ind w:left="280" w:right="299" w:firstLine="338"/>
        <w:spacing w:after="0" w:line="296" w:lineRule="auto"/>
        <w:rPr>
          <w:sz w:val="20"/>
          <w:szCs w:val="20"/>
          <w:color w:val="auto"/>
        </w:rPr>
      </w:pPr>
      <w:r>
        <w:rPr>
          <w:rFonts w:ascii="Arial" w:cs="Arial" w:eastAsia="Arial" w:hAnsi="Arial"/>
          <w:sz w:val="12"/>
          <w:szCs w:val="12"/>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 we did not incur any corporate income tax,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treated as a RIC, in order to provide us with additional liquidity.</w:t>
      </w:r>
    </w:p>
    <w:p>
      <w:pPr>
        <w:spacing w:after="0" w:line="127" w:lineRule="exact"/>
        <w:rPr>
          <w:sz w:val="20"/>
          <w:szCs w:val="20"/>
          <w:color w:val="auto"/>
        </w:rPr>
      </w:pPr>
    </w:p>
    <w:p>
      <w:pPr>
        <w:jc w:val="both"/>
        <w:ind w:left="280" w:right="319" w:firstLine="338"/>
        <w:spacing w:after="0" w:line="320" w:lineRule="auto"/>
        <w:rPr>
          <w:sz w:val="20"/>
          <w:szCs w:val="20"/>
          <w:color w:val="auto"/>
        </w:rPr>
      </w:pPr>
      <w:r>
        <w:rPr>
          <w:rFonts w:ascii="Arial" w:cs="Arial" w:eastAsia="Arial" w:hAnsi="Arial"/>
          <w:sz w:val="12"/>
          <w:szCs w:val="12"/>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9019"/>
          </w:cols>
          <w:pgMar w:left="1440" w:top="264" w:right="1440" w:bottom="1440" w:gutter="0" w:footer="0" w:header="0"/>
        </w:sectPr>
      </w:pPr>
    </w:p>
    <w:bookmarkStart w:id="66" w:name="page67"/>
    <w:bookmarkEnd w:id="66"/>
    <w:p>
      <w:pPr>
        <w:ind w:left="280" w:right="699"/>
        <w:spacing w:after="0" w:line="26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2805" cy="45720"/>
                    </a:xfrm>
                    <a:prstGeom prst="rect">
                      <a:avLst/>
                    </a:prstGeom>
                    <a:noFill/>
                  </pic:spPr>
                </pic:pic>
              </a:graphicData>
            </a:graphic>
          </wp:anchor>
        </w:drawing>
        <w:t>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38" w:lineRule="exact"/>
        <w:rPr>
          <w:sz w:val="20"/>
          <w:szCs w:val="20"/>
          <w:color w:val="auto"/>
        </w:rPr>
      </w:pPr>
    </w:p>
    <w:p>
      <w:pPr>
        <w:ind w:left="280" w:right="359" w:firstLine="338"/>
        <w:spacing w:after="0" w:line="276" w:lineRule="auto"/>
        <w:rPr>
          <w:sz w:val="20"/>
          <w:szCs w:val="20"/>
          <w:color w:val="auto"/>
        </w:rPr>
      </w:pPr>
      <w:r>
        <w:rPr>
          <w:rFonts w:ascii="Arial" w:cs="Arial" w:eastAsia="Arial" w:hAnsi="Arial"/>
          <w:sz w:val="13"/>
          <w:szCs w:val="13"/>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recognize such income and fees indirectly through the Taxable Subsidiary, which is classified as a corporation for U.S. federal income tax purposes. The Taxable Subsidiary generally will be subject to corporate income taxes on its earnings, which ultimately will reduce our return on such income and fees.</w:t>
      </w:r>
    </w:p>
    <w:p>
      <w:pPr>
        <w:spacing w:after="0" w:line="215"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Taxation as a RIC</w:t>
      </w:r>
    </w:p>
    <w:p>
      <w:pPr>
        <w:spacing w:after="0" w:line="92" w:lineRule="exact"/>
        <w:rPr>
          <w:sz w:val="20"/>
          <w:szCs w:val="20"/>
          <w:color w:val="auto"/>
        </w:rPr>
      </w:pPr>
    </w:p>
    <w:p>
      <w:pPr>
        <w:ind w:left="280" w:right="299" w:firstLine="338"/>
        <w:spacing w:after="0" w:line="251" w:lineRule="auto"/>
        <w:rPr>
          <w:sz w:val="20"/>
          <w:szCs w:val="20"/>
          <w:color w:val="auto"/>
        </w:rPr>
      </w:pPr>
      <w:r>
        <w:rPr>
          <w:rFonts w:ascii="Arial" w:cs="Arial" w:eastAsia="Arial" w:hAnsi="Arial"/>
          <w:sz w:val="14"/>
          <w:szCs w:val="14"/>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have distributed)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deemed to have been distributed) as dividends for U.S. federal income tax purposes to our stockholders.</w:t>
      </w:r>
    </w:p>
    <w:p>
      <w:pPr>
        <w:spacing w:after="0" w:line="151" w:lineRule="exact"/>
        <w:rPr>
          <w:sz w:val="20"/>
          <w:szCs w:val="20"/>
          <w:color w:val="auto"/>
        </w:rPr>
      </w:pPr>
    </w:p>
    <w:p>
      <w:pPr>
        <w:ind w:left="280" w:right="279" w:firstLine="338"/>
        <w:spacing w:after="0" w:line="274" w:lineRule="auto"/>
        <w:rPr>
          <w:sz w:val="20"/>
          <w:szCs w:val="20"/>
          <w:color w:val="auto"/>
        </w:rPr>
      </w:pPr>
      <w:r>
        <w:rPr>
          <w:rFonts w:ascii="Arial" w:cs="Arial" w:eastAsia="Arial" w:hAnsi="Arial"/>
          <w:sz w:val="13"/>
          <w:szCs w:val="13"/>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37" w:lineRule="exact"/>
        <w:rPr>
          <w:sz w:val="20"/>
          <w:szCs w:val="20"/>
          <w:color w:val="auto"/>
        </w:rPr>
      </w:pPr>
    </w:p>
    <w:p>
      <w:pPr>
        <w:ind w:left="280" w:right="359" w:firstLine="338"/>
        <w:spacing w:after="0" w:line="276" w:lineRule="auto"/>
        <w:rPr>
          <w:sz w:val="20"/>
          <w:szCs w:val="20"/>
          <w:color w:val="auto"/>
        </w:rPr>
      </w:pPr>
      <w:r>
        <w:rPr>
          <w:rFonts w:ascii="Arial" w:cs="Arial" w:eastAsia="Arial" w:hAnsi="Arial"/>
          <w:sz w:val="13"/>
          <w:szCs w:val="13"/>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36" w:lineRule="exact"/>
        <w:rPr>
          <w:sz w:val="20"/>
          <w:szCs w:val="20"/>
          <w:color w:val="auto"/>
        </w:rPr>
      </w:pPr>
    </w:p>
    <w:p>
      <w:pPr>
        <w:ind w:left="280" w:right="339" w:firstLine="338"/>
        <w:spacing w:after="0" w:line="271" w:lineRule="auto"/>
        <w:rPr>
          <w:sz w:val="20"/>
          <w:szCs w:val="20"/>
          <w:color w:val="auto"/>
        </w:rPr>
      </w:pPr>
      <w:r>
        <w:rPr>
          <w:rFonts w:ascii="Arial" w:cs="Arial" w:eastAsia="Arial" w:hAnsi="Arial"/>
          <w:sz w:val="13"/>
          <w:szCs w:val="13"/>
          <w:color w:val="auto"/>
        </w:rPr>
        <w:t>In order to enable us to make distributions to stockholders that will be sufficient to enable us to satisfy the Annual Distribution Requirement and the Excise Tax Avoidance Requirement we may need to liquidate or sell some of our assets at times or at prices that are not advantageous, raise additional equity or debt capital, take out loans, forego new investment opportunities or otherwise take actions that are disadvantageous to our business (or be unable to take actions that are advantageous to our business). If we borrow money, we may be prevented by loan covenants from declaring and paying dividends in certain circumstances. Even if we are authorized to borrow funds and to sell assets in order to satisfy distribution requirements, under the 1940 Act, we are generally not permitted to make distributions to our stockholders while our debt obligations and senior securities are outstanding unless certain “asset coverage” tests or other financial covenants are met. Limits on our payment of dividends may prevent us from meeting the Annual Distribution Requirement, and may, therefore, jeopardize our qualification for taxation as a RIC, or subject us to the 4% excise tax on undistributed income.</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9019"/>
          </w:cols>
          <w:pgMar w:left="1440" w:top="264" w:right="1440" w:bottom="1440" w:gutter="0" w:footer="0" w:header="0"/>
        </w:sectPr>
      </w:pPr>
    </w:p>
    <w:bookmarkStart w:id="67" w:name="page68"/>
    <w:bookmarkEnd w:id="67"/>
    <w:p>
      <w:pPr>
        <w:ind w:left="280" w:right="339" w:firstLine="338"/>
        <w:spacing w:after="0" w:line="276"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2805" cy="45720"/>
                    </a:xfrm>
                    <a:prstGeom prst="rect">
                      <a:avLst/>
                    </a:prstGeom>
                    <a:noFill/>
                  </pic:spPr>
                </pic:pic>
              </a:graphicData>
            </a:graphic>
          </wp:anchor>
        </w:drawing>
        <w:t>A portfolio company in which we invest may face financial difficulty that requires us to work-out, modify or otherwise restructure our investment in the portfolio company. Any such restructuring could, depending on the specific terms of the restructuring, cause us to recognize taxable income without a corresponding receipt of cash, which could affect our ability to satisfy the Annual Distribution Requirement or the Excise Tax Avoidance Requirement, or result in unusable capital losses and future non-cash income. Any such restructuring could also result in our receiving assets that give rise to non-qualifying gross income for purposes of the 90% Income Test.</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Certain of our investment practices may be subject to special and complex U.S. federal income tax provisions that may, among other things,</w:t>
      </w:r>
    </w:p>
    <w:p>
      <w:pPr>
        <w:spacing w:after="0" w:line="26" w:lineRule="exact"/>
        <w:rPr>
          <w:sz w:val="20"/>
          <w:szCs w:val="20"/>
          <w:color w:val="auto"/>
        </w:rPr>
      </w:pPr>
    </w:p>
    <w:p>
      <w:pPr>
        <w:ind w:left="280" w:right="339" w:hanging="7"/>
        <w:spacing w:after="0" w:line="270" w:lineRule="auto"/>
        <w:tabs>
          <w:tab w:leader="none" w:pos="468" w:val="left"/>
        </w:tabs>
        <w:numPr>
          <w:ilvl w:val="0"/>
          <w:numId w:val="52"/>
        </w:numPr>
        <w:rPr>
          <w:rFonts w:ascii="Arial" w:cs="Arial" w:eastAsia="Arial" w:hAnsi="Arial"/>
          <w:sz w:val="13"/>
          <w:szCs w:val="13"/>
          <w:color w:val="auto"/>
        </w:rPr>
      </w:pPr>
      <w:r>
        <w:rPr>
          <w:rFonts w:ascii="Arial" w:cs="Arial" w:eastAsia="Arial" w:hAnsi="Arial"/>
          <w:sz w:val="13"/>
          <w:szCs w:val="13"/>
          <w:color w:val="auto"/>
        </w:rPr>
        <w:t>disallow, suspend or otherwise limit the allowance of certain losses or deductions, (b) convert long-term capital gain (currently taxed at lower rates for non-corporate taxpayers) into higher taxed short-term capital gain or ordinary income, (c) convert an ordinary loss or a deduction into a capital loss (the deductibility of which is more limited), (d) adversely affect the time as to when a purchase or sale of stock or securities is deemed to occur, (e) adversely alter the characterization of certain complex financial transactions, (f) treat dividends that would otherwise constitute qualified dividend income as non- qualified dividend income, (g) cause us to recognize income or gain without receipt of a corresponding cash payment, and (h) produce income that will not be qualifying income for purposes of the 90% Income Test. We will monitor our transactions and may make certain tax elections in order to mitigate the effects of these provisions; however, no assurance can be given that we will be eligible for any such tax elections or that any elections we make will fully mitigate the effects of these provisions.</w:t>
      </w:r>
    </w:p>
    <w:p>
      <w:pPr>
        <w:spacing w:after="0" w:line="139" w:lineRule="exact"/>
        <w:rPr>
          <w:sz w:val="20"/>
          <w:szCs w:val="20"/>
          <w:color w:val="auto"/>
        </w:rPr>
      </w:pPr>
    </w:p>
    <w:p>
      <w:pPr>
        <w:ind w:left="280" w:right="739" w:firstLine="338"/>
        <w:spacing w:after="0" w:line="257" w:lineRule="auto"/>
        <w:rPr>
          <w:sz w:val="20"/>
          <w:szCs w:val="20"/>
          <w:color w:val="auto"/>
        </w:rPr>
      </w:pPr>
      <w:r>
        <w:rPr>
          <w:rFonts w:ascii="Arial" w:cs="Arial" w:eastAsia="Arial" w:hAnsi="Arial"/>
          <w:sz w:val="14"/>
          <w:szCs w:val="14"/>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the particular equity security or warrant.</w:t>
      </w:r>
    </w:p>
    <w:p>
      <w:pPr>
        <w:spacing w:after="0" w:line="146" w:lineRule="exact"/>
        <w:rPr>
          <w:sz w:val="20"/>
          <w:szCs w:val="20"/>
          <w:color w:val="auto"/>
        </w:rPr>
      </w:pPr>
    </w:p>
    <w:p>
      <w:pPr>
        <w:ind w:left="280" w:right="379" w:firstLine="338"/>
        <w:spacing w:after="0" w:line="274" w:lineRule="auto"/>
        <w:rPr>
          <w:sz w:val="20"/>
          <w:szCs w:val="20"/>
          <w:color w:val="auto"/>
        </w:rPr>
      </w:pPr>
      <w:r>
        <w:rPr>
          <w:rFonts w:ascii="Arial" w:cs="Arial" w:eastAsia="Arial" w:hAnsi="Arial"/>
          <w:sz w:val="13"/>
          <w:szCs w:val="13"/>
          <w:color w:val="auto"/>
        </w:rPr>
        <w:t>We are authorized to borrow funds and to sell assets in order to satisfy our Annual Distribution Requirement or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37" w:lineRule="exact"/>
        <w:rPr>
          <w:sz w:val="20"/>
          <w:szCs w:val="20"/>
          <w:color w:val="auto"/>
        </w:rPr>
      </w:pPr>
    </w:p>
    <w:p>
      <w:pPr>
        <w:ind w:left="280" w:right="339" w:firstLine="338"/>
        <w:spacing w:after="0" w:line="304" w:lineRule="auto"/>
        <w:rPr>
          <w:sz w:val="20"/>
          <w:szCs w:val="20"/>
          <w:color w:val="auto"/>
        </w:rPr>
      </w:pPr>
      <w:r>
        <w:rPr>
          <w:rFonts w:ascii="Arial" w:cs="Arial" w:eastAsia="Arial" w:hAnsi="Arial"/>
          <w:sz w:val="12"/>
          <w:szCs w:val="12"/>
          <w:color w:val="auto"/>
        </w:rPr>
        <w:t>We may distribute our common stock as a dividend of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generally would be taxable income to a stockholder even though only a small portion of the dividend was paid in cash to pay any taxes due on the total dividend. We have not yet elected to distribute stock as a dividend but reserve the right to do so.</w:t>
      </w:r>
    </w:p>
    <w:p>
      <w:pPr>
        <w:spacing w:after="0" w:line="122" w:lineRule="exact"/>
        <w:rPr>
          <w:sz w:val="20"/>
          <w:szCs w:val="20"/>
          <w:color w:val="auto"/>
        </w:rPr>
      </w:pPr>
    </w:p>
    <w:p>
      <w:pPr>
        <w:ind w:left="280" w:right="319" w:firstLine="338"/>
        <w:spacing w:after="0" w:line="272" w:lineRule="auto"/>
        <w:rPr>
          <w:sz w:val="20"/>
          <w:szCs w:val="20"/>
          <w:color w:val="auto"/>
        </w:rPr>
      </w:pPr>
      <w:r>
        <w:rPr>
          <w:rFonts w:ascii="Arial" w:cs="Arial" w:eastAsia="Arial" w:hAnsi="Arial"/>
          <w:sz w:val="13"/>
          <w:szCs w:val="13"/>
          <w:color w:val="auto"/>
        </w:rPr>
        <w:t>Our investment in non-U.S. securities may be subject to non-U.S. income, withholding and other taxes. In that case, our yield on those securities would be decreased. Stockholders will generally not be entitled to claim a U.S. foreign tax credit or deduction with respect to non-U.S. taxes paid by us. If we acquire shares in a passive foreign investment company, or “PFIC,” we may be subject to U.S. federal income tax on a portion of any “excess distribution” received on, or gain from the disposition of, such shares, even if such income is distributed as a taxable dividend by us to our stockholders. Additional charges in the nature of interest may be imposed on us in respect of deferred taxes arising from such distributions or gains. Furthermore, if we hold shares in a PFIC and elect to treat the PFIC as a qualified electing fund, or “QEF,” under the Code, in lieu of the foregoing requirements, we will be required to include in income each year a portion of the ordinary earnings and net capital gain of the QEF, even if such income is not distributed to us. Alternatively, we may elect to mark-to-market at the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9019"/>
          </w:cols>
          <w:pgMar w:left="1440" w:top="264" w:right="1440" w:bottom="1440" w:gutter="0" w:footer="0" w:header="0"/>
        </w:sectPr>
      </w:pPr>
    </w:p>
    <w:bookmarkStart w:id="68" w:name="page69"/>
    <w:bookmarkEnd w:id="68"/>
    <w:p>
      <w:pPr>
        <w:ind w:left="280" w:right="299"/>
        <w:spacing w:after="0" w:line="274"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2805" cy="45720"/>
                    </a:xfrm>
                    <a:prstGeom prst="rect">
                      <a:avLst/>
                    </a:prstGeom>
                    <a:noFill/>
                  </pic:spPr>
                </pic:pic>
              </a:graphicData>
            </a:graphic>
          </wp:anchor>
        </w:drawing>
        <w:t>end of each taxable year our shares in such PFIC; in this case, we will recognize as ordinary income any increase in the value of such shares, and as ordinary loss any decrease in such value to the extent it does not exceed prior increases included in income. Our ability to make either election will depend on factors beyond our control, and we are subject to restrictions that may limit the availability or benefit of these elections. Under either election, we may be required to recognize in any year income in excess of our distributions from PFICs and our proceeds from dispositions of PFIC stock during that year, and such income will nevertheless be subject to the Annual Distribution Requirement and will be taken into account for purposes of determining whether we satisfy the Excise Tax Avoidance Requirement.</w:t>
      </w:r>
    </w:p>
    <w:p>
      <w:pPr>
        <w:spacing w:after="0" w:line="137" w:lineRule="exact"/>
        <w:rPr>
          <w:sz w:val="20"/>
          <w:szCs w:val="20"/>
          <w:color w:val="auto"/>
        </w:rPr>
      </w:pPr>
    </w:p>
    <w:p>
      <w:pPr>
        <w:ind w:left="280" w:right="299" w:firstLine="338"/>
        <w:spacing w:after="0" w:line="296" w:lineRule="auto"/>
        <w:rPr>
          <w:sz w:val="20"/>
          <w:szCs w:val="20"/>
          <w:color w:val="auto"/>
        </w:rPr>
      </w:pPr>
      <w:r>
        <w:rPr>
          <w:rFonts w:ascii="Arial" w:cs="Arial" w:eastAsia="Arial" w:hAnsi="Arial"/>
          <w:sz w:val="12"/>
          <w:szCs w:val="12"/>
          <w:color w:val="auto"/>
        </w:rPr>
        <w:t>If we are deemed to own ten percent (10%) or more (by vote or value) of the stock of a non-U.S. corporation that qualifies as a “controlled foreign corporation,” or “CFC,” for U.S. federal income tax purposes, we would be required to include in income the amount of the CFC’s “Subpart F income” to which it would have been entitled had the CFC currently distributed all of its earnings. Additionally, all or any part of any gain resulting from the sale or exchange of stock of the CFC could be treated as a dividend. For this purpose, a non-U.S. corporation is generally considered a CFC if more than 50% of the corporation’s stock (by vote or value) is owned, directly or indirectly or through application of certain constructive ownership rules, by U.S. persons who each own, directly or indirectly or constructively, 10% or more (by vote or value) of the non-U.S. corporation’s voting stock, or a “U.S. Shareholder.” If we are treated as receiving a deemed inclusion of income from a CFC, we would be required to include such distribution in our investment company taxable income regardless of whether we receive any distributions from such CFC, and we would be required to include such deemed inclusion of income in determining our satisfaction of the Annual Distribution Requirement and the Excise Tax Avoidance Requirement.</w:t>
      </w:r>
    </w:p>
    <w:p>
      <w:pPr>
        <w:spacing w:after="0" w:line="127" w:lineRule="exact"/>
        <w:rPr>
          <w:sz w:val="20"/>
          <w:szCs w:val="20"/>
          <w:color w:val="auto"/>
        </w:rPr>
      </w:pPr>
    </w:p>
    <w:p>
      <w:pPr>
        <w:ind w:left="280" w:right="319" w:firstLine="338"/>
        <w:spacing w:after="0" w:line="276" w:lineRule="auto"/>
        <w:rPr>
          <w:sz w:val="20"/>
          <w:szCs w:val="20"/>
          <w:color w:val="auto"/>
        </w:rPr>
      </w:pPr>
      <w:r>
        <w:rPr>
          <w:rFonts w:ascii="Arial" w:cs="Arial" w:eastAsia="Arial" w:hAnsi="Arial"/>
          <w:sz w:val="13"/>
          <w:szCs w:val="13"/>
          <w:color w:val="auto"/>
        </w:rPr>
        <w:t>The PFIC rules would not apply to us with respect to any investment for any period during which the CFC rules were applicable to such investment. Furthermore, in determining the amount of any deemed inclusion of income from any CFC, we are required to include in gross income each taxable year our share of any “global intangible low-taxed income,” or “GILTI.” Rules relating to GILTI and CFCs are complex. As such, shareholders should consult their own tax advisors about the applicability and U.S. federal income tax consequences of the CFC rules to their investment in our shares, including the potential impact of rules governing the inclusion of Subpart F income and the related GILTI rules.</w:t>
      </w:r>
    </w:p>
    <w:p>
      <w:pPr>
        <w:spacing w:after="0" w:line="136" w:lineRule="exact"/>
        <w:rPr>
          <w:sz w:val="20"/>
          <w:szCs w:val="20"/>
          <w:color w:val="auto"/>
        </w:rPr>
      </w:pPr>
    </w:p>
    <w:p>
      <w:pPr>
        <w:ind w:left="280" w:right="359" w:firstLine="338"/>
        <w:spacing w:after="0" w:line="294" w:lineRule="auto"/>
        <w:rPr>
          <w:sz w:val="20"/>
          <w:szCs w:val="20"/>
          <w:color w:val="auto"/>
        </w:rPr>
      </w:pPr>
      <w:r>
        <w:rPr>
          <w:rFonts w:ascii="Arial" w:cs="Arial" w:eastAsia="Arial" w:hAnsi="Arial"/>
          <w:sz w:val="12"/>
          <w:szCs w:val="12"/>
          <w:color w:val="auto"/>
        </w:rPr>
        <w:t>Our functional currency is the U.S. dollar for U.S. federal income tax purposes. Under Section 988 of the Code, gains or losses attributable to fluctuations in exchange rates between the time we accrue income, expenses or other liabilities denominated in a foreign currency and the time we actually collect such income or pay such expenses or liabilities may be treated as ordinary income or loss. Similarly, gains or losses on foreign currency forward contracts, the disposition of debt denominated in a foreign currency and other financial transactions denominated in foreign currency, to the extent attributable to fluctuations in exchange rates between the acquisition and disposition dates, may also be treated as ordinary income or loss. Some of the income and fees that we recognize, may not satisfy the 90% Income Test. In order to ensure that such income and fees do not disqualify us as a RIC for a failure to satisfy the 90% Income Test, we may be required to recognize such income or fees through one or more entities treated as U.S. corporations for U.S. federal income tax purposes, such as the Taxable Subsidiary. While we expect that recognizing such income through such corporations will assist us in satisfying the 90% Income Test, no assurance can be given that this structure will be respected for U.S. federal income tax purposes, which could result in such income not being counted towards satisfying the 90% Income Test. If the amount of such income were too great and we were otherwise unable to mitigate this effect, it could result in our disqualification as a RIC. If, as we expect, the structure is respected, such corporations will be required to pay U.S. corporate income tax on their earnings, which ultimately will reduce the yield on such income and fees.</w:t>
      </w:r>
    </w:p>
    <w:p>
      <w:pPr>
        <w:spacing w:after="0" w:line="128" w:lineRule="exact"/>
        <w:rPr>
          <w:sz w:val="20"/>
          <w:szCs w:val="20"/>
          <w:color w:val="auto"/>
        </w:rPr>
      </w:pPr>
    </w:p>
    <w:p>
      <w:pPr>
        <w:jc w:val="both"/>
        <w:ind w:left="280" w:right="399" w:firstLine="338"/>
        <w:spacing w:after="0" w:line="257" w:lineRule="auto"/>
        <w:rPr>
          <w:sz w:val="20"/>
          <w:szCs w:val="20"/>
          <w:color w:val="auto"/>
        </w:rPr>
      </w:pPr>
      <w:r>
        <w:rPr>
          <w:rFonts w:ascii="Arial" w:cs="Arial" w:eastAsia="Arial" w:hAnsi="Arial"/>
          <w:sz w:val="14"/>
          <w:szCs w:val="14"/>
          <w:color w:val="auto"/>
        </w:rPr>
        <w:t>We are limited in our ability to deduct expenses in excess of our investment company taxable income. If our expenses in a given year exceed our investment company taxable income, we will have a net operating loss for that year. However, we are not permitted to carry forward our net operating losses to subsequent years, so these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9019"/>
          </w:cols>
          <w:pgMar w:left="1440" w:top="264" w:right="1440" w:bottom="1440" w:gutter="0" w:footer="0" w:header="0"/>
        </w:sectPr>
      </w:pPr>
    </w:p>
    <w:bookmarkStart w:id="69" w:name="page70"/>
    <w:bookmarkEnd w:id="69"/>
    <w:p>
      <w:pPr>
        <w:ind w:left="280" w:right="359"/>
        <w:spacing w:after="0" w:line="25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2805" cy="45720"/>
                    </a:xfrm>
                    <a:prstGeom prst="rect">
                      <a:avLst/>
                    </a:prstGeom>
                    <a:noFill/>
                  </pic:spPr>
                </pic:pic>
              </a:graphicData>
            </a:graphic>
          </wp:anchor>
        </w:drawing>
        <w:t>net operating losses generally will not pass through to our stockholders. In addition, expenses can be used only to offset investment company taxable income, and may not be used to offset net capital gain. As a RIC, we may not use any net capital losses (that is, realized capital losses in excess of realized capital gains) to offset our investment company taxable income, but may carry forward those losses, and use them to offset future capital gains, indefinitely. Further, our deduction of net business interest expense is generally limited to 30% of our “adjusted taxable income” plus “floor plan financing interest expense.”</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Failure to Qualify as a RIC</w:t>
      </w:r>
    </w:p>
    <w:p>
      <w:pPr>
        <w:spacing w:after="0" w:line="92" w:lineRule="exact"/>
        <w:rPr>
          <w:sz w:val="20"/>
          <w:szCs w:val="20"/>
          <w:color w:val="auto"/>
        </w:rPr>
      </w:pPr>
    </w:p>
    <w:p>
      <w:pPr>
        <w:ind w:left="280" w:right="359" w:firstLine="338"/>
        <w:spacing w:after="0" w:line="276" w:lineRule="auto"/>
        <w:rPr>
          <w:sz w:val="20"/>
          <w:szCs w:val="20"/>
          <w:color w:val="auto"/>
        </w:rPr>
      </w:pPr>
      <w:r>
        <w:rPr>
          <w:rFonts w:ascii="Arial" w:cs="Arial" w:eastAsia="Arial" w:hAnsi="Arial"/>
          <w:sz w:val="13"/>
          <w:szCs w:val="13"/>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36" w:lineRule="exact"/>
        <w:rPr>
          <w:sz w:val="20"/>
          <w:szCs w:val="20"/>
          <w:color w:val="auto"/>
        </w:rPr>
      </w:pPr>
    </w:p>
    <w:p>
      <w:pPr>
        <w:ind w:left="280" w:right="319" w:firstLine="338"/>
        <w:spacing w:after="0" w:line="269" w:lineRule="auto"/>
        <w:rPr>
          <w:sz w:val="20"/>
          <w:szCs w:val="20"/>
          <w:color w:val="auto"/>
        </w:rPr>
      </w:pPr>
      <w:r>
        <w:rPr>
          <w:rFonts w:ascii="Arial" w:cs="Arial" w:eastAsia="Arial" w:hAnsi="Arial"/>
          <w:sz w:val="13"/>
          <w:szCs w:val="13"/>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45"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remainder of this discussion assumes that we qualify as a RIC and have satisfied the Annual Distribution Requirement.</w:t>
      </w:r>
    </w:p>
    <w:p>
      <w:pPr>
        <w:spacing w:after="0" w:line="250"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Taxation of U.S. Stockholders</w:t>
      </w:r>
    </w:p>
    <w:p>
      <w:pPr>
        <w:spacing w:after="0" w:line="92" w:lineRule="exact"/>
        <w:rPr>
          <w:sz w:val="20"/>
          <w:szCs w:val="20"/>
          <w:color w:val="auto"/>
        </w:rPr>
      </w:pPr>
    </w:p>
    <w:p>
      <w:pPr>
        <w:ind w:left="280" w:right="419" w:firstLine="338"/>
        <w:spacing w:after="0" w:line="272" w:lineRule="auto"/>
        <w:rPr>
          <w:sz w:val="20"/>
          <w:szCs w:val="20"/>
          <w:color w:val="auto"/>
        </w:rPr>
      </w:pPr>
      <w:r>
        <w:rPr>
          <w:rFonts w:ascii="Arial" w:cs="Arial" w:eastAsia="Arial" w:hAnsi="Arial"/>
          <w:sz w:val="13"/>
          <w:szCs w:val="13"/>
          <w:color w:val="auto"/>
        </w:rPr>
        <w:t>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We have the ability to declare and pay a large portion of any distribution qualifying as a dividend for U.S. federal income tax purposes in shares of our stock. The IRS has published guidance for publicly offered RICs stating that as long as at least 20% of the dividends are paid in cash and if certain other requirements are met, stockholders will be subject to tax on 100% of such dividends in the same manner as a cash dividend, even though most of the dividends were paid in shares of common stock.</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9019"/>
          </w:cols>
          <w:pgMar w:left="1440" w:top="264" w:right="1440" w:bottom="1440" w:gutter="0" w:footer="0" w:header="0"/>
        </w:sectPr>
      </w:pPr>
    </w:p>
    <w:bookmarkStart w:id="70" w:name="page71"/>
    <w:bookmarkEnd w:id="70"/>
    <w:p>
      <w:pPr>
        <w:ind w:left="280" w:right="339" w:firstLine="338"/>
        <w:spacing w:after="0" w:line="27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2805" cy="45720"/>
                    </a:xfrm>
                    <a:prstGeom prst="rect">
                      <a:avLst/>
                    </a:prstGeom>
                    <a:noFill/>
                  </pic:spPr>
                </pic:pic>
              </a:graphicData>
            </a:graphic>
          </wp:anchor>
        </w:drawing>
        <w:t>To the extent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U.S. federal income tax rate, if certain holding period requirements are satisfied. However, it is anticipated that distributions paid by us generally will not be attributable to dividends and, therefore, generally will not qualify for the preferential rates applicable to qualified dividends or the dividends received deduction available to corporations under the Code. A corporate U.S. stockholder may be required to reduce its basis in our common stock with respect to certain “extraordinary dividends,” as defined in Section 1059 of the Code. Corporate U.S. stockholders should consult their own tax advisors in determining the application of these rules in their particular circumstances.</w:t>
      </w:r>
    </w:p>
    <w:p>
      <w:pPr>
        <w:spacing w:after="0" w:line="137" w:lineRule="exact"/>
        <w:rPr>
          <w:sz w:val="20"/>
          <w:szCs w:val="20"/>
          <w:color w:val="auto"/>
        </w:rPr>
      </w:pPr>
    </w:p>
    <w:p>
      <w:pPr>
        <w:ind w:left="280" w:right="319" w:firstLine="338"/>
        <w:spacing w:after="0" w:line="304" w:lineRule="auto"/>
        <w:rPr>
          <w:sz w:val="20"/>
          <w:szCs w:val="20"/>
          <w:color w:val="auto"/>
        </w:rPr>
      </w:pPr>
      <w:r>
        <w:rPr>
          <w:rFonts w:ascii="Arial" w:cs="Arial" w:eastAsia="Arial" w:hAnsi="Arial"/>
          <w:sz w:val="12"/>
          <w:szCs w:val="12"/>
          <w:color w:val="auto"/>
        </w:rPr>
        <w:t>Distributions of our net capital gains (which is generally our realized net long-term capital gains in excess of realized net short- term capital losses) properly designated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2" w:lineRule="exact"/>
        <w:rPr>
          <w:sz w:val="20"/>
          <w:szCs w:val="20"/>
          <w:color w:val="auto"/>
        </w:rPr>
      </w:pPr>
    </w:p>
    <w:p>
      <w:pPr>
        <w:ind w:left="280" w:right="359" w:firstLine="338"/>
        <w:spacing w:after="0" w:line="268" w:lineRule="auto"/>
        <w:rPr>
          <w:sz w:val="20"/>
          <w:szCs w:val="20"/>
          <w:color w:val="auto"/>
        </w:rPr>
      </w:pPr>
      <w:r>
        <w:rPr>
          <w:rFonts w:ascii="Arial" w:cs="Arial" w:eastAsia="Arial" w:hAnsi="Arial"/>
          <w:sz w:val="14"/>
          <w:szCs w:val="14"/>
          <w:color w:val="auto"/>
        </w:rPr>
        <w:t>Distributions out of our current and accumulated earnings and profits will not be eligible for the 20% pass through deduction under Section 199A of the Code.</w:t>
      </w:r>
    </w:p>
    <w:p>
      <w:pPr>
        <w:spacing w:after="0" w:line="138" w:lineRule="exact"/>
        <w:rPr>
          <w:sz w:val="20"/>
          <w:szCs w:val="20"/>
          <w:color w:val="auto"/>
        </w:rPr>
      </w:pPr>
    </w:p>
    <w:p>
      <w:pPr>
        <w:ind w:left="280" w:right="319" w:firstLine="338"/>
        <w:spacing w:after="0" w:line="301" w:lineRule="auto"/>
        <w:rPr>
          <w:sz w:val="20"/>
          <w:szCs w:val="20"/>
          <w:color w:val="auto"/>
        </w:rPr>
      </w:pPr>
      <w:r>
        <w:rPr>
          <w:rFonts w:ascii="Arial" w:cs="Arial" w:eastAsia="Arial" w:hAnsi="Arial"/>
          <w:sz w:val="12"/>
          <w:szCs w:val="12"/>
          <w:color w:val="auto"/>
        </w:rPr>
        <w:t>Certain distributions reported by us as Section 163(j) interest dividends may be treated as interest income by U.S. stockholders for purposes of the tax rules applicable to interest expense limitations under Section 163(j) of the Code. Such treatment by U.S. stockholders is generally subject to holding period requirements and other potential limitations, although the holding period requirements are generally not applicable to dividends declared by money market funds and certain other funds that declare dividends daily and pay such dividends on a monthly or more frequent basis. The amount that we are eligible to report as a Section 163(j) dividend for a tax year is generally limited to the excess of our business interest income over the sum of our (i) business interest expense and (ii) other deductions properly allocable to our business interest income.</w:t>
      </w:r>
    </w:p>
    <w:p>
      <w:pPr>
        <w:spacing w:after="0" w:line="123" w:lineRule="exact"/>
        <w:rPr>
          <w:sz w:val="20"/>
          <w:szCs w:val="20"/>
          <w:color w:val="auto"/>
        </w:rPr>
      </w:pPr>
    </w:p>
    <w:p>
      <w:pPr>
        <w:ind w:left="280" w:right="339" w:firstLine="338"/>
        <w:spacing w:after="0" w:line="294" w:lineRule="auto"/>
        <w:rPr>
          <w:sz w:val="20"/>
          <w:szCs w:val="20"/>
          <w:color w:val="auto"/>
        </w:rPr>
      </w:pPr>
      <w:r>
        <w:rPr>
          <w:rFonts w:ascii="Arial" w:cs="Arial" w:eastAsia="Arial" w:hAnsi="Arial"/>
          <w:sz w:val="12"/>
          <w:szCs w:val="12"/>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rates, and since that rate is in excess of the maximum rate currently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294" w:lineRule="exact"/>
        <w:rPr>
          <w:sz w:val="20"/>
          <w:szCs w:val="20"/>
          <w:color w:val="auto"/>
        </w:rPr>
      </w:pPr>
    </w:p>
    <w:p>
      <w:pPr>
        <w:ind w:left="280" w:right="319" w:firstLine="338"/>
        <w:spacing w:after="0" w:line="257" w:lineRule="auto"/>
        <w:rPr>
          <w:sz w:val="20"/>
          <w:szCs w:val="20"/>
          <w:color w:val="auto"/>
        </w:rPr>
      </w:pPr>
      <w:r>
        <w:rPr>
          <w:rFonts w:ascii="Arial" w:cs="Arial" w:eastAsia="Arial" w:hAnsi="Arial"/>
          <w:sz w:val="14"/>
          <w:szCs w:val="14"/>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9019"/>
          </w:cols>
          <w:pgMar w:left="1440" w:top="264" w:right="1440" w:bottom="1440" w:gutter="0" w:footer="0" w:header="0"/>
        </w:sectPr>
      </w:pPr>
    </w:p>
    <w:bookmarkStart w:id="71" w:name="page72"/>
    <w:bookmarkEnd w:id="71"/>
    <w:p>
      <w:pPr>
        <w:ind w:left="280" w:right="379"/>
        <w:spacing w:after="0" w:line="25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2805" cy="45720"/>
                    </a:xfrm>
                    <a:prstGeom prst="rect">
                      <a:avLst/>
                    </a:prstGeom>
                    <a:noFill/>
                  </pic:spPr>
                </pic:pic>
              </a:graphicData>
            </a:graphic>
          </wp:anchor>
        </w:drawing>
        <w:t>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48" w:lineRule="exact"/>
        <w:rPr>
          <w:sz w:val="20"/>
          <w:szCs w:val="20"/>
          <w:color w:val="auto"/>
        </w:rPr>
      </w:pPr>
    </w:p>
    <w:p>
      <w:pPr>
        <w:jc w:val="both"/>
        <w:ind w:left="280" w:right="359" w:firstLine="338"/>
        <w:spacing w:after="0" w:line="353" w:lineRule="auto"/>
        <w:rPr>
          <w:sz w:val="20"/>
          <w:szCs w:val="20"/>
          <w:color w:val="auto"/>
        </w:rPr>
      </w:pPr>
      <w:r>
        <w:rPr>
          <w:rFonts w:ascii="Arial" w:cs="Arial" w:eastAsia="Arial" w:hAnsi="Arial"/>
          <w:sz w:val="12"/>
          <w:szCs w:val="12"/>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92" w:lineRule="exact"/>
        <w:rPr>
          <w:sz w:val="20"/>
          <w:szCs w:val="20"/>
          <w:color w:val="auto"/>
        </w:rPr>
      </w:pPr>
    </w:p>
    <w:p>
      <w:pPr>
        <w:ind w:left="280" w:right="299" w:firstLine="338"/>
        <w:spacing w:after="0" w:line="254" w:lineRule="auto"/>
        <w:rPr>
          <w:sz w:val="20"/>
          <w:szCs w:val="20"/>
          <w:color w:val="auto"/>
        </w:rPr>
      </w:pPr>
      <w:r>
        <w:rPr>
          <w:rFonts w:ascii="Arial" w:cs="Arial" w:eastAsia="Arial" w:hAnsi="Arial"/>
          <w:sz w:val="14"/>
          <w:szCs w:val="14"/>
          <w:color w:val="auto"/>
        </w:rPr>
        <w:t>The IRS currently requires that a RIC that has two or more classes of stock allocate to each such class proportionate amounts of each type of its income (such as ordinary income and capital gains) based upon the percentage of total dividends paid to each class for the tax year. Accordingly, if we issue preferred stock, we intend each year to allocate capital gain dividends, if any, between our shares of common stock and shares of preferred stock in proportion to the total dividends paid to each class with respect to such tax year.</w:t>
      </w:r>
    </w:p>
    <w:p>
      <w:pPr>
        <w:spacing w:after="0" w:line="148" w:lineRule="exact"/>
        <w:rPr>
          <w:sz w:val="20"/>
          <w:szCs w:val="20"/>
          <w:color w:val="auto"/>
        </w:rPr>
      </w:pPr>
    </w:p>
    <w:p>
      <w:pPr>
        <w:ind w:left="280" w:right="319" w:firstLine="338"/>
        <w:spacing w:after="0" w:line="299" w:lineRule="auto"/>
        <w:rPr>
          <w:sz w:val="20"/>
          <w:szCs w:val="20"/>
          <w:color w:val="auto"/>
        </w:rPr>
      </w:pPr>
      <w:r>
        <w:rPr>
          <w:rFonts w:ascii="Arial" w:cs="Arial" w:eastAsia="Arial" w:hAnsi="Arial"/>
          <w:sz w:val="12"/>
          <w:szCs w:val="12"/>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24" w:lineRule="exact"/>
        <w:rPr>
          <w:sz w:val="20"/>
          <w:szCs w:val="20"/>
          <w:color w:val="auto"/>
        </w:rPr>
      </w:pPr>
    </w:p>
    <w:p>
      <w:pPr>
        <w:ind w:left="280" w:right="299" w:firstLine="338"/>
        <w:spacing w:after="0" w:line="271" w:lineRule="auto"/>
        <w:rPr>
          <w:sz w:val="20"/>
          <w:szCs w:val="20"/>
          <w:color w:val="auto"/>
        </w:rPr>
      </w:pPr>
      <w:r>
        <w:rPr>
          <w:rFonts w:ascii="Arial" w:cs="Arial" w:eastAsia="Arial" w:hAnsi="Arial"/>
          <w:sz w:val="13"/>
          <w:szCs w:val="13"/>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and this rate also applies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taxable years or carry forward such losses for five taxable years.</w:t>
      </w:r>
    </w:p>
    <w:p>
      <w:pPr>
        <w:spacing w:after="0" w:line="140" w:lineRule="exact"/>
        <w:rPr>
          <w:sz w:val="20"/>
          <w:szCs w:val="20"/>
          <w:color w:val="auto"/>
        </w:rPr>
      </w:pPr>
    </w:p>
    <w:p>
      <w:pPr>
        <w:ind w:left="280" w:right="299" w:firstLine="338"/>
        <w:spacing w:after="0" w:line="254" w:lineRule="auto"/>
        <w:rPr>
          <w:sz w:val="20"/>
          <w:szCs w:val="20"/>
          <w:color w:val="auto"/>
        </w:rPr>
      </w:pPr>
      <w:r>
        <w:rPr>
          <w:rFonts w:ascii="Arial" w:cs="Arial" w:eastAsia="Arial" w:hAnsi="Arial"/>
          <w:sz w:val="14"/>
          <w:szCs w:val="14"/>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48" w:lineRule="exact"/>
        <w:rPr>
          <w:sz w:val="20"/>
          <w:szCs w:val="20"/>
          <w:color w:val="auto"/>
        </w:rPr>
      </w:pPr>
    </w:p>
    <w:p>
      <w:pPr>
        <w:ind w:left="280" w:right="299" w:firstLine="338"/>
        <w:spacing w:after="0" w:line="252" w:lineRule="auto"/>
        <w:rPr>
          <w:sz w:val="20"/>
          <w:szCs w:val="20"/>
          <w:color w:val="auto"/>
        </w:rPr>
      </w:pPr>
      <w:r>
        <w:rPr>
          <w:rFonts w:ascii="Arial" w:cs="Arial" w:eastAsia="Arial" w:hAnsi="Arial"/>
          <w:sz w:val="14"/>
          <w:szCs w:val="14"/>
          <w:color w:val="auto"/>
        </w:rPr>
        <w:t>Under U.S. Treasury regulations, if a U.S. Stockholder recognizes a loss with respect to either our preferred stock or common stock of $2 million or more for a non-corporate U.S. Stockholder or $10 million or more for a corporate U.S. stockholder in any single taxable year, such stockholder must file with the IRS a disclosure statement on an IRS Form 8886. Direct U.S. Stockholders of certain “portfolio securities” in many cases are excepted from this reporting requirement, but under current guidance, equity owners of a RIC are not excepted. The fact that a loss is reportable under these U.S. Treasury regulations does not affect the legal determination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9019"/>
          </w:cols>
          <w:pgMar w:left="1440" w:top="264" w:right="1440" w:bottom="1440" w:gutter="0" w:footer="0" w:header="0"/>
        </w:sectPr>
      </w:pPr>
    </w:p>
    <w:bookmarkStart w:id="72" w:name="page73"/>
    <w:bookmarkEnd w:id="72"/>
    <w:p>
      <w:pPr>
        <w:ind w:left="280" w:right="339"/>
        <w:spacing w:after="0" w:line="25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2805" cy="45720"/>
                    </a:xfrm>
                    <a:prstGeom prst="rect">
                      <a:avLst/>
                    </a:prstGeom>
                    <a:noFill/>
                  </pic:spPr>
                </pic:pic>
              </a:graphicData>
            </a:graphic>
          </wp:anchor>
        </w:drawing>
        <w:t>whether the taxpayer’s treatment of the loss is proper. Significant monetary penalties apply to a failure to comply with this reporting requirement. States may also have a similar reporting requirement. U.S. Stockholders should consult their own tax advisors to determine the applicability of these regulations in light of their individual circumstances.</w:t>
      </w:r>
    </w:p>
    <w:p>
      <w:pPr>
        <w:spacing w:after="0" w:line="146" w:lineRule="exact"/>
        <w:rPr>
          <w:sz w:val="20"/>
          <w:szCs w:val="20"/>
          <w:color w:val="auto"/>
        </w:rPr>
      </w:pPr>
    </w:p>
    <w:p>
      <w:pPr>
        <w:ind w:left="280" w:right="339" w:firstLine="338"/>
        <w:spacing w:after="0" w:line="276" w:lineRule="auto"/>
        <w:rPr>
          <w:sz w:val="20"/>
          <w:szCs w:val="20"/>
          <w:color w:val="auto"/>
        </w:rPr>
      </w:pPr>
      <w:r>
        <w:rPr>
          <w:rFonts w:ascii="Arial" w:cs="Arial" w:eastAsia="Arial" w:hAnsi="Arial"/>
          <w:sz w:val="13"/>
          <w:szCs w:val="13"/>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w:t>
      </w:r>
    </w:p>
    <w:p>
      <w:pPr>
        <w:spacing w:after="0" w:line="136" w:lineRule="exact"/>
        <w:rPr>
          <w:sz w:val="20"/>
          <w:szCs w:val="20"/>
          <w:color w:val="auto"/>
        </w:rPr>
      </w:pPr>
    </w:p>
    <w:p>
      <w:pPr>
        <w:jc w:val="both"/>
        <w:ind w:left="280" w:right="639" w:firstLine="338"/>
        <w:spacing w:after="0" w:line="257" w:lineRule="auto"/>
        <w:rPr>
          <w:sz w:val="20"/>
          <w:szCs w:val="20"/>
          <w:color w:val="auto"/>
        </w:rPr>
      </w:pPr>
      <w:r>
        <w:rPr>
          <w:rFonts w:ascii="Arial" w:cs="Arial" w:eastAsia="Arial" w:hAnsi="Arial"/>
          <w:sz w:val="14"/>
          <w:szCs w:val="14"/>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46" w:lineRule="exact"/>
        <w:rPr>
          <w:sz w:val="20"/>
          <w:szCs w:val="20"/>
          <w:color w:val="auto"/>
        </w:rPr>
      </w:pPr>
    </w:p>
    <w:p>
      <w:pPr>
        <w:ind w:left="280" w:right="339" w:firstLine="338"/>
        <w:spacing w:after="0" w:line="299" w:lineRule="auto"/>
        <w:rPr>
          <w:sz w:val="20"/>
          <w:szCs w:val="20"/>
          <w:color w:val="auto"/>
        </w:rPr>
      </w:pPr>
      <w:r>
        <w:rPr>
          <w:rFonts w:ascii="Arial" w:cs="Arial" w:eastAsia="Arial" w:hAnsi="Arial"/>
          <w:sz w:val="12"/>
          <w:szCs w:val="12"/>
          <w:color w:val="auto"/>
        </w:rPr>
        <w:t>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03"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Taxation of Tax-Exempt U.S. Stockholders</w:t>
      </w:r>
    </w:p>
    <w:p>
      <w:pPr>
        <w:spacing w:after="0" w:line="92" w:lineRule="exact"/>
        <w:rPr>
          <w:sz w:val="20"/>
          <w:szCs w:val="20"/>
          <w:color w:val="auto"/>
        </w:rPr>
      </w:pPr>
    </w:p>
    <w:p>
      <w:pPr>
        <w:ind w:left="280" w:right="339" w:firstLine="338"/>
        <w:spacing w:after="0" w:line="293" w:lineRule="auto"/>
        <w:rPr>
          <w:sz w:val="20"/>
          <w:szCs w:val="20"/>
          <w:color w:val="auto"/>
        </w:rPr>
      </w:pPr>
      <w:r>
        <w:rPr>
          <w:rFonts w:ascii="Arial" w:cs="Arial" w:eastAsia="Arial" w:hAnsi="Arial"/>
          <w:sz w:val="12"/>
          <w:szCs w:val="12"/>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(“UBTI”). The direct conduct by a tax-exempt U.S. stockholder of the activities that we propose to conduct could give rise to UBTI. However, a RIC is a corporation for U.S. federal income tax purposes and its business activities generally will not be attributed to its shareholders for purposes of determining their treatment under current law. Therefore, a tax-exempt U.S. stockholder should not be subject to U.S. federal income taxation solely as a result of such stockholder’s direct or indirect ownership of our shares and receipt of distributions with respect to such shares (regardless of whether we incur indebtedness). Moreover, under current law, if we incur indebtedness, such indebtedness will not be attributed to a tax-exempt U.S. stockholder. Therefore, a tax-exempt U.S. stockholder should not be treated as earning income from “debt-financed property” and distributions we pay should not be treated as “unrelated debt-financed income” solely as a result of indebtedness that it incurs. Certain tax-exempt private universities are subject to an additional 1.4% excise tax on their “net investment income,” including income from interest, dividends, and capital gains. Proposals periodically are made to change the treatment of “blocker” investment vehicles interposed between tax-exempt investors and non-qualifying investments. In the event that any such proposals were to be adopted and applied to RICs, the treatment of dividends payable to tax-exempt investors could be adversely affected. In addition, special rules would apply if we were to invest in certain real estate mortgage investment conduits or taxable mortgage pools, which we do not currently plan to do, that could result in a tax-exempt U.S. stockholder recognizing income that would be treated as UBTI.</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9019"/>
          </w:cols>
          <w:pgMar w:left="1440" w:top="264" w:right="1440" w:bottom="1440" w:gutter="0" w:footer="0" w:header="0"/>
        </w:sectPr>
      </w:pPr>
    </w:p>
    <w:bookmarkStart w:id="73" w:name="page74"/>
    <w:bookmarkEnd w:id="73"/>
    <w:p>
      <w:pPr>
        <w:ind w:left="2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2805" cy="45720"/>
                    </a:xfrm>
                    <a:prstGeom prst="rect">
                      <a:avLst/>
                    </a:prstGeom>
                    <a:noFill/>
                  </pic:spPr>
                </pic:pic>
              </a:graphicData>
            </a:graphic>
          </wp:anchor>
        </w:drawing>
        <w:t>Taxation of Non-U.S. Stockholders</w:t>
      </w:r>
    </w:p>
    <w:p>
      <w:pPr>
        <w:spacing w:after="0" w:line="92" w:lineRule="exact"/>
        <w:rPr>
          <w:sz w:val="20"/>
          <w:szCs w:val="20"/>
          <w:color w:val="auto"/>
        </w:rPr>
      </w:pPr>
    </w:p>
    <w:p>
      <w:pPr>
        <w:ind w:left="280" w:right="339" w:firstLine="338"/>
        <w:spacing w:after="0" w:line="257" w:lineRule="auto"/>
        <w:rPr>
          <w:sz w:val="20"/>
          <w:szCs w:val="20"/>
          <w:color w:val="auto"/>
        </w:rPr>
      </w:pPr>
      <w:r>
        <w:rPr>
          <w:rFonts w:ascii="Arial" w:cs="Arial" w:eastAsia="Arial" w:hAnsi="Arial"/>
          <w:sz w:val="14"/>
          <w:szCs w:val="14"/>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6" w:lineRule="exact"/>
        <w:rPr>
          <w:sz w:val="20"/>
          <w:szCs w:val="20"/>
          <w:color w:val="auto"/>
        </w:rPr>
      </w:pPr>
    </w:p>
    <w:p>
      <w:pPr>
        <w:ind w:left="280" w:right="379" w:firstLine="338"/>
        <w:spacing w:after="0" w:line="250" w:lineRule="auto"/>
        <w:rPr>
          <w:sz w:val="20"/>
          <w:szCs w:val="20"/>
          <w:color w:val="auto"/>
        </w:rPr>
      </w:pPr>
      <w:r>
        <w:rPr>
          <w:rFonts w:ascii="Arial" w:cs="Arial" w:eastAsia="Arial" w:hAnsi="Arial"/>
          <w:sz w:val="14"/>
          <w:szCs w:val="14"/>
          <w:color w:val="auto"/>
        </w:rPr>
        <w:t>Subject to the discussions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52" w:lineRule="exact"/>
        <w:rPr>
          <w:sz w:val="20"/>
          <w:szCs w:val="20"/>
          <w:color w:val="auto"/>
        </w:rPr>
      </w:pPr>
    </w:p>
    <w:p>
      <w:pPr>
        <w:ind w:left="280" w:right="319" w:firstLine="338"/>
        <w:spacing w:after="0" w:line="250" w:lineRule="auto"/>
        <w:rPr>
          <w:sz w:val="20"/>
          <w:szCs w:val="20"/>
          <w:color w:val="auto"/>
        </w:rPr>
      </w:pPr>
      <w:r>
        <w:rPr>
          <w:rFonts w:ascii="Arial" w:cs="Arial" w:eastAsia="Arial" w:hAnsi="Arial"/>
          <w:sz w:val="14"/>
          <w:szCs w:val="14"/>
          <w:color w:val="auto"/>
        </w:rPr>
        <w:t>In addition, with respect to certain distributions made by RICs to Non-U.S. Stockholders,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53" w:lineRule="exact"/>
        <w:rPr>
          <w:sz w:val="20"/>
          <w:szCs w:val="20"/>
          <w:color w:val="auto"/>
        </w:rPr>
      </w:pPr>
    </w:p>
    <w:p>
      <w:pPr>
        <w:ind w:left="280" w:right="339" w:firstLine="338"/>
        <w:spacing w:after="0" w:line="274" w:lineRule="auto"/>
        <w:rPr>
          <w:sz w:val="20"/>
          <w:szCs w:val="20"/>
          <w:color w:val="auto"/>
        </w:rPr>
      </w:pPr>
      <w:r>
        <w:rPr>
          <w:rFonts w:ascii="Arial" w:cs="Arial" w:eastAsia="Arial" w:hAnsi="Arial"/>
          <w:sz w:val="13"/>
          <w:szCs w:val="13"/>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37" w:lineRule="exact"/>
        <w:rPr>
          <w:sz w:val="20"/>
          <w:szCs w:val="20"/>
          <w:color w:val="auto"/>
        </w:rPr>
      </w:pPr>
    </w:p>
    <w:p>
      <w:pPr>
        <w:ind w:left="280" w:right="339" w:firstLine="338"/>
        <w:spacing w:after="0" w:line="274" w:lineRule="auto"/>
        <w:rPr>
          <w:sz w:val="20"/>
          <w:szCs w:val="20"/>
          <w:color w:val="auto"/>
        </w:rPr>
      </w:pPr>
      <w:r>
        <w:rPr>
          <w:rFonts w:ascii="Arial" w:cs="Arial" w:eastAsia="Arial" w:hAnsi="Arial"/>
          <w:sz w:val="13"/>
          <w:szCs w:val="13"/>
          <w:color w:val="auto"/>
        </w:rPr>
        <w:t>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37" w:lineRule="exact"/>
        <w:rPr>
          <w:sz w:val="20"/>
          <w:szCs w:val="20"/>
          <w:color w:val="auto"/>
        </w:rPr>
      </w:pPr>
    </w:p>
    <w:p>
      <w:pPr>
        <w:ind w:left="280" w:right="479" w:firstLine="338"/>
        <w:spacing w:after="0" w:line="251" w:lineRule="auto"/>
        <w:rPr>
          <w:sz w:val="20"/>
          <w:szCs w:val="20"/>
          <w:color w:val="auto"/>
        </w:rPr>
      </w:pPr>
      <w:r>
        <w:rPr>
          <w:rFonts w:ascii="Arial" w:cs="Arial" w:eastAsia="Arial" w:hAnsi="Arial"/>
          <w:sz w:val="14"/>
          <w:szCs w:val="14"/>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9019"/>
          </w:cols>
          <w:pgMar w:left="1440" w:top="260" w:right="1440" w:bottom="1440" w:gutter="0" w:footer="0" w:header="0"/>
        </w:sectPr>
      </w:pPr>
    </w:p>
    <w:bookmarkStart w:id="74" w:name="page75"/>
    <w:bookmarkEnd w:id="74"/>
    <w:p>
      <w:pPr>
        <w:jc w:val="both"/>
        <w:ind w:left="280" w:right="379"/>
        <w:spacing w:after="0" w:line="25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2805" cy="45720"/>
                    </a:xfrm>
                    <a:prstGeom prst="rect">
                      <a:avLst/>
                    </a:prstGeom>
                    <a:noFill/>
                  </pic:spPr>
                </pic:pic>
              </a:graphicData>
            </a:graphic>
          </wp:anchor>
        </w:drawing>
        <w:t>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46" w:lineRule="exact"/>
        <w:rPr>
          <w:sz w:val="20"/>
          <w:szCs w:val="20"/>
          <w:color w:val="auto"/>
        </w:rPr>
      </w:pPr>
    </w:p>
    <w:p>
      <w:pPr>
        <w:ind w:left="280" w:right="299" w:firstLine="338"/>
        <w:spacing w:after="0" w:line="301" w:lineRule="auto"/>
        <w:rPr>
          <w:sz w:val="20"/>
          <w:szCs w:val="20"/>
          <w:color w:val="auto"/>
        </w:rPr>
      </w:pPr>
      <w:r>
        <w:rPr>
          <w:rFonts w:ascii="Arial" w:cs="Arial" w:eastAsia="Arial" w:hAnsi="Arial"/>
          <w:sz w:val="12"/>
          <w:szCs w:val="12"/>
          <w:color w:val="auto"/>
        </w:rPr>
        <w:t>We have the ability to declare and pay a large portion of any distribution qualifying as a dividend for U.S. federal income tax purposes in shares of our stock. Generally, were we to declare such a distribution, each Non-U.S. stockholder generally would be treated as having received a taxable distribution (including for purposes of the application of the withholding tax rules discussed above) on the date the distribution is received in an amount equal to the cash that such Non-U.S. stockholder would have received if the entire distribution had been paid in cash, even if such Non-U.S. stockholder received all or most of the distribution in shares of our stock. In such a circumstance, all or substantially all of the cash that would otherwise be distributed to a Non-U.S. stockholder may be withheld or shares of our stock may be withheld and sold to fund the applicable withholding.</w:t>
      </w:r>
    </w:p>
    <w:p>
      <w:pPr>
        <w:spacing w:after="0" w:line="123" w:lineRule="exact"/>
        <w:rPr>
          <w:sz w:val="20"/>
          <w:szCs w:val="20"/>
          <w:color w:val="auto"/>
        </w:rPr>
      </w:pPr>
    </w:p>
    <w:p>
      <w:pPr>
        <w:ind w:left="280" w:right="319" w:firstLine="338"/>
        <w:spacing w:after="0" w:line="310" w:lineRule="auto"/>
        <w:rPr>
          <w:sz w:val="20"/>
          <w:szCs w:val="20"/>
          <w:color w:val="auto"/>
        </w:rPr>
      </w:pPr>
      <w:r>
        <w:rPr>
          <w:rFonts w:ascii="Arial" w:cs="Arial" w:eastAsia="Arial" w:hAnsi="Arial"/>
          <w:sz w:val="12"/>
          <w:szCs w:val="12"/>
          <w:color w:val="auto"/>
        </w:rPr>
        <w:t>A Non-U.S. stockholder who is a non-resident alien individual, and who is otherwise subject to withholding of federal income tax, may be subject to information reporting and backup tax withholding of federal income tax on distributions unless the Non-U.S. stockholder provides us or the distribution paying agent with an IRS Form W-8BEN, IRS Form W-8BEN-E, or other applicable IRS Form W-8, or otherwise meets documentary evidence requirements for establishing that it is a Non-U.S. stockholder or otherwise establishes an exemption from backup withholding.</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4"/>
          <w:szCs w:val="14"/>
          <w:color w:val="auto"/>
        </w:rPr>
        <w:t>Non-U.S. stockholders may also be subject to U.S. estate tax with respect to their investment in our common shares.</w:t>
      </w:r>
    </w:p>
    <w:p>
      <w:pPr>
        <w:spacing w:after="0" w:line="171" w:lineRule="exact"/>
        <w:rPr>
          <w:sz w:val="20"/>
          <w:szCs w:val="20"/>
          <w:color w:val="auto"/>
        </w:rPr>
      </w:pPr>
    </w:p>
    <w:p>
      <w:pPr>
        <w:ind w:left="280" w:right="659" w:firstLine="338"/>
        <w:spacing w:after="0" w:line="268" w:lineRule="auto"/>
        <w:rPr>
          <w:sz w:val="20"/>
          <w:szCs w:val="20"/>
          <w:color w:val="auto"/>
        </w:rPr>
      </w:pPr>
      <w:r>
        <w:rPr>
          <w:rFonts w:ascii="Arial" w:cs="Arial" w:eastAsia="Arial" w:hAnsi="Arial"/>
          <w:sz w:val="14"/>
          <w:szCs w:val="14"/>
          <w:color w:val="auto"/>
        </w:rPr>
        <w:t>Non-U.S. persons should consult their own tax advisors with respect to the U.S. federal income tax and withholding tax, and state, local and foreign tax consequences of an investment in the shares.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9019"/>
          </w:cols>
          <w:pgMar w:left="1440" w:top="264" w:right="1440"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2805" cy="45720"/>
                    </a:xfrm>
                    <a:prstGeom prst="rect">
                      <a:avLst/>
                    </a:prstGeom>
                    <a:noFill/>
                  </pic:spPr>
                </pic:pic>
              </a:graphicData>
            </a:graphic>
          </wp:anchor>
        </w:drawing>
        <w:t>PLAN OF DISTRIBUTION</w:t>
      </w:r>
    </w:p>
    <w:p>
      <w:pPr>
        <w:spacing w:after="0" w:line="175" w:lineRule="exact"/>
        <w:rPr>
          <w:sz w:val="20"/>
          <w:szCs w:val="20"/>
          <w:color w:val="auto"/>
        </w:rPr>
      </w:pPr>
    </w:p>
    <w:p>
      <w:pPr>
        <w:ind w:left="280" w:right="499" w:firstLine="338"/>
        <w:spacing w:after="0" w:line="254" w:lineRule="auto"/>
        <w:rPr>
          <w:sz w:val="20"/>
          <w:szCs w:val="20"/>
          <w:color w:val="auto"/>
        </w:rPr>
      </w:pPr>
      <w:r>
        <w:rPr>
          <w:rFonts w:ascii="Arial" w:cs="Arial" w:eastAsia="Arial" w:hAnsi="Arial"/>
          <w:sz w:val="14"/>
          <w:szCs w:val="14"/>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75" w:lineRule="exact"/>
        <w:rPr>
          <w:sz w:val="20"/>
          <w:szCs w:val="20"/>
          <w:color w:val="auto"/>
        </w:rPr>
      </w:pPr>
    </w:p>
    <w:p>
      <w:pPr>
        <w:ind w:left="1020" w:hanging="332"/>
        <w:spacing w:after="0"/>
        <w:tabs>
          <w:tab w:leader="none" w:pos="10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name or names of any underwriters, dealers or agents and the amounts of securities underwritten or purchased by each of them;</w:t>
      </w:r>
    </w:p>
    <w:p>
      <w:pPr>
        <w:spacing w:after="0" w:line="109" w:lineRule="exact"/>
        <w:rPr>
          <w:rFonts w:ascii="Arial" w:cs="Arial" w:eastAsia="Arial" w:hAnsi="Arial"/>
          <w:sz w:val="13"/>
          <w:szCs w:val="13"/>
          <w:color w:val="auto"/>
        </w:rPr>
      </w:pPr>
    </w:p>
    <w:p>
      <w:pPr>
        <w:ind w:left="1020" w:right="439" w:hanging="332"/>
        <w:spacing w:after="0" w:line="268" w:lineRule="auto"/>
        <w:tabs>
          <w:tab w:leader="none" w:pos="10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offering price of the securities and the proceeds to us and any discounts, commissions or concessions allowed or reallowed or paid to dealers; and</w:t>
      </w:r>
    </w:p>
    <w:p>
      <w:pPr>
        <w:spacing w:after="0" w:line="65" w:lineRule="exact"/>
        <w:rPr>
          <w:rFonts w:ascii="Arial" w:cs="Arial" w:eastAsia="Arial" w:hAnsi="Arial"/>
          <w:sz w:val="14"/>
          <w:szCs w:val="14"/>
          <w:color w:val="auto"/>
        </w:rPr>
      </w:pPr>
    </w:p>
    <w:p>
      <w:pPr>
        <w:ind w:left="1020" w:hanging="332"/>
        <w:spacing w:after="0"/>
        <w:tabs>
          <w:tab w:leader="none" w:pos="10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any securities exchanges on which the securities may be listed.</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4"/>
          <w:szCs w:val="14"/>
          <w:color w:val="auto"/>
        </w:rPr>
        <w:t>Any offering price and any discounts or concessions allowed or reallowed or paid to dealers may be changed from time to time.</w:t>
      </w:r>
    </w:p>
    <w:p>
      <w:pPr>
        <w:spacing w:after="0" w:line="171" w:lineRule="exact"/>
        <w:rPr>
          <w:sz w:val="20"/>
          <w:szCs w:val="20"/>
          <w:color w:val="auto"/>
        </w:rPr>
      </w:pPr>
    </w:p>
    <w:p>
      <w:pPr>
        <w:jc w:val="both"/>
        <w:ind w:left="280" w:right="319" w:firstLine="338"/>
        <w:spacing w:after="0" w:line="257" w:lineRule="auto"/>
        <w:rPr>
          <w:sz w:val="20"/>
          <w:szCs w:val="20"/>
          <w:color w:val="auto"/>
        </w:rPr>
      </w:pPr>
      <w:r>
        <w:rPr>
          <w:rFonts w:ascii="Arial" w:cs="Arial" w:eastAsia="Arial" w:hAnsi="Arial"/>
          <w:sz w:val="14"/>
          <w:szCs w:val="14"/>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46" w:lineRule="exact"/>
        <w:rPr>
          <w:sz w:val="20"/>
          <w:szCs w:val="20"/>
          <w:color w:val="auto"/>
        </w:rPr>
      </w:pPr>
    </w:p>
    <w:p>
      <w:pPr>
        <w:ind w:left="280" w:right="339" w:firstLine="338"/>
        <w:spacing w:after="0" w:line="276" w:lineRule="auto"/>
        <w:rPr>
          <w:sz w:val="20"/>
          <w:szCs w:val="20"/>
          <w:color w:val="auto"/>
        </w:rPr>
      </w:pPr>
      <w:r>
        <w:rPr>
          <w:rFonts w:ascii="Arial" w:cs="Arial" w:eastAsia="Arial" w:hAnsi="Arial"/>
          <w:sz w:val="13"/>
          <w:szCs w:val="13"/>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36" w:lineRule="exact"/>
        <w:rPr>
          <w:sz w:val="20"/>
          <w:szCs w:val="20"/>
          <w:color w:val="auto"/>
        </w:rPr>
      </w:pPr>
    </w:p>
    <w:p>
      <w:pPr>
        <w:ind w:left="280" w:right="499" w:firstLine="338"/>
        <w:spacing w:after="0" w:line="257" w:lineRule="auto"/>
        <w:rPr>
          <w:sz w:val="20"/>
          <w:szCs w:val="20"/>
          <w:color w:val="auto"/>
        </w:rPr>
      </w:pPr>
      <w:r>
        <w:rPr>
          <w:rFonts w:ascii="Arial" w:cs="Arial" w:eastAsia="Arial" w:hAnsi="Arial"/>
          <w:sz w:val="14"/>
          <w:szCs w:val="14"/>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46" w:lineRule="exact"/>
        <w:rPr>
          <w:sz w:val="20"/>
          <w:szCs w:val="20"/>
          <w:color w:val="auto"/>
        </w:rPr>
      </w:pPr>
    </w:p>
    <w:p>
      <w:pPr>
        <w:ind w:left="280" w:right="459" w:firstLine="338"/>
        <w:spacing w:after="0" w:line="353" w:lineRule="auto"/>
        <w:rPr>
          <w:sz w:val="20"/>
          <w:szCs w:val="20"/>
          <w:color w:val="auto"/>
        </w:rPr>
      </w:pPr>
      <w:r>
        <w:rPr>
          <w:rFonts w:ascii="Arial" w:cs="Arial" w:eastAsia="Arial" w:hAnsi="Arial"/>
          <w:sz w:val="12"/>
          <w:szCs w:val="12"/>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92" w:lineRule="exact"/>
        <w:rPr>
          <w:sz w:val="20"/>
          <w:szCs w:val="20"/>
          <w:color w:val="auto"/>
        </w:rPr>
      </w:pPr>
    </w:p>
    <w:p>
      <w:pPr>
        <w:ind w:left="280" w:right="379" w:firstLine="338"/>
        <w:spacing w:after="0" w:line="254" w:lineRule="auto"/>
        <w:rPr>
          <w:sz w:val="20"/>
          <w:szCs w:val="20"/>
          <w:color w:val="auto"/>
        </w:rPr>
      </w:pPr>
      <w:r>
        <w:rPr>
          <w:rFonts w:ascii="Arial" w:cs="Arial" w:eastAsia="Arial" w:hAnsi="Arial"/>
          <w:sz w:val="14"/>
          <w:szCs w:val="14"/>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48" w:lineRule="exact"/>
        <w:rPr>
          <w:sz w:val="20"/>
          <w:szCs w:val="20"/>
          <w:color w:val="auto"/>
        </w:rPr>
      </w:pPr>
    </w:p>
    <w:p>
      <w:pPr>
        <w:jc w:val="both"/>
        <w:ind w:left="280" w:right="399" w:firstLine="338"/>
        <w:spacing w:after="0" w:line="280" w:lineRule="auto"/>
        <w:rPr>
          <w:sz w:val="20"/>
          <w:szCs w:val="20"/>
          <w:color w:val="auto"/>
        </w:rPr>
      </w:pPr>
      <w:r>
        <w:rPr>
          <w:rFonts w:ascii="Arial" w:cs="Arial" w:eastAsia="Arial" w:hAnsi="Arial"/>
          <w:sz w:val="13"/>
          <w:szCs w:val="13"/>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9019"/>
          </w:cols>
          <w:pgMar w:left="1440" w:top="259" w:right="1440" w:bottom="1440" w:gutter="0" w:footer="0" w:header="0"/>
        </w:sectPr>
      </w:pPr>
    </w:p>
    <w:bookmarkStart w:id="76" w:name="page77"/>
    <w:bookmarkEnd w:id="76"/>
    <w:p>
      <w:pPr>
        <w:ind w:left="280" w:right="499"/>
        <w:spacing w:after="0" w:line="26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2805" cy="45720"/>
                    </a:xfrm>
                    <a:prstGeom prst="rect">
                      <a:avLst/>
                    </a:prstGeom>
                    <a:noFill/>
                  </pic:spPr>
                </pic:pic>
              </a:graphicData>
            </a:graphic>
          </wp:anchor>
        </w:drawing>
        <w:t>pursuant to the foregoing provisions, the Registrant has been informed that in the opinion of the SEC such indemnification is against public policy as expressed in the Securities Act and is therefore unenforceable.</w:t>
      </w:r>
    </w:p>
    <w:p>
      <w:pPr>
        <w:spacing w:after="0" w:line="138" w:lineRule="exact"/>
        <w:rPr>
          <w:sz w:val="20"/>
          <w:szCs w:val="20"/>
          <w:color w:val="auto"/>
        </w:rPr>
      </w:pPr>
    </w:p>
    <w:p>
      <w:pPr>
        <w:ind w:left="280" w:right="339" w:firstLine="338"/>
        <w:spacing w:after="0" w:line="271" w:lineRule="auto"/>
        <w:rPr>
          <w:sz w:val="20"/>
          <w:szCs w:val="20"/>
          <w:color w:val="auto"/>
        </w:rPr>
      </w:pPr>
      <w:r>
        <w:rPr>
          <w:rFonts w:ascii="Arial" w:cs="Arial" w:eastAsia="Arial" w:hAnsi="Arial"/>
          <w:sz w:val="13"/>
          <w:szCs w:val="13"/>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9019"/>
          </w:cols>
          <w:pgMar w:left="1440" w:top="263" w:right="1440" w:bottom="1440" w:gutter="0" w:footer="0" w:header="0"/>
        </w:sectPr>
      </w:pPr>
    </w:p>
    <w:bookmarkStart w:id="77" w:name="page78"/>
    <w:bookmarkEnd w:id="77"/>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2805" cy="45720"/>
                    </a:xfrm>
                    <a:prstGeom prst="rect">
                      <a:avLst/>
                    </a:prstGeom>
                    <a:noFill/>
                  </pic:spPr>
                </pic:pic>
              </a:graphicData>
            </a:graphic>
          </wp:anchor>
        </w:drawing>
        <w:t>SUB-ADMINISTRATOR, CUSTODIAN, TRANSFER AGENT AND TRUSTEE</w:t>
      </w:r>
    </w:p>
    <w:p>
      <w:pPr>
        <w:spacing w:after="0" w:line="175" w:lineRule="exact"/>
        <w:rPr>
          <w:sz w:val="20"/>
          <w:szCs w:val="20"/>
          <w:color w:val="auto"/>
        </w:rPr>
      </w:pPr>
    </w:p>
    <w:p>
      <w:pPr>
        <w:ind w:left="280" w:right="299" w:firstLine="338"/>
        <w:spacing w:after="0" w:line="301" w:lineRule="auto"/>
        <w:rPr>
          <w:sz w:val="20"/>
          <w:szCs w:val="20"/>
          <w:color w:val="auto"/>
        </w:rPr>
      </w:pPr>
      <w:r>
        <w:rPr>
          <w:rFonts w:ascii="Arial" w:cs="Arial" w:eastAsia="Arial" w:hAnsi="Arial"/>
          <w:sz w:val="12"/>
          <w:szCs w:val="12"/>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240 Greenwich Street, New York, NY 10286. AST acts as our transfer agent, distribution paying agent and registrar. AST also serves as trustee under our 2026 Notes. The principal business address of AST is 6201 15th Avenue, 3rd Floor, Brooklyn, NY 11219, telephone number: (800) 937-5449. Mishmeret Trust Company, Ltd. serves as trustee for our 2023 Notes. The principal business address of Mishmeret Trust Company, Ltd. is 46-48 Menachem Begin Road, Tel Aviv, Israel 66184.</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LEGAL MATTERS</w:t>
      </w:r>
    </w:p>
    <w:p>
      <w:pPr>
        <w:spacing w:after="0" w:line="175" w:lineRule="exact"/>
        <w:rPr>
          <w:sz w:val="20"/>
          <w:szCs w:val="20"/>
          <w:color w:val="auto"/>
        </w:rPr>
      </w:pPr>
    </w:p>
    <w:p>
      <w:pPr>
        <w:ind w:left="280" w:right="339" w:firstLine="338"/>
        <w:spacing w:after="0" w:line="257" w:lineRule="auto"/>
        <w:rPr>
          <w:sz w:val="20"/>
          <w:szCs w:val="20"/>
          <w:color w:val="auto"/>
        </w:rPr>
      </w:pPr>
      <w:r>
        <w:rPr>
          <w:rFonts w:ascii="Arial" w:cs="Arial" w:eastAsia="Arial" w:hAnsi="Arial"/>
          <w:sz w:val="14"/>
          <w:szCs w:val="14"/>
          <w:color w:val="auto"/>
        </w:rPr>
        <w:t>Certain legal matters regarding the securities offered by this prospectus will be passed upon for us by Dechert LLP, Boston, Massachusetts and by Venable LLP, as special Maryland counsel. Certain legal matters will be passed upon for underwriters, if any, by the counsel named in the prospectus supplement, if any.</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INDEPENDENT REGISTERED PUBLIC ACCOUNTING FIRM</w:t>
      </w:r>
    </w:p>
    <w:p>
      <w:pPr>
        <w:spacing w:after="0" w:line="175" w:lineRule="exact"/>
        <w:rPr>
          <w:sz w:val="20"/>
          <w:szCs w:val="20"/>
          <w:color w:val="auto"/>
        </w:rPr>
      </w:pPr>
    </w:p>
    <w:p>
      <w:pPr>
        <w:ind w:left="280" w:right="319" w:firstLine="338"/>
        <w:spacing w:after="0" w:line="276" w:lineRule="auto"/>
        <w:rPr>
          <w:sz w:val="20"/>
          <w:szCs w:val="20"/>
          <w:color w:val="auto"/>
        </w:rPr>
      </w:pPr>
      <w:r>
        <w:rPr>
          <w:rFonts w:ascii="Arial" w:cs="Arial" w:eastAsia="Arial" w:hAnsi="Arial"/>
          <w:sz w:val="13"/>
          <w:szCs w:val="13"/>
          <w:color w:val="auto"/>
        </w:rPr>
        <w:t>The consolidated financial statements of PennantPark Floating Rate Capital Ltd. and Subsidiaries as of September 30, 2022 and 2021 and for each of the years in the three-year period ended September 30, 2022 incorporated in this Prospectus by reference from the PennantPark Floating Rate Capital Ltd. Annual Report on Form 10-K for the year ended September 30, 2022 have been audited by RSM US LLP, an independent registered public accounting firm, as stated in their report thereon, incorporated herein by reference, and have been incorporated in this Prospectus and Registration Statement in reliance upon such report and upon the authority of such firm as experts in accounting and auditing.</w:t>
      </w:r>
    </w:p>
    <w:p>
      <w:pPr>
        <w:spacing w:after="0" w:line="136" w:lineRule="exact"/>
        <w:rPr>
          <w:sz w:val="20"/>
          <w:szCs w:val="20"/>
          <w:color w:val="auto"/>
        </w:rPr>
      </w:pPr>
    </w:p>
    <w:p>
      <w:pPr>
        <w:ind w:left="280" w:right="339" w:firstLine="338"/>
        <w:spacing w:after="0" w:line="286" w:lineRule="auto"/>
        <w:rPr>
          <w:sz w:val="20"/>
          <w:szCs w:val="20"/>
          <w:color w:val="auto"/>
        </w:rPr>
      </w:pPr>
      <w:r>
        <w:rPr>
          <w:rFonts w:ascii="Arial" w:cs="Arial" w:eastAsia="Arial" w:hAnsi="Arial"/>
          <w:sz w:val="13"/>
          <w:szCs w:val="13"/>
          <w:color w:val="auto"/>
        </w:rPr>
        <w:t>The senior securities table of the Company incorporated by reference under the heading “Senior Securities” has been incorporated by reference herein in reliance upon the report of RSM US LLP, an independent registered public accounting firm, as stated in their report filed as Exhibit 99.2 to the Company’s Annual Report on Form 10-K for the year ended September 30, 2022, which is incorporated herein by reference.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INDEPENDENT AUDITOR</w:t>
      </w:r>
    </w:p>
    <w:p>
      <w:pPr>
        <w:spacing w:after="0" w:line="175" w:lineRule="exact"/>
        <w:rPr>
          <w:sz w:val="20"/>
          <w:szCs w:val="20"/>
          <w:color w:val="auto"/>
        </w:rPr>
      </w:pPr>
    </w:p>
    <w:p>
      <w:pPr>
        <w:ind w:left="280" w:right="319" w:firstLine="338"/>
        <w:spacing w:after="0" w:line="257" w:lineRule="auto"/>
        <w:rPr>
          <w:sz w:val="20"/>
          <w:szCs w:val="20"/>
          <w:color w:val="auto"/>
        </w:rPr>
      </w:pPr>
      <w:r>
        <w:rPr>
          <w:rFonts w:ascii="Arial" w:cs="Arial" w:eastAsia="Arial" w:hAnsi="Arial"/>
          <w:sz w:val="14"/>
          <w:szCs w:val="14"/>
          <w:color w:val="auto"/>
        </w:rPr>
        <w:t>The consolidated financial statements of PSSL as of and for the fiscal years ended September 30, 2022 and September 30, 2021 included as Exhibits 99.3 and 99.4, respectively, in our Annual Report on Form 10-K for the fiscal year ended September 30, 2022 have been so included in reliance on the report of RSM US LLP.</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9019"/>
          </w:cols>
          <w:pgMar w:left="1440" w:top="259" w:right="1440"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2805" cy="45720"/>
                    </a:xfrm>
                    <a:prstGeom prst="rect">
                      <a:avLst/>
                    </a:prstGeom>
                    <a:noFill/>
                  </pic:spPr>
                </pic:pic>
              </a:graphicData>
            </a:graphic>
          </wp:anchor>
        </w:drawing>
        <w:t>INCORPORATION BY REFERENCE</w:t>
      </w:r>
    </w:p>
    <w:p>
      <w:pPr>
        <w:spacing w:after="0" w:line="175" w:lineRule="exact"/>
        <w:rPr>
          <w:sz w:val="20"/>
          <w:szCs w:val="20"/>
          <w:color w:val="auto"/>
        </w:rPr>
      </w:pPr>
    </w:p>
    <w:p>
      <w:pPr>
        <w:ind w:left="280" w:right="379" w:firstLine="338"/>
        <w:spacing w:after="0" w:line="254" w:lineRule="auto"/>
        <w:rPr>
          <w:sz w:val="20"/>
          <w:szCs w:val="20"/>
          <w:color w:val="auto"/>
        </w:rPr>
      </w:pPr>
      <w:r>
        <w:rPr>
          <w:rFonts w:ascii="Arial" w:cs="Arial" w:eastAsia="Arial" w:hAnsi="Arial"/>
          <w:sz w:val="14"/>
          <w:szCs w:val="14"/>
          <w:color w:val="auto"/>
        </w:rPr>
        <w:t>This prospectus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w:t>
      </w:r>
    </w:p>
    <w:p>
      <w:pPr>
        <w:spacing w:after="0" w:line="148" w:lineRule="exact"/>
        <w:rPr>
          <w:sz w:val="20"/>
          <w:szCs w:val="20"/>
          <w:color w:val="auto"/>
        </w:rPr>
      </w:pPr>
    </w:p>
    <w:p>
      <w:pPr>
        <w:ind w:left="280" w:right="419" w:firstLine="338"/>
        <w:spacing w:after="0" w:line="273" w:lineRule="auto"/>
        <w:rPr>
          <w:sz w:val="20"/>
          <w:szCs w:val="20"/>
          <w:color w:val="auto"/>
        </w:rPr>
      </w:pPr>
      <w:r>
        <w:rPr>
          <w:rFonts w:ascii="Arial" w:cs="Arial" w:eastAsia="Arial" w:hAnsi="Arial"/>
          <w:sz w:val="13"/>
          <w:szCs w:val="13"/>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including all such documents we may file with the SEC after the date of the initial registration statement and prior to effectiveness of the registration statement;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12"/>
          <w:szCs w:val="12"/>
          <w:color w:val="auto"/>
        </w:rPr>
        <w:t>This prospectus and any prospectus supplement incorporates by reference the documents set forth below that have previously been filed with the</w:t>
      </w:r>
    </w:p>
    <w:p>
      <w:pPr>
        <w:spacing w:after="0" w:line="3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SEC:</w:t>
      </w:r>
    </w:p>
    <w:p>
      <w:pPr>
        <w:spacing w:after="0" w:line="89" w:lineRule="exact"/>
        <w:rPr>
          <w:sz w:val="20"/>
          <w:szCs w:val="20"/>
          <w:color w:val="auto"/>
        </w:rPr>
      </w:pPr>
    </w:p>
    <w:p>
      <w:pPr>
        <w:jc w:val="both"/>
        <w:ind w:left="1020" w:right="399" w:hanging="332"/>
        <w:spacing w:after="0" w:line="257" w:lineRule="auto"/>
        <w:tabs>
          <w:tab w:leader="none" w:pos="10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 xml:space="preserve">Our Annual Report on </w:t>
      </w:r>
      <w:hyperlink r:id="rId105">
        <w:r>
          <w:rPr>
            <w:rFonts w:ascii="Arial" w:cs="Arial" w:eastAsia="Arial" w:hAnsi="Arial"/>
            <w:sz w:val="14"/>
            <w:szCs w:val="14"/>
            <w:u w:val="single" w:color="auto"/>
            <w:color w:val="0000EE"/>
          </w:rPr>
          <w:t>Form 10-K</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 xml:space="preserve">for the fiscal year ended September 30, 2022, filed with the SEC on November 17, 2022, including the information specifically incorporated by reference to the Form 10-K from our Definitive Proxy Statement on </w:t>
      </w:r>
      <w:hyperlink r:id="rId106">
        <w:r>
          <w:rPr>
            <w:rFonts w:ascii="Arial" w:cs="Arial" w:eastAsia="Arial" w:hAnsi="Arial"/>
            <w:sz w:val="14"/>
            <w:szCs w:val="14"/>
            <w:u w:val="single" w:color="auto"/>
            <w:color w:val="0000EE"/>
          </w:rPr>
          <w:t>Schedule 14A</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filed with the SEC on December 8, 2022; and</w:t>
      </w:r>
    </w:p>
    <w:p>
      <w:pPr>
        <w:spacing w:after="0" w:line="73" w:lineRule="exact"/>
        <w:rPr>
          <w:rFonts w:ascii="Arial" w:cs="Arial" w:eastAsia="Arial" w:hAnsi="Arial"/>
          <w:sz w:val="14"/>
          <w:szCs w:val="14"/>
          <w:color w:val="auto"/>
        </w:rPr>
      </w:pPr>
    </w:p>
    <w:p>
      <w:pPr>
        <w:ind w:left="1020" w:right="319" w:hanging="332"/>
        <w:spacing w:after="0" w:line="280" w:lineRule="auto"/>
        <w:tabs>
          <w:tab w:leader="none" w:pos="1020" w:val="left"/>
        </w:tabs>
        <w:numPr>
          <w:ilvl w:val="0"/>
          <w:numId w:val="54"/>
        </w:numPr>
        <w:rPr>
          <w:rFonts w:ascii="Arial" w:cs="Arial" w:eastAsia="Arial" w:hAnsi="Arial"/>
          <w:sz w:val="13"/>
          <w:szCs w:val="13"/>
          <w:color w:val="auto"/>
        </w:rPr>
      </w:pPr>
      <w:r>
        <w:rPr>
          <w:rFonts w:ascii="Arial" w:cs="Arial" w:eastAsia="Arial" w:hAnsi="Arial"/>
          <w:sz w:val="13"/>
          <w:szCs w:val="13"/>
          <w:color w:val="auto"/>
        </w:rPr>
        <w:t xml:space="preserve">The description of our common stock contained in </w:t>
      </w:r>
      <w:hyperlink r:id="rId107">
        <w:r>
          <w:rPr>
            <w:rFonts w:ascii="Arial" w:cs="Arial" w:eastAsia="Arial" w:hAnsi="Arial"/>
            <w:sz w:val="13"/>
            <w:szCs w:val="13"/>
            <w:u w:val="single" w:color="auto"/>
            <w:color w:val="0000EE"/>
          </w:rPr>
          <w:t>Exhibit 4.4</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 xml:space="preserve">of our Annual Report on Form 10-K for the fiscal year ended September 30, 2019 (File No. 814-00891), as filed with the SEC on November 20, 2019, which updated the description thereof referenced in our Registration Statement on </w:t>
      </w:r>
      <w:hyperlink r:id="rId108">
        <w:r>
          <w:rPr>
            <w:rFonts w:ascii="Arial" w:cs="Arial" w:eastAsia="Arial" w:hAnsi="Arial"/>
            <w:sz w:val="13"/>
            <w:szCs w:val="13"/>
            <w:u w:val="single" w:color="auto"/>
            <w:color w:val="0000EE"/>
          </w:rPr>
          <w:t>Form 8-A</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(File No. 001-35127), as filed with the SEC on April 7, 2011, including any amendment or report filed for the purpose of updating such description prior to the termination of the offering of the common stock registered hereby.</w:t>
      </w:r>
    </w:p>
    <w:p>
      <w:pPr>
        <w:spacing w:after="0" w:line="132" w:lineRule="exact"/>
        <w:rPr>
          <w:rFonts w:ascii="Arial" w:cs="Arial" w:eastAsia="Arial" w:hAnsi="Arial"/>
          <w:sz w:val="13"/>
          <w:szCs w:val="13"/>
          <w:color w:val="auto"/>
        </w:rPr>
      </w:pPr>
    </w:p>
    <w:p>
      <w:pPr>
        <w:ind w:left="620"/>
        <w:spacing w:after="0"/>
        <w:rPr>
          <w:sz w:val="20"/>
          <w:szCs w:val="20"/>
          <w:color w:val="auto"/>
        </w:rPr>
      </w:pPr>
      <w:r>
        <w:rPr>
          <w:rFonts w:ascii="Arial" w:cs="Arial" w:eastAsia="Arial" w:hAnsi="Arial"/>
          <w:sz w:val="14"/>
          <w:szCs w:val="14"/>
          <w:color w:val="auto"/>
        </w:rPr>
        <w:t>To obtain copies of these filings, see “Available Information.”</w:t>
      </w:r>
    </w:p>
    <w:p>
      <w:pPr>
        <w:spacing w:after="0" w:line="119" w:lineRule="exact"/>
        <w:rPr>
          <w:rFonts w:ascii="Arial" w:cs="Arial" w:eastAsia="Arial" w:hAnsi="Arial"/>
          <w:sz w:val="13"/>
          <w:szCs w:val="13"/>
          <w:color w:val="auto"/>
        </w:rPr>
      </w:pPr>
    </w:p>
    <w:p>
      <w:pPr>
        <w:jc w:val="center"/>
        <w:ind w:right="19"/>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9019"/>
          </w:cols>
          <w:pgMar w:left="1440" w:top="259" w:right="1440" w:bottom="1440" w:gutter="0" w:footer="0" w:header="0"/>
        </w:sectPr>
      </w:pPr>
    </w:p>
    <w:bookmarkStart w:id="79" w:name="page80"/>
    <w:bookmarkEnd w:id="79"/>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202805" cy="45720"/>
                    </a:xfrm>
                    <a:prstGeom prst="rect">
                      <a:avLst/>
                    </a:prstGeom>
                    <a:noFill/>
                  </pic:spPr>
                </pic:pic>
              </a:graphicData>
            </a:graphic>
          </wp:anchor>
        </w:drawing>
        <w:t>AVAILABLE INFORMATION</w:t>
      </w:r>
    </w:p>
    <w:p>
      <w:pPr>
        <w:spacing w:after="0" w:line="175" w:lineRule="exact"/>
        <w:rPr>
          <w:sz w:val="20"/>
          <w:szCs w:val="20"/>
          <w:color w:val="auto"/>
        </w:rPr>
      </w:pPr>
    </w:p>
    <w:p>
      <w:pPr>
        <w:ind w:left="280" w:right="419" w:firstLine="338"/>
        <w:spacing w:after="0" w:line="273" w:lineRule="auto"/>
        <w:rPr>
          <w:sz w:val="20"/>
          <w:szCs w:val="20"/>
          <w:color w:val="auto"/>
        </w:rPr>
      </w:pPr>
      <w:r>
        <w:rPr>
          <w:rFonts w:ascii="Arial" w:cs="Arial" w:eastAsia="Arial" w:hAnsi="Arial"/>
          <w:sz w:val="13"/>
          <w:szCs w:val="13"/>
          <w:color w:val="auto"/>
        </w:rPr>
        <w:t>This prospectus is part of a registration statement we filed with the SEC. This prospectus does not contain all of the information set forth in the registration statement, some of which is contained in exhibits to the registration statement as permitted by the rules and regulations of the SEC. For further information with respect to us and the securities we are offering under this prospectus, we refer you to the registration statement, including the exhibits filed as a part of the registration statement. Statements contained in this prospectus concerning the contents of any contract or any other document are not necessarily complete. If a contract or other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spacing w:after="0" w:line="137" w:lineRule="exact"/>
        <w:rPr>
          <w:sz w:val="20"/>
          <w:szCs w:val="20"/>
          <w:color w:val="auto"/>
        </w:rPr>
      </w:pPr>
    </w:p>
    <w:p>
      <w:pPr>
        <w:ind w:left="280" w:right="299" w:firstLine="338"/>
        <w:spacing w:after="0" w:line="273" w:lineRule="auto"/>
        <w:rPr>
          <w:sz w:val="20"/>
          <w:szCs w:val="20"/>
          <w:color w:val="auto"/>
        </w:rPr>
      </w:pPr>
      <w:r>
        <w:rPr>
          <w:rFonts w:ascii="Arial" w:cs="Arial" w:eastAsia="Arial" w:hAnsi="Arial"/>
          <w:sz w:val="13"/>
          <w:szCs w:val="13"/>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Except for the documents incorporated by reference into this prospectus and any accompanying prospectus supplement, the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information on our website is not part of this prospectus or any accompanying prospectus supplement. The SEC maintains an Internet website that contains reports, proxy and information statements and other information filed electronically by us with the SEC which are available free of charge on the SEC’s Internet website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Copies of these reports, proxy and information statements and other information may be obtained, after paying a duplicating fee, by sending a request by email to: publicinfo@sec.gov.</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9019"/>
          </w:cols>
          <w:pgMar w:left="1440" w:top="259" w:right="1440"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202805" cy="45720"/>
                    </a:xfrm>
                    <a:prstGeom prst="rect">
                      <a:avLst/>
                    </a:prstGeom>
                    <a:noFill/>
                  </pic:spPr>
                </pic:pic>
              </a:graphicData>
            </a:graphic>
          </wp:anchor>
        </w:drawing>
        <w:t>PART 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OTHER INFORMATION</w:t>
      </w:r>
    </w:p>
    <w:p>
      <w:pPr>
        <w:spacing w:after="0" w:line="178" w:lineRule="exact"/>
        <w:rPr>
          <w:sz w:val="20"/>
          <w:szCs w:val="20"/>
          <w:color w:val="auto"/>
        </w:rPr>
      </w:pPr>
    </w:p>
    <w:p>
      <w:pPr>
        <w:ind w:left="280"/>
        <w:spacing w:after="0"/>
        <w:tabs>
          <w:tab w:leader="none" w:pos="1100" w:val="left"/>
        </w:tabs>
        <w:rPr>
          <w:sz w:val="20"/>
          <w:szCs w:val="20"/>
          <w:color w:val="auto"/>
        </w:rPr>
      </w:pPr>
      <w:r>
        <w:rPr>
          <w:rFonts w:ascii="Arial" w:cs="Arial" w:eastAsia="Arial" w:hAnsi="Arial"/>
          <w:sz w:val="14"/>
          <w:szCs w:val="14"/>
          <w:b w:val="1"/>
          <w:bCs w:val="1"/>
          <w:color w:val="auto"/>
        </w:rPr>
        <w:t>Item 25.</w:t>
      </w:r>
      <w:r>
        <w:rPr>
          <w:sz w:val="20"/>
          <w:szCs w:val="20"/>
          <w:color w:val="auto"/>
        </w:rPr>
        <w:tab/>
      </w:r>
      <w:r>
        <w:rPr>
          <w:rFonts w:ascii="Arial" w:cs="Arial" w:eastAsia="Arial" w:hAnsi="Arial"/>
          <w:sz w:val="12"/>
          <w:szCs w:val="12"/>
          <w:b w:val="1"/>
          <w:bCs w:val="1"/>
          <w:color w:val="auto"/>
        </w:rPr>
        <w:t>Financial statements and exhibits</w:t>
      </w:r>
    </w:p>
    <w:p>
      <w:pPr>
        <w:spacing w:after="0" w:line="102" w:lineRule="exact"/>
        <w:rPr>
          <w:sz w:val="20"/>
          <w:szCs w:val="20"/>
          <w:color w:val="auto"/>
        </w:rPr>
      </w:pPr>
    </w:p>
    <w:p>
      <w:pPr>
        <w:ind w:left="1140" w:hanging="867"/>
        <w:spacing w:after="0"/>
        <w:tabs>
          <w:tab w:leader="none" w:pos="1140" w:val="left"/>
        </w:tabs>
        <w:numPr>
          <w:ilvl w:val="0"/>
          <w:numId w:val="55"/>
        </w:numPr>
        <w:rPr>
          <w:rFonts w:ascii="Arial" w:cs="Arial" w:eastAsia="Arial" w:hAnsi="Arial"/>
          <w:sz w:val="14"/>
          <w:szCs w:val="14"/>
          <w:color w:val="auto"/>
        </w:rPr>
      </w:pPr>
      <w:r>
        <w:rPr>
          <w:rFonts w:ascii="Arial" w:cs="Arial" w:eastAsia="Arial" w:hAnsi="Arial"/>
          <w:sz w:val="14"/>
          <w:szCs w:val="14"/>
          <w:i w:val="1"/>
          <w:iCs w:val="1"/>
          <w:color w:val="auto"/>
        </w:rPr>
        <w:t>Financial Statements.</w:t>
      </w:r>
    </w:p>
    <w:p>
      <w:pPr>
        <w:spacing w:after="0" w:line="87" w:lineRule="exact"/>
        <w:rPr>
          <w:rFonts w:ascii="Arial" w:cs="Arial" w:eastAsia="Arial" w:hAnsi="Arial"/>
          <w:sz w:val="14"/>
          <w:szCs w:val="14"/>
          <w:color w:val="auto"/>
        </w:rPr>
      </w:pPr>
    </w:p>
    <w:p>
      <w:pPr>
        <w:ind w:left="1140" w:right="499"/>
        <w:spacing w:after="0" w:line="280" w:lineRule="auto"/>
        <w:rPr>
          <w:rFonts w:ascii="Arial" w:cs="Arial" w:eastAsia="Arial" w:hAnsi="Arial"/>
          <w:sz w:val="14"/>
          <w:szCs w:val="14"/>
          <w:color w:val="auto"/>
        </w:rPr>
      </w:pPr>
      <w:r>
        <w:rPr>
          <w:rFonts w:ascii="Arial" w:cs="Arial" w:eastAsia="Arial" w:hAnsi="Arial"/>
          <w:sz w:val="13"/>
          <w:szCs w:val="13"/>
          <w:color w:val="auto"/>
        </w:rPr>
        <w:t>The consolidated financial statements as of September 30, 2022 and September 30, 2021 and for each of the three years in the period ended September 30, 2022 and management’s assessment of the effectiveness of internal control over financial reporting (which is included in Management’s Report on Internal Control over Financial Reporting) as of September 30, 2022 have been incorporated by reference in this registration statement in “Part A—Information Required in a Prospectus.”</w:t>
      </w:r>
    </w:p>
    <w:p>
      <w:pPr>
        <w:spacing w:after="0" w:line="132" w:lineRule="exact"/>
        <w:rPr>
          <w:sz w:val="20"/>
          <w:szCs w:val="20"/>
          <w:color w:val="auto"/>
        </w:rPr>
      </w:pPr>
    </w:p>
    <w:p>
      <w:pPr>
        <w:ind w:left="1140" w:hanging="867"/>
        <w:spacing w:after="0"/>
        <w:tabs>
          <w:tab w:leader="none" w:pos="1140" w:val="left"/>
        </w:tabs>
        <w:numPr>
          <w:ilvl w:val="0"/>
          <w:numId w:val="56"/>
        </w:numPr>
        <w:rPr>
          <w:rFonts w:ascii="Arial" w:cs="Arial" w:eastAsia="Arial" w:hAnsi="Arial"/>
          <w:sz w:val="14"/>
          <w:szCs w:val="14"/>
          <w:color w:val="auto"/>
        </w:rPr>
      </w:pPr>
      <w:r>
        <w:rPr>
          <w:rFonts w:ascii="Arial" w:cs="Arial" w:eastAsia="Arial" w:hAnsi="Arial"/>
          <w:sz w:val="14"/>
          <w:szCs w:val="14"/>
          <w:i w:val="1"/>
          <w:iCs w:val="1"/>
          <w:color w:val="auto"/>
        </w:rPr>
        <w:t>Exhibits.</w:t>
      </w:r>
    </w:p>
    <w:p>
      <w:pPr>
        <w:spacing w:after="0" w:line="88" w:lineRule="exact"/>
        <w:rPr>
          <w:sz w:val="20"/>
          <w:szCs w:val="20"/>
          <w:color w:val="auto"/>
        </w:rPr>
      </w:pPr>
    </w:p>
    <w:p>
      <w:pPr>
        <w:ind w:left="1140" w:right="399" w:hanging="867"/>
        <w:spacing w:after="0" w:line="307" w:lineRule="auto"/>
        <w:tabs>
          <w:tab w:leader="none" w:pos="1140" w:val="left"/>
        </w:tabs>
        <w:numPr>
          <w:ilvl w:val="0"/>
          <w:numId w:val="57"/>
        </w:numPr>
        <w:rPr>
          <w:rFonts w:ascii="Arial" w:cs="Arial" w:eastAsia="Arial" w:hAnsi="Arial"/>
          <w:sz w:val="13"/>
          <w:szCs w:val="13"/>
          <w:u w:val="single" w:color="auto"/>
          <w:color w:val="0000EE"/>
        </w:rPr>
      </w:pPr>
      <w:hyperlink r:id="rId111">
        <w:r>
          <w:rPr>
            <w:rFonts w:ascii="Arial" w:cs="Arial" w:eastAsia="Arial" w:hAnsi="Arial"/>
            <w:sz w:val="13"/>
            <w:szCs w:val="13"/>
            <w:u w:val="single" w:color="auto"/>
            <w:color w:val="0000EE"/>
          </w:rPr>
          <w:t>Articles of Amendment and Restatement of the Registrant (Incorporated by reference to Exhibit 99(A) to the Registrant’s Pre-Effective</w:t>
        </w:r>
      </w:hyperlink>
      <w:r>
        <w:rPr>
          <w:rFonts w:ascii="Arial" w:cs="Arial" w:eastAsia="Arial" w:hAnsi="Arial"/>
          <w:sz w:val="13"/>
          <w:szCs w:val="13"/>
          <w:u w:val="single" w:color="auto"/>
          <w:color w:val="0000EE"/>
        </w:rPr>
        <w:t xml:space="preserve"> </w:t>
      </w:r>
      <w:hyperlink r:id="rId111">
        <w:r>
          <w:rPr>
            <w:rFonts w:ascii="Arial" w:cs="Arial" w:eastAsia="Arial" w:hAnsi="Arial"/>
            <w:sz w:val="13"/>
            <w:szCs w:val="13"/>
            <w:u w:val="single" w:color="auto"/>
            <w:color w:val="0000EE"/>
          </w:rPr>
          <w:t>Amendment No. 3 to the Registration Statement on Form N-2 (File No. 333-170243), filed on March 29, 2011).</w:t>
        </w:r>
      </w:hyperlink>
    </w:p>
    <w:p>
      <w:pPr>
        <w:spacing w:after="0" w:line="32" w:lineRule="exact"/>
        <w:rPr>
          <w:rFonts w:ascii="Arial" w:cs="Arial" w:eastAsia="Arial" w:hAnsi="Arial"/>
          <w:sz w:val="13"/>
          <w:szCs w:val="13"/>
          <w:u w:val="single" w:color="auto"/>
          <w:color w:val="0000EE"/>
        </w:rPr>
      </w:pPr>
    </w:p>
    <w:p>
      <w:pPr>
        <w:ind w:left="1140" w:right="439" w:hanging="867"/>
        <w:spacing w:after="0" w:line="268" w:lineRule="auto"/>
        <w:tabs>
          <w:tab w:leader="none" w:pos="1140" w:val="left"/>
        </w:tabs>
        <w:numPr>
          <w:ilvl w:val="0"/>
          <w:numId w:val="57"/>
        </w:numPr>
        <w:rPr>
          <w:rFonts w:ascii="Arial" w:cs="Arial" w:eastAsia="Arial" w:hAnsi="Arial"/>
          <w:sz w:val="14"/>
          <w:szCs w:val="14"/>
          <w:u w:val="single" w:color="auto"/>
          <w:color w:val="0000EE"/>
        </w:rPr>
      </w:pPr>
      <w:hyperlink r:id="rId112">
        <w:r>
          <w:rPr>
            <w:rFonts w:ascii="Arial" w:cs="Arial" w:eastAsia="Arial" w:hAnsi="Arial"/>
            <w:sz w:val="14"/>
            <w:szCs w:val="14"/>
            <w:u w:val="single" w:color="auto"/>
            <w:color w:val="0000EE"/>
          </w:rPr>
          <w:t>Second Amended and Restated Bylaws of the Registrant (Incorporated by reference to Exhibit 3.2 to the Registrant’s Quarterly Report</w:t>
        </w:r>
      </w:hyperlink>
      <w:r>
        <w:rPr>
          <w:rFonts w:ascii="Arial" w:cs="Arial" w:eastAsia="Arial" w:hAnsi="Arial"/>
          <w:sz w:val="14"/>
          <w:szCs w:val="14"/>
          <w:u w:val="single" w:color="auto"/>
          <w:color w:val="0000EE"/>
        </w:rPr>
        <w:t xml:space="preserve"> </w:t>
      </w:r>
      <w:hyperlink r:id="rId112">
        <w:r>
          <w:rPr>
            <w:rFonts w:ascii="Arial" w:cs="Arial" w:eastAsia="Arial" w:hAnsi="Arial"/>
            <w:sz w:val="14"/>
            <w:szCs w:val="14"/>
            <w:u w:val="single" w:color="auto"/>
            <w:color w:val="0000EE"/>
          </w:rPr>
          <w:t>on Form 10-Q (File No. 814-00891), filed on May 11, 2020).</w:t>
        </w:r>
      </w:hyperlink>
    </w:p>
    <w:p>
      <w:pPr>
        <w:spacing w:after="0" w:line="40" w:lineRule="exact"/>
        <w:rPr>
          <w:rFonts w:ascii="Arial" w:cs="Arial" w:eastAsia="Arial" w:hAnsi="Arial"/>
          <w:sz w:val="14"/>
          <w:szCs w:val="14"/>
          <w:color w:val="auto"/>
        </w:rPr>
      </w:pPr>
    </w:p>
    <w:tbl>
      <w:tblPr>
        <w:tblLayout w:type="fixed"/>
        <w:tblInd w:w="28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Arial" w:cs="Arial" w:eastAsia="Arial" w:hAnsi="Arial"/>
                <w:sz w:val="14"/>
                <w:szCs w:val="14"/>
                <w:color w:val="auto"/>
              </w:rPr>
              <w:t>(d)(1)</w:t>
            </w:r>
          </w:p>
        </w:tc>
        <w:tc>
          <w:tcPr>
            <w:tcW w:w="7580" w:type="dxa"/>
            <w:vAlign w:val="bottom"/>
            <w:gridSpan w:val="22"/>
          </w:tcPr>
          <w:p>
            <w:pPr>
              <w:spacing w:after="0"/>
              <w:rPr>
                <w:rFonts w:ascii="Arial" w:cs="Arial" w:eastAsia="Arial" w:hAnsi="Arial"/>
                <w:sz w:val="14"/>
                <w:szCs w:val="14"/>
                <w:color w:val="0000EE"/>
                <w:w w:val="96"/>
              </w:rPr>
            </w:pPr>
            <w:hyperlink r:id="rId113">
              <w:r>
                <w:rPr>
                  <w:rFonts w:ascii="Arial" w:cs="Arial" w:eastAsia="Arial" w:hAnsi="Arial"/>
                  <w:sz w:val="14"/>
                  <w:szCs w:val="14"/>
                  <w:color w:val="0000EE"/>
                  <w:w w:val="96"/>
                </w:rPr>
                <w:t>Form of Share Certificate (Incorporated by reference to Exhibit 99(D) to the Registrant’s Pre-Effective Amendment No. 5 to the</w:t>
              </w:r>
            </w:hyperlink>
          </w:p>
        </w:tc>
      </w:tr>
      <w:tr>
        <w:trPr>
          <w:trHeight w:val="146"/>
        </w:trPr>
        <w:tc>
          <w:tcPr>
            <w:tcW w:w="860" w:type="dxa"/>
            <w:vAlign w:val="bottom"/>
          </w:tcPr>
          <w:p>
            <w:pPr>
              <w:spacing w:after="0"/>
              <w:rPr>
                <w:sz w:val="12"/>
                <w:szCs w:val="12"/>
                <w:color w:val="auto"/>
              </w:rPr>
            </w:pPr>
          </w:p>
        </w:tc>
        <w:tc>
          <w:tcPr>
            <w:tcW w:w="4660" w:type="dxa"/>
            <w:vAlign w:val="bottom"/>
            <w:tcBorders>
              <w:top w:val="single" w:sz="8" w:color="0000EE"/>
              <w:bottom w:val="single" w:sz="8" w:color="0000EE"/>
            </w:tcBorders>
            <w:gridSpan w:val="8"/>
          </w:tcPr>
          <w:p>
            <w:pPr>
              <w:spacing w:after="0" w:line="146" w:lineRule="exact"/>
              <w:rPr>
                <w:rFonts w:ascii="Arial" w:cs="Arial" w:eastAsia="Arial" w:hAnsi="Arial"/>
                <w:sz w:val="14"/>
                <w:szCs w:val="14"/>
                <w:color w:val="0000EE"/>
                <w:w w:val="91"/>
              </w:rPr>
            </w:pPr>
            <w:hyperlink r:id="rId113">
              <w:r>
                <w:rPr>
                  <w:rFonts w:ascii="Arial" w:cs="Arial" w:eastAsia="Arial" w:hAnsi="Arial"/>
                  <w:sz w:val="14"/>
                  <w:szCs w:val="14"/>
                  <w:color w:val="0000EE"/>
                  <w:w w:val="91"/>
                </w:rPr>
                <w:t>Registration Statement on Form N-2 (File No. 333-170243), filed on April 5, 2011).</w:t>
              </w:r>
            </w:hyperlink>
          </w:p>
        </w:tc>
        <w:tc>
          <w:tcPr>
            <w:tcW w:w="2420" w:type="dxa"/>
            <w:vAlign w:val="bottom"/>
            <w:tcBorders>
              <w:top w:val="single" w:sz="8" w:color="0000EE"/>
            </w:tcBorders>
            <w:gridSpan w:val="5"/>
          </w:tcPr>
          <w:p>
            <w:pPr>
              <w:spacing w:after="0"/>
              <w:rPr>
                <w:sz w:val="12"/>
                <w:szCs w:val="12"/>
                <w:color w:val="auto"/>
              </w:rPr>
            </w:pPr>
          </w:p>
        </w:tc>
        <w:tc>
          <w:tcPr>
            <w:tcW w:w="500" w:type="dxa"/>
            <w:vAlign w:val="bottom"/>
            <w:gridSpan w:val="9"/>
          </w:tcPr>
          <w:p>
            <w:pPr>
              <w:spacing w:after="0"/>
              <w:rPr>
                <w:sz w:val="12"/>
                <w:szCs w:val="12"/>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4"/>
                <w:szCs w:val="14"/>
                <w:color w:val="auto"/>
              </w:rPr>
              <w:t>(d)(2)</w:t>
            </w:r>
          </w:p>
        </w:tc>
        <w:tc>
          <w:tcPr>
            <w:tcW w:w="7520" w:type="dxa"/>
            <w:vAlign w:val="bottom"/>
            <w:tcBorders>
              <w:bottom w:val="single" w:sz="8" w:color="0000EE"/>
            </w:tcBorders>
            <w:gridSpan w:val="21"/>
          </w:tcPr>
          <w:p>
            <w:pPr>
              <w:spacing w:after="0"/>
              <w:rPr>
                <w:rFonts w:ascii="Arial" w:cs="Arial" w:eastAsia="Arial" w:hAnsi="Arial"/>
                <w:sz w:val="14"/>
                <w:szCs w:val="14"/>
                <w:color w:val="0000EE"/>
                <w:w w:val="90"/>
              </w:rPr>
            </w:pPr>
            <w:hyperlink r:id="rId114">
              <w:r>
                <w:rPr>
                  <w:rFonts w:ascii="Arial" w:cs="Arial" w:eastAsia="Arial" w:hAnsi="Arial"/>
                  <w:sz w:val="14"/>
                  <w:szCs w:val="14"/>
                  <w:color w:val="0000EE"/>
                  <w:w w:val="90"/>
                </w:rPr>
                <w:t>Form of Subscription Certificate (Incorporated by reference to Exhibit 99(D)(2) to the Registrant’s Registration Statement on Form N-2</w:t>
              </w:r>
            </w:hyperlink>
          </w:p>
        </w:tc>
        <w:tc>
          <w:tcPr>
            <w:tcW w:w="60" w:type="dxa"/>
            <w:vAlign w:val="bottom"/>
          </w:tcPr>
          <w:p>
            <w:pPr>
              <w:spacing w:after="0"/>
              <w:rPr>
                <w:sz w:val="19"/>
                <w:szCs w:val="19"/>
                <w:color w:val="auto"/>
              </w:rPr>
            </w:pPr>
          </w:p>
        </w:tc>
      </w:tr>
      <w:tr>
        <w:trPr>
          <w:trHeight w:val="146"/>
        </w:trPr>
        <w:tc>
          <w:tcPr>
            <w:tcW w:w="860" w:type="dxa"/>
            <w:vAlign w:val="bottom"/>
          </w:tcPr>
          <w:p>
            <w:pPr>
              <w:spacing w:after="0"/>
              <w:rPr>
                <w:sz w:val="12"/>
                <w:szCs w:val="12"/>
                <w:color w:val="auto"/>
              </w:rPr>
            </w:pPr>
          </w:p>
        </w:tc>
        <w:tc>
          <w:tcPr>
            <w:tcW w:w="7580" w:type="dxa"/>
            <w:vAlign w:val="bottom"/>
            <w:gridSpan w:val="22"/>
          </w:tcPr>
          <w:p>
            <w:pPr>
              <w:spacing w:after="0" w:line="146" w:lineRule="exact"/>
              <w:rPr>
                <w:rFonts w:ascii="Arial" w:cs="Arial" w:eastAsia="Arial" w:hAnsi="Arial"/>
                <w:sz w:val="14"/>
                <w:szCs w:val="14"/>
                <w:color w:val="0000EE"/>
              </w:rPr>
            </w:pPr>
            <w:hyperlink r:id="rId114">
              <w:r>
                <w:rPr>
                  <w:rFonts w:ascii="Arial" w:cs="Arial" w:eastAsia="Arial" w:hAnsi="Arial"/>
                  <w:sz w:val="14"/>
                  <w:szCs w:val="14"/>
                  <w:color w:val="0000EE"/>
                </w:rPr>
                <w:t>(File No. 333-180084), filed on March 14, 2012).</w:t>
              </w:r>
            </w:hyperlink>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4"/>
                <w:szCs w:val="14"/>
                <w:color w:val="auto"/>
              </w:rPr>
              <w:t>(d)(3)</w:t>
            </w:r>
          </w:p>
        </w:tc>
        <w:tc>
          <w:tcPr>
            <w:tcW w:w="7580" w:type="dxa"/>
            <w:vAlign w:val="bottom"/>
            <w:gridSpan w:val="22"/>
          </w:tcPr>
          <w:p>
            <w:pPr>
              <w:spacing w:after="0"/>
              <w:rPr>
                <w:rFonts w:ascii="Arial" w:cs="Arial" w:eastAsia="Arial" w:hAnsi="Arial"/>
                <w:sz w:val="14"/>
                <w:szCs w:val="14"/>
                <w:color w:val="0000EE"/>
                <w:w w:val="97"/>
              </w:rPr>
            </w:pPr>
            <w:hyperlink r:id="rId115">
              <w:r>
                <w:rPr>
                  <w:rFonts w:ascii="Arial" w:cs="Arial" w:eastAsia="Arial" w:hAnsi="Arial"/>
                  <w:sz w:val="14"/>
                  <w:szCs w:val="14"/>
                  <w:color w:val="0000EE"/>
                  <w:w w:val="97"/>
                </w:rPr>
                <w:t>Form of Indenture (Incorporated by reference to Exhibit 99(D)(3) to the Registrant’s Registration Statement on Form N-2 (File</w:t>
              </w:r>
            </w:hyperlink>
          </w:p>
        </w:tc>
      </w:tr>
      <w:tr>
        <w:trPr>
          <w:trHeight w:val="146"/>
        </w:trPr>
        <w:tc>
          <w:tcPr>
            <w:tcW w:w="860" w:type="dxa"/>
            <w:vAlign w:val="bottom"/>
          </w:tcPr>
          <w:p>
            <w:pPr>
              <w:spacing w:after="0"/>
              <w:rPr>
                <w:sz w:val="12"/>
                <w:szCs w:val="12"/>
                <w:color w:val="auto"/>
              </w:rPr>
            </w:pPr>
          </w:p>
        </w:tc>
        <w:tc>
          <w:tcPr>
            <w:tcW w:w="7020" w:type="dxa"/>
            <w:vAlign w:val="bottom"/>
            <w:tcBorders>
              <w:top w:val="single" w:sz="8" w:color="0000EE"/>
            </w:tcBorders>
            <w:gridSpan w:val="11"/>
          </w:tcPr>
          <w:p>
            <w:pPr>
              <w:spacing w:after="0" w:line="146" w:lineRule="exact"/>
              <w:rPr>
                <w:rFonts w:ascii="Arial" w:cs="Arial" w:eastAsia="Arial" w:hAnsi="Arial"/>
                <w:sz w:val="14"/>
                <w:szCs w:val="14"/>
                <w:color w:val="0000EE"/>
              </w:rPr>
            </w:pPr>
            <w:hyperlink r:id="rId115">
              <w:r>
                <w:rPr>
                  <w:rFonts w:ascii="Arial" w:cs="Arial" w:eastAsia="Arial" w:hAnsi="Arial"/>
                  <w:sz w:val="14"/>
                  <w:szCs w:val="14"/>
                  <w:color w:val="0000EE"/>
                </w:rPr>
                <w:t>No. 333-180084), filed on March 14, 2012).</w:t>
              </w:r>
            </w:hyperlink>
          </w:p>
        </w:tc>
        <w:tc>
          <w:tcPr>
            <w:tcW w:w="560" w:type="dxa"/>
            <w:vAlign w:val="bottom"/>
            <w:gridSpan w:val="11"/>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4"/>
                <w:szCs w:val="14"/>
                <w:color w:val="auto"/>
              </w:rPr>
              <w:t>(d)(4)</w:t>
            </w:r>
          </w:p>
        </w:tc>
        <w:tc>
          <w:tcPr>
            <w:tcW w:w="7340" w:type="dxa"/>
            <w:vAlign w:val="bottom"/>
            <w:tcBorders>
              <w:bottom w:val="single" w:sz="8" w:color="0000EE"/>
            </w:tcBorders>
            <w:gridSpan w:val="16"/>
          </w:tcPr>
          <w:p>
            <w:pPr>
              <w:spacing w:after="0"/>
              <w:rPr>
                <w:rFonts w:ascii="Arial" w:cs="Arial" w:eastAsia="Arial" w:hAnsi="Arial"/>
                <w:sz w:val="14"/>
                <w:szCs w:val="14"/>
                <w:color w:val="0000EE"/>
                <w:w w:val="90"/>
              </w:rPr>
            </w:pPr>
            <w:hyperlink r:id="rId116">
              <w:r>
                <w:rPr>
                  <w:rFonts w:ascii="Arial" w:cs="Arial" w:eastAsia="Arial" w:hAnsi="Arial"/>
                  <w:sz w:val="14"/>
                  <w:szCs w:val="14"/>
                  <w:color w:val="0000EE"/>
                  <w:w w:val="90"/>
                </w:rPr>
                <w:t>Form of Subscription Agent Agreement (Incorporated by reference to Exhibit 99(D)(4) to the Registrant’s Registration Statement on</w:t>
              </w:r>
            </w:hyperlink>
          </w:p>
        </w:tc>
        <w:tc>
          <w:tcPr>
            <w:tcW w:w="240" w:type="dxa"/>
            <w:vAlign w:val="bottom"/>
            <w:gridSpan w:val="6"/>
          </w:tcPr>
          <w:p>
            <w:pPr>
              <w:spacing w:after="0"/>
              <w:rPr>
                <w:sz w:val="19"/>
                <w:szCs w:val="19"/>
                <w:color w:val="auto"/>
              </w:rPr>
            </w:pPr>
          </w:p>
        </w:tc>
      </w:tr>
      <w:tr>
        <w:trPr>
          <w:trHeight w:val="146"/>
        </w:trPr>
        <w:tc>
          <w:tcPr>
            <w:tcW w:w="860" w:type="dxa"/>
            <w:vAlign w:val="bottom"/>
          </w:tcPr>
          <w:p>
            <w:pPr>
              <w:spacing w:after="0"/>
              <w:rPr>
                <w:sz w:val="12"/>
                <w:szCs w:val="12"/>
                <w:color w:val="auto"/>
              </w:rPr>
            </w:pPr>
          </w:p>
        </w:tc>
        <w:tc>
          <w:tcPr>
            <w:tcW w:w="7580" w:type="dxa"/>
            <w:vAlign w:val="bottom"/>
            <w:gridSpan w:val="22"/>
          </w:tcPr>
          <w:p>
            <w:pPr>
              <w:spacing w:after="0" w:line="146" w:lineRule="exact"/>
              <w:rPr>
                <w:rFonts w:ascii="Arial" w:cs="Arial" w:eastAsia="Arial" w:hAnsi="Arial"/>
                <w:sz w:val="14"/>
                <w:szCs w:val="14"/>
                <w:color w:val="0000EE"/>
              </w:rPr>
            </w:pPr>
            <w:hyperlink r:id="rId116">
              <w:r>
                <w:rPr>
                  <w:rFonts w:ascii="Arial" w:cs="Arial" w:eastAsia="Arial" w:hAnsi="Arial"/>
                  <w:sz w:val="14"/>
                  <w:szCs w:val="14"/>
                  <w:color w:val="0000EE"/>
                </w:rPr>
                <w:t>Form N-2 (File No. 333-180084), filed on March 14, 2012).</w:t>
              </w:r>
            </w:hyperlink>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4"/>
                <w:szCs w:val="14"/>
                <w:color w:val="auto"/>
              </w:rPr>
              <w:t>(d)(5)</w:t>
            </w:r>
          </w:p>
        </w:tc>
        <w:tc>
          <w:tcPr>
            <w:tcW w:w="7580" w:type="dxa"/>
            <w:vAlign w:val="bottom"/>
            <w:tcBorders>
              <w:bottom w:val="single" w:sz="8" w:color="0000EE"/>
            </w:tcBorders>
            <w:gridSpan w:val="22"/>
          </w:tcPr>
          <w:p>
            <w:pPr>
              <w:spacing w:after="0"/>
              <w:rPr>
                <w:rFonts w:ascii="Arial" w:cs="Arial" w:eastAsia="Arial" w:hAnsi="Arial"/>
                <w:sz w:val="14"/>
                <w:szCs w:val="14"/>
                <w:color w:val="0000EE"/>
                <w:w w:val="90"/>
              </w:rPr>
            </w:pPr>
            <w:hyperlink r:id="rId117">
              <w:r>
                <w:rPr>
                  <w:rFonts w:ascii="Arial" w:cs="Arial" w:eastAsia="Arial" w:hAnsi="Arial"/>
                  <w:sz w:val="14"/>
                  <w:szCs w:val="14"/>
                  <w:color w:val="0000EE"/>
                  <w:w w:val="90"/>
                </w:rPr>
                <w:t>Form of Warrant Agreement (Incorporated by reference to Exhibit 99(D)(5) to the Registrant’s Registration Statement on Form N-2 (File</w:t>
              </w:r>
            </w:hyperlink>
          </w:p>
        </w:tc>
      </w:tr>
      <w:tr>
        <w:trPr>
          <w:trHeight w:val="146"/>
        </w:trPr>
        <w:tc>
          <w:tcPr>
            <w:tcW w:w="860" w:type="dxa"/>
            <w:vAlign w:val="bottom"/>
          </w:tcPr>
          <w:p>
            <w:pPr>
              <w:spacing w:after="0"/>
              <w:rPr>
                <w:sz w:val="12"/>
                <w:szCs w:val="12"/>
                <w:color w:val="auto"/>
              </w:rPr>
            </w:pPr>
          </w:p>
        </w:tc>
        <w:tc>
          <w:tcPr>
            <w:tcW w:w="7580" w:type="dxa"/>
            <w:vAlign w:val="bottom"/>
            <w:gridSpan w:val="22"/>
          </w:tcPr>
          <w:p>
            <w:pPr>
              <w:spacing w:after="0" w:line="146" w:lineRule="exact"/>
              <w:rPr>
                <w:rFonts w:ascii="Arial" w:cs="Arial" w:eastAsia="Arial" w:hAnsi="Arial"/>
                <w:sz w:val="14"/>
                <w:szCs w:val="14"/>
                <w:color w:val="0000EE"/>
              </w:rPr>
            </w:pPr>
            <w:hyperlink r:id="rId117">
              <w:r>
                <w:rPr>
                  <w:rFonts w:ascii="Arial" w:cs="Arial" w:eastAsia="Arial" w:hAnsi="Arial"/>
                  <w:sz w:val="14"/>
                  <w:szCs w:val="14"/>
                  <w:color w:val="0000EE"/>
                </w:rPr>
                <w:t>No. 333-180084), filed on March 14, 2012).</w:t>
              </w:r>
            </w:hyperlink>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4"/>
                <w:szCs w:val="14"/>
                <w:color w:val="auto"/>
              </w:rPr>
              <w:t>(d)(6)*</w:t>
            </w:r>
          </w:p>
        </w:tc>
        <w:tc>
          <w:tcPr>
            <w:tcW w:w="4000" w:type="dxa"/>
            <w:vAlign w:val="bottom"/>
            <w:tcBorders>
              <w:bottom w:val="single" w:sz="8" w:color="0000EE"/>
            </w:tcBorders>
            <w:gridSpan w:val="6"/>
          </w:tcPr>
          <w:p>
            <w:pPr>
              <w:spacing w:after="0"/>
              <w:rPr>
                <w:sz w:val="20"/>
                <w:szCs w:val="20"/>
                <w:color w:val="auto"/>
              </w:rPr>
            </w:pPr>
            <w:r>
              <w:rPr>
                <w:rFonts w:ascii="Arial" w:cs="Arial" w:eastAsia="Arial" w:hAnsi="Arial"/>
                <w:sz w:val="14"/>
                <w:szCs w:val="14"/>
                <w:color w:val="0000EE"/>
                <w:w w:val="91"/>
              </w:rPr>
              <w:t>Form T-1 Statement of Eligibility with respect to the Form of Indenture.</w:t>
            </w:r>
          </w:p>
        </w:tc>
        <w:tc>
          <w:tcPr>
            <w:tcW w:w="3580" w:type="dxa"/>
            <w:vAlign w:val="bottom"/>
            <w:gridSpan w:val="16"/>
          </w:tcPr>
          <w:p>
            <w:pPr>
              <w:spacing w:after="0"/>
              <w:rPr>
                <w:sz w:val="19"/>
                <w:szCs w:val="19"/>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4"/>
                <w:szCs w:val="14"/>
                <w:color w:val="auto"/>
              </w:rPr>
              <w:t>(d)(7)</w:t>
            </w:r>
          </w:p>
        </w:tc>
        <w:tc>
          <w:tcPr>
            <w:tcW w:w="7580" w:type="dxa"/>
            <w:vAlign w:val="bottom"/>
            <w:gridSpan w:val="22"/>
          </w:tcPr>
          <w:p>
            <w:pPr>
              <w:spacing w:after="0"/>
              <w:rPr>
                <w:rFonts w:ascii="Arial" w:cs="Arial" w:eastAsia="Arial" w:hAnsi="Arial"/>
                <w:sz w:val="14"/>
                <w:szCs w:val="14"/>
                <w:color w:val="0000EE"/>
                <w:w w:val="91"/>
              </w:rPr>
            </w:pPr>
            <w:hyperlink r:id="rId118">
              <w:r>
                <w:rPr>
                  <w:rFonts w:ascii="Arial" w:cs="Arial" w:eastAsia="Arial" w:hAnsi="Arial"/>
                  <w:sz w:val="14"/>
                  <w:szCs w:val="14"/>
                  <w:color w:val="0000EE"/>
                  <w:w w:val="91"/>
                </w:rPr>
                <w:t>Form of Articles Supplementary (Incorporated by reference to Exhibit 99(D)(7) to the Registrant’s Registration Statement on Form N-2</w:t>
              </w:r>
            </w:hyperlink>
          </w:p>
        </w:tc>
      </w:tr>
      <w:tr>
        <w:trPr>
          <w:trHeight w:val="146"/>
        </w:trPr>
        <w:tc>
          <w:tcPr>
            <w:tcW w:w="860" w:type="dxa"/>
            <w:vAlign w:val="bottom"/>
          </w:tcPr>
          <w:p>
            <w:pPr>
              <w:spacing w:after="0"/>
              <w:rPr>
                <w:sz w:val="12"/>
                <w:szCs w:val="12"/>
                <w:color w:val="auto"/>
              </w:rPr>
            </w:pPr>
          </w:p>
        </w:tc>
        <w:tc>
          <w:tcPr>
            <w:tcW w:w="7500" w:type="dxa"/>
            <w:vAlign w:val="bottom"/>
            <w:tcBorders>
              <w:top w:val="single" w:sz="8" w:color="0000EE"/>
            </w:tcBorders>
            <w:gridSpan w:val="20"/>
          </w:tcPr>
          <w:p>
            <w:pPr>
              <w:spacing w:after="0" w:line="146" w:lineRule="exact"/>
              <w:rPr>
                <w:rFonts w:ascii="Arial" w:cs="Arial" w:eastAsia="Arial" w:hAnsi="Arial"/>
                <w:sz w:val="14"/>
                <w:szCs w:val="14"/>
                <w:color w:val="0000EE"/>
              </w:rPr>
            </w:pPr>
            <w:hyperlink r:id="rId118">
              <w:r>
                <w:rPr>
                  <w:rFonts w:ascii="Arial" w:cs="Arial" w:eastAsia="Arial" w:hAnsi="Arial"/>
                  <w:sz w:val="14"/>
                  <w:szCs w:val="14"/>
                  <w:color w:val="0000EE"/>
                </w:rPr>
                <w:t>(File No. 333-180084), filed on March 14, 2012).</w:t>
              </w:r>
            </w:hyperlink>
          </w:p>
        </w:tc>
        <w:tc>
          <w:tcPr>
            <w:tcW w:w="80" w:type="dxa"/>
            <w:vAlign w:val="bottom"/>
            <w:gridSpan w:val="2"/>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4"/>
                <w:szCs w:val="14"/>
                <w:color w:val="auto"/>
              </w:rPr>
              <w:t>(d)(8)</w:t>
            </w:r>
          </w:p>
        </w:tc>
        <w:tc>
          <w:tcPr>
            <w:tcW w:w="7000" w:type="dxa"/>
            <w:vAlign w:val="bottom"/>
            <w:tcBorders>
              <w:bottom w:val="single" w:sz="8" w:color="0000EE"/>
            </w:tcBorders>
            <w:gridSpan w:val="10"/>
          </w:tcPr>
          <w:p>
            <w:pPr>
              <w:spacing w:after="0"/>
              <w:rPr>
                <w:rFonts w:ascii="Arial" w:cs="Arial" w:eastAsia="Arial" w:hAnsi="Arial"/>
                <w:sz w:val="14"/>
                <w:szCs w:val="14"/>
                <w:color w:val="0000EE"/>
                <w:w w:val="89"/>
              </w:rPr>
            </w:pPr>
            <w:hyperlink r:id="rId119">
              <w:r>
                <w:rPr>
                  <w:rFonts w:ascii="Arial" w:cs="Arial" w:eastAsia="Arial" w:hAnsi="Arial"/>
                  <w:sz w:val="14"/>
                  <w:szCs w:val="14"/>
                  <w:color w:val="0000EE"/>
                  <w:w w:val="89"/>
                </w:rPr>
                <w:t>Deed of Trust dated November 23, 2017, between PennantPark Floating Rate Capital Ltd. and Mishmeret Trust Company, Ltd</w:t>
              </w:r>
            </w:hyperlink>
          </w:p>
        </w:tc>
        <w:tc>
          <w:tcPr>
            <w:tcW w:w="580" w:type="dxa"/>
            <w:vAlign w:val="bottom"/>
            <w:gridSpan w:val="12"/>
          </w:tcPr>
          <w:p>
            <w:pPr>
              <w:spacing w:after="0"/>
              <w:rPr>
                <w:sz w:val="19"/>
                <w:szCs w:val="19"/>
                <w:color w:val="auto"/>
              </w:rPr>
            </w:pPr>
          </w:p>
        </w:tc>
      </w:tr>
      <w:tr>
        <w:trPr>
          <w:trHeight w:val="146"/>
        </w:trPr>
        <w:tc>
          <w:tcPr>
            <w:tcW w:w="860" w:type="dxa"/>
            <w:vAlign w:val="bottom"/>
          </w:tcPr>
          <w:p>
            <w:pPr>
              <w:spacing w:after="0"/>
              <w:rPr>
                <w:sz w:val="12"/>
                <w:szCs w:val="12"/>
                <w:color w:val="auto"/>
              </w:rPr>
            </w:pPr>
          </w:p>
        </w:tc>
        <w:tc>
          <w:tcPr>
            <w:tcW w:w="7460" w:type="dxa"/>
            <w:vAlign w:val="bottom"/>
            <w:tcBorders>
              <w:bottom w:val="single" w:sz="8" w:color="0000EE"/>
            </w:tcBorders>
            <w:gridSpan w:val="19"/>
          </w:tcPr>
          <w:p>
            <w:pPr>
              <w:spacing w:after="0" w:line="146" w:lineRule="exact"/>
              <w:rPr>
                <w:rFonts w:ascii="Arial" w:cs="Arial" w:eastAsia="Arial" w:hAnsi="Arial"/>
                <w:sz w:val="14"/>
                <w:szCs w:val="14"/>
                <w:color w:val="0000EE"/>
                <w:w w:val="90"/>
              </w:rPr>
            </w:pPr>
            <w:hyperlink r:id="rId119">
              <w:r>
                <w:rPr>
                  <w:rFonts w:ascii="Arial" w:cs="Arial" w:eastAsia="Arial" w:hAnsi="Arial"/>
                  <w:sz w:val="14"/>
                  <w:szCs w:val="14"/>
                  <w:color w:val="0000EE"/>
                  <w:w w:val="90"/>
                </w:rPr>
                <w:t>(Incorporated by reference to Exhibit 99(D)(8) to the Registrant’s Registration Statement on Form N-2 (File No. 333-215111), filed on</w:t>
              </w:r>
            </w:hyperlink>
          </w:p>
        </w:tc>
        <w:tc>
          <w:tcPr>
            <w:tcW w:w="120" w:type="dxa"/>
            <w:vAlign w:val="bottom"/>
            <w:gridSpan w:val="3"/>
          </w:tcPr>
          <w:p>
            <w:pPr>
              <w:spacing w:after="0"/>
              <w:rPr>
                <w:sz w:val="12"/>
                <w:szCs w:val="12"/>
                <w:color w:val="auto"/>
              </w:rPr>
            </w:pPr>
          </w:p>
        </w:tc>
      </w:tr>
      <w:tr>
        <w:trPr>
          <w:trHeight w:val="146"/>
        </w:trPr>
        <w:tc>
          <w:tcPr>
            <w:tcW w:w="860" w:type="dxa"/>
            <w:vAlign w:val="bottom"/>
          </w:tcPr>
          <w:p>
            <w:pPr>
              <w:spacing w:after="0"/>
              <w:rPr>
                <w:sz w:val="12"/>
                <w:szCs w:val="12"/>
                <w:color w:val="auto"/>
              </w:rPr>
            </w:pPr>
          </w:p>
        </w:tc>
        <w:tc>
          <w:tcPr>
            <w:tcW w:w="1180" w:type="dxa"/>
            <w:vAlign w:val="bottom"/>
            <w:tcBorders>
              <w:bottom w:val="single" w:sz="8" w:color="0000EE"/>
            </w:tcBorders>
            <w:gridSpan w:val="2"/>
          </w:tcPr>
          <w:p>
            <w:pPr>
              <w:spacing w:after="0" w:line="146" w:lineRule="exact"/>
              <w:rPr>
                <w:rFonts w:ascii="Arial" w:cs="Arial" w:eastAsia="Arial" w:hAnsi="Arial"/>
                <w:sz w:val="14"/>
                <w:szCs w:val="14"/>
                <w:color w:val="0000EE"/>
                <w:w w:val="88"/>
              </w:rPr>
            </w:pPr>
            <w:hyperlink r:id="rId119">
              <w:r>
                <w:rPr>
                  <w:rFonts w:ascii="Arial" w:cs="Arial" w:eastAsia="Arial" w:hAnsi="Arial"/>
                  <w:sz w:val="14"/>
                  <w:szCs w:val="14"/>
                  <w:color w:val="0000EE"/>
                  <w:w w:val="88"/>
                </w:rPr>
                <w:t>December 13, 2017).</w:t>
              </w:r>
            </w:hyperlink>
          </w:p>
        </w:tc>
        <w:tc>
          <w:tcPr>
            <w:tcW w:w="6400" w:type="dxa"/>
            <w:vAlign w:val="bottom"/>
            <w:gridSpan w:val="20"/>
          </w:tcPr>
          <w:p>
            <w:pPr>
              <w:spacing w:after="0"/>
              <w:rPr>
                <w:sz w:val="12"/>
                <w:szCs w:val="12"/>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4"/>
                <w:szCs w:val="14"/>
                <w:color w:val="auto"/>
              </w:rPr>
              <w:t>(d)(9)</w:t>
            </w:r>
          </w:p>
        </w:tc>
        <w:tc>
          <w:tcPr>
            <w:tcW w:w="7580" w:type="dxa"/>
            <w:vAlign w:val="bottom"/>
            <w:gridSpan w:val="22"/>
          </w:tcPr>
          <w:p>
            <w:pPr>
              <w:spacing w:after="0"/>
              <w:rPr>
                <w:rFonts w:ascii="Arial" w:cs="Arial" w:eastAsia="Arial" w:hAnsi="Arial"/>
                <w:sz w:val="14"/>
                <w:szCs w:val="14"/>
                <w:color w:val="0000EE"/>
                <w:w w:val="90"/>
              </w:rPr>
            </w:pPr>
            <w:hyperlink r:id="rId120">
              <w:r>
                <w:rPr>
                  <w:rFonts w:ascii="Arial" w:cs="Arial" w:eastAsia="Arial" w:hAnsi="Arial"/>
                  <w:sz w:val="14"/>
                  <w:szCs w:val="14"/>
                  <w:color w:val="0000EE"/>
                  <w:w w:val="90"/>
                </w:rPr>
                <w:t>Indenture, dated as of September 19, 2019, by and among PennantPark CLO I, Ltd., as issuer, PennantPark CLO I, LLC, as co-issuer,</w:t>
              </w:r>
            </w:hyperlink>
          </w:p>
        </w:tc>
      </w:tr>
      <w:tr>
        <w:trPr>
          <w:trHeight w:val="146"/>
        </w:trPr>
        <w:tc>
          <w:tcPr>
            <w:tcW w:w="860" w:type="dxa"/>
            <w:vAlign w:val="bottom"/>
          </w:tcPr>
          <w:p>
            <w:pPr>
              <w:spacing w:after="0"/>
              <w:rPr>
                <w:sz w:val="12"/>
                <w:szCs w:val="12"/>
                <w:color w:val="auto"/>
              </w:rPr>
            </w:pPr>
          </w:p>
        </w:tc>
        <w:tc>
          <w:tcPr>
            <w:tcW w:w="7380" w:type="dxa"/>
            <w:vAlign w:val="bottom"/>
            <w:tcBorders>
              <w:top w:val="single" w:sz="8" w:color="0000EE"/>
            </w:tcBorders>
            <w:gridSpan w:val="17"/>
          </w:tcPr>
          <w:p>
            <w:pPr>
              <w:spacing w:after="0" w:line="146" w:lineRule="exact"/>
              <w:rPr>
                <w:rFonts w:ascii="Arial" w:cs="Arial" w:eastAsia="Arial" w:hAnsi="Arial"/>
                <w:sz w:val="14"/>
                <w:szCs w:val="14"/>
                <w:color w:val="0000EE"/>
                <w:w w:val="90"/>
              </w:rPr>
            </w:pPr>
            <w:hyperlink r:id="rId120">
              <w:r>
                <w:rPr>
                  <w:rFonts w:ascii="Arial" w:cs="Arial" w:eastAsia="Arial" w:hAnsi="Arial"/>
                  <w:sz w:val="14"/>
                  <w:szCs w:val="14"/>
                  <w:color w:val="0000EE"/>
                  <w:w w:val="90"/>
                </w:rPr>
                <w:t>and U.S. Bank National Association, as trustee and as collateral agent (Incorporated by reference to Exhibit 99.2 to the Registrant’s</w:t>
              </w:r>
            </w:hyperlink>
          </w:p>
        </w:tc>
        <w:tc>
          <w:tcPr>
            <w:tcW w:w="200" w:type="dxa"/>
            <w:vAlign w:val="bottom"/>
            <w:gridSpan w:val="5"/>
          </w:tcPr>
          <w:p>
            <w:pPr>
              <w:spacing w:after="0"/>
              <w:rPr>
                <w:sz w:val="12"/>
                <w:szCs w:val="12"/>
                <w:color w:val="auto"/>
              </w:rPr>
            </w:pPr>
          </w:p>
        </w:tc>
      </w:tr>
      <w:tr>
        <w:trPr>
          <w:trHeight w:val="146"/>
        </w:trPr>
        <w:tc>
          <w:tcPr>
            <w:tcW w:w="860" w:type="dxa"/>
            <w:vAlign w:val="bottom"/>
          </w:tcPr>
          <w:p>
            <w:pPr>
              <w:spacing w:after="0"/>
              <w:rPr>
                <w:sz w:val="12"/>
                <w:szCs w:val="12"/>
                <w:color w:val="auto"/>
              </w:rPr>
            </w:pPr>
          </w:p>
        </w:tc>
        <w:tc>
          <w:tcPr>
            <w:tcW w:w="7260" w:type="dxa"/>
            <w:vAlign w:val="bottom"/>
            <w:tcBorders>
              <w:top w:val="single" w:sz="8" w:color="0000EE"/>
            </w:tcBorders>
            <w:gridSpan w:val="15"/>
          </w:tcPr>
          <w:p>
            <w:pPr>
              <w:spacing w:after="0" w:line="146" w:lineRule="exact"/>
              <w:rPr>
                <w:rFonts w:ascii="Arial" w:cs="Arial" w:eastAsia="Arial" w:hAnsi="Arial"/>
                <w:sz w:val="14"/>
                <w:szCs w:val="14"/>
                <w:color w:val="0000EE"/>
              </w:rPr>
            </w:pPr>
            <w:hyperlink r:id="rId120">
              <w:r>
                <w:rPr>
                  <w:rFonts w:ascii="Arial" w:cs="Arial" w:eastAsia="Arial" w:hAnsi="Arial"/>
                  <w:sz w:val="14"/>
                  <w:szCs w:val="14"/>
                  <w:color w:val="0000EE"/>
                </w:rPr>
                <w:t>Current Report on Form 8-K (File No. 814-00891), filed on September 20, 2019).</w:t>
              </w:r>
            </w:hyperlink>
          </w:p>
        </w:tc>
        <w:tc>
          <w:tcPr>
            <w:tcW w:w="320" w:type="dxa"/>
            <w:vAlign w:val="bottom"/>
            <w:gridSpan w:val="7"/>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80" w:type="dxa"/>
            <w:vAlign w:val="bottom"/>
            <w:tcBorders>
              <w:right w:val="single" w:sz="8" w:color="0000EE"/>
            </w:tcBorders>
            <w:gridSpan w:val="2"/>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4"/>
                <w:szCs w:val="14"/>
                <w:color w:val="auto"/>
              </w:rPr>
              <w:t>(d)(10)</w:t>
            </w:r>
          </w:p>
        </w:tc>
        <w:tc>
          <w:tcPr>
            <w:tcW w:w="7440" w:type="dxa"/>
            <w:vAlign w:val="bottom"/>
            <w:tcBorders>
              <w:bottom w:val="single" w:sz="8" w:color="0000EE"/>
            </w:tcBorders>
            <w:gridSpan w:val="18"/>
          </w:tcPr>
          <w:p>
            <w:pPr>
              <w:spacing w:after="0"/>
              <w:rPr>
                <w:rFonts w:ascii="Arial" w:cs="Arial" w:eastAsia="Arial" w:hAnsi="Arial"/>
                <w:sz w:val="14"/>
                <w:szCs w:val="14"/>
                <w:color w:val="0000EE"/>
                <w:w w:val="89"/>
              </w:rPr>
            </w:pPr>
            <w:hyperlink r:id="rId121">
              <w:r>
                <w:rPr>
                  <w:rFonts w:ascii="Arial" w:cs="Arial" w:eastAsia="Arial" w:hAnsi="Arial"/>
                  <w:sz w:val="14"/>
                  <w:szCs w:val="14"/>
                  <w:color w:val="0000EE"/>
                  <w:w w:val="89"/>
                </w:rPr>
                <w:t>Indenture, dated as of March 23, 2021, by and between the Company and American Stock Transfer &amp; Trust Company, LLC, as trustee</w:t>
              </w:r>
            </w:hyperlink>
          </w:p>
        </w:tc>
        <w:tc>
          <w:tcPr>
            <w:tcW w:w="140" w:type="dxa"/>
            <w:vAlign w:val="bottom"/>
            <w:gridSpan w:val="4"/>
          </w:tcPr>
          <w:p>
            <w:pPr>
              <w:spacing w:after="0"/>
              <w:rPr>
                <w:sz w:val="19"/>
                <w:szCs w:val="19"/>
                <w:color w:val="auto"/>
              </w:rPr>
            </w:pPr>
          </w:p>
        </w:tc>
      </w:tr>
      <w:tr>
        <w:trPr>
          <w:trHeight w:val="146"/>
        </w:trPr>
        <w:tc>
          <w:tcPr>
            <w:tcW w:w="860" w:type="dxa"/>
            <w:vAlign w:val="bottom"/>
          </w:tcPr>
          <w:p>
            <w:pPr>
              <w:spacing w:after="0"/>
              <w:rPr>
                <w:sz w:val="12"/>
                <w:szCs w:val="12"/>
                <w:color w:val="auto"/>
              </w:rPr>
            </w:pPr>
          </w:p>
        </w:tc>
        <w:tc>
          <w:tcPr>
            <w:tcW w:w="7580" w:type="dxa"/>
            <w:vAlign w:val="bottom"/>
            <w:gridSpan w:val="22"/>
          </w:tcPr>
          <w:p>
            <w:pPr>
              <w:spacing w:after="0" w:line="146" w:lineRule="exact"/>
              <w:rPr>
                <w:rFonts w:ascii="Arial" w:cs="Arial" w:eastAsia="Arial" w:hAnsi="Arial"/>
                <w:sz w:val="14"/>
                <w:szCs w:val="14"/>
                <w:color w:val="0000EE"/>
                <w:w w:val="94"/>
              </w:rPr>
            </w:pPr>
            <w:hyperlink r:id="rId121">
              <w:r>
                <w:rPr>
                  <w:rFonts w:ascii="Arial" w:cs="Arial" w:eastAsia="Arial" w:hAnsi="Arial"/>
                  <w:sz w:val="14"/>
                  <w:szCs w:val="14"/>
                  <w:color w:val="0000EE"/>
                  <w:w w:val="94"/>
                </w:rPr>
                <w:t>(Incorporated by reference to Exhibit 4.1 to the Registrant’s Current Report on Form 8-K (File No. 814-00891), filed on March 23,</w:t>
              </w:r>
            </w:hyperlink>
          </w:p>
        </w:tc>
      </w:tr>
      <w:tr>
        <w:trPr>
          <w:trHeight w:val="146"/>
        </w:trPr>
        <w:tc>
          <w:tcPr>
            <w:tcW w:w="860" w:type="dxa"/>
            <w:vAlign w:val="bottom"/>
          </w:tcPr>
          <w:p>
            <w:pPr>
              <w:spacing w:after="0"/>
              <w:rPr>
                <w:sz w:val="12"/>
                <w:szCs w:val="12"/>
                <w:color w:val="auto"/>
              </w:rPr>
            </w:pPr>
          </w:p>
        </w:tc>
        <w:tc>
          <w:tcPr>
            <w:tcW w:w="360" w:type="dxa"/>
            <w:vAlign w:val="bottom"/>
            <w:tcBorders>
              <w:top w:val="single" w:sz="8" w:color="0000EE"/>
              <w:bottom w:val="single" w:sz="8" w:color="0000EE"/>
            </w:tcBorders>
          </w:tcPr>
          <w:p>
            <w:pPr>
              <w:spacing w:after="0" w:line="146" w:lineRule="exact"/>
              <w:rPr>
                <w:rFonts w:ascii="Arial" w:cs="Arial" w:eastAsia="Arial" w:hAnsi="Arial"/>
                <w:sz w:val="14"/>
                <w:szCs w:val="14"/>
                <w:color w:val="0000EE"/>
                <w:w w:val="85"/>
              </w:rPr>
            </w:pPr>
            <w:hyperlink r:id="rId121">
              <w:r>
                <w:rPr>
                  <w:rFonts w:ascii="Arial" w:cs="Arial" w:eastAsia="Arial" w:hAnsi="Arial"/>
                  <w:sz w:val="14"/>
                  <w:szCs w:val="14"/>
                  <w:color w:val="0000EE"/>
                  <w:w w:val="85"/>
                </w:rPr>
                <w:t>2021).</w:t>
              </w:r>
            </w:hyperlink>
          </w:p>
        </w:tc>
        <w:tc>
          <w:tcPr>
            <w:tcW w:w="820" w:type="dxa"/>
            <w:vAlign w:val="bottom"/>
            <w:tcBorders>
              <w:top w:val="single" w:sz="8" w:color="0000EE"/>
            </w:tcBorders>
          </w:tcPr>
          <w:p>
            <w:pPr>
              <w:spacing w:after="0"/>
              <w:rPr>
                <w:sz w:val="12"/>
                <w:szCs w:val="12"/>
                <w:color w:val="auto"/>
              </w:rPr>
            </w:pPr>
          </w:p>
        </w:tc>
        <w:tc>
          <w:tcPr>
            <w:tcW w:w="1260" w:type="dxa"/>
            <w:vAlign w:val="bottom"/>
            <w:tcBorders>
              <w:top w:val="single" w:sz="8" w:color="0000EE"/>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580" w:type="dxa"/>
            <w:vAlign w:val="bottom"/>
            <w:tcBorders>
              <w:top w:val="single" w:sz="8" w:color="0000EE"/>
            </w:tcBorders>
          </w:tcPr>
          <w:p>
            <w:pPr>
              <w:spacing w:after="0"/>
              <w:rPr>
                <w:sz w:val="12"/>
                <w:szCs w:val="12"/>
                <w:color w:val="auto"/>
              </w:rPr>
            </w:pPr>
          </w:p>
        </w:tc>
        <w:tc>
          <w:tcPr>
            <w:tcW w:w="680" w:type="dxa"/>
            <w:vAlign w:val="bottom"/>
            <w:tcBorders>
              <w:top w:val="single" w:sz="8" w:color="0000EE"/>
            </w:tcBorders>
          </w:tcPr>
          <w:p>
            <w:pPr>
              <w:spacing w:after="0"/>
              <w:rPr>
                <w:sz w:val="12"/>
                <w:szCs w:val="12"/>
                <w:color w:val="auto"/>
              </w:rPr>
            </w:pPr>
          </w:p>
        </w:tc>
        <w:tc>
          <w:tcPr>
            <w:tcW w:w="52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040" w:type="dxa"/>
            <w:vAlign w:val="bottom"/>
            <w:tcBorders>
              <w:top w:val="single" w:sz="8" w:color="0000EE"/>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4"/>
                <w:szCs w:val="14"/>
                <w:color w:val="auto"/>
              </w:rPr>
              <w:t>(d)(11)</w:t>
            </w:r>
          </w:p>
        </w:tc>
        <w:tc>
          <w:tcPr>
            <w:tcW w:w="7040" w:type="dxa"/>
            <w:vAlign w:val="bottom"/>
            <w:tcBorders>
              <w:bottom w:val="single" w:sz="8" w:color="0000EE"/>
            </w:tcBorders>
            <w:gridSpan w:val="12"/>
          </w:tcPr>
          <w:p>
            <w:pPr>
              <w:spacing w:after="0"/>
              <w:rPr>
                <w:rFonts w:ascii="Arial" w:cs="Arial" w:eastAsia="Arial" w:hAnsi="Arial"/>
                <w:sz w:val="14"/>
                <w:szCs w:val="14"/>
                <w:color w:val="0000EE"/>
                <w:w w:val="89"/>
              </w:rPr>
            </w:pPr>
            <w:hyperlink r:id="rId122">
              <w:r>
                <w:rPr>
                  <w:rFonts w:ascii="Arial" w:cs="Arial" w:eastAsia="Arial" w:hAnsi="Arial"/>
                  <w:sz w:val="14"/>
                  <w:szCs w:val="14"/>
                  <w:color w:val="0000EE"/>
                  <w:w w:val="89"/>
                </w:rPr>
                <w:t>First Supplemental Indenture, dated as of March 23, 2021, by and between the Company and American Stock Transfer &amp; Trust</w:t>
              </w:r>
            </w:hyperlink>
          </w:p>
        </w:tc>
        <w:tc>
          <w:tcPr>
            <w:tcW w:w="540" w:type="dxa"/>
            <w:vAlign w:val="bottom"/>
            <w:gridSpan w:val="10"/>
          </w:tcPr>
          <w:p>
            <w:pPr>
              <w:spacing w:after="0"/>
              <w:rPr>
                <w:sz w:val="19"/>
                <w:szCs w:val="19"/>
                <w:color w:val="auto"/>
              </w:rPr>
            </w:pPr>
          </w:p>
        </w:tc>
      </w:tr>
      <w:tr>
        <w:trPr>
          <w:trHeight w:val="146"/>
        </w:trPr>
        <w:tc>
          <w:tcPr>
            <w:tcW w:w="860" w:type="dxa"/>
            <w:vAlign w:val="bottom"/>
          </w:tcPr>
          <w:p>
            <w:pPr>
              <w:spacing w:after="0"/>
              <w:rPr>
                <w:sz w:val="12"/>
                <w:szCs w:val="12"/>
                <w:color w:val="auto"/>
              </w:rPr>
            </w:pPr>
          </w:p>
        </w:tc>
        <w:tc>
          <w:tcPr>
            <w:tcW w:w="7580" w:type="dxa"/>
            <w:vAlign w:val="bottom"/>
            <w:gridSpan w:val="22"/>
          </w:tcPr>
          <w:p>
            <w:pPr>
              <w:spacing w:after="0" w:line="146" w:lineRule="exact"/>
              <w:rPr>
                <w:rFonts w:ascii="Arial" w:cs="Arial" w:eastAsia="Arial" w:hAnsi="Arial"/>
                <w:sz w:val="14"/>
                <w:szCs w:val="14"/>
                <w:color w:val="0000EE"/>
              </w:rPr>
            </w:pPr>
            <w:hyperlink r:id="rId122">
              <w:r>
                <w:rPr>
                  <w:rFonts w:ascii="Arial" w:cs="Arial" w:eastAsia="Arial" w:hAnsi="Arial"/>
                  <w:sz w:val="14"/>
                  <w:szCs w:val="14"/>
                  <w:color w:val="0000EE"/>
                </w:rPr>
                <w:t>Company, LLC, as trustee (Incorporated by reference to Exhibit 4.2 to the Registrant’s Current Report on Form 8-K (File</w:t>
              </w:r>
            </w:hyperlink>
          </w:p>
        </w:tc>
      </w:tr>
      <w:tr>
        <w:trPr>
          <w:trHeight w:val="146"/>
        </w:trPr>
        <w:tc>
          <w:tcPr>
            <w:tcW w:w="860" w:type="dxa"/>
            <w:vAlign w:val="bottom"/>
          </w:tcPr>
          <w:p>
            <w:pPr>
              <w:spacing w:after="0"/>
              <w:rPr>
                <w:sz w:val="12"/>
                <w:szCs w:val="12"/>
                <w:color w:val="auto"/>
              </w:rPr>
            </w:pPr>
          </w:p>
        </w:tc>
        <w:tc>
          <w:tcPr>
            <w:tcW w:w="2440" w:type="dxa"/>
            <w:vAlign w:val="bottom"/>
            <w:tcBorders>
              <w:top w:val="single" w:sz="8" w:color="0000EE"/>
              <w:bottom w:val="single" w:sz="8" w:color="0000EE"/>
            </w:tcBorders>
            <w:gridSpan w:val="3"/>
          </w:tcPr>
          <w:p>
            <w:pPr>
              <w:spacing w:after="0" w:line="146" w:lineRule="exact"/>
              <w:rPr>
                <w:rFonts w:ascii="Arial" w:cs="Arial" w:eastAsia="Arial" w:hAnsi="Arial"/>
                <w:sz w:val="14"/>
                <w:szCs w:val="14"/>
                <w:color w:val="0000EE"/>
                <w:w w:val="92"/>
              </w:rPr>
            </w:pPr>
            <w:hyperlink r:id="rId122">
              <w:r>
                <w:rPr>
                  <w:rFonts w:ascii="Arial" w:cs="Arial" w:eastAsia="Arial" w:hAnsi="Arial"/>
                  <w:sz w:val="14"/>
                  <w:szCs w:val="14"/>
                  <w:color w:val="0000EE"/>
                  <w:w w:val="92"/>
                </w:rPr>
                <w:t>No. 814-00891), filed on March 23, 2021).</w:t>
              </w:r>
            </w:hyperlink>
          </w:p>
        </w:tc>
        <w:tc>
          <w:tcPr>
            <w:tcW w:w="4260" w:type="dxa"/>
            <w:vAlign w:val="bottom"/>
            <w:tcBorders>
              <w:top w:val="single" w:sz="8" w:color="0000EE"/>
            </w:tcBorders>
            <w:gridSpan w:val="6"/>
          </w:tcPr>
          <w:p>
            <w:pPr>
              <w:spacing w:after="0"/>
              <w:rPr>
                <w:sz w:val="12"/>
                <w:szCs w:val="12"/>
                <w:color w:val="auto"/>
              </w:rPr>
            </w:pPr>
          </w:p>
        </w:tc>
        <w:tc>
          <w:tcPr>
            <w:tcW w:w="880" w:type="dxa"/>
            <w:vAlign w:val="bottom"/>
            <w:gridSpan w:val="13"/>
          </w:tcPr>
          <w:p>
            <w:pPr>
              <w:spacing w:after="0"/>
              <w:rPr>
                <w:sz w:val="12"/>
                <w:szCs w:val="12"/>
                <w:color w:val="auto"/>
              </w:rPr>
            </w:pPr>
          </w:p>
        </w:tc>
      </w:tr>
      <w:tr>
        <w:trPr>
          <w:trHeight w:val="290"/>
        </w:trPr>
        <w:tc>
          <w:tcPr>
            <w:tcW w:w="860" w:type="dxa"/>
            <w:vAlign w:val="bottom"/>
          </w:tcPr>
          <w:p>
            <w:pPr>
              <w:spacing w:after="0"/>
              <w:rPr>
                <w:sz w:val="24"/>
                <w:szCs w:val="24"/>
                <w:color w:val="auto"/>
              </w:rPr>
            </w:pPr>
          </w:p>
        </w:tc>
        <w:tc>
          <w:tcPr>
            <w:tcW w:w="4000" w:type="dxa"/>
            <w:vAlign w:val="bottom"/>
            <w:gridSpan w:val="6"/>
          </w:tcPr>
          <w:p>
            <w:pPr>
              <w:ind w:left="3300"/>
              <w:spacing w:after="0"/>
              <w:rPr>
                <w:sz w:val="20"/>
                <w:szCs w:val="20"/>
                <w:color w:val="auto"/>
              </w:rPr>
            </w:pPr>
            <w:r>
              <w:rPr>
                <w:rFonts w:ascii="Arial" w:cs="Arial" w:eastAsia="Arial" w:hAnsi="Arial"/>
                <w:sz w:val="14"/>
                <w:szCs w:val="14"/>
                <w:color w:val="auto"/>
              </w:rPr>
              <w:t>77</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9019"/>
          </w:cols>
          <w:pgMar w:left="1440" w:top="259" w:right="1440" w:bottom="1440" w:gutter="0" w:footer="0" w:header="0"/>
        </w:sectPr>
      </w:pPr>
    </w:p>
    <w:bookmarkStart w:id="81" w:name="page82"/>
    <w:bookmarkEnd w:id="81"/>
    <w:p>
      <w:pPr>
        <w:ind w:left="280"/>
        <w:spacing w:after="0"/>
        <w:tabs>
          <w:tab w:leader="none" w:pos="1120" w:val="left"/>
        </w:tabs>
        <w:rPr>
          <w:rFonts w:ascii="Arial" w:cs="Arial" w:eastAsia="Arial" w:hAnsi="Arial"/>
          <w:sz w:val="14"/>
          <w:szCs w:val="14"/>
          <w:u w:val="single" w:color="auto"/>
          <w:color w:val="0000EE"/>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7202805" cy="45720"/>
                    </a:xfrm>
                    <a:prstGeom prst="rect">
                      <a:avLst/>
                    </a:prstGeom>
                    <a:noFill/>
                  </pic:spPr>
                </pic:pic>
              </a:graphicData>
            </a:graphic>
          </wp:anchor>
        </w:drawing>
        <w:t>(d)(12)</w:t>
      </w:r>
      <w:r>
        <w:rPr>
          <w:sz w:val="20"/>
          <w:szCs w:val="20"/>
          <w:color w:val="auto"/>
        </w:rPr>
        <w:tab/>
      </w:r>
      <w:hyperlink r:id="rId122">
        <w:r>
          <w:rPr>
            <w:rFonts w:ascii="Arial" w:cs="Arial" w:eastAsia="Arial" w:hAnsi="Arial"/>
            <w:sz w:val="14"/>
            <w:szCs w:val="14"/>
            <w:u w:val="single" w:color="auto"/>
            <w:color w:val="0000EE"/>
          </w:rPr>
          <w:t>Form of 4.25% Notes due 2026 (Incorporated by reference to Exhibit (d)(11) hereto).</w:t>
        </w:r>
      </w:hyperlink>
    </w:p>
    <w:p>
      <w:pPr>
        <w:spacing w:after="0" w:line="88" w:lineRule="exact"/>
        <w:rPr>
          <w:sz w:val="20"/>
          <w:szCs w:val="20"/>
          <w:color w:val="auto"/>
        </w:rPr>
      </w:pPr>
    </w:p>
    <w:p>
      <w:pPr>
        <w:ind w:left="1140" w:right="359" w:hanging="867"/>
        <w:spacing w:after="0" w:line="257" w:lineRule="auto"/>
        <w:tabs>
          <w:tab w:leader="none" w:pos="1140" w:val="left"/>
        </w:tabs>
        <w:numPr>
          <w:ilvl w:val="0"/>
          <w:numId w:val="58"/>
        </w:numPr>
        <w:rPr>
          <w:rFonts w:ascii="Arial" w:cs="Arial" w:eastAsia="Arial" w:hAnsi="Arial"/>
          <w:sz w:val="14"/>
          <w:szCs w:val="14"/>
          <w:u w:val="single" w:color="auto"/>
          <w:color w:val="0000EE"/>
        </w:rPr>
      </w:pPr>
      <w:hyperlink r:id="rId124">
        <w:r>
          <w:rPr>
            <w:rFonts w:ascii="Arial" w:cs="Arial" w:eastAsia="Arial" w:hAnsi="Arial"/>
            <w:sz w:val="14"/>
            <w:szCs w:val="14"/>
            <w:u w:val="single" w:color="auto"/>
            <w:color w:val="0000EE"/>
          </w:rPr>
          <w:t>Second Amended and Restated Investment Advisory Agreement, dated as of February 2, 2016, between PennantPark Floating Rate</w:t>
        </w:r>
      </w:hyperlink>
      <w:r>
        <w:rPr>
          <w:rFonts w:ascii="Arial" w:cs="Arial" w:eastAsia="Arial" w:hAnsi="Arial"/>
          <w:sz w:val="14"/>
          <w:szCs w:val="14"/>
          <w:u w:val="single" w:color="auto"/>
          <w:color w:val="0000EE"/>
        </w:rPr>
        <w:t xml:space="preserve"> </w:t>
      </w:r>
      <w:hyperlink r:id="rId124">
        <w:r>
          <w:rPr>
            <w:rFonts w:ascii="Arial" w:cs="Arial" w:eastAsia="Arial" w:hAnsi="Arial"/>
            <w:sz w:val="14"/>
            <w:szCs w:val="14"/>
            <w:u w:val="single" w:color="auto"/>
            <w:color w:val="0000EE"/>
          </w:rPr>
          <w:t>Capital Ltd. and PennantPark Investment Advisers, LLC (Incorporated by reference to Exhibit 10.1 to the Registrant’s Quarterly Report</w:t>
        </w:r>
      </w:hyperlink>
      <w:r>
        <w:rPr>
          <w:rFonts w:ascii="Arial" w:cs="Arial" w:eastAsia="Arial" w:hAnsi="Arial"/>
          <w:sz w:val="14"/>
          <w:szCs w:val="14"/>
          <w:u w:val="single" w:color="auto"/>
          <w:color w:val="0000EE"/>
        </w:rPr>
        <w:t xml:space="preserve"> </w:t>
      </w:r>
      <w:hyperlink r:id="rId124">
        <w:r>
          <w:rPr>
            <w:rFonts w:ascii="Arial" w:cs="Arial" w:eastAsia="Arial" w:hAnsi="Arial"/>
            <w:sz w:val="14"/>
            <w:szCs w:val="14"/>
            <w:u w:val="single" w:color="auto"/>
            <w:color w:val="0000EE"/>
          </w:rPr>
          <w:t>on Form 10-Q (File No. 814-00891), filed on February 4, 2016).</w:t>
        </w:r>
      </w:hyperlink>
    </w:p>
    <w:p>
      <w:pPr>
        <w:spacing w:after="0" w:line="48" w:lineRule="exact"/>
        <w:rPr>
          <w:rFonts w:ascii="Arial" w:cs="Arial" w:eastAsia="Arial" w:hAnsi="Arial"/>
          <w:sz w:val="14"/>
          <w:szCs w:val="14"/>
          <w:u w:val="single" w:color="auto"/>
          <w:color w:val="0000EE"/>
        </w:rPr>
      </w:pPr>
    </w:p>
    <w:tbl>
      <w:tblPr>
        <w:tblLayout w:type="fixed"/>
        <w:tblInd w:w="28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Arial" w:cs="Arial" w:eastAsia="Arial" w:hAnsi="Arial"/>
                <w:sz w:val="14"/>
                <w:szCs w:val="14"/>
                <w:color w:val="auto"/>
              </w:rPr>
              <w:t>(h)(1)</w:t>
            </w:r>
          </w:p>
        </w:tc>
        <w:tc>
          <w:tcPr>
            <w:tcW w:w="7580" w:type="dxa"/>
            <w:vAlign w:val="bottom"/>
            <w:tcBorders>
              <w:bottom w:val="single" w:sz="8" w:color="0000EE"/>
            </w:tcBorders>
            <w:gridSpan w:val="3"/>
          </w:tcPr>
          <w:p>
            <w:pPr>
              <w:spacing w:after="0"/>
              <w:rPr>
                <w:rFonts w:ascii="Arial" w:cs="Arial" w:eastAsia="Arial" w:hAnsi="Arial"/>
                <w:sz w:val="14"/>
                <w:szCs w:val="14"/>
                <w:color w:val="0000EE"/>
                <w:w w:val="90"/>
              </w:rPr>
            </w:pPr>
            <w:hyperlink r:id="rId125">
              <w:r>
                <w:rPr>
                  <w:rFonts w:ascii="Arial" w:cs="Arial" w:eastAsia="Arial" w:hAnsi="Arial"/>
                  <w:sz w:val="14"/>
                  <w:szCs w:val="14"/>
                  <w:color w:val="0000EE"/>
                  <w:w w:val="90"/>
                </w:rPr>
                <w:t>Form of Underwriting Agreement for equity (Incorporated by reference to Exhibit 99(H)(1) to the Registrant’s Registration Statement on</w:t>
              </w:r>
            </w:hyperlink>
          </w:p>
        </w:tc>
      </w:tr>
      <w:tr>
        <w:trPr>
          <w:trHeight w:val="146"/>
        </w:trPr>
        <w:tc>
          <w:tcPr>
            <w:tcW w:w="860" w:type="dxa"/>
            <w:vAlign w:val="bottom"/>
          </w:tcPr>
          <w:p>
            <w:pPr>
              <w:spacing w:after="0"/>
              <w:rPr>
                <w:sz w:val="12"/>
                <w:szCs w:val="12"/>
                <w:color w:val="auto"/>
              </w:rPr>
            </w:pPr>
          </w:p>
        </w:tc>
        <w:tc>
          <w:tcPr>
            <w:tcW w:w="7580" w:type="dxa"/>
            <w:vAlign w:val="bottom"/>
            <w:gridSpan w:val="3"/>
          </w:tcPr>
          <w:p>
            <w:pPr>
              <w:spacing w:after="0" w:line="146" w:lineRule="exact"/>
              <w:rPr>
                <w:rFonts w:ascii="Arial" w:cs="Arial" w:eastAsia="Arial" w:hAnsi="Arial"/>
                <w:sz w:val="14"/>
                <w:szCs w:val="14"/>
                <w:color w:val="0000EE"/>
              </w:rPr>
            </w:pPr>
            <w:hyperlink r:id="rId125">
              <w:r>
                <w:rPr>
                  <w:rFonts w:ascii="Arial" w:cs="Arial" w:eastAsia="Arial" w:hAnsi="Arial"/>
                  <w:sz w:val="14"/>
                  <w:szCs w:val="14"/>
                  <w:color w:val="0000EE"/>
                </w:rPr>
                <w:t>Form N-2 (File No. 333-180084), filed on March 14, 2012).</w:t>
              </w:r>
            </w:hyperlink>
          </w:p>
        </w:tc>
      </w:tr>
      <w:tr>
        <w:trPr>
          <w:trHeight w:val="20"/>
        </w:trPr>
        <w:tc>
          <w:tcPr>
            <w:tcW w:w="860" w:type="dxa"/>
            <w:vAlign w:val="bottom"/>
          </w:tcPr>
          <w:p>
            <w:pPr>
              <w:spacing w:after="0" w:line="20" w:lineRule="exact"/>
              <w:rPr>
                <w:sz w:val="1"/>
                <w:szCs w:val="1"/>
                <w:color w:val="auto"/>
              </w:rPr>
            </w:pPr>
          </w:p>
        </w:tc>
        <w:tc>
          <w:tcPr>
            <w:tcW w:w="3320" w:type="dxa"/>
            <w:vAlign w:val="bottom"/>
            <w:shd w:val="clear" w:color="auto" w:fill="0000EE"/>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4"/>
                <w:szCs w:val="14"/>
                <w:color w:val="auto"/>
              </w:rPr>
              <w:t>(h)(2)</w:t>
            </w:r>
          </w:p>
        </w:tc>
        <w:tc>
          <w:tcPr>
            <w:tcW w:w="7480" w:type="dxa"/>
            <w:vAlign w:val="bottom"/>
            <w:tcBorders>
              <w:bottom w:val="single" w:sz="8" w:color="0000EE"/>
            </w:tcBorders>
            <w:gridSpan w:val="2"/>
          </w:tcPr>
          <w:p>
            <w:pPr>
              <w:spacing w:after="0"/>
              <w:rPr>
                <w:rFonts w:ascii="Arial" w:cs="Arial" w:eastAsia="Arial" w:hAnsi="Arial"/>
                <w:sz w:val="14"/>
                <w:szCs w:val="14"/>
                <w:color w:val="0000EE"/>
                <w:w w:val="90"/>
              </w:rPr>
            </w:pPr>
            <w:hyperlink r:id="rId126">
              <w:r>
                <w:rPr>
                  <w:rFonts w:ascii="Arial" w:cs="Arial" w:eastAsia="Arial" w:hAnsi="Arial"/>
                  <w:sz w:val="14"/>
                  <w:szCs w:val="14"/>
                  <w:color w:val="0000EE"/>
                  <w:w w:val="90"/>
                </w:rPr>
                <w:t>Form of Underwriting Agreement for debt (Incorporated by reference to Exhibit 99(H)(2) to the Registrant’s Registration Statement on</w:t>
              </w:r>
            </w:hyperlink>
          </w:p>
        </w:tc>
        <w:tc>
          <w:tcPr>
            <w:tcW w:w="100" w:type="dxa"/>
            <w:vAlign w:val="bottom"/>
          </w:tcPr>
          <w:p>
            <w:pPr>
              <w:spacing w:after="0"/>
              <w:rPr>
                <w:sz w:val="19"/>
                <w:szCs w:val="19"/>
                <w:color w:val="auto"/>
              </w:rPr>
            </w:pPr>
          </w:p>
        </w:tc>
      </w:tr>
      <w:tr>
        <w:trPr>
          <w:trHeight w:val="146"/>
        </w:trPr>
        <w:tc>
          <w:tcPr>
            <w:tcW w:w="860" w:type="dxa"/>
            <w:vAlign w:val="bottom"/>
          </w:tcPr>
          <w:p>
            <w:pPr>
              <w:spacing w:after="0"/>
              <w:rPr>
                <w:sz w:val="12"/>
                <w:szCs w:val="12"/>
                <w:color w:val="auto"/>
              </w:rPr>
            </w:pPr>
          </w:p>
        </w:tc>
        <w:tc>
          <w:tcPr>
            <w:tcW w:w="7580" w:type="dxa"/>
            <w:vAlign w:val="bottom"/>
            <w:gridSpan w:val="3"/>
          </w:tcPr>
          <w:p>
            <w:pPr>
              <w:spacing w:after="0" w:line="146" w:lineRule="exact"/>
              <w:rPr>
                <w:rFonts w:ascii="Arial" w:cs="Arial" w:eastAsia="Arial" w:hAnsi="Arial"/>
                <w:sz w:val="14"/>
                <w:szCs w:val="14"/>
                <w:color w:val="0000EE"/>
              </w:rPr>
            </w:pPr>
            <w:hyperlink r:id="rId126">
              <w:r>
                <w:rPr>
                  <w:rFonts w:ascii="Arial" w:cs="Arial" w:eastAsia="Arial" w:hAnsi="Arial"/>
                  <w:sz w:val="14"/>
                  <w:szCs w:val="14"/>
                  <w:color w:val="0000EE"/>
                </w:rPr>
                <w:t>Form N-2 (File No. 333-180084), filed on March 14, 2012).</w:t>
              </w:r>
            </w:hyperlink>
          </w:p>
        </w:tc>
      </w:tr>
      <w:tr>
        <w:trPr>
          <w:trHeight w:val="20"/>
        </w:trPr>
        <w:tc>
          <w:tcPr>
            <w:tcW w:w="860" w:type="dxa"/>
            <w:vAlign w:val="bottom"/>
          </w:tcPr>
          <w:p>
            <w:pPr>
              <w:spacing w:after="0" w:line="20" w:lineRule="exact"/>
              <w:rPr>
                <w:sz w:val="1"/>
                <w:szCs w:val="1"/>
                <w:color w:val="auto"/>
              </w:rPr>
            </w:pPr>
          </w:p>
        </w:tc>
        <w:tc>
          <w:tcPr>
            <w:tcW w:w="3320" w:type="dxa"/>
            <w:vAlign w:val="bottom"/>
            <w:shd w:val="clear" w:color="auto" w:fill="0000EE"/>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3" w:lineRule="exact"/>
        <w:rPr>
          <w:sz w:val="20"/>
          <w:szCs w:val="20"/>
          <w:color w:val="auto"/>
        </w:rPr>
      </w:pPr>
    </w:p>
    <w:p>
      <w:pPr>
        <w:ind w:left="1140" w:right="339" w:hanging="867"/>
        <w:spacing w:after="0" w:line="257" w:lineRule="auto"/>
        <w:tabs>
          <w:tab w:leader="none" w:pos="1140" w:val="left"/>
        </w:tabs>
        <w:numPr>
          <w:ilvl w:val="0"/>
          <w:numId w:val="59"/>
        </w:numPr>
        <w:rPr>
          <w:rFonts w:ascii="Arial" w:cs="Arial" w:eastAsia="Arial" w:hAnsi="Arial"/>
          <w:sz w:val="14"/>
          <w:szCs w:val="14"/>
          <w:u w:val="single" w:color="auto"/>
          <w:color w:val="0000EE"/>
        </w:rPr>
      </w:pPr>
      <w:hyperlink r:id="rId127">
        <w:r>
          <w:rPr>
            <w:rFonts w:ascii="Arial" w:cs="Arial" w:eastAsia="Arial" w:hAnsi="Arial"/>
            <w:sz w:val="14"/>
            <w:szCs w:val="14"/>
            <w:u w:val="single" w:color="auto"/>
            <w:color w:val="0000EE"/>
          </w:rPr>
          <w:t>Form of Custodian Agreement between the Registrant and The Bank of New York Mellon (Incorporated by reference to Exhibit 99(J) to</w:t>
        </w:r>
      </w:hyperlink>
      <w:r>
        <w:rPr>
          <w:rFonts w:ascii="Arial" w:cs="Arial" w:eastAsia="Arial" w:hAnsi="Arial"/>
          <w:sz w:val="14"/>
          <w:szCs w:val="14"/>
          <w:u w:val="single" w:color="auto"/>
          <w:color w:val="0000EE"/>
        </w:rPr>
        <w:t xml:space="preserve"> </w:t>
      </w:r>
      <w:hyperlink r:id="rId127">
        <w:r>
          <w:rPr>
            <w:rFonts w:ascii="Arial" w:cs="Arial" w:eastAsia="Arial" w:hAnsi="Arial"/>
            <w:sz w:val="14"/>
            <w:szCs w:val="14"/>
            <w:u w:val="single" w:color="auto"/>
            <w:color w:val="0000EE"/>
          </w:rPr>
          <w:t>the Registrant’s Pre-Effective Amendment No. 3 to the Registration Statement on Form N-2 (File No. 333-170243), filed on March 29,</w:t>
        </w:r>
      </w:hyperlink>
      <w:r>
        <w:rPr>
          <w:rFonts w:ascii="Arial" w:cs="Arial" w:eastAsia="Arial" w:hAnsi="Arial"/>
          <w:sz w:val="14"/>
          <w:szCs w:val="14"/>
          <w:u w:val="single" w:color="auto"/>
          <w:color w:val="0000EE"/>
        </w:rPr>
        <w:t xml:space="preserve"> </w:t>
      </w:r>
      <w:hyperlink r:id="rId127">
        <w:r>
          <w:rPr>
            <w:rFonts w:ascii="Arial" w:cs="Arial" w:eastAsia="Arial" w:hAnsi="Arial"/>
            <w:sz w:val="14"/>
            <w:szCs w:val="14"/>
            <w:u w:val="single" w:color="auto"/>
            <w:color w:val="0000EE"/>
          </w:rPr>
          <w:t>2011).</w:t>
        </w:r>
      </w:hyperlink>
    </w:p>
    <w:p>
      <w:pPr>
        <w:spacing w:after="0" w:line="48" w:lineRule="exact"/>
        <w:rPr>
          <w:rFonts w:ascii="Arial" w:cs="Arial" w:eastAsia="Arial" w:hAnsi="Arial"/>
          <w:sz w:val="14"/>
          <w:szCs w:val="14"/>
          <w:u w:val="single" w:color="auto"/>
          <w:color w:val="0000EE"/>
        </w:rPr>
      </w:pPr>
    </w:p>
    <w:tbl>
      <w:tblPr>
        <w:tblLayout w:type="fixed"/>
        <w:tblInd w:w="28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Arial" w:cs="Arial" w:eastAsia="Arial" w:hAnsi="Arial"/>
                <w:sz w:val="14"/>
                <w:szCs w:val="14"/>
                <w:color w:val="auto"/>
              </w:rPr>
              <w:t>(k)(1)</w:t>
            </w:r>
          </w:p>
        </w:tc>
        <w:tc>
          <w:tcPr>
            <w:tcW w:w="7520" w:type="dxa"/>
            <w:vAlign w:val="bottom"/>
            <w:tcBorders>
              <w:bottom w:val="single" w:sz="8" w:color="0000EE"/>
            </w:tcBorders>
            <w:gridSpan w:val="18"/>
          </w:tcPr>
          <w:p>
            <w:pPr>
              <w:spacing w:after="0"/>
              <w:rPr>
                <w:rFonts w:ascii="Arial" w:cs="Arial" w:eastAsia="Arial" w:hAnsi="Arial"/>
                <w:sz w:val="14"/>
                <w:szCs w:val="14"/>
                <w:color w:val="0000EE"/>
                <w:w w:val="90"/>
              </w:rPr>
            </w:pPr>
            <w:hyperlink r:id="rId128">
              <w:r>
                <w:rPr>
                  <w:rFonts w:ascii="Arial" w:cs="Arial" w:eastAsia="Arial" w:hAnsi="Arial"/>
                  <w:sz w:val="14"/>
                  <w:szCs w:val="14"/>
                  <w:color w:val="0000EE"/>
                  <w:w w:val="90"/>
                </w:rPr>
                <w:t>Form of Stock Transfer Agency Agreement between the Registrant and American Stock Transfer &amp; Trust Company, LLC (Incorporated</w:t>
              </w:r>
            </w:hyperlink>
          </w:p>
        </w:tc>
        <w:tc>
          <w:tcPr>
            <w:tcW w:w="60" w:type="dxa"/>
            <w:vAlign w:val="bottom"/>
            <w:gridSpan w:val="3"/>
          </w:tcPr>
          <w:p>
            <w:pPr>
              <w:spacing w:after="0"/>
              <w:rPr>
                <w:sz w:val="14"/>
                <w:szCs w:val="14"/>
                <w:color w:val="auto"/>
              </w:rPr>
            </w:pPr>
          </w:p>
        </w:tc>
      </w:tr>
      <w:tr>
        <w:trPr>
          <w:trHeight w:val="146"/>
        </w:trPr>
        <w:tc>
          <w:tcPr>
            <w:tcW w:w="860" w:type="dxa"/>
            <w:vAlign w:val="bottom"/>
          </w:tcPr>
          <w:p>
            <w:pPr>
              <w:spacing w:after="0"/>
              <w:rPr>
                <w:sz w:val="12"/>
                <w:szCs w:val="12"/>
                <w:color w:val="auto"/>
              </w:rPr>
            </w:pPr>
          </w:p>
        </w:tc>
        <w:tc>
          <w:tcPr>
            <w:tcW w:w="7580" w:type="dxa"/>
            <w:vAlign w:val="bottom"/>
            <w:gridSpan w:val="21"/>
          </w:tcPr>
          <w:p>
            <w:pPr>
              <w:spacing w:after="0" w:line="146" w:lineRule="exact"/>
              <w:rPr>
                <w:rFonts w:ascii="Arial" w:cs="Arial" w:eastAsia="Arial" w:hAnsi="Arial"/>
                <w:sz w:val="14"/>
                <w:szCs w:val="14"/>
                <w:color w:val="0000EE"/>
                <w:w w:val="93"/>
              </w:rPr>
            </w:pPr>
            <w:hyperlink r:id="rId128">
              <w:r>
                <w:rPr>
                  <w:rFonts w:ascii="Arial" w:cs="Arial" w:eastAsia="Arial" w:hAnsi="Arial"/>
                  <w:sz w:val="14"/>
                  <w:szCs w:val="14"/>
                  <w:color w:val="0000EE"/>
                  <w:w w:val="93"/>
                </w:rPr>
                <w:t>by reference to Exhibit 99(K)(1) to the Registrant’s Pre-Effective Amendment No. 3 to the Registration Statement on Form N-2 (File</w:t>
              </w:r>
            </w:hyperlink>
          </w:p>
        </w:tc>
      </w:tr>
      <w:tr>
        <w:trPr>
          <w:trHeight w:val="146"/>
        </w:trPr>
        <w:tc>
          <w:tcPr>
            <w:tcW w:w="860" w:type="dxa"/>
            <w:vAlign w:val="bottom"/>
          </w:tcPr>
          <w:p>
            <w:pPr>
              <w:spacing w:after="0"/>
              <w:rPr>
                <w:sz w:val="12"/>
                <w:szCs w:val="12"/>
                <w:color w:val="auto"/>
              </w:rPr>
            </w:pPr>
          </w:p>
        </w:tc>
        <w:tc>
          <w:tcPr>
            <w:tcW w:w="7360" w:type="dxa"/>
            <w:vAlign w:val="bottom"/>
            <w:tcBorders>
              <w:top w:val="single" w:sz="8" w:color="0000EE"/>
            </w:tcBorders>
            <w:gridSpan w:val="15"/>
          </w:tcPr>
          <w:p>
            <w:pPr>
              <w:spacing w:after="0" w:line="146" w:lineRule="exact"/>
              <w:rPr>
                <w:rFonts w:ascii="Arial" w:cs="Arial" w:eastAsia="Arial" w:hAnsi="Arial"/>
                <w:sz w:val="14"/>
                <w:szCs w:val="14"/>
                <w:color w:val="0000EE"/>
              </w:rPr>
            </w:pPr>
            <w:hyperlink r:id="rId128">
              <w:r>
                <w:rPr>
                  <w:rFonts w:ascii="Arial" w:cs="Arial" w:eastAsia="Arial" w:hAnsi="Arial"/>
                  <w:sz w:val="14"/>
                  <w:szCs w:val="14"/>
                  <w:color w:val="0000EE"/>
                </w:rPr>
                <w:t>No. 333-170243), filed on March 29, 2011).</w:t>
              </w:r>
            </w:hyperlink>
          </w:p>
        </w:tc>
        <w:tc>
          <w:tcPr>
            <w:tcW w:w="220" w:type="dxa"/>
            <w:vAlign w:val="bottom"/>
            <w:gridSpan w:val="6"/>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244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4"/>
                <w:szCs w:val="14"/>
                <w:color w:val="auto"/>
              </w:rPr>
              <w:t>(k)(2)</w:t>
            </w:r>
          </w:p>
        </w:tc>
        <w:tc>
          <w:tcPr>
            <w:tcW w:w="7580" w:type="dxa"/>
            <w:vAlign w:val="bottom"/>
            <w:gridSpan w:val="21"/>
          </w:tcPr>
          <w:p>
            <w:pPr>
              <w:spacing w:after="0"/>
              <w:rPr>
                <w:rFonts w:ascii="Arial" w:cs="Arial" w:eastAsia="Arial" w:hAnsi="Arial"/>
                <w:sz w:val="14"/>
                <w:szCs w:val="14"/>
                <w:color w:val="0000EE"/>
                <w:w w:val="98"/>
              </w:rPr>
            </w:pPr>
            <w:hyperlink r:id="rId129">
              <w:r>
                <w:rPr>
                  <w:rFonts w:ascii="Arial" w:cs="Arial" w:eastAsia="Arial" w:hAnsi="Arial"/>
                  <w:sz w:val="14"/>
                  <w:szCs w:val="14"/>
                  <w:color w:val="0000EE"/>
                  <w:w w:val="98"/>
                </w:rPr>
                <w:t>Amended and Restated Administration Agreement between the Registrant and PennantPark Investment Administration, LLC</w:t>
              </w:r>
            </w:hyperlink>
          </w:p>
        </w:tc>
      </w:tr>
      <w:tr>
        <w:trPr>
          <w:trHeight w:val="146"/>
        </w:trPr>
        <w:tc>
          <w:tcPr>
            <w:tcW w:w="860" w:type="dxa"/>
            <w:vAlign w:val="bottom"/>
          </w:tcPr>
          <w:p>
            <w:pPr>
              <w:spacing w:after="0"/>
              <w:rPr>
                <w:sz w:val="12"/>
                <w:szCs w:val="12"/>
                <w:color w:val="auto"/>
              </w:rPr>
            </w:pPr>
          </w:p>
        </w:tc>
        <w:tc>
          <w:tcPr>
            <w:tcW w:w="6920" w:type="dxa"/>
            <w:vAlign w:val="bottom"/>
            <w:tcBorders>
              <w:top w:val="single" w:sz="8" w:color="0000EE"/>
            </w:tcBorders>
            <w:gridSpan w:val="8"/>
          </w:tcPr>
          <w:p>
            <w:pPr>
              <w:spacing w:after="0" w:line="146" w:lineRule="exact"/>
              <w:rPr>
                <w:rFonts w:ascii="Arial" w:cs="Arial" w:eastAsia="Arial" w:hAnsi="Arial"/>
                <w:sz w:val="14"/>
                <w:szCs w:val="14"/>
                <w:color w:val="0000EE"/>
                <w:w w:val="93"/>
              </w:rPr>
            </w:pPr>
            <w:hyperlink r:id="rId129">
              <w:r>
                <w:rPr>
                  <w:rFonts w:ascii="Arial" w:cs="Arial" w:eastAsia="Arial" w:hAnsi="Arial"/>
                  <w:sz w:val="14"/>
                  <w:szCs w:val="14"/>
                  <w:color w:val="0000EE"/>
                  <w:w w:val="93"/>
                </w:rPr>
                <w:t>(Incorporated by reference to Exhibit 10.1 to the Registrant’s Form 10-Q (File No. 814-00736), filed on August 3, 2022).</w:t>
              </w:r>
            </w:hyperlink>
          </w:p>
        </w:tc>
        <w:tc>
          <w:tcPr>
            <w:tcW w:w="660" w:type="dxa"/>
            <w:vAlign w:val="bottom"/>
            <w:gridSpan w:val="13"/>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244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4"/>
                <w:szCs w:val="14"/>
                <w:color w:val="auto"/>
              </w:rPr>
              <w:t>(k)(3)</w:t>
            </w:r>
          </w:p>
        </w:tc>
        <w:tc>
          <w:tcPr>
            <w:tcW w:w="7580" w:type="dxa"/>
            <w:vAlign w:val="bottom"/>
            <w:gridSpan w:val="21"/>
          </w:tcPr>
          <w:p>
            <w:pPr>
              <w:spacing w:after="0"/>
              <w:rPr>
                <w:rFonts w:ascii="Arial" w:cs="Arial" w:eastAsia="Arial" w:hAnsi="Arial"/>
                <w:sz w:val="14"/>
                <w:szCs w:val="14"/>
                <w:color w:val="0000EE"/>
                <w:w w:val="93"/>
              </w:rPr>
            </w:pPr>
            <w:hyperlink r:id="rId130">
              <w:r>
                <w:rPr>
                  <w:rFonts w:ascii="Arial" w:cs="Arial" w:eastAsia="Arial" w:hAnsi="Arial"/>
                  <w:sz w:val="14"/>
                  <w:szCs w:val="14"/>
                  <w:color w:val="0000EE"/>
                  <w:w w:val="93"/>
                </w:rPr>
                <w:t>Form of Trademark License Agreement (Incorporated by reference to Exhibit 99(K)(3) to the Registrant’s Pre-Effective Amendment</w:t>
              </w:r>
            </w:hyperlink>
          </w:p>
        </w:tc>
      </w:tr>
      <w:tr>
        <w:trPr>
          <w:trHeight w:val="146"/>
        </w:trPr>
        <w:tc>
          <w:tcPr>
            <w:tcW w:w="860" w:type="dxa"/>
            <w:vAlign w:val="bottom"/>
          </w:tcPr>
          <w:p>
            <w:pPr>
              <w:spacing w:after="0"/>
              <w:rPr>
                <w:sz w:val="12"/>
                <w:szCs w:val="12"/>
                <w:color w:val="auto"/>
              </w:rPr>
            </w:pPr>
          </w:p>
        </w:tc>
        <w:tc>
          <w:tcPr>
            <w:tcW w:w="5480" w:type="dxa"/>
            <w:vAlign w:val="bottom"/>
            <w:tcBorders>
              <w:top w:val="single" w:sz="8" w:color="0000EE"/>
              <w:bottom w:val="single" w:sz="8" w:color="0000EE"/>
            </w:tcBorders>
            <w:gridSpan w:val="5"/>
          </w:tcPr>
          <w:p>
            <w:pPr>
              <w:spacing w:after="0" w:line="146" w:lineRule="exact"/>
              <w:rPr>
                <w:rFonts w:ascii="Arial" w:cs="Arial" w:eastAsia="Arial" w:hAnsi="Arial"/>
                <w:sz w:val="14"/>
                <w:szCs w:val="14"/>
                <w:color w:val="0000EE"/>
                <w:w w:val="90"/>
              </w:rPr>
            </w:pPr>
            <w:hyperlink r:id="rId130">
              <w:r>
                <w:rPr>
                  <w:rFonts w:ascii="Arial" w:cs="Arial" w:eastAsia="Arial" w:hAnsi="Arial"/>
                  <w:sz w:val="14"/>
                  <w:szCs w:val="14"/>
                  <w:color w:val="0000EE"/>
                  <w:w w:val="90"/>
                </w:rPr>
                <w:t>No. 3 to the Registration Statement on Form N-2 (File No. 333-170243), filed on March 29, 2011).</w:t>
              </w:r>
            </w:hyperlink>
          </w:p>
        </w:tc>
        <w:tc>
          <w:tcPr>
            <w:tcW w:w="1860" w:type="dxa"/>
            <w:vAlign w:val="bottom"/>
            <w:tcBorders>
              <w:top w:val="single" w:sz="8" w:color="0000EE"/>
            </w:tcBorders>
            <w:gridSpan w:val="9"/>
          </w:tcPr>
          <w:p>
            <w:pPr>
              <w:spacing w:after="0"/>
              <w:rPr>
                <w:sz w:val="12"/>
                <w:szCs w:val="12"/>
                <w:color w:val="auto"/>
              </w:rPr>
            </w:pPr>
          </w:p>
        </w:tc>
        <w:tc>
          <w:tcPr>
            <w:tcW w:w="240" w:type="dxa"/>
            <w:vAlign w:val="bottom"/>
            <w:gridSpan w:val="7"/>
          </w:tcPr>
          <w:p>
            <w:pPr>
              <w:spacing w:after="0"/>
              <w:rPr>
                <w:sz w:val="12"/>
                <w:szCs w:val="12"/>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4"/>
                <w:szCs w:val="14"/>
                <w:color w:val="auto"/>
              </w:rPr>
              <w:t>(k)(4)</w:t>
            </w:r>
          </w:p>
        </w:tc>
        <w:tc>
          <w:tcPr>
            <w:tcW w:w="7220" w:type="dxa"/>
            <w:vAlign w:val="bottom"/>
            <w:tcBorders>
              <w:bottom w:val="single" w:sz="8" w:color="0000EE"/>
            </w:tcBorders>
            <w:gridSpan w:val="11"/>
          </w:tcPr>
          <w:p>
            <w:pPr>
              <w:spacing w:after="0"/>
              <w:rPr>
                <w:rFonts w:ascii="Arial" w:cs="Arial" w:eastAsia="Arial" w:hAnsi="Arial"/>
                <w:sz w:val="14"/>
                <w:szCs w:val="14"/>
                <w:color w:val="0000EE"/>
                <w:w w:val="89"/>
              </w:rPr>
            </w:pPr>
            <w:hyperlink r:id="rId131">
              <w:r>
                <w:rPr>
                  <w:rFonts w:ascii="Arial" w:cs="Arial" w:eastAsia="Arial" w:hAnsi="Arial"/>
                  <w:sz w:val="14"/>
                  <w:szCs w:val="14"/>
                  <w:color w:val="0000EE"/>
                  <w:w w:val="89"/>
                </w:rPr>
                <w:t>Revolving Credit and Security Agreement, dated as of August 12, 2021, among PennantPark Floating Rate Funding I, LLC, as the</w:t>
              </w:r>
            </w:hyperlink>
          </w:p>
        </w:tc>
        <w:tc>
          <w:tcPr>
            <w:tcW w:w="360" w:type="dxa"/>
            <w:vAlign w:val="bottom"/>
            <w:gridSpan w:val="10"/>
          </w:tcPr>
          <w:p>
            <w:pPr>
              <w:spacing w:after="0"/>
              <w:rPr>
                <w:sz w:val="19"/>
                <w:szCs w:val="19"/>
                <w:color w:val="auto"/>
              </w:rPr>
            </w:pPr>
          </w:p>
        </w:tc>
      </w:tr>
      <w:tr>
        <w:trPr>
          <w:trHeight w:val="146"/>
        </w:trPr>
        <w:tc>
          <w:tcPr>
            <w:tcW w:w="860" w:type="dxa"/>
            <w:vAlign w:val="bottom"/>
          </w:tcPr>
          <w:p>
            <w:pPr>
              <w:spacing w:after="0"/>
              <w:rPr>
                <w:sz w:val="12"/>
                <w:szCs w:val="12"/>
                <w:color w:val="auto"/>
              </w:rPr>
            </w:pPr>
          </w:p>
        </w:tc>
        <w:tc>
          <w:tcPr>
            <w:tcW w:w="7580" w:type="dxa"/>
            <w:vAlign w:val="bottom"/>
            <w:tcBorders>
              <w:bottom w:val="single" w:sz="8" w:color="0000EE"/>
            </w:tcBorders>
            <w:gridSpan w:val="21"/>
          </w:tcPr>
          <w:p>
            <w:pPr>
              <w:spacing w:after="0" w:line="146" w:lineRule="exact"/>
              <w:rPr>
                <w:rFonts w:ascii="Arial" w:cs="Arial" w:eastAsia="Arial" w:hAnsi="Arial"/>
                <w:sz w:val="14"/>
                <w:szCs w:val="14"/>
                <w:color w:val="0000EE"/>
                <w:w w:val="89"/>
              </w:rPr>
            </w:pPr>
            <w:hyperlink r:id="rId131">
              <w:r>
                <w:rPr>
                  <w:rFonts w:ascii="Arial" w:cs="Arial" w:eastAsia="Arial" w:hAnsi="Arial"/>
                  <w:sz w:val="14"/>
                  <w:szCs w:val="14"/>
                  <w:color w:val="0000EE"/>
                  <w:w w:val="89"/>
                </w:rPr>
                <w:t>borrower, PennantPark Investment Advisers, LLC, as the collateral manager, the lenders from time to time party thereto, Truist Bank., as</w:t>
              </w:r>
            </w:hyperlink>
          </w:p>
        </w:tc>
      </w:tr>
      <w:tr>
        <w:trPr>
          <w:trHeight w:val="146"/>
        </w:trPr>
        <w:tc>
          <w:tcPr>
            <w:tcW w:w="860" w:type="dxa"/>
            <w:vAlign w:val="bottom"/>
          </w:tcPr>
          <w:p>
            <w:pPr>
              <w:spacing w:after="0"/>
              <w:rPr>
                <w:sz w:val="12"/>
                <w:szCs w:val="12"/>
                <w:color w:val="auto"/>
              </w:rPr>
            </w:pPr>
          </w:p>
        </w:tc>
        <w:tc>
          <w:tcPr>
            <w:tcW w:w="7380" w:type="dxa"/>
            <w:vAlign w:val="bottom"/>
            <w:tcBorders>
              <w:bottom w:val="single" w:sz="8" w:color="0000EE"/>
            </w:tcBorders>
            <w:gridSpan w:val="16"/>
          </w:tcPr>
          <w:p>
            <w:pPr>
              <w:spacing w:after="0" w:line="146" w:lineRule="exact"/>
              <w:rPr>
                <w:rFonts w:ascii="Arial" w:cs="Arial" w:eastAsia="Arial" w:hAnsi="Arial"/>
                <w:sz w:val="14"/>
                <w:szCs w:val="14"/>
                <w:color w:val="0000EE"/>
                <w:w w:val="89"/>
              </w:rPr>
            </w:pPr>
            <w:hyperlink r:id="rId131">
              <w:r>
                <w:rPr>
                  <w:rFonts w:ascii="Arial" w:cs="Arial" w:eastAsia="Arial" w:hAnsi="Arial"/>
                  <w:sz w:val="14"/>
                  <w:szCs w:val="14"/>
                  <w:color w:val="0000EE"/>
                  <w:w w:val="89"/>
                </w:rPr>
                <w:t>administrative agent, Truist Securities, Inc., as lead arranger, U.S. Bank National Association, as collateral agent, U.S. Bank National</w:t>
              </w:r>
            </w:hyperlink>
          </w:p>
        </w:tc>
        <w:tc>
          <w:tcPr>
            <w:tcW w:w="200" w:type="dxa"/>
            <w:vAlign w:val="bottom"/>
            <w:gridSpan w:val="5"/>
          </w:tcPr>
          <w:p>
            <w:pPr>
              <w:spacing w:after="0"/>
              <w:rPr>
                <w:sz w:val="12"/>
                <w:szCs w:val="12"/>
                <w:color w:val="auto"/>
              </w:rPr>
            </w:pPr>
          </w:p>
        </w:tc>
      </w:tr>
      <w:tr>
        <w:trPr>
          <w:trHeight w:val="146"/>
        </w:trPr>
        <w:tc>
          <w:tcPr>
            <w:tcW w:w="860" w:type="dxa"/>
            <w:vAlign w:val="bottom"/>
          </w:tcPr>
          <w:p>
            <w:pPr>
              <w:spacing w:after="0"/>
              <w:rPr>
                <w:sz w:val="12"/>
                <w:szCs w:val="12"/>
                <w:color w:val="auto"/>
              </w:rPr>
            </w:pPr>
          </w:p>
        </w:tc>
        <w:tc>
          <w:tcPr>
            <w:tcW w:w="7060" w:type="dxa"/>
            <w:vAlign w:val="bottom"/>
            <w:tcBorders>
              <w:bottom w:val="single" w:sz="8" w:color="0000EE"/>
            </w:tcBorders>
            <w:gridSpan w:val="9"/>
          </w:tcPr>
          <w:p>
            <w:pPr>
              <w:spacing w:after="0" w:line="146" w:lineRule="exact"/>
              <w:rPr>
                <w:rFonts w:ascii="Arial" w:cs="Arial" w:eastAsia="Arial" w:hAnsi="Arial"/>
                <w:sz w:val="14"/>
                <w:szCs w:val="14"/>
                <w:color w:val="0000EE"/>
                <w:w w:val="89"/>
              </w:rPr>
            </w:pPr>
            <w:hyperlink r:id="rId131">
              <w:r>
                <w:rPr>
                  <w:rFonts w:ascii="Arial" w:cs="Arial" w:eastAsia="Arial" w:hAnsi="Arial"/>
                  <w:sz w:val="14"/>
                  <w:szCs w:val="14"/>
                  <w:color w:val="0000EE"/>
                  <w:w w:val="89"/>
                </w:rPr>
                <w:t>Association, as collateral administrator, U.S. Bank National Association, as backup collateral manager, and U.S. Bank National</w:t>
              </w:r>
            </w:hyperlink>
          </w:p>
        </w:tc>
        <w:tc>
          <w:tcPr>
            <w:tcW w:w="520" w:type="dxa"/>
            <w:vAlign w:val="bottom"/>
            <w:gridSpan w:val="12"/>
          </w:tcPr>
          <w:p>
            <w:pPr>
              <w:spacing w:after="0"/>
              <w:rPr>
                <w:sz w:val="12"/>
                <w:szCs w:val="12"/>
                <w:color w:val="auto"/>
              </w:rPr>
            </w:pPr>
          </w:p>
        </w:tc>
      </w:tr>
      <w:tr>
        <w:trPr>
          <w:trHeight w:val="146"/>
        </w:trPr>
        <w:tc>
          <w:tcPr>
            <w:tcW w:w="860" w:type="dxa"/>
            <w:vAlign w:val="bottom"/>
          </w:tcPr>
          <w:p>
            <w:pPr>
              <w:spacing w:after="0"/>
              <w:rPr>
                <w:sz w:val="12"/>
                <w:szCs w:val="12"/>
                <w:color w:val="auto"/>
              </w:rPr>
            </w:pPr>
          </w:p>
        </w:tc>
        <w:tc>
          <w:tcPr>
            <w:tcW w:w="6740" w:type="dxa"/>
            <w:vAlign w:val="bottom"/>
            <w:tcBorders>
              <w:bottom w:val="single" w:sz="8" w:color="0000EE"/>
            </w:tcBorders>
            <w:gridSpan w:val="7"/>
          </w:tcPr>
          <w:p>
            <w:pPr>
              <w:spacing w:after="0" w:line="146" w:lineRule="exact"/>
              <w:rPr>
                <w:rFonts w:ascii="Arial" w:cs="Arial" w:eastAsia="Arial" w:hAnsi="Arial"/>
                <w:sz w:val="14"/>
                <w:szCs w:val="14"/>
                <w:color w:val="0000EE"/>
                <w:w w:val="90"/>
              </w:rPr>
            </w:pPr>
            <w:hyperlink r:id="rId131">
              <w:r>
                <w:rPr>
                  <w:rFonts w:ascii="Arial" w:cs="Arial" w:eastAsia="Arial" w:hAnsi="Arial"/>
                  <w:sz w:val="14"/>
                  <w:szCs w:val="14"/>
                  <w:color w:val="0000EE"/>
                  <w:w w:val="90"/>
                </w:rPr>
                <w:t>Association, as custodian (Incorporated by reference to Exhibit 10.1 to the Registrant’s Current Report on Form 8-K (File</w:t>
              </w:r>
            </w:hyperlink>
          </w:p>
        </w:tc>
        <w:tc>
          <w:tcPr>
            <w:tcW w:w="840" w:type="dxa"/>
            <w:vAlign w:val="bottom"/>
            <w:gridSpan w:val="14"/>
          </w:tcPr>
          <w:p>
            <w:pPr>
              <w:spacing w:after="0"/>
              <w:rPr>
                <w:sz w:val="12"/>
                <w:szCs w:val="12"/>
                <w:color w:val="auto"/>
              </w:rPr>
            </w:pPr>
          </w:p>
        </w:tc>
      </w:tr>
      <w:tr>
        <w:trPr>
          <w:trHeight w:val="146"/>
        </w:trPr>
        <w:tc>
          <w:tcPr>
            <w:tcW w:w="860" w:type="dxa"/>
            <w:vAlign w:val="bottom"/>
          </w:tcPr>
          <w:p>
            <w:pPr>
              <w:spacing w:after="0"/>
              <w:rPr>
                <w:sz w:val="12"/>
                <w:szCs w:val="12"/>
                <w:color w:val="auto"/>
              </w:rPr>
            </w:pPr>
          </w:p>
        </w:tc>
        <w:tc>
          <w:tcPr>
            <w:tcW w:w="2440" w:type="dxa"/>
            <w:vAlign w:val="bottom"/>
            <w:tcBorders>
              <w:bottom w:val="single" w:sz="8" w:color="0000EE"/>
            </w:tcBorders>
          </w:tcPr>
          <w:p>
            <w:pPr>
              <w:spacing w:after="0" w:line="146" w:lineRule="exact"/>
              <w:rPr>
                <w:rFonts w:ascii="Arial" w:cs="Arial" w:eastAsia="Arial" w:hAnsi="Arial"/>
                <w:sz w:val="14"/>
                <w:szCs w:val="14"/>
                <w:color w:val="0000EE"/>
                <w:w w:val="90"/>
              </w:rPr>
            </w:pPr>
            <w:hyperlink r:id="rId131">
              <w:r>
                <w:rPr>
                  <w:rFonts w:ascii="Arial" w:cs="Arial" w:eastAsia="Arial" w:hAnsi="Arial"/>
                  <w:sz w:val="14"/>
                  <w:szCs w:val="14"/>
                  <w:color w:val="0000EE"/>
                  <w:w w:val="90"/>
                </w:rPr>
                <w:t>No. 814-00891), filed on August 18, 2021).</w:t>
              </w:r>
            </w:hyperlink>
          </w:p>
        </w:tc>
        <w:tc>
          <w:tcPr>
            <w:tcW w:w="5140" w:type="dxa"/>
            <w:vAlign w:val="bottom"/>
            <w:gridSpan w:val="20"/>
          </w:tcPr>
          <w:p>
            <w:pPr>
              <w:spacing w:after="0"/>
              <w:rPr>
                <w:sz w:val="12"/>
                <w:szCs w:val="12"/>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4"/>
                <w:szCs w:val="14"/>
                <w:color w:val="auto"/>
              </w:rPr>
              <w:t>(k)(5)</w:t>
            </w:r>
          </w:p>
        </w:tc>
        <w:tc>
          <w:tcPr>
            <w:tcW w:w="7580" w:type="dxa"/>
            <w:vAlign w:val="bottom"/>
            <w:gridSpan w:val="21"/>
          </w:tcPr>
          <w:p>
            <w:pPr>
              <w:spacing w:after="0"/>
              <w:rPr>
                <w:rFonts w:ascii="Arial" w:cs="Arial" w:eastAsia="Arial" w:hAnsi="Arial"/>
                <w:sz w:val="14"/>
                <w:szCs w:val="14"/>
                <w:color w:val="0000EE"/>
                <w:w w:val="88"/>
              </w:rPr>
            </w:pPr>
            <w:hyperlink r:id="rId132">
              <w:r>
                <w:rPr>
                  <w:rFonts w:ascii="Arial" w:cs="Arial" w:eastAsia="Arial" w:hAnsi="Arial"/>
                  <w:sz w:val="14"/>
                  <w:szCs w:val="14"/>
                  <w:color w:val="0000EE"/>
                  <w:w w:val="88"/>
                </w:rPr>
                <w:t>Amended and Restated Purchase and Contribution Agreement, dated as of August 12, 2021, between PennantPark Floating Rate Capital</w:t>
              </w:r>
            </w:hyperlink>
          </w:p>
        </w:tc>
      </w:tr>
      <w:tr>
        <w:trPr>
          <w:trHeight w:val="146"/>
        </w:trPr>
        <w:tc>
          <w:tcPr>
            <w:tcW w:w="860" w:type="dxa"/>
            <w:vAlign w:val="bottom"/>
          </w:tcPr>
          <w:p>
            <w:pPr>
              <w:spacing w:after="0"/>
              <w:rPr>
                <w:sz w:val="12"/>
                <w:szCs w:val="12"/>
                <w:color w:val="auto"/>
              </w:rPr>
            </w:pPr>
          </w:p>
        </w:tc>
        <w:tc>
          <w:tcPr>
            <w:tcW w:w="7540" w:type="dxa"/>
            <w:vAlign w:val="bottom"/>
            <w:tcBorders>
              <w:top w:val="single" w:sz="8" w:color="0000EE"/>
            </w:tcBorders>
            <w:gridSpan w:val="19"/>
          </w:tcPr>
          <w:p>
            <w:pPr>
              <w:spacing w:after="0" w:line="146" w:lineRule="exact"/>
              <w:rPr>
                <w:rFonts w:ascii="Arial" w:cs="Arial" w:eastAsia="Arial" w:hAnsi="Arial"/>
                <w:sz w:val="14"/>
                <w:szCs w:val="14"/>
                <w:color w:val="0000EE"/>
                <w:w w:val="95"/>
              </w:rPr>
            </w:pPr>
            <w:hyperlink r:id="rId132">
              <w:r>
                <w:rPr>
                  <w:rFonts w:ascii="Arial" w:cs="Arial" w:eastAsia="Arial" w:hAnsi="Arial"/>
                  <w:sz w:val="14"/>
                  <w:szCs w:val="14"/>
                  <w:color w:val="0000EE"/>
                  <w:w w:val="95"/>
                </w:rPr>
                <w:t>Ltd., as the seller, and PennantPark Floating Rate Funding I, LLC, as the buyer (Incorporated by reference to Exhibit 10.2 to the</w:t>
              </w:r>
            </w:hyperlink>
          </w:p>
        </w:tc>
        <w:tc>
          <w:tcPr>
            <w:tcW w:w="40" w:type="dxa"/>
            <w:vAlign w:val="bottom"/>
            <w:gridSpan w:val="2"/>
          </w:tcPr>
          <w:p>
            <w:pPr>
              <w:spacing w:after="0"/>
              <w:rPr>
                <w:sz w:val="12"/>
                <w:szCs w:val="12"/>
                <w:color w:val="auto"/>
              </w:rPr>
            </w:pPr>
          </w:p>
        </w:tc>
      </w:tr>
      <w:tr>
        <w:trPr>
          <w:trHeight w:val="146"/>
        </w:trPr>
        <w:tc>
          <w:tcPr>
            <w:tcW w:w="860" w:type="dxa"/>
            <w:vAlign w:val="bottom"/>
          </w:tcPr>
          <w:p>
            <w:pPr>
              <w:spacing w:after="0"/>
              <w:rPr>
                <w:sz w:val="12"/>
                <w:szCs w:val="12"/>
                <w:color w:val="auto"/>
              </w:rPr>
            </w:pPr>
          </w:p>
        </w:tc>
        <w:tc>
          <w:tcPr>
            <w:tcW w:w="7140" w:type="dxa"/>
            <w:vAlign w:val="bottom"/>
            <w:tcBorders>
              <w:top w:val="single" w:sz="8" w:color="0000EE"/>
            </w:tcBorders>
            <w:gridSpan w:val="10"/>
          </w:tcPr>
          <w:p>
            <w:pPr>
              <w:spacing w:after="0" w:line="146" w:lineRule="exact"/>
              <w:rPr>
                <w:rFonts w:ascii="Arial" w:cs="Arial" w:eastAsia="Arial" w:hAnsi="Arial"/>
                <w:sz w:val="14"/>
                <w:szCs w:val="14"/>
                <w:color w:val="0000EE"/>
              </w:rPr>
            </w:pPr>
            <w:hyperlink r:id="rId132">
              <w:r>
                <w:rPr>
                  <w:rFonts w:ascii="Arial" w:cs="Arial" w:eastAsia="Arial" w:hAnsi="Arial"/>
                  <w:sz w:val="14"/>
                  <w:szCs w:val="14"/>
                  <w:color w:val="0000EE"/>
                </w:rPr>
                <w:t>Registrant’s Current Report on Form 8-K (File No. 814-00891), filed on August 18, 2021).</w:t>
              </w:r>
            </w:hyperlink>
          </w:p>
        </w:tc>
        <w:tc>
          <w:tcPr>
            <w:tcW w:w="440" w:type="dxa"/>
            <w:vAlign w:val="bottom"/>
            <w:gridSpan w:val="11"/>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4"/>
                <w:szCs w:val="14"/>
                <w:color w:val="auto"/>
              </w:rPr>
              <w:t>(k)(6)</w:t>
            </w:r>
          </w:p>
        </w:tc>
        <w:tc>
          <w:tcPr>
            <w:tcW w:w="7580" w:type="dxa"/>
            <w:vAlign w:val="bottom"/>
            <w:gridSpan w:val="21"/>
          </w:tcPr>
          <w:p>
            <w:pPr>
              <w:spacing w:after="0"/>
              <w:rPr>
                <w:rFonts w:ascii="Arial" w:cs="Arial" w:eastAsia="Arial" w:hAnsi="Arial"/>
                <w:sz w:val="14"/>
                <w:szCs w:val="14"/>
                <w:color w:val="0000EE"/>
                <w:w w:val="93"/>
              </w:rPr>
            </w:pPr>
            <w:hyperlink r:id="rId133">
              <w:r>
                <w:rPr>
                  <w:rFonts w:ascii="Arial" w:cs="Arial" w:eastAsia="Arial" w:hAnsi="Arial"/>
                  <w:sz w:val="14"/>
                  <w:szCs w:val="14"/>
                  <w:color w:val="0000EE"/>
                  <w:w w:val="93"/>
                </w:rPr>
                <w:t>Limited Liability Company Agreement of PennantPark Senior Secured Loan Fund I LLC, dated as of May 4, 2017, by and between</w:t>
              </w:r>
            </w:hyperlink>
          </w:p>
        </w:tc>
      </w:tr>
      <w:tr>
        <w:trPr>
          <w:trHeight w:val="146"/>
        </w:trPr>
        <w:tc>
          <w:tcPr>
            <w:tcW w:w="860" w:type="dxa"/>
            <w:vAlign w:val="bottom"/>
          </w:tcPr>
          <w:p>
            <w:pPr>
              <w:spacing w:after="0"/>
              <w:rPr>
                <w:sz w:val="12"/>
                <w:szCs w:val="12"/>
                <w:color w:val="auto"/>
              </w:rPr>
            </w:pPr>
          </w:p>
        </w:tc>
        <w:tc>
          <w:tcPr>
            <w:tcW w:w="7260" w:type="dxa"/>
            <w:vAlign w:val="bottom"/>
            <w:tcBorders>
              <w:top w:val="single" w:sz="8" w:color="0000EE"/>
              <w:bottom w:val="single" w:sz="8" w:color="0000EE"/>
            </w:tcBorders>
            <w:gridSpan w:val="12"/>
          </w:tcPr>
          <w:p>
            <w:pPr>
              <w:spacing w:after="0" w:line="146" w:lineRule="exact"/>
              <w:rPr>
                <w:rFonts w:ascii="Arial" w:cs="Arial" w:eastAsia="Arial" w:hAnsi="Arial"/>
                <w:sz w:val="14"/>
                <w:szCs w:val="14"/>
                <w:color w:val="0000EE"/>
                <w:w w:val="90"/>
              </w:rPr>
            </w:pPr>
            <w:hyperlink r:id="rId133">
              <w:r>
                <w:rPr>
                  <w:rFonts w:ascii="Arial" w:cs="Arial" w:eastAsia="Arial" w:hAnsi="Arial"/>
                  <w:sz w:val="14"/>
                  <w:szCs w:val="14"/>
                  <w:color w:val="0000EE"/>
                  <w:w w:val="90"/>
                </w:rPr>
                <w:t>PennantPark Floating Rate Capital Ltd. and Trinity Universal Insurance Company (Incorporated by reference to Exhibit 10.1 to the</w:t>
              </w:r>
            </w:hyperlink>
          </w:p>
        </w:tc>
        <w:tc>
          <w:tcPr>
            <w:tcW w:w="20" w:type="dxa"/>
            <w:vAlign w:val="bottom"/>
            <w:tcBorders>
              <w:top w:val="single" w:sz="8" w:color="0000EE"/>
            </w:tcBorders>
          </w:tcPr>
          <w:p>
            <w:pPr>
              <w:spacing w:after="0"/>
              <w:rPr>
                <w:sz w:val="12"/>
                <w:szCs w:val="12"/>
                <w:color w:val="auto"/>
              </w:rPr>
            </w:pPr>
          </w:p>
        </w:tc>
        <w:tc>
          <w:tcPr>
            <w:tcW w:w="300" w:type="dxa"/>
            <w:vAlign w:val="bottom"/>
            <w:gridSpan w:val="8"/>
          </w:tcPr>
          <w:p>
            <w:pPr>
              <w:spacing w:after="0"/>
              <w:rPr>
                <w:sz w:val="12"/>
                <w:szCs w:val="12"/>
                <w:color w:val="auto"/>
              </w:rPr>
            </w:pPr>
          </w:p>
        </w:tc>
      </w:tr>
      <w:tr>
        <w:trPr>
          <w:trHeight w:val="146"/>
        </w:trPr>
        <w:tc>
          <w:tcPr>
            <w:tcW w:w="860" w:type="dxa"/>
            <w:vAlign w:val="bottom"/>
          </w:tcPr>
          <w:p>
            <w:pPr>
              <w:spacing w:after="0"/>
              <w:rPr>
                <w:sz w:val="12"/>
                <w:szCs w:val="12"/>
                <w:color w:val="auto"/>
              </w:rPr>
            </w:pPr>
          </w:p>
        </w:tc>
        <w:tc>
          <w:tcPr>
            <w:tcW w:w="5140" w:type="dxa"/>
            <w:vAlign w:val="bottom"/>
            <w:tcBorders>
              <w:bottom w:val="single" w:sz="8" w:color="0000EE"/>
            </w:tcBorders>
            <w:gridSpan w:val="4"/>
          </w:tcPr>
          <w:p>
            <w:pPr>
              <w:spacing w:after="0" w:line="146" w:lineRule="exact"/>
              <w:rPr>
                <w:rFonts w:ascii="Arial" w:cs="Arial" w:eastAsia="Arial" w:hAnsi="Arial"/>
                <w:sz w:val="14"/>
                <w:szCs w:val="14"/>
                <w:color w:val="0000EE"/>
                <w:w w:val="90"/>
              </w:rPr>
            </w:pPr>
            <w:hyperlink r:id="rId133">
              <w:r>
                <w:rPr>
                  <w:rFonts w:ascii="Arial" w:cs="Arial" w:eastAsia="Arial" w:hAnsi="Arial"/>
                  <w:sz w:val="14"/>
                  <w:szCs w:val="14"/>
                  <w:color w:val="0000EE"/>
                  <w:w w:val="90"/>
                </w:rPr>
                <w:t>Registrant’s Quarterly Report on Form 10-Q (File No. 814-00891), filed on August 8, 2017).</w:t>
              </w:r>
            </w:hyperlink>
          </w:p>
        </w:tc>
        <w:tc>
          <w:tcPr>
            <w:tcW w:w="2440" w:type="dxa"/>
            <w:vAlign w:val="bottom"/>
            <w:gridSpan w:val="17"/>
          </w:tcPr>
          <w:p>
            <w:pPr>
              <w:spacing w:after="0"/>
              <w:rPr>
                <w:sz w:val="12"/>
                <w:szCs w:val="12"/>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4"/>
                <w:szCs w:val="14"/>
                <w:color w:val="auto"/>
              </w:rPr>
              <w:t>(k)(7)</w:t>
            </w:r>
          </w:p>
        </w:tc>
        <w:tc>
          <w:tcPr>
            <w:tcW w:w="7480" w:type="dxa"/>
            <w:vAlign w:val="bottom"/>
            <w:tcBorders>
              <w:bottom w:val="single" w:sz="8" w:color="0000EE"/>
            </w:tcBorders>
            <w:gridSpan w:val="17"/>
          </w:tcPr>
          <w:p>
            <w:pPr>
              <w:spacing w:after="0"/>
              <w:rPr>
                <w:rFonts w:ascii="Arial" w:cs="Arial" w:eastAsia="Arial" w:hAnsi="Arial"/>
                <w:sz w:val="14"/>
                <w:szCs w:val="14"/>
                <w:color w:val="0000EE"/>
                <w:w w:val="89"/>
              </w:rPr>
            </w:pPr>
            <w:hyperlink r:id="rId134">
              <w:r>
                <w:rPr>
                  <w:rFonts w:ascii="Arial" w:cs="Arial" w:eastAsia="Arial" w:hAnsi="Arial"/>
                  <w:sz w:val="14"/>
                  <w:szCs w:val="14"/>
                  <w:color w:val="0000EE"/>
                  <w:w w:val="89"/>
                </w:rPr>
                <w:t>Indemnification Agreement, dated as of November 15, 2016, between PennantPark Floating Rate Capital Ltd. and each of the directors</w:t>
              </w:r>
            </w:hyperlink>
          </w:p>
        </w:tc>
        <w:tc>
          <w:tcPr>
            <w:tcW w:w="100" w:type="dxa"/>
            <w:vAlign w:val="bottom"/>
            <w:gridSpan w:val="4"/>
          </w:tcPr>
          <w:p>
            <w:pPr>
              <w:spacing w:after="0"/>
              <w:rPr>
                <w:sz w:val="19"/>
                <w:szCs w:val="19"/>
                <w:color w:val="auto"/>
              </w:rPr>
            </w:pPr>
          </w:p>
        </w:tc>
      </w:tr>
      <w:tr>
        <w:trPr>
          <w:trHeight w:val="146"/>
        </w:trPr>
        <w:tc>
          <w:tcPr>
            <w:tcW w:w="860" w:type="dxa"/>
            <w:vAlign w:val="bottom"/>
          </w:tcPr>
          <w:p>
            <w:pPr>
              <w:spacing w:after="0"/>
              <w:rPr>
                <w:sz w:val="12"/>
                <w:szCs w:val="12"/>
                <w:color w:val="auto"/>
              </w:rPr>
            </w:pPr>
          </w:p>
        </w:tc>
        <w:tc>
          <w:tcPr>
            <w:tcW w:w="7560" w:type="dxa"/>
            <w:vAlign w:val="bottom"/>
            <w:tcBorders>
              <w:bottom w:val="single" w:sz="8" w:color="0000EE"/>
            </w:tcBorders>
            <w:gridSpan w:val="20"/>
          </w:tcPr>
          <w:p>
            <w:pPr>
              <w:spacing w:after="0" w:line="146" w:lineRule="exact"/>
              <w:rPr>
                <w:rFonts w:ascii="Arial" w:cs="Arial" w:eastAsia="Arial" w:hAnsi="Arial"/>
                <w:sz w:val="14"/>
                <w:szCs w:val="14"/>
                <w:color w:val="0000EE"/>
                <w:w w:val="89"/>
              </w:rPr>
            </w:pPr>
            <w:hyperlink r:id="rId134">
              <w:r>
                <w:rPr>
                  <w:rFonts w:ascii="Arial" w:cs="Arial" w:eastAsia="Arial" w:hAnsi="Arial"/>
                  <w:sz w:val="14"/>
                  <w:szCs w:val="14"/>
                  <w:color w:val="0000EE"/>
                  <w:w w:val="89"/>
                </w:rPr>
                <w:t>and officers listed on Schedule A attached thereto (Incorporated by reference to Exhibit 10.6 on the Registrant’s Annual Report on Form</w:t>
              </w:r>
            </w:hyperlink>
          </w:p>
        </w:tc>
        <w:tc>
          <w:tcPr>
            <w:tcW w:w="20" w:type="dxa"/>
            <w:vAlign w:val="bottom"/>
          </w:tcPr>
          <w:p>
            <w:pPr>
              <w:spacing w:after="0"/>
              <w:rPr>
                <w:sz w:val="12"/>
                <w:szCs w:val="12"/>
                <w:color w:val="auto"/>
              </w:rPr>
            </w:pPr>
          </w:p>
        </w:tc>
      </w:tr>
      <w:tr>
        <w:trPr>
          <w:trHeight w:val="146"/>
        </w:trPr>
        <w:tc>
          <w:tcPr>
            <w:tcW w:w="860" w:type="dxa"/>
            <w:vAlign w:val="bottom"/>
          </w:tcPr>
          <w:p>
            <w:pPr>
              <w:spacing w:after="0"/>
              <w:rPr>
                <w:sz w:val="12"/>
                <w:szCs w:val="12"/>
                <w:color w:val="auto"/>
              </w:rPr>
            </w:pPr>
          </w:p>
        </w:tc>
        <w:tc>
          <w:tcPr>
            <w:tcW w:w="3220" w:type="dxa"/>
            <w:vAlign w:val="bottom"/>
            <w:tcBorders>
              <w:bottom w:val="single" w:sz="8" w:color="0000EE"/>
            </w:tcBorders>
            <w:gridSpan w:val="2"/>
          </w:tcPr>
          <w:p>
            <w:pPr>
              <w:spacing w:after="0" w:line="146" w:lineRule="exact"/>
              <w:rPr>
                <w:rFonts w:ascii="Arial" w:cs="Arial" w:eastAsia="Arial" w:hAnsi="Arial"/>
                <w:sz w:val="14"/>
                <w:szCs w:val="14"/>
                <w:color w:val="0000EE"/>
                <w:w w:val="91"/>
              </w:rPr>
            </w:pPr>
            <w:hyperlink r:id="rId134">
              <w:r>
                <w:rPr>
                  <w:rFonts w:ascii="Arial" w:cs="Arial" w:eastAsia="Arial" w:hAnsi="Arial"/>
                  <w:sz w:val="14"/>
                  <w:szCs w:val="14"/>
                  <w:color w:val="0000EE"/>
                  <w:w w:val="91"/>
                </w:rPr>
                <w:t>10-K (File No. 814-00891), filed on November 22, 2016).</w:t>
              </w:r>
            </w:hyperlink>
          </w:p>
        </w:tc>
        <w:tc>
          <w:tcPr>
            <w:tcW w:w="4360" w:type="dxa"/>
            <w:vAlign w:val="bottom"/>
            <w:gridSpan w:val="19"/>
          </w:tcPr>
          <w:p>
            <w:pPr>
              <w:spacing w:after="0"/>
              <w:rPr>
                <w:sz w:val="12"/>
                <w:szCs w:val="12"/>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4"/>
                <w:szCs w:val="14"/>
                <w:color w:val="auto"/>
              </w:rPr>
              <w:t>(k)(8)</w:t>
            </w:r>
          </w:p>
        </w:tc>
        <w:tc>
          <w:tcPr>
            <w:tcW w:w="7480" w:type="dxa"/>
            <w:vAlign w:val="bottom"/>
            <w:tcBorders>
              <w:bottom w:val="single" w:sz="8" w:color="0000EE"/>
            </w:tcBorders>
            <w:gridSpan w:val="17"/>
          </w:tcPr>
          <w:p>
            <w:pPr>
              <w:spacing w:after="0"/>
              <w:rPr>
                <w:rFonts w:ascii="Arial" w:cs="Arial" w:eastAsia="Arial" w:hAnsi="Arial"/>
                <w:sz w:val="14"/>
                <w:szCs w:val="14"/>
                <w:color w:val="0000EE"/>
                <w:w w:val="89"/>
              </w:rPr>
            </w:pPr>
            <w:hyperlink r:id="rId135">
              <w:r>
                <w:rPr>
                  <w:rFonts w:ascii="Arial" w:cs="Arial" w:eastAsia="Arial" w:hAnsi="Arial"/>
                  <w:sz w:val="14"/>
                  <w:szCs w:val="14"/>
                  <w:color w:val="0000EE"/>
                  <w:w w:val="89"/>
                </w:rPr>
                <w:t>Credit Agreement, dated as of September 19, 2019, by and among PennantPark CLO I, Ltd., as borrower, PennantPark CLO I, LLC, as</w:t>
              </w:r>
            </w:hyperlink>
          </w:p>
        </w:tc>
        <w:tc>
          <w:tcPr>
            <w:tcW w:w="100" w:type="dxa"/>
            <w:vAlign w:val="bottom"/>
            <w:gridSpan w:val="4"/>
          </w:tcPr>
          <w:p>
            <w:pPr>
              <w:spacing w:after="0"/>
              <w:rPr>
                <w:sz w:val="19"/>
                <w:szCs w:val="19"/>
                <w:color w:val="auto"/>
              </w:rPr>
            </w:pPr>
          </w:p>
        </w:tc>
      </w:tr>
      <w:tr>
        <w:trPr>
          <w:trHeight w:val="146"/>
        </w:trPr>
        <w:tc>
          <w:tcPr>
            <w:tcW w:w="860" w:type="dxa"/>
            <w:vAlign w:val="bottom"/>
          </w:tcPr>
          <w:p>
            <w:pPr>
              <w:spacing w:after="0"/>
              <w:rPr>
                <w:sz w:val="12"/>
                <w:szCs w:val="12"/>
                <w:color w:val="auto"/>
              </w:rPr>
            </w:pPr>
          </w:p>
        </w:tc>
        <w:tc>
          <w:tcPr>
            <w:tcW w:w="7580" w:type="dxa"/>
            <w:vAlign w:val="bottom"/>
            <w:gridSpan w:val="21"/>
          </w:tcPr>
          <w:p>
            <w:pPr>
              <w:spacing w:after="0" w:line="146" w:lineRule="exact"/>
              <w:rPr>
                <w:rFonts w:ascii="Arial" w:cs="Arial" w:eastAsia="Arial" w:hAnsi="Arial"/>
                <w:sz w:val="14"/>
                <w:szCs w:val="14"/>
                <w:color w:val="0000EE"/>
                <w:w w:val="95"/>
              </w:rPr>
            </w:pPr>
            <w:hyperlink r:id="rId135">
              <w:r>
                <w:rPr>
                  <w:rFonts w:ascii="Arial" w:cs="Arial" w:eastAsia="Arial" w:hAnsi="Arial"/>
                  <w:sz w:val="14"/>
                  <w:szCs w:val="14"/>
                  <w:color w:val="0000EE"/>
                  <w:w w:val="95"/>
                </w:rPr>
                <w:t>co-borrower, the various financial institutions party thereto from time to time, as lenders, and U.S. Bank National Association, as</w:t>
              </w:r>
            </w:hyperlink>
          </w:p>
        </w:tc>
      </w:tr>
      <w:tr>
        <w:trPr>
          <w:trHeight w:val="20"/>
        </w:trPr>
        <w:tc>
          <w:tcPr>
            <w:tcW w:w="860" w:type="dxa"/>
            <w:vAlign w:val="bottom"/>
          </w:tcPr>
          <w:p>
            <w:pPr>
              <w:spacing w:after="0" w:line="20" w:lineRule="exact"/>
              <w:rPr>
                <w:sz w:val="1"/>
                <w:szCs w:val="1"/>
                <w:color w:val="auto"/>
              </w:rPr>
            </w:pPr>
          </w:p>
        </w:tc>
        <w:tc>
          <w:tcPr>
            <w:tcW w:w="244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 w:lineRule="exact"/>
        <w:rPr>
          <w:sz w:val="20"/>
          <w:szCs w:val="20"/>
          <w:color w:val="auto"/>
        </w:rPr>
      </w:pPr>
    </w:p>
    <w:p>
      <w:pPr>
        <w:ind w:left="1140" w:right="999"/>
        <w:spacing w:after="0" w:line="268" w:lineRule="auto"/>
        <w:rPr>
          <w:rFonts w:ascii="Arial" w:cs="Arial" w:eastAsia="Arial" w:hAnsi="Arial"/>
          <w:sz w:val="14"/>
          <w:szCs w:val="14"/>
          <w:u w:val="single" w:color="auto"/>
          <w:color w:val="0000EE"/>
        </w:rPr>
      </w:pPr>
      <w:hyperlink r:id="rId135">
        <w:r>
          <w:rPr>
            <w:rFonts w:ascii="Arial" w:cs="Arial" w:eastAsia="Arial" w:hAnsi="Arial"/>
            <w:sz w:val="14"/>
            <w:szCs w:val="14"/>
            <w:u w:val="single" w:color="auto"/>
            <w:color w:val="0000EE"/>
          </w:rPr>
          <w:t>collateral agent and as loan agent (Incorporated by reference to Exhibit 99.3 to the Registrant’s Current Report on Form 8-K</w:t>
        </w:r>
      </w:hyperlink>
      <w:r>
        <w:rPr>
          <w:rFonts w:ascii="Arial" w:cs="Arial" w:eastAsia="Arial" w:hAnsi="Arial"/>
          <w:sz w:val="14"/>
          <w:szCs w:val="14"/>
          <w:u w:val="single" w:color="auto"/>
          <w:color w:val="0000EE"/>
        </w:rPr>
        <w:t xml:space="preserve"> </w:t>
      </w:r>
      <w:hyperlink r:id="rId135">
        <w:r>
          <w:rPr>
            <w:rFonts w:ascii="Arial" w:cs="Arial" w:eastAsia="Arial" w:hAnsi="Arial"/>
            <w:sz w:val="14"/>
            <w:szCs w:val="14"/>
            <w:u w:val="single" w:color="auto"/>
            <w:color w:val="0000EE"/>
          </w:rPr>
          <w:t>(File No. 814-00891), filed on September 20, 2019).</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9019"/>
          </w:cols>
          <w:pgMar w:left="1440" w:top="264" w:right="1440" w:bottom="1440" w:gutter="0" w:footer="0" w:header="0"/>
        </w:sectPr>
      </w:pPr>
    </w:p>
    <w:bookmarkStart w:id="82" w:name="page83"/>
    <w:bookmarkEnd w:id="82"/>
    <w:tbl>
      <w:tblPr>
        <w:tblLayout w:type="fixed"/>
        <w:tblInd w:w="28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Arial" w:cs="Arial" w:eastAsia="Arial" w:hAnsi="Arial"/>
                <w:sz w:val="14"/>
                <w:szCs w:val="14"/>
                <w:color w:val="auto"/>
              </w:rPr>
              <w:t>(k)(9)</w:t>
            </w:r>
          </w:p>
        </w:tc>
        <w:tc>
          <w:tcPr>
            <w:tcW w:w="7280" w:type="dxa"/>
            <w:vAlign w:val="bottom"/>
            <w:tcBorders>
              <w:bottom w:val="single" w:sz="8" w:color="0000EE"/>
            </w:tcBorders>
            <w:gridSpan w:val="19"/>
          </w:tcPr>
          <w:p>
            <w:pPr>
              <w:spacing w:after="0"/>
              <w:rPr>
                <w:rFonts w:ascii="Arial" w:cs="Arial" w:eastAsia="Arial" w:hAnsi="Arial"/>
                <w:sz w:val="14"/>
                <w:szCs w:val="14"/>
                <w:color w:val="0000EE"/>
                <w:w w:val="88"/>
              </w:rPr>
            </w:pPr>
            <w:hyperlink r:id="rId136">
              <w:r>
                <w:rPr>
                  <w:rFonts w:ascii="Arial" w:cs="Arial" w:eastAsia="Arial" w:hAnsi="Arial"/>
                  <w:sz w:val="14"/>
                  <w:szCs w:val="14"/>
                  <w:color w:val="0000EE"/>
                  <w:w w:val="88"/>
                </w:rPr>
                <w:t>Collateral Management Agreement, dated as of September 19, 2019, between PennantPark CLO I, Ltd., as issuer, and PennantPark</w:t>
              </w:r>
            </w:hyperlink>
          </w:p>
        </w:tc>
        <w:tc>
          <w:tcPr>
            <w:tcW w:w="280" w:type="dxa"/>
            <w:vAlign w:val="bottom"/>
            <w:gridSpan w:val="8"/>
          </w:tcPr>
          <w:p>
            <w:pPr>
              <w:spacing w:after="0"/>
              <w:rPr>
                <w:sz w:val="14"/>
                <w:szCs w:val="14"/>
                <w:color w:val="auto"/>
              </w:rPr>
            </w:pPr>
          </w:p>
        </w:tc>
      </w:tr>
      <w:tr>
        <w:trPr>
          <w:trHeight w:val="146"/>
        </w:trPr>
        <w:tc>
          <w:tcPr>
            <w:tcW w:w="860" w:type="dxa"/>
            <w:vAlign w:val="bottom"/>
          </w:tcPr>
          <w:p>
            <w:pPr>
              <w:spacing w:after="0"/>
              <w:rPr>
                <w:sz w:val="12"/>
                <w:szCs w:val="12"/>
                <w:color w:val="auto"/>
              </w:rPr>
            </w:pPr>
          </w:p>
        </w:tc>
        <w:tc>
          <w:tcPr>
            <w:tcW w:w="7500" w:type="dxa"/>
            <w:vAlign w:val="bottom"/>
            <w:tcBorders>
              <w:bottom w:val="single" w:sz="8" w:color="0000EE"/>
            </w:tcBorders>
            <w:gridSpan w:val="25"/>
          </w:tcPr>
          <w:p>
            <w:pPr>
              <w:spacing w:after="0" w:line="146" w:lineRule="exact"/>
              <w:rPr>
                <w:rFonts w:ascii="Arial" w:cs="Arial" w:eastAsia="Arial" w:hAnsi="Arial"/>
                <w:sz w:val="14"/>
                <w:szCs w:val="14"/>
                <w:color w:val="0000EE"/>
                <w:w w:val="89"/>
              </w:rPr>
            </w:pPr>
            <w:hyperlink r:id="rId136">
              <w:r>
                <w:rPr>
                  <w:rFonts w:ascii="Arial" w:cs="Arial" w:eastAsia="Arial" w:hAnsi="Arial"/>
                  <w:sz w:val="14"/>
                  <w:szCs w:val="14"/>
                  <w:color w:val="0000EE"/>
                  <w:w w:val="89"/>
                </w:rPr>
                <w:t>Investment Advisers, LLC, as collateral manager (Incorporated by reference to Exhibit 99.4 to the Registrant’s Current Report on Form</w:t>
              </w:r>
            </w:hyperlink>
          </w:p>
        </w:tc>
        <w:tc>
          <w:tcPr>
            <w:tcW w:w="60" w:type="dxa"/>
            <w:vAlign w:val="bottom"/>
            <w:gridSpan w:val="2"/>
          </w:tcPr>
          <w:p>
            <w:pPr>
              <w:spacing w:after="0"/>
              <w:rPr>
                <w:sz w:val="12"/>
                <w:szCs w:val="12"/>
                <w:color w:val="auto"/>
              </w:rPr>
            </w:pPr>
          </w:p>
        </w:tc>
      </w:tr>
      <w:tr>
        <w:trPr>
          <w:trHeight w:val="146"/>
        </w:trPr>
        <w:tc>
          <w:tcPr>
            <w:tcW w:w="860" w:type="dxa"/>
            <w:vAlign w:val="bottom"/>
          </w:tcPr>
          <w:p>
            <w:pPr>
              <w:spacing w:after="0"/>
              <w:rPr>
                <w:sz w:val="12"/>
                <w:szCs w:val="12"/>
                <w:color w:val="auto"/>
              </w:rPr>
            </w:pPr>
          </w:p>
        </w:tc>
        <w:tc>
          <w:tcPr>
            <w:tcW w:w="3160" w:type="dxa"/>
            <w:vAlign w:val="bottom"/>
            <w:tcBorders>
              <w:bottom w:val="single" w:sz="8" w:color="0000EE"/>
            </w:tcBorders>
            <w:gridSpan w:val="8"/>
          </w:tcPr>
          <w:p>
            <w:pPr>
              <w:spacing w:after="0" w:line="146" w:lineRule="exact"/>
              <w:rPr>
                <w:rFonts w:ascii="Arial" w:cs="Arial" w:eastAsia="Arial" w:hAnsi="Arial"/>
                <w:sz w:val="14"/>
                <w:szCs w:val="14"/>
                <w:color w:val="0000EE"/>
                <w:w w:val="90"/>
              </w:rPr>
            </w:pPr>
            <w:hyperlink r:id="rId136">
              <w:r>
                <w:rPr>
                  <w:rFonts w:ascii="Arial" w:cs="Arial" w:eastAsia="Arial" w:hAnsi="Arial"/>
                  <w:sz w:val="14"/>
                  <w:szCs w:val="14"/>
                  <w:color w:val="0000EE"/>
                  <w:w w:val="90"/>
                </w:rPr>
                <w:t>8-K (File No. 814-00891), filed on September 20, 2019).</w:t>
              </w:r>
            </w:hyperlink>
          </w:p>
        </w:tc>
        <w:tc>
          <w:tcPr>
            <w:tcW w:w="4400" w:type="dxa"/>
            <w:vAlign w:val="bottom"/>
            <w:gridSpan w:val="19"/>
          </w:tcPr>
          <w:p>
            <w:pPr>
              <w:spacing w:after="0"/>
              <w:rPr>
                <w:sz w:val="12"/>
                <w:szCs w:val="12"/>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4"/>
                <w:szCs w:val="14"/>
                <w:color w:val="auto"/>
              </w:rPr>
              <w:t>(k)(10)</w:t>
            </w:r>
          </w:p>
        </w:tc>
        <w:tc>
          <w:tcPr>
            <w:tcW w:w="7380" w:type="dxa"/>
            <w:vAlign w:val="bottom"/>
            <w:tcBorders>
              <w:bottom w:val="single" w:sz="8" w:color="0000EE"/>
            </w:tcBorders>
            <w:gridSpan w:val="23"/>
          </w:tcPr>
          <w:p>
            <w:pPr>
              <w:spacing w:after="0"/>
              <w:rPr>
                <w:rFonts w:ascii="Arial" w:cs="Arial" w:eastAsia="Arial" w:hAnsi="Arial"/>
                <w:sz w:val="14"/>
                <w:szCs w:val="14"/>
                <w:color w:val="0000EE"/>
                <w:w w:val="88"/>
              </w:rPr>
            </w:pPr>
            <w:hyperlink r:id="rId137">
              <w:r>
                <w:rPr>
                  <w:rFonts w:ascii="Arial" w:cs="Arial" w:eastAsia="Arial" w:hAnsi="Arial"/>
                  <w:sz w:val="14"/>
                  <w:szCs w:val="14"/>
                  <w:color w:val="0000EE"/>
                  <w:w w:val="88"/>
                </w:rPr>
                <w:t>Master Loan Sale Agreement, dated as of September 19, 2019, among PennantPark Floating Rate Capital Ltd., as seller, PennantPark</w:t>
              </w:r>
            </w:hyperlink>
          </w:p>
        </w:tc>
        <w:tc>
          <w:tcPr>
            <w:tcW w:w="180" w:type="dxa"/>
            <w:vAlign w:val="bottom"/>
            <w:gridSpan w:val="4"/>
          </w:tcPr>
          <w:p>
            <w:pPr>
              <w:spacing w:after="0"/>
              <w:rPr>
                <w:sz w:val="19"/>
                <w:szCs w:val="19"/>
                <w:color w:val="auto"/>
              </w:rPr>
            </w:pPr>
          </w:p>
        </w:tc>
      </w:tr>
      <w:tr>
        <w:trPr>
          <w:trHeight w:val="146"/>
        </w:trPr>
        <w:tc>
          <w:tcPr>
            <w:tcW w:w="860" w:type="dxa"/>
            <w:vAlign w:val="bottom"/>
          </w:tcPr>
          <w:p>
            <w:pPr>
              <w:spacing w:after="0"/>
              <w:rPr>
                <w:sz w:val="12"/>
                <w:szCs w:val="12"/>
                <w:color w:val="auto"/>
              </w:rPr>
            </w:pPr>
          </w:p>
        </w:tc>
        <w:tc>
          <w:tcPr>
            <w:tcW w:w="7560" w:type="dxa"/>
            <w:vAlign w:val="bottom"/>
            <w:gridSpan w:val="27"/>
          </w:tcPr>
          <w:p>
            <w:pPr>
              <w:spacing w:after="0" w:line="146" w:lineRule="exact"/>
              <w:rPr>
                <w:rFonts w:ascii="Arial" w:cs="Arial" w:eastAsia="Arial" w:hAnsi="Arial"/>
                <w:sz w:val="14"/>
                <w:szCs w:val="14"/>
                <w:color w:val="0000EE"/>
                <w:w w:val="91"/>
              </w:rPr>
            </w:pPr>
            <w:hyperlink r:id="rId137">
              <w:r>
                <w:rPr>
                  <w:rFonts w:ascii="Arial" w:cs="Arial" w:eastAsia="Arial" w:hAnsi="Arial"/>
                  <w:sz w:val="14"/>
                  <w:szCs w:val="14"/>
                  <w:color w:val="0000EE"/>
                  <w:w w:val="91"/>
                </w:rPr>
                <w:t>CLO I Depositor, LLC, as intermediate seller, and PennantPark CLO I Ltd., as buyer (Incorporated by reference to Exhibit 99.5 to the</w:t>
              </w:r>
            </w:hyperlink>
          </w:p>
        </w:tc>
      </w:tr>
      <w:tr>
        <w:trPr>
          <w:trHeight w:val="146"/>
        </w:trPr>
        <w:tc>
          <w:tcPr>
            <w:tcW w:w="860" w:type="dxa"/>
            <w:vAlign w:val="bottom"/>
          </w:tcPr>
          <w:p>
            <w:pPr>
              <w:spacing w:after="0"/>
              <w:rPr>
                <w:sz w:val="12"/>
                <w:szCs w:val="12"/>
                <w:color w:val="auto"/>
              </w:rPr>
            </w:pPr>
          </w:p>
        </w:tc>
        <w:tc>
          <w:tcPr>
            <w:tcW w:w="7400" w:type="dxa"/>
            <w:vAlign w:val="bottom"/>
            <w:tcBorders>
              <w:top w:val="single" w:sz="8" w:color="0000EE"/>
            </w:tcBorders>
            <w:gridSpan w:val="24"/>
          </w:tcPr>
          <w:p>
            <w:pPr>
              <w:spacing w:after="0" w:line="146" w:lineRule="exact"/>
              <w:rPr>
                <w:rFonts w:ascii="Arial" w:cs="Arial" w:eastAsia="Arial" w:hAnsi="Arial"/>
                <w:sz w:val="14"/>
                <w:szCs w:val="14"/>
                <w:color w:val="0000EE"/>
              </w:rPr>
            </w:pPr>
            <w:hyperlink r:id="rId137">
              <w:r>
                <w:rPr>
                  <w:rFonts w:ascii="Arial" w:cs="Arial" w:eastAsia="Arial" w:hAnsi="Arial"/>
                  <w:sz w:val="14"/>
                  <w:szCs w:val="14"/>
                  <w:color w:val="0000EE"/>
                </w:rPr>
                <w:t>Registrant’s Current Report on Form 8-K (File No. 814-00891), filed on September 20, 2019).</w:t>
              </w:r>
            </w:hyperlink>
          </w:p>
        </w:tc>
        <w:tc>
          <w:tcPr>
            <w:tcW w:w="160" w:type="dxa"/>
            <w:vAlign w:val="bottom"/>
            <w:gridSpan w:val="3"/>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4"/>
                <w:szCs w:val="14"/>
                <w:color w:val="auto"/>
              </w:rPr>
              <w:t>(k)(l1)</w:t>
            </w:r>
          </w:p>
        </w:tc>
        <w:tc>
          <w:tcPr>
            <w:tcW w:w="7300" w:type="dxa"/>
            <w:vAlign w:val="bottom"/>
            <w:tcBorders>
              <w:bottom w:val="single" w:sz="8" w:color="0000EE"/>
            </w:tcBorders>
            <w:gridSpan w:val="20"/>
          </w:tcPr>
          <w:p>
            <w:pPr>
              <w:spacing w:after="0"/>
              <w:rPr>
                <w:rFonts w:ascii="Arial" w:cs="Arial" w:eastAsia="Arial" w:hAnsi="Arial"/>
                <w:sz w:val="14"/>
                <w:szCs w:val="14"/>
                <w:color w:val="0000EE"/>
                <w:w w:val="88"/>
              </w:rPr>
            </w:pPr>
            <w:hyperlink r:id="rId138">
              <w:r>
                <w:rPr>
                  <w:rFonts w:ascii="Arial" w:cs="Arial" w:eastAsia="Arial" w:hAnsi="Arial"/>
                  <w:sz w:val="14"/>
                  <w:szCs w:val="14"/>
                  <w:color w:val="0000EE"/>
                  <w:w w:val="88"/>
                </w:rPr>
                <w:t>Master Participation Agreement, dated as of September 19, 2019, between PennantPark Floating Rate Funding I, LLC, as seller and</w:t>
              </w:r>
            </w:hyperlink>
          </w:p>
        </w:tc>
        <w:tc>
          <w:tcPr>
            <w:tcW w:w="260" w:type="dxa"/>
            <w:vAlign w:val="bottom"/>
            <w:gridSpan w:val="7"/>
          </w:tcPr>
          <w:p>
            <w:pPr>
              <w:spacing w:after="0"/>
              <w:rPr>
                <w:sz w:val="19"/>
                <w:szCs w:val="19"/>
                <w:color w:val="auto"/>
              </w:rPr>
            </w:pPr>
          </w:p>
        </w:tc>
      </w:tr>
      <w:tr>
        <w:trPr>
          <w:trHeight w:val="146"/>
        </w:trPr>
        <w:tc>
          <w:tcPr>
            <w:tcW w:w="860" w:type="dxa"/>
            <w:vAlign w:val="bottom"/>
          </w:tcPr>
          <w:p>
            <w:pPr>
              <w:spacing w:after="0"/>
              <w:rPr>
                <w:sz w:val="12"/>
                <w:szCs w:val="12"/>
                <w:color w:val="auto"/>
              </w:rPr>
            </w:pPr>
          </w:p>
        </w:tc>
        <w:tc>
          <w:tcPr>
            <w:tcW w:w="7260" w:type="dxa"/>
            <w:vAlign w:val="bottom"/>
            <w:tcBorders>
              <w:bottom w:val="single" w:sz="8" w:color="0000EE"/>
            </w:tcBorders>
            <w:gridSpan w:val="18"/>
          </w:tcPr>
          <w:p>
            <w:pPr>
              <w:spacing w:after="0" w:line="146" w:lineRule="exact"/>
              <w:rPr>
                <w:rFonts w:ascii="Arial" w:cs="Arial" w:eastAsia="Arial" w:hAnsi="Arial"/>
                <w:sz w:val="14"/>
                <w:szCs w:val="14"/>
                <w:color w:val="0000EE"/>
                <w:w w:val="90"/>
              </w:rPr>
            </w:pPr>
            <w:hyperlink r:id="rId138">
              <w:r>
                <w:rPr>
                  <w:rFonts w:ascii="Arial" w:cs="Arial" w:eastAsia="Arial" w:hAnsi="Arial"/>
                  <w:sz w:val="14"/>
                  <w:szCs w:val="14"/>
                  <w:color w:val="0000EE"/>
                  <w:w w:val="90"/>
                </w:rPr>
                <w:t>PennantPark CLO I, Ltd., as buyer (Incorporated by reference to Exhibit 99.6 to the Registrant’s Current Report on Form 8-K (File</w:t>
              </w:r>
            </w:hyperlink>
          </w:p>
        </w:tc>
        <w:tc>
          <w:tcPr>
            <w:tcW w:w="300" w:type="dxa"/>
            <w:vAlign w:val="bottom"/>
            <w:gridSpan w:val="9"/>
          </w:tcPr>
          <w:p>
            <w:pPr>
              <w:spacing w:after="0"/>
              <w:rPr>
                <w:sz w:val="12"/>
                <w:szCs w:val="12"/>
                <w:color w:val="auto"/>
              </w:rPr>
            </w:pPr>
          </w:p>
        </w:tc>
      </w:tr>
      <w:tr>
        <w:trPr>
          <w:trHeight w:val="146"/>
        </w:trPr>
        <w:tc>
          <w:tcPr>
            <w:tcW w:w="860" w:type="dxa"/>
            <w:vAlign w:val="bottom"/>
          </w:tcPr>
          <w:p>
            <w:pPr>
              <w:spacing w:after="0"/>
              <w:rPr>
                <w:sz w:val="12"/>
                <w:szCs w:val="12"/>
                <w:color w:val="auto"/>
              </w:rPr>
            </w:pPr>
          </w:p>
        </w:tc>
        <w:tc>
          <w:tcPr>
            <w:tcW w:w="7560" w:type="dxa"/>
            <w:vAlign w:val="bottom"/>
            <w:gridSpan w:val="27"/>
          </w:tcPr>
          <w:p>
            <w:pPr>
              <w:spacing w:after="0" w:line="146" w:lineRule="exact"/>
              <w:rPr>
                <w:rFonts w:ascii="Arial" w:cs="Arial" w:eastAsia="Arial" w:hAnsi="Arial"/>
                <w:sz w:val="14"/>
                <w:szCs w:val="14"/>
                <w:color w:val="0000EE"/>
              </w:rPr>
            </w:pPr>
            <w:hyperlink r:id="rId138">
              <w:r>
                <w:rPr>
                  <w:rFonts w:ascii="Arial" w:cs="Arial" w:eastAsia="Arial" w:hAnsi="Arial"/>
                  <w:sz w:val="14"/>
                  <w:szCs w:val="14"/>
                  <w:color w:val="0000EE"/>
                </w:rPr>
                <w:t>No. 814-00891), filed on September 20, 2019).</w:t>
              </w:r>
            </w:hyperlink>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4"/>
                <w:szCs w:val="14"/>
                <w:color w:val="auto"/>
              </w:rPr>
              <w:t>(k)(12)</w:t>
            </w:r>
          </w:p>
        </w:tc>
        <w:tc>
          <w:tcPr>
            <w:tcW w:w="7560" w:type="dxa"/>
            <w:vAlign w:val="bottom"/>
            <w:gridSpan w:val="27"/>
          </w:tcPr>
          <w:p>
            <w:pPr>
              <w:spacing w:after="0"/>
              <w:rPr>
                <w:rFonts w:ascii="Arial" w:cs="Arial" w:eastAsia="Arial" w:hAnsi="Arial"/>
                <w:sz w:val="14"/>
                <w:szCs w:val="14"/>
                <w:color w:val="0000EE"/>
                <w:w w:val="94"/>
              </w:rPr>
            </w:pPr>
            <w:hyperlink r:id="rId139">
              <w:r>
                <w:rPr>
                  <w:rFonts w:ascii="Arial" w:cs="Arial" w:eastAsia="Arial" w:hAnsi="Arial"/>
                  <w:sz w:val="14"/>
                  <w:szCs w:val="14"/>
                  <w:color w:val="0000EE"/>
                  <w:w w:val="94"/>
                </w:rPr>
                <w:t>Equity Distribution Agreement - JMP Securities LLC (Incorporated by reference to Exhibit 10.2 to the Registrant’s Form 10-Q (File</w:t>
              </w:r>
            </w:hyperlink>
          </w:p>
        </w:tc>
      </w:tr>
      <w:tr>
        <w:trPr>
          <w:trHeight w:val="146"/>
        </w:trPr>
        <w:tc>
          <w:tcPr>
            <w:tcW w:w="860" w:type="dxa"/>
            <w:vAlign w:val="bottom"/>
          </w:tcPr>
          <w:p>
            <w:pPr>
              <w:spacing w:after="0"/>
              <w:rPr>
                <w:sz w:val="12"/>
                <w:szCs w:val="12"/>
                <w:color w:val="auto"/>
              </w:rPr>
            </w:pPr>
          </w:p>
        </w:tc>
        <w:tc>
          <w:tcPr>
            <w:tcW w:w="7320" w:type="dxa"/>
            <w:vAlign w:val="bottom"/>
            <w:tcBorders>
              <w:top w:val="single" w:sz="8" w:color="0000EE"/>
            </w:tcBorders>
            <w:gridSpan w:val="21"/>
          </w:tcPr>
          <w:p>
            <w:pPr>
              <w:spacing w:after="0" w:line="146" w:lineRule="exact"/>
              <w:rPr>
                <w:rFonts w:ascii="Arial" w:cs="Arial" w:eastAsia="Arial" w:hAnsi="Arial"/>
                <w:sz w:val="14"/>
                <w:szCs w:val="14"/>
                <w:color w:val="0000EE"/>
              </w:rPr>
            </w:pPr>
            <w:hyperlink r:id="rId139">
              <w:r>
                <w:rPr>
                  <w:rFonts w:ascii="Arial" w:cs="Arial" w:eastAsia="Arial" w:hAnsi="Arial"/>
                  <w:sz w:val="14"/>
                  <w:szCs w:val="14"/>
                  <w:color w:val="0000EE"/>
                </w:rPr>
                <w:t>No. 814-00736), filed on August 3, 2022).</w:t>
              </w:r>
            </w:hyperlink>
          </w:p>
        </w:tc>
        <w:tc>
          <w:tcPr>
            <w:tcW w:w="240" w:type="dxa"/>
            <w:vAlign w:val="bottom"/>
            <w:gridSpan w:val="6"/>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4"/>
                <w:szCs w:val="14"/>
                <w:color w:val="auto"/>
              </w:rPr>
              <w:t>(k)(13)</w:t>
            </w:r>
          </w:p>
        </w:tc>
        <w:tc>
          <w:tcPr>
            <w:tcW w:w="7540" w:type="dxa"/>
            <w:vAlign w:val="bottom"/>
            <w:tcBorders>
              <w:bottom w:val="single" w:sz="8" w:color="0000EE"/>
            </w:tcBorders>
            <w:gridSpan w:val="26"/>
          </w:tcPr>
          <w:p>
            <w:pPr>
              <w:spacing w:after="0"/>
              <w:rPr>
                <w:rFonts w:ascii="Arial" w:cs="Arial" w:eastAsia="Arial" w:hAnsi="Arial"/>
                <w:sz w:val="14"/>
                <w:szCs w:val="14"/>
                <w:color w:val="0000EE"/>
                <w:w w:val="90"/>
              </w:rPr>
            </w:pPr>
            <w:hyperlink r:id="rId140">
              <w:r>
                <w:rPr>
                  <w:rFonts w:ascii="Arial" w:cs="Arial" w:eastAsia="Arial" w:hAnsi="Arial"/>
                  <w:sz w:val="14"/>
                  <w:szCs w:val="14"/>
                  <w:color w:val="0000EE"/>
                  <w:w w:val="90"/>
                </w:rPr>
                <w:t>Equity Distribution Agreement - Raymond James &amp; Associates, Inc. (Incorporated by reference to Exhibit 10.3 to the Registrant’s Form</w:t>
              </w:r>
            </w:hyperlink>
          </w:p>
        </w:tc>
        <w:tc>
          <w:tcPr>
            <w:tcW w:w="20" w:type="dxa"/>
            <w:vAlign w:val="bottom"/>
          </w:tcPr>
          <w:p>
            <w:pPr>
              <w:spacing w:after="0"/>
              <w:rPr>
                <w:sz w:val="19"/>
                <w:szCs w:val="19"/>
                <w:color w:val="auto"/>
              </w:rPr>
            </w:pPr>
          </w:p>
        </w:tc>
      </w:tr>
      <w:tr>
        <w:trPr>
          <w:trHeight w:val="146"/>
        </w:trPr>
        <w:tc>
          <w:tcPr>
            <w:tcW w:w="860" w:type="dxa"/>
            <w:vAlign w:val="bottom"/>
          </w:tcPr>
          <w:p>
            <w:pPr>
              <w:spacing w:after="0"/>
              <w:rPr>
                <w:sz w:val="12"/>
                <w:szCs w:val="12"/>
                <w:color w:val="auto"/>
              </w:rPr>
            </w:pPr>
          </w:p>
        </w:tc>
        <w:tc>
          <w:tcPr>
            <w:tcW w:w="2960" w:type="dxa"/>
            <w:vAlign w:val="bottom"/>
            <w:tcBorders>
              <w:bottom w:val="single" w:sz="8" w:color="0000EE"/>
            </w:tcBorders>
            <w:gridSpan w:val="7"/>
          </w:tcPr>
          <w:p>
            <w:pPr>
              <w:spacing w:after="0" w:line="146" w:lineRule="exact"/>
              <w:rPr>
                <w:rFonts w:ascii="Arial" w:cs="Arial" w:eastAsia="Arial" w:hAnsi="Arial"/>
                <w:sz w:val="14"/>
                <w:szCs w:val="14"/>
                <w:color w:val="0000EE"/>
                <w:w w:val="91"/>
              </w:rPr>
            </w:pPr>
            <w:hyperlink r:id="rId140">
              <w:r>
                <w:rPr>
                  <w:rFonts w:ascii="Arial" w:cs="Arial" w:eastAsia="Arial" w:hAnsi="Arial"/>
                  <w:sz w:val="14"/>
                  <w:szCs w:val="14"/>
                  <w:color w:val="0000EE"/>
                  <w:w w:val="91"/>
                </w:rPr>
                <w:t>10-Q (File No. 814-00736), filed on August 3, 2022).</w:t>
              </w:r>
            </w:hyperlink>
          </w:p>
        </w:tc>
        <w:tc>
          <w:tcPr>
            <w:tcW w:w="4600" w:type="dxa"/>
            <w:vAlign w:val="bottom"/>
            <w:gridSpan w:val="20"/>
          </w:tcPr>
          <w:p>
            <w:pPr>
              <w:spacing w:after="0"/>
              <w:rPr>
                <w:sz w:val="12"/>
                <w:szCs w:val="12"/>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4"/>
                <w:szCs w:val="14"/>
                <w:color w:val="auto"/>
              </w:rPr>
              <w:t>(k)(14)</w:t>
            </w:r>
          </w:p>
        </w:tc>
        <w:tc>
          <w:tcPr>
            <w:tcW w:w="7560" w:type="dxa"/>
            <w:vAlign w:val="bottom"/>
            <w:gridSpan w:val="27"/>
          </w:tcPr>
          <w:p>
            <w:pPr>
              <w:spacing w:after="0"/>
              <w:rPr>
                <w:rFonts w:ascii="Arial" w:cs="Arial" w:eastAsia="Arial" w:hAnsi="Arial"/>
                <w:sz w:val="14"/>
                <w:szCs w:val="14"/>
                <w:color w:val="0000EE"/>
                <w:w w:val="92"/>
              </w:rPr>
            </w:pPr>
            <w:hyperlink r:id="rId141">
              <w:r>
                <w:rPr>
                  <w:rFonts w:ascii="Arial" w:cs="Arial" w:eastAsia="Arial" w:hAnsi="Arial"/>
                  <w:sz w:val="14"/>
                  <w:szCs w:val="14"/>
                  <w:color w:val="0000EE"/>
                  <w:w w:val="92"/>
                </w:rPr>
                <w:t>Underwriting Agreement, dated August 8, 2022, among PennantPark Floating Rate Capital Ltd., PennantPark Investment Advisers,</w:t>
              </w:r>
            </w:hyperlink>
          </w:p>
        </w:tc>
      </w:tr>
      <w:tr>
        <w:trPr>
          <w:trHeight w:val="146"/>
        </w:trPr>
        <w:tc>
          <w:tcPr>
            <w:tcW w:w="860" w:type="dxa"/>
            <w:vAlign w:val="bottom"/>
          </w:tcPr>
          <w:p>
            <w:pPr>
              <w:spacing w:after="0"/>
              <w:rPr>
                <w:sz w:val="12"/>
                <w:szCs w:val="12"/>
                <w:color w:val="auto"/>
              </w:rPr>
            </w:pPr>
          </w:p>
        </w:tc>
        <w:tc>
          <w:tcPr>
            <w:tcW w:w="7080" w:type="dxa"/>
            <w:vAlign w:val="bottom"/>
            <w:tcBorders>
              <w:top w:val="single" w:sz="8" w:color="0000EE"/>
              <w:bottom w:val="single" w:sz="8" w:color="0000EE"/>
            </w:tcBorders>
            <w:gridSpan w:val="14"/>
          </w:tcPr>
          <w:p>
            <w:pPr>
              <w:spacing w:after="0" w:line="146" w:lineRule="exact"/>
              <w:rPr>
                <w:rFonts w:ascii="Arial" w:cs="Arial" w:eastAsia="Arial" w:hAnsi="Arial"/>
                <w:sz w:val="14"/>
                <w:szCs w:val="14"/>
                <w:color w:val="0000EE"/>
                <w:w w:val="91"/>
              </w:rPr>
            </w:pPr>
            <w:hyperlink r:id="rId141">
              <w:r>
                <w:rPr>
                  <w:rFonts w:ascii="Arial" w:cs="Arial" w:eastAsia="Arial" w:hAnsi="Arial"/>
                  <w:sz w:val="14"/>
                  <w:szCs w:val="14"/>
                  <w:color w:val="0000EE"/>
                  <w:w w:val="91"/>
                </w:rPr>
                <w:t>LLC, PennantPark Investment Administration, LLC, and Morgan Stanley &amp; Co. LLC, Goldman Sachs &amp; Co. LLC, J.P. Morgan</w:t>
              </w:r>
            </w:hyperlink>
          </w:p>
        </w:tc>
        <w:tc>
          <w:tcPr>
            <w:tcW w:w="200" w:type="dxa"/>
            <w:vAlign w:val="bottom"/>
            <w:tcBorders>
              <w:top w:val="single" w:sz="8" w:color="0000EE"/>
            </w:tcBorders>
            <w:gridSpan w:val="5"/>
          </w:tcPr>
          <w:p>
            <w:pPr>
              <w:spacing w:after="0"/>
              <w:rPr>
                <w:sz w:val="12"/>
                <w:szCs w:val="12"/>
                <w:color w:val="auto"/>
              </w:rPr>
            </w:pPr>
          </w:p>
        </w:tc>
        <w:tc>
          <w:tcPr>
            <w:tcW w:w="280" w:type="dxa"/>
            <w:vAlign w:val="bottom"/>
            <w:gridSpan w:val="8"/>
          </w:tcPr>
          <w:p>
            <w:pPr>
              <w:spacing w:after="0"/>
              <w:rPr>
                <w:sz w:val="12"/>
                <w:szCs w:val="12"/>
                <w:color w:val="auto"/>
              </w:rPr>
            </w:pPr>
          </w:p>
        </w:tc>
      </w:tr>
      <w:tr>
        <w:trPr>
          <w:trHeight w:val="146"/>
        </w:trPr>
        <w:tc>
          <w:tcPr>
            <w:tcW w:w="860" w:type="dxa"/>
            <w:vAlign w:val="bottom"/>
          </w:tcPr>
          <w:p>
            <w:pPr>
              <w:spacing w:after="0"/>
              <w:rPr>
                <w:sz w:val="12"/>
                <w:szCs w:val="12"/>
                <w:color w:val="auto"/>
              </w:rPr>
            </w:pPr>
          </w:p>
        </w:tc>
        <w:tc>
          <w:tcPr>
            <w:tcW w:w="7560" w:type="dxa"/>
            <w:vAlign w:val="bottom"/>
            <w:gridSpan w:val="27"/>
          </w:tcPr>
          <w:p>
            <w:pPr>
              <w:spacing w:after="0" w:line="146" w:lineRule="exact"/>
              <w:rPr>
                <w:rFonts w:ascii="Arial" w:cs="Arial" w:eastAsia="Arial" w:hAnsi="Arial"/>
                <w:sz w:val="14"/>
                <w:szCs w:val="14"/>
                <w:color w:val="0000EE"/>
                <w:w w:val="90"/>
              </w:rPr>
            </w:pPr>
            <w:hyperlink r:id="rId141">
              <w:r>
                <w:rPr>
                  <w:rFonts w:ascii="Arial" w:cs="Arial" w:eastAsia="Arial" w:hAnsi="Arial"/>
                  <w:sz w:val="14"/>
                  <w:szCs w:val="14"/>
                  <w:color w:val="0000EE"/>
                  <w:w w:val="90"/>
                </w:rPr>
                <w:t>Securities LLC, Keefe, Bruyette &amp; Woods, Inc., RBC Capital Markets, LLC and Truist Securities, Inc., as representatives of the several</w:t>
              </w:r>
            </w:hyperlink>
          </w:p>
        </w:tc>
      </w:tr>
      <w:tr>
        <w:trPr>
          <w:trHeight w:val="146"/>
        </w:trPr>
        <w:tc>
          <w:tcPr>
            <w:tcW w:w="860" w:type="dxa"/>
            <w:vAlign w:val="bottom"/>
          </w:tcPr>
          <w:p>
            <w:pPr>
              <w:spacing w:after="0"/>
              <w:rPr>
                <w:sz w:val="12"/>
                <w:szCs w:val="12"/>
                <w:color w:val="auto"/>
              </w:rPr>
            </w:pPr>
          </w:p>
        </w:tc>
        <w:tc>
          <w:tcPr>
            <w:tcW w:w="7340" w:type="dxa"/>
            <w:vAlign w:val="bottom"/>
            <w:tcBorders>
              <w:top w:val="single" w:sz="8" w:color="0000EE"/>
              <w:bottom w:val="single" w:sz="8" w:color="0000EE"/>
            </w:tcBorders>
            <w:gridSpan w:val="22"/>
          </w:tcPr>
          <w:p>
            <w:pPr>
              <w:spacing w:after="0" w:line="146" w:lineRule="exact"/>
              <w:rPr>
                <w:rFonts w:ascii="Arial" w:cs="Arial" w:eastAsia="Arial" w:hAnsi="Arial"/>
                <w:sz w:val="14"/>
                <w:szCs w:val="14"/>
                <w:color w:val="0000EE"/>
                <w:w w:val="89"/>
              </w:rPr>
            </w:pPr>
            <w:hyperlink r:id="rId141">
              <w:r>
                <w:rPr>
                  <w:rFonts w:ascii="Arial" w:cs="Arial" w:eastAsia="Arial" w:hAnsi="Arial"/>
                  <w:sz w:val="14"/>
                  <w:szCs w:val="14"/>
                  <w:color w:val="0000EE"/>
                  <w:w w:val="89"/>
                </w:rPr>
                <w:t>underwriters named on Schedule A thereto (Incorporated by reference to Exhibit 1.1 to the Registrant’s Current Report on Form 8-K</w:t>
              </w:r>
            </w:hyperlink>
          </w:p>
        </w:tc>
        <w:tc>
          <w:tcPr>
            <w:tcW w:w="160" w:type="dxa"/>
            <w:vAlign w:val="bottom"/>
            <w:tcBorders>
              <w:top w:val="single" w:sz="8" w:color="0000EE"/>
            </w:tcBorders>
            <w:gridSpan w:val="3"/>
          </w:tcPr>
          <w:p>
            <w:pPr>
              <w:spacing w:after="0"/>
              <w:rPr>
                <w:sz w:val="12"/>
                <w:szCs w:val="12"/>
                <w:color w:val="auto"/>
              </w:rPr>
            </w:pPr>
          </w:p>
        </w:tc>
        <w:tc>
          <w:tcPr>
            <w:tcW w:w="60" w:type="dxa"/>
            <w:vAlign w:val="bottom"/>
            <w:gridSpan w:val="2"/>
          </w:tcPr>
          <w:p>
            <w:pPr>
              <w:spacing w:after="0"/>
              <w:rPr>
                <w:sz w:val="12"/>
                <w:szCs w:val="12"/>
                <w:color w:val="auto"/>
              </w:rPr>
            </w:pPr>
          </w:p>
        </w:tc>
      </w:tr>
      <w:tr>
        <w:trPr>
          <w:trHeight w:val="146"/>
        </w:trPr>
        <w:tc>
          <w:tcPr>
            <w:tcW w:w="860" w:type="dxa"/>
            <w:vAlign w:val="bottom"/>
          </w:tcPr>
          <w:p>
            <w:pPr>
              <w:spacing w:after="0"/>
              <w:rPr>
                <w:sz w:val="12"/>
                <w:szCs w:val="12"/>
                <w:color w:val="auto"/>
              </w:rPr>
            </w:pPr>
          </w:p>
        </w:tc>
        <w:tc>
          <w:tcPr>
            <w:tcW w:w="7560" w:type="dxa"/>
            <w:vAlign w:val="bottom"/>
            <w:gridSpan w:val="27"/>
          </w:tcPr>
          <w:p>
            <w:pPr>
              <w:spacing w:after="0" w:line="146" w:lineRule="exact"/>
              <w:rPr>
                <w:rFonts w:ascii="Arial" w:cs="Arial" w:eastAsia="Arial" w:hAnsi="Arial"/>
                <w:sz w:val="14"/>
                <w:szCs w:val="14"/>
                <w:color w:val="0000EE"/>
              </w:rPr>
            </w:pPr>
            <w:hyperlink r:id="rId141">
              <w:r>
                <w:rPr>
                  <w:rFonts w:ascii="Arial" w:cs="Arial" w:eastAsia="Arial" w:hAnsi="Arial"/>
                  <w:sz w:val="14"/>
                  <w:szCs w:val="14"/>
                  <w:color w:val="0000EE"/>
                </w:rPr>
                <w:t>(File No. 814-00891), filed on August 11, 2022).</w:t>
              </w:r>
            </w:hyperlink>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4"/>
                <w:szCs w:val="14"/>
                <w:color w:val="auto"/>
              </w:rPr>
              <w:t>(k)(15)</w:t>
            </w:r>
          </w:p>
        </w:tc>
        <w:tc>
          <w:tcPr>
            <w:tcW w:w="7560" w:type="dxa"/>
            <w:vAlign w:val="bottom"/>
            <w:tcBorders>
              <w:bottom w:val="single" w:sz="8" w:color="0000EE"/>
            </w:tcBorders>
            <w:gridSpan w:val="27"/>
          </w:tcPr>
          <w:p>
            <w:pPr>
              <w:spacing w:after="0"/>
              <w:rPr>
                <w:rFonts w:ascii="Arial" w:cs="Arial" w:eastAsia="Arial" w:hAnsi="Arial"/>
                <w:sz w:val="14"/>
                <w:szCs w:val="14"/>
                <w:color w:val="0000EE"/>
                <w:w w:val="89"/>
              </w:rPr>
            </w:pPr>
            <w:hyperlink r:id="rId142">
              <w:r>
                <w:rPr>
                  <w:rFonts w:ascii="Arial" w:cs="Arial" w:eastAsia="Arial" w:hAnsi="Arial"/>
                  <w:sz w:val="14"/>
                  <w:szCs w:val="14"/>
                  <w:color w:val="0000EE"/>
                  <w:w w:val="89"/>
                </w:rPr>
                <w:t>First Amendment to Revolving Credit and Security Agreement, dated September 15, 2022, among PennantPark Floating Rate Funding I,</w:t>
              </w:r>
            </w:hyperlink>
          </w:p>
        </w:tc>
      </w:tr>
      <w:tr>
        <w:trPr>
          <w:trHeight w:val="146"/>
        </w:trPr>
        <w:tc>
          <w:tcPr>
            <w:tcW w:w="860" w:type="dxa"/>
            <w:vAlign w:val="bottom"/>
          </w:tcPr>
          <w:p>
            <w:pPr>
              <w:spacing w:after="0"/>
              <w:rPr>
                <w:sz w:val="12"/>
                <w:szCs w:val="12"/>
                <w:color w:val="auto"/>
              </w:rPr>
            </w:pPr>
          </w:p>
        </w:tc>
        <w:tc>
          <w:tcPr>
            <w:tcW w:w="7560" w:type="dxa"/>
            <w:vAlign w:val="bottom"/>
            <w:gridSpan w:val="27"/>
          </w:tcPr>
          <w:p>
            <w:pPr>
              <w:spacing w:after="0" w:line="146" w:lineRule="exact"/>
              <w:rPr>
                <w:rFonts w:ascii="Arial" w:cs="Arial" w:eastAsia="Arial" w:hAnsi="Arial"/>
                <w:sz w:val="14"/>
                <w:szCs w:val="14"/>
                <w:color w:val="0000EE"/>
                <w:w w:val="93"/>
              </w:rPr>
            </w:pPr>
            <w:hyperlink r:id="rId142">
              <w:r>
                <w:rPr>
                  <w:rFonts w:ascii="Arial" w:cs="Arial" w:eastAsia="Arial" w:hAnsi="Arial"/>
                  <w:sz w:val="14"/>
                  <w:szCs w:val="14"/>
                  <w:color w:val="0000EE"/>
                  <w:w w:val="93"/>
                </w:rPr>
                <w:t>LLC, PennantPark Investment Advisers, LLC, the lenders from time to time party thereto, Truist Bank, as administrative agent and</w:t>
              </w:r>
            </w:hyperlink>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60" w:type="dxa"/>
            <w:vAlign w:val="bottom"/>
            <w:gridSpan w:val="6"/>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6"/>
        </w:trPr>
        <w:tc>
          <w:tcPr>
            <w:tcW w:w="860" w:type="dxa"/>
            <w:vAlign w:val="bottom"/>
          </w:tcPr>
          <w:p>
            <w:pPr>
              <w:spacing w:after="0"/>
              <w:rPr>
                <w:sz w:val="12"/>
                <w:szCs w:val="12"/>
                <w:color w:val="auto"/>
              </w:rPr>
            </w:pPr>
          </w:p>
        </w:tc>
        <w:tc>
          <w:tcPr>
            <w:tcW w:w="7560" w:type="dxa"/>
            <w:vAlign w:val="bottom"/>
            <w:gridSpan w:val="27"/>
          </w:tcPr>
          <w:p>
            <w:pPr>
              <w:spacing w:after="0" w:line="146" w:lineRule="exact"/>
              <w:rPr>
                <w:rFonts w:ascii="Arial" w:cs="Arial" w:eastAsia="Arial" w:hAnsi="Arial"/>
                <w:sz w:val="14"/>
                <w:szCs w:val="14"/>
                <w:color w:val="0000EE"/>
                <w:w w:val="90"/>
              </w:rPr>
            </w:pPr>
            <w:hyperlink r:id="rId142">
              <w:r>
                <w:rPr>
                  <w:rFonts w:ascii="Arial" w:cs="Arial" w:eastAsia="Arial" w:hAnsi="Arial"/>
                  <w:sz w:val="14"/>
                  <w:szCs w:val="14"/>
                  <w:color w:val="0000EE"/>
                  <w:w w:val="90"/>
                </w:rPr>
                <w:t>swingline lender, U.S. Bank National Association, as collateral agent, custodian, collateral administrator and backup collateral manager</w:t>
              </w:r>
            </w:hyperlink>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60" w:type="dxa"/>
            <w:vAlign w:val="bottom"/>
            <w:gridSpan w:val="6"/>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8"/>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6"/>
        </w:trPr>
        <w:tc>
          <w:tcPr>
            <w:tcW w:w="860" w:type="dxa"/>
            <w:vAlign w:val="bottom"/>
          </w:tcPr>
          <w:p>
            <w:pPr>
              <w:spacing w:after="0"/>
              <w:rPr>
                <w:sz w:val="12"/>
                <w:szCs w:val="12"/>
                <w:color w:val="auto"/>
              </w:rPr>
            </w:pPr>
          </w:p>
        </w:tc>
        <w:tc>
          <w:tcPr>
            <w:tcW w:w="7560" w:type="dxa"/>
            <w:vAlign w:val="bottom"/>
            <w:gridSpan w:val="27"/>
          </w:tcPr>
          <w:p>
            <w:pPr>
              <w:spacing w:after="0" w:line="146" w:lineRule="exact"/>
              <w:rPr>
                <w:rFonts w:ascii="Arial" w:cs="Arial" w:eastAsia="Arial" w:hAnsi="Arial"/>
                <w:sz w:val="14"/>
                <w:szCs w:val="14"/>
                <w:color w:val="0000EE"/>
                <w:w w:val="90"/>
              </w:rPr>
            </w:pPr>
            <w:hyperlink r:id="rId142">
              <w:r>
                <w:rPr>
                  <w:rFonts w:ascii="Arial" w:cs="Arial" w:eastAsia="Arial" w:hAnsi="Arial"/>
                  <w:sz w:val="14"/>
                  <w:szCs w:val="14"/>
                  <w:color w:val="0000EE"/>
                  <w:w w:val="90"/>
                </w:rPr>
                <w:t>(Incorporated by reference to Exhibit 10.1 to the Registrant’s Current Report on Form 8-K (File No. 814-00891), filed on September 21,</w:t>
              </w:r>
            </w:hyperlink>
          </w:p>
        </w:tc>
      </w:tr>
      <w:tr>
        <w:trPr>
          <w:trHeight w:val="146"/>
        </w:trPr>
        <w:tc>
          <w:tcPr>
            <w:tcW w:w="860" w:type="dxa"/>
            <w:vAlign w:val="bottom"/>
          </w:tcPr>
          <w:p>
            <w:pPr>
              <w:spacing w:after="0"/>
              <w:rPr>
                <w:sz w:val="12"/>
                <w:szCs w:val="12"/>
                <w:color w:val="auto"/>
              </w:rPr>
            </w:pPr>
          </w:p>
        </w:tc>
        <w:tc>
          <w:tcPr>
            <w:tcW w:w="360" w:type="dxa"/>
            <w:vAlign w:val="bottom"/>
            <w:tcBorders>
              <w:top w:val="single" w:sz="8" w:color="0000EE"/>
              <w:bottom w:val="single" w:sz="8" w:color="0000EE"/>
            </w:tcBorders>
          </w:tcPr>
          <w:p>
            <w:pPr>
              <w:spacing w:after="0" w:line="146" w:lineRule="exact"/>
              <w:rPr>
                <w:rFonts w:ascii="Arial" w:cs="Arial" w:eastAsia="Arial" w:hAnsi="Arial"/>
                <w:sz w:val="14"/>
                <w:szCs w:val="14"/>
                <w:color w:val="0000EE"/>
                <w:w w:val="85"/>
              </w:rPr>
            </w:pPr>
            <w:hyperlink r:id="rId142">
              <w:r>
                <w:rPr>
                  <w:rFonts w:ascii="Arial" w:cs="Arial" w:eastAsia="Arial" w:hAnsi="Arial"/>
                  <w:sz w:val="14"/>
                  <w:szCs w:val="14"/>
                  <w:color w:val="0000EE"/>
                  <w:w w:val="85"/>
                </w:rPr>
                <w:t>2022).</w:t>
              </w:r>
            </w:hyperlink>
          </w:p>
        </w:tc>
        <w:tc>
          <w:tcPr>
            <w:tcW w:w="17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1020" w:type="dxa"/>
            <w:vAlign w:val="bottom"/>
            <w:tcBorders>
              <w:top w:val="single" w:sz="8" w:color="0000EE"/>
            </w:tcBorders>
          </w:tcPr>
          <w:p>
            <w:pPr>
              <w:spacing w:after="0"/>
              <w:rPr>
                <w:sz w:val="12"/>
                <w:szCs w:val="12"/>
                <w:color w:val="auto"/>
              </w:rPr>
            </w:pPr>
          </w:p>
        </w:tc>
        <w:tc>
          <w:tcPr>
            <w:tcW w:w="40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420" w:type="dxa"/>
            <w:vAlign w:val="bottom"/>
            <w:tcBorders>
              <w:top w:val="single" w:sz="8" w:color="0000EE"/>
            </w:tcBorders>
          </w:tcPr>
          <w:p>
            <w:pPr>
              <w:spacing w:after="0"/>
              <w:rPr>
                <w:sz w:val="12"/>
                <w:szCs w:val="12"/>
                <w:color w:val="auto"/>
              </w:rPr>
            </w:pPr>
          </w:p>
        </w:tc>
        <w:tc>
          <w:tcPr>
            <w:tcW w:w="186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4"/>
                <w:szCs w:val="14"/>
                <w:color w:val="auto"/>
              </w:rPr>
              <w:t>(l)(1)*</w:t>
            </w:r>
          </w:p>
        </w:tc>
        <w:tc>
          <w:tcPr>
            <w:tcW w:w="212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w w:val="89"/>
              </w:rPr>
              <w:t>Opinion and Consent of Venable LLP.</w:t>
            </w:r>
          </w:p>
        </w:tc>
        <w:tc>
          <w:tcPr>
            <w:tcW w:w="5440" w:type="dxa"/>
            <w:vAlign w:val="bottom"/>
            <w:gridSpan w:val="24"/>
          </w:tcPr>
          <w:p>
            <w:pPr>
              <w:spacing w:after="0"/>
              <w:rPr>
                <w:sz w:val="19"/>
                <w:szCs w:val="19"/>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4"/>
                <w:szCs w:val="14"/>
                <w:color w:val="auto"/>
              </w:rPr>
              <w:t>(l)(2)*</w:t>
            </w:r>
          </w:p>
        </w:tc>
        <w:tc>
          <w:tcPr>
            <w:tcW w:w="210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color w:val="0000EE"/>
                <w:w w:val="89"/>
              </w:rPr>
              <w:t>Opinion and Consent of Dechert LLP.</w:t>
            </w:r>
          </w:p>
        </w:tc>
        <w:tc>
          <w:tcPr>
            <w:tcW w:w="5460" w:type="dxa"/>
            <w:vAlign w:val="bottom"/>
            <w:gridSpan w:val="25"/>
          </w:tcPr>
          <w:p>
            <w:pPr>
              <w:spacing w:after="0"/>
              <w:rPr>
                <w:sz w:val="19"/>
                <w:szCs w:val="19"/>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4"/>
                <w:szCs w:val="14"/>
                <w:color w:val="auto"/>
              </w:rPr>
              <w:t>(n)(1)*</w:t>
            </w:r>
          </w:p>
        </w:tc>
        <w:tc>
          <w:tcPr>
            <w:tcW w:w="7560" w:type="dxa"/>
            <w:vAlign w:val="bottom"/>
            <w:gridSpan w:val="27"/>
          </w:tcPr>
          <w:p>
            <w:pPr>
              <w:spacing w:after="0"/>
              <w:rPr>
                <w:sz w:val="20"/>
                <w:szCs w:val="20"/>
                <w:color w:val="auto"/>
              </w:rPr>
            </w:pPr>
            <w:r>
              <w:rPr>
                <w:rFonts w:ascii="Arial" w:cs="Arial" w:eastAsia="Arial" w:hAnsi="Arial"/>
                <w:sz w:val="14"/>
                <w:szCs w:val="14"/>
                <w:color w:val="0000EE"/>
              </w:rPr>
              <w:t>Consent of RSM US LLP related to PennantPark Floating Rate Capital Ltd.</w:t>
            </w:r>
          </w:p>
        </w:tc>
      </w:tr>
      <w:tr>
        <w:trPr>
          <w:trHeight w:val="20"/>
        </w:trPr>
        <w:tc>
          <w:tcPr>
            <w:tcW w:w="860" w:type="dxa"/>
            <w:vAlign w:val="bottom"/>
          </w:tcPr>
          <w:p>
            <w:pPr>
              <w:spacing w:after="0" w:line="20" w:lineRule="exact"/>
              <w:rPr>
                <w:sz w:val="1"/>
                <w:szCs w:val="1"/>
                <w:color w:val="auto"/>
              </w:rPr>
            </w:pPr>
          </w:p>
        </w:tc>
        <w:tc>
          <w:tcPr>
            <w:tcW w:w="4180" w:type="dxa"/>
            <w:vAlign w:val="bottom"/>
            <w:gridSpan w:val="9"/>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4"/>
                <w:szCs w:val="14"/>
                <w:color w:val="auto"/>
              </w:rPr>
              <w:t>(n)(2)*</w:t>
            </w:r>
          </w:p>
        </w:tc>
        <w:tc>
          <w:tcPr>
            <w:tcW w:w="4640" w:type="dxa"/>
            <w:vAlign w:val="bottom"/>
            <w:tcBorders>
              <w:bottom w:val="single" w:sz="8" w:color="0000EE"/>
            </w:tcBorders>
            <w:gridSpan w:val="11"/>
          </w:tcPr>
          <w:p>
            <w:pPr>
              <w:spacing w:after="0"/>
              <w:rPr>
                <w:sz w:val="20"/>
                <w:szCs w:val="20"/>
                <w:color w:val="auto"/>
              </w:rPr>
            </w:pPr>
            <w:r>
              <w:rPr>
                <w:rFonts w:ascii="Arial" w:cs="Arial" w:eastAsia="Arial" w:hAnsi="Arial"/>
                <w:sz w:val="14"/>
                <w:szCs w:val="14"/>
                <w:color w:val="0000EE"/>
                <w:w w:val="89"/>
              </w:rPr>
              <w:t>Consent of RSM US LLP related to PennantPark Senior Secured Loan Fund I LLC.</w:t>
            </w:r>
          </w:p>
        </w:tc>
        <w:tc>
          <w:tcPr>
            <w:tcW w:w="2920" w:type="dxa"/>
            <w:vAlign w:val="bottom"/>
            <w:gridSpan w:val="16"/>
          </w:tcPr>
          <w:p>
            <w:pPr>
              <w:spacing w:after="0"/>
              <w:rPr>
                <w:sz w:val="19"/>
                <w:szCs w:val="19"/>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4"/>
                <w:szCs w:val="14"/>
                <w:color w:val="auto"/>
              </w:rPr>
              <w:t>(n)(3)</w:t>
            </w:r>
          </w:p>
        </w:tc>
        <w:tc>
          <w:tcPr>
            <w:tcW w:w="7560" w:type="dxa"/>
            <w:vAlign w:val="bottom"/>
            <w:gridSpan w:val="27"/>
          </w:tcPr>
          <w:p>
            <w:pPr>
              <w:spacing w:after="0"/>
              <w:rPr>
                <w:rFonts w:ascii="Arial" w:cs="Arial" w:eastAsia="Arial" w:hAnsi="Arial"/>
                <w:sz w:val="14"/>
                <w:szCs w:val="14"/>
                <w:color w:val="0000EE"/>
                <w:w w:val="90"/>
              </w:rPr>
            </w:pPr>
            <w:hyperlink r:id="rId143">
              <w:r>
                <w:rPr>
                  <w:rFonts w:ascii="Arial" w:cs="Arial" w:eastAsia="Arial" w:hAnsi="Arial"/>
                  <w:sz w:val="14"/>
                  <w:szCs w:val="14"/>
                  <w:color w:val="0000EE"/>
                  <w:w w:val="90"/>
                </w:rPr>
                <w:t>Report of RSM US LLP regarding senior securities table contained herein (Incorporated by reference to Exhibit 99.2 to the Registrant’s</w:t>
              </w:r>
            </w:hyperlink>
          </w:p>
        </w:tc>
      </w:tr>
      <w:tr>
        <w:trPr>
          <w:trHeight w:val="146"/>
        </w:trPr>
        <w:tc>
          <w:tcPr>
            <w:tcW w:w="860" w:type="dxa"/>
            <w:vAlign w:val="bottom"/>
          </w:tcPr>
          <w:p>
            <w:pPr>
              <w:spacing w:after="0"/>
              <w:rPr>
                <w:sz w:val="12"/>
                <w:szCs w:val="12"/>
                <w:color w:val="auto"/>
              </w:rPr>
            </w:pPr>
          </w:p>
        </w:tc>
        <w:tc>
          <w:tcPr>
            <w:tcW w:w="4580" w:type="dxa"/>
            <w:vAlign w:val="bottom"/>
            <w:tcBorders>
              <w:top w:val="single" w:sz="8" w:color="0000EE"/>
              <w:bottom w:val="single" w:sz="8" w:color="0000EE"/>
            </w:tcBorders>
            <w:gridSpan w:val="10"/>
          </w:tcPr>
          <w:p>
            <w:pPr>
              <w:spacing w:after="0" w:line="146" w:lineRule="exact"/>
              <w:rPr>
                <w:rFonts w:ascii="Arial" w:cs="Arial" w:eastAsia="Arial" w:hAnsi="Arial"/>
                <w:sz w:val="14"/>
                <w:szCs w:val="14"/>
                <w:color w:val="0000EE"/>
                <w:w w:val="91"/>
              </w:rPr>
            </w:pPr>
            <w:hyperlink r:id="rId143">
              <w:r>
                <w:rPr>
                  <w:rFonts w:ascii="Arial" w:cs="Arial" w:eastAsia="Arial" w:hAnsi="Arial"/>
                  <w:sz w:val="14"/>
                  <w:szCs w:val="14"/>
                  <w:color w:val="0000EE"/>
                  <w:w w:val="91"/>
                </w:rPr>
                <w:t>Annual Report on Form 10-K (File No. 814-00891), filed on November 17, 2022).</w:t>
              </w:r>
            </w:hyperlink>
          </w:p>
        </w:tc>
        <w:tc>
          <w:tcPr>
            <w:tcW w:w="2920" w:type="dxa"/>
            <w:vAlign w:val="bottom"/>
            <w:tcBorders>
              <w:top w:val="single" w:sz="8" w:color="0000EE"/>
            </w:tcBorders>
            <w:gridSpan w:val="15"/>
          </w:tcPr>
          <w:p>
            <w:pPr>
              <w:spacing w:after="0"/>
              <w:rPr>
                <w:sz w:val="12"/>
                <w:szCs w:val="12"/>
                <w:color w:val="auto"/>
              </w:rPr>
            </w:pPr>
          </w:p>
        </w:tc>
        <w:tc>
          <w:tcPr>
            <w:tcW w:w="60" w:type="dxa"/>
            <w:vAlign w:val="bottom"/>
            <w:gridSpan w:val="2"/>
          </w:tcPr>
          <w:p>
            <w:pPr>
              <w:spacing w:after="0"/>
              <w:rPr>
                <w:sz w:val="12"/>
                <w:szCs w:val="12"/>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4"/>
                <w:szCs w:val="14"/>
                <w:color w:val="auto"/>
              </w:rPr>
              <w:t>(r)(1)</w:t>
            </w:r>
          </w:p>
        </w:tc>
        <w:tc>
          <w:tcPr>
            <w:tcW w:w="7560" w:type="dxa"/>
            <w:vAlign w:val="bottom"/>
            <w:gridSpan w:val="27"/>
          </w:tcPr>
          <w:p>
            <w:pPr>
              <w:spacing w:after="0"/>
              <w:rPr>
                <w:rFonts w:ascii="Arial" w:cs="Arial" w:eastAsia="Arial" w:hAnsi="Arial"/>
                <w:sz w:val="14"/>
                <w:szCs w:val="14"/>
                <w:color w:val="0000EE"/>
                <w:w w:val="90"/>
              </w:rPr>
            </w:pPr>
            <w:hyperlink r:id="rId144">
              <w:r>
                <w:rPr>
                  <w:rFonts w:ascii="Arial" w:cs="Arial" w:eastAsia="Arial" w:hAnsi="Arial"/>
                  <w:sz w:val="14"/>
                  <w:szCs w:val="14"/>
                  <w:color w:val="0000EE"/>
                  <w:w w:val="90"/>
                </w:rPr>
                <w:t>Joint Code of Ethics of the Registrant, PennantPark Investment Corporation and PennantPark Investment Advisers, LLC (Incorporated</w:t>
              </w:r>
            </w:hyperlink>
          </w:p>
        </w:tc>
      </w:tr>
      <w:tr>
        <w:trPr>
          <w:trHeight w:val="146"/>
        </w:trPr>
        <w:tc>
          <w:tcPr>
            <w:tcW w:w="860" w:type="dxa"/>
            <w:vAlign w:val="bottom"/>
          </w:tcPr>
          <w:p>
            <w:pPr>
              <w:spacing w:after="0"/>
              <w:rPr>
                <w:sz w:val="12"/>
                <w:szCs w:val="12"/>
                <w:color w:val="auto"/>
              </w:rPr>
            </w:pPr>
          </w:p>
        </w:tc>
        <w:tc>
          <w:tcPr>
            <w:tcW w:w="7240" w:type="dxa"/>
            <w:vAlign w:val="bottom"/>
            <w:tcBorders>
              <w:top w:val="single" w:sz="8" w:color="0000EE"/>
              <w:bottom w:val="single" w:sz="8" w:color="0000EE"/>
            </w:tcBorders>
            <w:gridSpan w:val="17"/>
          </w:tcPr>
          <w:p>
            <w:pPr>
              <w:spacing w:after="0" w:line="146" w:lineRule="exact"/>
              <w:rPr>
                <w:rFonts w:ascii="Arial" w:cs="Arial" w:eastAsia="Arial" w:hAnsi="Arial"/>
                <w:sz w:val="14"/>
                <w:szCs w:val="14"/>
                <w:color w:val="0000EE"/>
                <w:w w:val="91"/>
              </w:rPr>
            </w:pPr>
            <w:hyperlink r:id="rId144">
              <w:r>
                <w:rPr>
                  <w:rFonts w:ascii="Arial" w:cs="Arial" w:eastAsia="Arial" w:hAnsi="Arial"/>
                  <w:sz w:val="14"/>
                  <w:szCs w:val="14"/>
                  <w:color w:val="0000EE"/>
                  <w:w w:val="91"/>
                </w:rPr>
                <w:t>by reference to Exhibit 14.1 to the Registrant’s Annual Report on Form 10-K (File No. 814-00891), filed on November 17, 2022).</w:t>
              </w:r>
            </w:hyperlink>
          </w:p>
        </w:tc>
        <w:tc>
          <w:tcPr>
            <w:tcW w:w="260" w:type="dxa"/>
            <w:vAlign w:val="bottom"/>
            <w:tcBorders>
              <w:top w:val="single" w:sz="8" w:color="0000EE"/>
            </w:tcBorders>
            <w:gridSpan w:val="8"/>
          </w:tcPr>
          <w:p>
            <w:pPr>
              <w:spacing w:after="0"/>
              <w:rPr>
                <w:sz w:val="12"/>
                <w:szCs w:val="12"/>
                <w:color w:val="auto"/>
              </w:rPr>
            </w:pPr>
          </w:p>
        </w:tc>
        <w:tc>
          <w:tcPr>
            <w:tcW w:w="60" w:type="dxa"/>
            <w:vAlign w:val="bottom"/>
            <w:gridSpan w:val="2"/>
          </w:tcPr>
          <w:p>
            <w:pPr>
              <w:spacing w:after="0"/>
              <w:rPr>
                <w:sz w:val="12"/>
                <w:szCs w:val="12"/>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4"/>
                <w:szCs w:val="14"/>
                <w:color w:val="auto"/>
              </w:rPr>
              <w:t>(s)(1)</w:t>
            </w:r>
          </w:p>
        </w:tc>
        <w:tc>
          <w:tcPr>
            <w:tcW w:w="7120" w:type="dxa"/>
            <w:vAlign w:val="bottom"/>
            <w:tcBorders>
              <w:bottom w:val="single" w:sz="8" w:color="0000EE"/>
            </w:tcBorders>
            <w:gridSpan w:val="16"/>
          </w:tcPr>
          <w:p>
            <w:pPr>
              <w:spacing w:after="0"/>
              <w:rPr>
                <w:rFonts w:ascii="Arial" w:cs="Arial" w:eastAsia="Arial" w:hAnsi="Arial"/>
                <w:sz w:val="14"/>
                <w:szCs w:val="14"/>
                <w:color w:val="0000EE"/>
                <w:w w:val="90"/>
              </w:rPr>
            </w:pPr>
            <w:hyperlink r:id="rId145">
              <w:r>
                <w:rPr>
                  <w:rFonts w:ascii="Arial" w:cs="Arial" w:eastAsia="Arial" w:hAnsi="Arial"/>
                  <w:sz w:val="14"/>
                  <w:szCs w:val="14"/>
                  <w:color w:val="0000EE"/>
                  <w:w w:val="90"/>
                </w:rPr>
                <w:t>Form of Prospectus Supplement For Common Stock Offerings (Incorporated by reference to Exhibit 99(S)(1) to the Registrant’s</w:t>
              </w:r>
            </w:hyperlink>
          </w:p>
        </w:tc>
        <w:tc>
          <w:tcPr>
            <w:tcW w:w="440" w:type="dxa"/>
            <w:vAlign w:val="bottom"/>
            <w:gridSpan w:val="11"/>
          </w:tcPr>
          <w:p>
            <w:pPr>
              <w:spacing w:after="0"/>
              <w:rPr>
                <w:sz w:val="19"/>
                <w:szCs w:val="19"/>
                <w:color w:val="auto"/>
              </w:rPr>
            </w:pPr>
          </w:p>
        </w:tc>
      </w:tr>
      <w:tr>
        <w:trPr>
          <w:trHeight w:val="146"/>
        </w:trPr>
        <w:tc>
          <w:tcPr>
            <w:tcW w:w="860" w:type="dxa"/>
            <w:vAlign w:val="bottom"/>
          </w:tcPr>
          <w:p>
            <w:pPr>
              <w:spacing w:after="0"/>
              <w:rPr>
                <w:sz w:val="12"/>
                <w:szCs w:val="12"/>
                <w:color w:val="auto"/>
              </w:rPr>
            </w:pPr>
          </w:p>
        </w:tc>
        <w:tc>
          <w:tcPr>
            <w:tcW w:w="4800" w:type="dxa"/>
            <w:vAlign w:val="bottom"/>
            <w:tcBorders>
              <w:bottom w:val="single" w:sz="8" w:color="0000EE"/>
            </w:tcBorders>
            <w:gridSpan w:val="12"/>
          </w:tcPr>
          <w:p>
            <w:pPr>
              <w:spacing w:after="0" w:line="146" w:lineRule="exact"/>
              <w:rPr>
                <w:rFonts w:ascii="Arial" w:cs="Arial" w:eastAsia="Arial" w:hAnsi="Arial"/>
                <w:sz w:val="14"/>
                <w:szCs w:val="14"/>
                <w:color w:val="0000EE"/>
                <w:w w:val="90"/>
              </w:rPr>
            </w:pPr>
            <w:hyperlink r:id="rId145">
              <w:r>
                <w:rPr>
                  <w:rFonts w:ascii="Arial" w:cs="Arial" w:eastAsia="Arial" w:hAnsi="Arial"/>
                  <w:sz w:val="14"/>
                  <w:szCs w:val="14"/>
                  <w:color w:val="0000EE"/>
                  <w:w w:val="90"/>
                </w:rPr>
                <w:t>Registration Statement on Form N-2 (File No. 333-180084), filed on March 14, 2012).</w:t>
              </w:r>
            </w:hyperlink>
          </w:p>
        </w:tc>
        <w:tc>
          <w:tcPr>
            <w:tcW w:w="2760" w:type="dxa"/>
            <w:vAlign w:val="bottom"/>
            <w:gridSpan w:val="15"/>
          </w:tcPr>
          <w:p>
            <w:pPr>
              <w:spacing w:after="0"/>
              <w:rPr>
                <w:sz w:val="12"/>
                <w:szCs w:val="12"/>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4"/>
                <w:szCs w:val="14"/>
                <w:color w:val="auto"/>
              </w:rPr>
              <w:t>(s)(2)</w:t>
            </w:r>
          </w:p>
        </w:tc>
        <w:tc>
          <w:tcPr>
            <w:tcW w:w="7560" w:type="dxa"/>
            <w:vAlign w:val="bottom"/>
            <w:gridSpan w:val="27"/>
          </w:tcPr>
          <w:p>
            <w:pPr>
              <w:spacing w:after="0"/>
              <w:rPr>
                <w:rFonts w:ascii="Arial" w:cs="Arial" w:eastAsia="Arial" w:hAnsi="Arial"/>
                <w:sz w:val="14"/>
                <w:szCs w:val="14"/>
                <w:color w:val="0000EE"/>
                <w:w w:val="95"/>
              </w:rPr>
            </w:pPr>
            <w:hyperlink r:id="rId146">
              <w:r>
                <w:rPr>
                  <w:rFonts w:ascii="Arial" w:cs="Arial" w:eastAsia="Arial" w:hAnsi="Arial"/>
                  <w:sz w:val="14"/>
                  <w:szCs w:val="14"/>
                  <w:color w:val="0000EE"/>
                  <w:w w:val="95"/>
                </w:rPr>
                <w:t>Form of Prospectus Supplement For Preferred Stock Offerings (Incorporated by reference to Exhibit 99(S)(2) to the Registrant’s</w:t>
              </w:r>
            </w:hyperlink>
          </w:p>
        </w:tc>
      </w:tr>
      <w:tr>
        <w:trPr>
          <w:trHeight w:val="146"/>
        </w:trPr>
        <w:tc>
          <w:tcPr>
            <w:tcW w:w="860" w:type="dxa"/>
            <w:vAlign w:val="bottom"/>
          </w:tcPr>
          <w:p>
            <w:pPr>
              <w:spacing w:after="0"/>
              <w:rPr>
                <w:sz w:val="12"/>
                <w:szCs w:val="12"/>
                <w:color w:val="auto"/>
              </w:rPr>
            </w:pPr>
          </w:p>
        </w:tc>
        <w:tc>
          <w:tcPr>
            <w:tcW w:w="7100" w:type="dxa"/>
            <w:vAlign w:val="bottom"/>
            <w:tcBorders>
              <w:top w:val="single" w:sz="8" w:color="0000EE"/>
            </w:tcBorders>
            <w:gridSpan w:val="15"/>
          </w:tcPr>
          <w:p>
            <w:pPr>
              <w:spacing w:after="0" w:line="146" w:lineRule="exact"/>
              <w:rPr>
                <w:rFonts w:ascii="Arial" w:cs="Arial" w:eastAsia="Arial" w:hAnsi="Arial"/>
                <w:sz w:val="14"/>
                <w:szCs w:val="14"/>
                <w:color w:val="0000EE"/>
              </w:rPr>
            </w:pPr>
            <w:hyperlink r:id="rId146">
              <w:r>
                <w:rPr>
                  <w:rFonts w:ascii="Arial" w:cs="Arial" w:eastAsia="Arial" w:hAnsi="Arial"/>
                  <w:sz w:val="14"/>
                  <w:szCs w:val="14"/>
                  <w:color w:val="0000EE"/>
                </w:rPr>
                <w:t>Registration Statement on Form N-2 (File No. 333-180084), filed on March 14, 2012).</w:t>
              </w:r>
            </w:hyperlink>
          </w:p>
        </w:tc>
        <w:tc>
          <w:tcPr>
            <w:tcW w:w="460" w:type="dxa"/>
            <w:vAlign w:val="bottom"/>
            <w:gridSpan w:val="12"/>
          </w:tcPr>
          <w:p>
            <w:pPr>
              <w:spacing w:after="0"/>
              <w:rPr>
                <w:sz w:val="12"/>
                <w:szCs w:val="12"/>
                <w:color w:val="auto"/>
              </w:rPr>
            </w:pPr>
          </w:p>
        </w:tc>
      </w:tr>
      <w:tr>
        <w:trPr>
          <w:trHeight w:val="290"/>
        </w:trPr>
        <w:tc>
          <w:tcPr>
            <w:tcW w:w="860" w:type="dxa"/>
            <w:vAlign w:val="bottom"/>
          </w:tcPr>
          <w:p>
            <w:pPr>
              <w:spacing w:after="0"/>
              <w:rPr>
                <w:sz w:val="24"/>
                <w:szCs w:val="24"/>
                <w:color w:val="auto"/>
              </w:rPr>
            </w:pPr>
          </w:p>
        </w:tc>
        <w:tc>
          <w:tcPr>
            <w:tcW w:w="4180" w:type="dxa"/>
            <w:vAlign w:val="bottom"/>
            <w:tcBorders>
              <w:top w:val="single" w:sz="8" w:color="0000EE"/>
            </w:tcBorders>
            <w:gridSpan w:val="9"/>
          </w:tcPr>
          <w:p>
            <w:pPr>
              <w:ind w:left="3300"/>
              <w:spacing w:after="0"/>
              <w:rPr>
                <w:sz w:val="20"/>
                <w:szCs w:val="20"/>
                <w:color w:val="auto"/>
              </w:rPr>
            </w:pPr>
            <w:r>
              <w:rPr>
                <w:rFonts w:ascii="Arial" w:cs="Arial" w:eastAsia="Arial" w:hAnsi="Arial"/>
                <w:sz w:val="14"/>
                <w:szCs w:val="14"/>
                <w:color w:val="auto"/>
              </w:rPr>
              <w:t>79</w:t>
            </w: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019"/>
          </w:cols>
          <w:pgMar w:left="1440" w:top="248" w:right="1440" w:bottom="1440" w:gutter="0" w:footer="0" w:header="0"/>
        </w:sect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7">
                      <a:extLst>
                        <a:ext uri="{28A0092B-C50C-407E-A947-70E740481C1C}"/>
                      </a:extLst>
                    </a:blip>
                    <a:srcRect/>
                    <a:stretch>
                      <a:fillRect/>
                    </a:stretch>
                  </pic:blipFill>
                  <pic:spPr bwMode="auto">
                    <a:xfrm>
                      <a:off x="0" y="0"/>
                      <a:ext cx="7202805" cy="45720"/>
                    </a:xfrm>
                    <a:prstGeom prst="rect">
                      <a:avLst/>
                    </a:prstGeom>
                    <a:noFill/>
                  </pic:spPr>
                </pic:pic>
              </a:graphicData>
            </a:graphic>
          </wp:anchor>
        </w:drawing>
      </w:r>
    </w:p>
    <w:bookmarkStart w:id="83" w:name="page84"/>
    <w:bookmarkEnd w:id="83"/>
    <w:tbl>
      <w:tblPr>
        <w:tblLayout w:type="fixed"/>
        <w:tblInd w:w="280" w:type="dxa"/>
        <w:tblCellMar>
          <w:top w:w="0" w:type="dxa"/>
          <w:left w:w="0" w:type="dxa"/>
          <w:bottom w:w="0" w:type="dxa"/>
          <w:right w:w="0" w:type="dxa"/>
        </w:tblCellMar>
      </w:tblPr>
      <w:tr>
        <w:trPr>
          <w:trHeight w:val="161"/>
        </w:trPr>
        <w:tc>
          <w:tcPr>
            <w:tcW w:w="1320" w:type="dxa"/>
            <w:vAlign w:val="bottom"/>
          </w:tcPr>
          <w:p>
            <w:pPr>
              <w:spacing w:after="0"/>
              <w:rPr>
                <w:sz w:val="20"/>
                <w:szCs w:val="20"/>
                <w:color w:val="auto"/>
              </w:rPr>
            </w:pPr>
            <w:r>
              <w:rPr>
                <w:rFonts w:ascii="Arial" w:cs="Arial" w:eastAsia="Arial" w:hAnsi="Arial"/>
                <w:sz w:val="14"/>
                <w:szCs w:val="14"/>
                <w:color w:val="auto"/>
              </w:rPr>
              <w:t>(s)(3)</w:t>
            </w:r>
          </w:p>
        </w:tc>
        <w:tc>
          <w:tcPr>
            <w:tcW w:w="6680" w:type="dxa"/>
            <w:vAlign w:val="bottom"/>
            <w:gridSpan w:val="5"/>
          </w:tcPr>
          <w:p>
            <w:pPr>
              <w:spacing w:after="0"/>
              <w:rPr>
                <w:rFonts w:ascii="Arial" w:cs="Arial" w:eastAsia="Arial" w:hAnsi="Arial"/>
                <w:sz w:val="14"/>
                <w:szCs w:val="14"/>
                <w:color w:val="0000EE"/>
                <w:w w:val="92"/>
              </w:rPr>
            </w:pPr>
            <w:hyperlink r:id="rId148">
              <w:r>
                <w:rPr>
                  <w:rFonts w:ascii="Arial" w:cs="Arial" w:eastAsia="Arial" w:hAnsi="Arial"/>
                  <w:sz w:val="14"/>
                  <w:szCs w:val="14"/>
                  <w:color w:val="0000EE"/>
                  <w:w w:val="92"/>
                </w:rPr>
                <w:t>Form of Prospectus Supplement For Debt Offerings (Incorporated by reference to Exhibit 99(S)(3) to the Registrant’s</w:t>
              </w:r>
            </w:hyperlink>
          </w:p>
        </w:tc>
      </w:tr>
      <w:tr>
        <w:trPr>
          <w:trHeight w:val="146"/>
        </w:trPr>
        <w:tc>
          <w:tcPr>
            <w:tcW w:w="1320" w:type="dxa"/>
            <w:vAlign w:val="bottom"/>
          </w:tcPr>
          <w:p>
            <w:pPr>
              <w:spacing w:after="0"/>
              <w:rPr>
                <w:sz w:val="12"/>
                <w:szCs w:val="12"/>
                <w:color w:val="auto"/>
              </w:rPr>
            </w:pPr>
          </w:p>
        </w:tc>
        <w:tc>
          <w:tcPr>
            <w:tcW w:w="4800" w:type="dxa"/>
            <w:vAlign w:val="bottom"/>
            <w:tcBorders>
              <w:top w:val="single" w:sz="8" w:color="0000EE"/>
              <w:bottom w:val="single" w:sz="8" w:color="0000EE"/>
            </w:tcBorders>
            <w:gridSpan w:val="2"/>
          </w:tcPr>
          <w:p>
            <w:pPr>
              <w:spacing w:after="0" w:line="146" w:lineRule="exact"/>
              <w:rPr>
                <w:rFonts w:ascii="Arial" w:cs="Arial" w:eastAsia="Arial" w:hAnsi="Arial"/>
                <w:sz w:val="14"/>
                <w:szCs w:val="14"/>
                <w:color w:val="0000EE"/>
                <w:w w:val="90"/>
              </w:rPr>
            </w:pPr>
            <w:hyperlink r:id="rId148">
              <w:r>
                <w:rPr>
                  <w:rFonts w:ascii="Arial" w:cs="Arial" w:eastAsia="Arial" w:hAnsi="Arial"/>
                  <w:sz w:val="14"/>
                  <w:szCs w:val="14"/>
                  <w:color w:val="0000EE"/>
                  <w:w w:val="90"/>
                </w:rPr>
                <w:t>Registration Statement on Form N-2 (File No. 333-180084), filed on March 14, 2012).</w:t>
              </w:r>
            </w:hyperlink>
          </w:p>
        </w:tc>
        <w:tc>
          <w:tcPr>
            <w:tcW w:w="1700" w:type="dxa"/>
            <w:vAlign w:val="bottom"/>
            <w:tcBorders>
              <w:top w:val="single" w:sz="8" w:color="0000EE"/>
            </w:tcBorders>
          </w:tcPr>
          <w:p>
            <w:pPr>
              <w:spacing w:after="0"/>
              <w:rPr>
                <w:sz w:val="12"/>
                <w:szCs w:val="12"/>
                <w:color w:val="auto"/>
              </w:rPr>
            </w:pPr>
          </w:p>
        </w:tc>
        <w:tc>
          <w:tcPr>
            <w:tcW w:w="180" w:type="dxa"/>
            <w:vAlign w:val="bottom"/>
            <w:gridSpan w:val="2"/>
          </w:tcPr>
          <w:p>
            <w:pPr>
              <w:spacing w:after="0"/>
              <w:rPr>
                <w:sz w:val="12"/>
                <w:szCs w:val="12"/>
                <w:color w:val="auto"/>
              </w:rPr>
            </w:pPr>
          </w:p>
        </w:tc>
      </w:tr>
      <w:tr>
        <w:trPr>
          <w:trHeight w:val="229"/>
        </w:trPr>
        <w:tc>
          <w:tcPr>
            <w:tcW w:w="1320" w:type="dxa"/>
            <w:vAlign w:val="bottom"/>
          </w:tcPr>
          <w:p>
            <w:pPr>
              <w:spacing w:after="0"/>
              <w:rPr>
                <w:sz w:val="20"/>
                <w:szCs w:val="20"/>
                <w:color w:val="auto"/>
              </w:rPr>
            </w:pPr>
            <w:r>
              <w:rPr>
                <w:rFonts w:ascii="Arial" w:cs="Arial" w:eastAsia="Arial" w:hAnsi="Arial"/>
                <w:sz w:val="14"/>
                <w:szCs w:val="14"/>
                <w:color w:val="auto"/>
              </w:rPr>
              <w:t>(s)(4)</w:t>
            </w:r>
          </w:p>
        </w:tc>
        <w:tc>
          <w:tcPr>
            <w:tcW w:w="6600" w:type="dxa"/>
            <w:vAlign w:val="bottom"/>
            <w:tcBorders>
              <w:bottom w:val="single" w:sz="8" w:color="0000EE"/>
            </w:tcBorders>
            <w:gridSpan w:val="4"/>
          </w:tcPr>
          <w:p>
            <w:pPr>
              <w:spacing w:after="0"/>
              <w:rPr>
                <w:rFonts w:ascii="Arial" w:cs="Arial" w:eastAsia="Arial" w:hAnsi="Arial"/>
                <w:sz w:val="14"/>
                <w:szCs w:val="14"/>
                <w:color w:val="0000EE"/>
                <w:w w:val="89"/>
              </w:rPr>
            </w:pPr>
            <w:hyperlink r:id="rId149">
              <w:r>
                <w:rPr>
                  <w:rFonts w:ascii="Arial" w:cs="Arial" w:eastAsia="Arial" w:hAnsi="Arial"/>
                  <w:sz w:val="14"/>
                  <w:szCs w:val="14"/>
                  <w:color w:val="0000EE"/>
                  <w:w w:val="89"/>
                </w:rPr>
                <w:t>Form of Prospectus Supplement For Rights Offerings (Incorporated by reference to Exhibit 99(S)(4) to the Registrant’s</w:t>
              </w:r>
            </w:hyperlink>
          </w:p>
        </w:tc>
        <w:tc>
          <w:tcPr>
            <w:tcW w:w="80" w:type="dxa"/>
            <w:vAlign w:val="bottom"/>
          </w:tcPr>
          <w:p>
            <w:pPr>
              <w:spacing w:after="0"/>
              <w:rPr>
                <w:sz w:val="19"/>
                <w:szCs w:val="19"/>
                <w:color w:val="auto"/>
              </w:rPr>
            </w:pPr>
          </w:p>
        </w:tc>
      </w:tr>
      <w:tr>
        <w:trPr>
          <w:trHeight w:val="146"/>
        </w:trPr>
        <w:tc>
          <w:tcPr>
            <w:tcW w:w="1320" w:type="dxa"/>
            <w:vAlign w:val="bottom"/>
          </w:tcPr>
          <w:p>
            <w:pPr>
              <w:spacing w:after="0"/>
              <w:rPr>
                <w:sz w:val="12"/>
                <w:szCs w:val="12"/>
                <w:color w:val="auto"/>
              </w:rPr>
            </w:pPr>
          </w:p>
        </w:tc>
        <w:tc>
          <w:tcPr>
            <w:tcW w:w="4800" w:type="dxa"/>
            <w:vAlign w:val="bottom"/>
            <w:tcBorders>
              <w:bottom w:val="single" w:sz="8" w:color="0000EE"/>
            </w:tcBorders>
            <w:gridSpan w:val="2"/>
          </w:tcPr>
          <w:p>
            <w:pPr>
              <w:spacing w:after="0" w:line="146" w:lineRule="exact"/>
              <w:rPr>
                <w:rFonts w:ascii="Arial" w:cs="Arial" w:eastAsia="Arial" w:hAnsi="Arial"/>
                <w:sz w:val="14"/>
                <w:szCs w:val="14"/>
                <w:color w:val="0000EE"/>
                <w:w w:val="90"/>
              </w:rPr>
            </w:pPr>
            <w:hyperlink r:id="rId149">
              <w:r>
                <w:rPr>
                  <w:rFonts w:ascii="Arial" w:cs="Arial" w:eastAsia="Arial" w:hAnsi="Arial"/>
                  <w:sz w:val="14"/>
                  <w:szCs w:val="14"/>
                  <w:color w:val="0000EE"/>
                  <w:w w:val="90"/>
                </w:rPr>
                <w:t>Registration Statement on Form N-2 (File No. 333-180084), filed on March 14, 2012).</w:t>
              </w:r>
            </w:hyperlink>
          </w:p>
        </w:tc>
        <w:tc>
          <w:tcPr>
            <w:tcW w:w="1880" w:type="dxa"/>
            <w:vAlign w:val="bottom"/>
            <w:gridSpan w:val="3"/>
          </w:tcPr>
          <w:p>
            <w:pPr>
              <w:spacing w:after="0"/>
              <w:rPr>
                <w:sz w:val="12"/>
                <w:szCs w:val="12"/>
                <w:color w:val="auto"/>
              </w:rPr>
            </w:pPr>
          </w:p>
        </w:tc>
      </w:tr>
      <w:tr>
        <w:trPr>
          <w:trHeight w:val="229"/>
        </w:trPr>
        <w:tc>
          <w:tcPr>
            <w:tcW w:w="1320" w:type="dxa"/>
            <w:vAlign w:val="bottom"/>
          </w:tcPr>
          <w:p>
            <w:pPr>
              <w:spacing w:after="0"/>
              <w:rPr>
                <w:sz w:val="20"/>
                <w:szCs w:val="20"/>
                <w:color w:val="auto"/>
              </w:rPr>
            </w:pPr>
            <w:r>
              <w:rPr>
                <w:rFonts w:ascii="Arial" w:cs="Arial" w:eastAsia="Arial" w:hAnsi="Arial"/>
                <w:sz w:val="14"/>
                <w:szCs w:val="14"/>
                <w:color w:val="auto"/>
              </w:rPr>
              <w:t>(s)(5)</w:t>
            </w:r>
          </w:p>
        </w:tc>
        <w:tc>
          <w:tcPr>
            <w:tcW w:w="6680" w:type="dxa"/>
            <w:vAlign w:val="bottom"/>
            <w:tcBorders>
              <w:bottom w:val="single" w:sz="8" w:color="0000EE"/>
            </w:tcBorders>
            <w:gridSpan w:val="5"/>
          </w:tcPr>
          <w:p>
            <w:pPr>
              <w:spacing w:after="0"/>
              <w:rPr>
                <w:rFonts w:ascii="Arial" w:cs="Arial" w:eastAsia="Arial" w:hAnsi="Arial"/>
                <w:sz w:val="14"/>
                <w:szCs w:val="14"/>
                <w:color w:val="0000EE"/>
                <w:w w:val="89"/>
              </w:rPr>
            </w:pPr>
            <w:hyperlink r:id="rId150">
              <w:r>
                <w:rPr>
                  <w:rFonts w:ascii="Arial" w:cs="Arial" w:eastAsia="Arial" w:hAnsi="Arial"/>
                  <w:sz w:val="14"/>
                  <w:szCs w:val="14"/>
                  <w:color w:val="0000EE"/>
                  <w:w w:val="89"/>
                </w:rPr>
                <w:t>Form of Prospectus Supplement For Warrant Offerings (Incorporated by reference to Exhibit 99(S)(5) to the Registrant’s</w:t>
              </w:r>
            </w:hyperlink>
          </w:p>
        </w:tc>
      </w:tr>
      <w:tr>
        <w:trPr>
          <w:trHeight w:val="146"/>
        </w:trPr>
        <w:tc>
          <w:tcPr>
            <w:tcW w:w="1320" w:type="dxa"/>
            <w:vAlign w:val="bottom"/>
          </w:tcPr>
          <w:p>
            <w:pPr>
              <w:spacing w:after="0"/>
              <w:rPr>
                <w:sz w:val="12"/>
                <w:szCs w:val="12"/>
                <w:color w:val="auto"/>
              </w:rPr>
            </w:pPr>
          </w:p>
        </w:tc>
        <w:tc>
          <w:tcPr>
            <w:tcW w:w="4800" w:type="dxa"/>
            <w:vAlign w:val="bottom"/>
            <w:tcBorders>
              <w:bottom w:val="single" w:sz="8" w:color="0000EE"/>
            </w:tcBorders>
            <w:gridSpan w:val="2"/>
          </w:tcPr>
          <w:p>
            <w:pPr>
              <w:spacing w:after="0" w:line="146" w:lineRule="exact"/>
              <w:rPr>
                <w:rFonts w:ascii="Arial" w:cs="Arial" w:eastAsia="Arial" w:hAnsi="Arial"/>
                <w:sz w:val="14"/>
                <w:szCs w:val="14"/>
                <w:color w:val="0000EE"/>
                <w:w w:val="90"/>
              </w:rPr>
            </w:pPr>
            <w:hyperlink r:id="rId150">
              <w:r>
                <w:rPr>
                  <w:rFonts w:ascii="Arial" w:cs="Arial" w:eastAsia="Arial" w:hAnsi="Arial"/>
                  <w:sz w:val="14"/>
                  <w:szCs w:val="14"/>
                  <w:color w:val="0000EE"/>
                  <w:w w:val="90"/>
                </w:rPr>
                <w:t>Registration Statement on Form N-2 (File No. 333-180084), filed on March 14, 2012).</w:t>
              </w:r>
            </w:hyperlink>
          </w:p>
        </w:tc>
        <w:tc>
          <w:tcPr>
            <w:tcW w:w="1880" w:type="dxa"/>
            <w:vAlign w:val="bottom"/>
            <w:gridSpan w:val="3"/>
          </w:tcPr>
          <w:p>
            <w:pPr>
              <w:spacing w:after="0"/>
              <w:rPr>
                <w:sz w:val="12"/>
                <w:szCs w:val="12"/>
                <w:color w:val="auto"/>
              </w:rPr>
            </w:pPr>
          </w:p>
        </w:tc>
      </w:tr>
      <w:tr>
        <w:trPr>
          <w:trHeight w:val="229"/>
        </w:trPr>
        <w:tc>
          <w:tcPr>
            <w:tcW w:w="1320" w:type="dxa"/>
            <w:vAlign w:val="bottom"/>
          </w:tcPr>
          <w:p>
            <w:pPr>
              <w:spacing w:after="0"/>
              <w:rPr>
                <w:sz w:val="20"/>
                <w:szCs w:val="20"/>
                <w:color w:val="auto"/>
              </w:rPr>
            </w:pPr>
            <w:r>
              <w:rPr>
                <w:rFonts w:ascii="Arial" w:cs="Arial" w:eastAsia="Arial" w:hAnsi="Arial"/>
                <w:sz w:val="14"/>
                <w:szCs w:val="14"/>
                <w:color w:val="auto"/>
              </w:rPr>
              <w:t>(s)(6)*</w:t>
            </w:r>
          </w:p>
        </w:tc>
        <w:tc>
          <w:tcPr>
            <w:tcW w:w="6680" w:type="dxa"/>
            <w:vAlign w:val="bottom"/>
            <w:gridSpan w:val="5"/>
          </w:tcPr>
          <w:p>
            <w:pPr>
              <w:spacing w:after="0"/>
              <w:rPr>
                <w:sz w:val="20"/>
                <w:szCs w:val="20"/>
                <w:color w:val="auto"/>
              </w:rPr>
            </w:pPr>
            <w:r>
              <w:rPr>
                <w:rFonts w:ascii="Arial" w:cs="Arial" w:eastAsia="Arial" w:hAnsi="Arial"/>
                <w:sz w:val="14"/>
                <w:szCs w:val="14"/>
                <w:color w:val="0000EE"/>
              </w:rPr>
              <w:t>Calculation of Filing Fee Table.</w:t>
            </w:r>
          </w:p>
        </w:tc>
      </w:tr>
      <w:tr>
        <w:trPr>
          <w:trHeight w:val="20"/>
        </w:trPr>
        <w:tc>
          <w:tcPr>
            <w:tcW w:w="132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r>
      <w:tr>
        <w:trPr>
          <w:trHeight w:val="258"/>
        </w:trPr>
        <w:tc>
          <w:tcPr>
            <w:tcW w:w="1320" w:type="dxa"/>
            <w:vAlign w:val="bottom"/>
          </w:tcPr>
          <w:p>
            <w:pPr>
              <w:spacing w:after="0"/>
              <w:rPr>
                <w:sz w:val="20"/>
                <w:szCs w:val="20"/>
                <w:color w:val="auto"/>
              </w:rPr>
            </w:pPr>
            <w:r>
              <w:rPr>
                <w:rFonts w:ascii="Arial" w:cs="Arial" w:eastAsia="Arial" w:hAnsi="Arial"/>
                <w:sz w:val="14"/>
                <w:szCs w:val="14"/>
                <w:color w:val="auto"/>
              </w:rPr>
              <w:t>101.SCH*</w:t>
            </w:r>
          </w:p>
        </w:tc>
        <w:tc>
          <w:tcPr>
            <w:tcW w:w="6680" w:type="dxa"/>
            <w:vAlign w:val="bottom"/>
            <w:gridSpan w:val="5"/>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249"/>
        </w:trPr>
        <w:tc>
          <w:tcPr>
            <w:tcW w:w="1320" w:type="dxa"/>
            <w:vAlign w:val="bottom"/>
          </w:tcPr>
          <w:p>
            <w:pPr>
              <w:spacing w:after="0"/>
              <w:rPr>
                <w:sz w:val="20"/>
                <w:szCs w:val="20"/>
                <w:color w:val="auto"/>
              </w:rPr>
            </w:pPr>
            <w:r>
              <w:rPr>
                <w:rFonts w:ascii="Arial" w:cs="Arial" w:eastAsia="Arial" w:hAnsi="Arial"/>
                <w:sz w:val="14"/>
                <w:szCs w:val="14"/>
                <w:color w:val="auto"/>
              </w:rPr>
              <w:t>101.DEF*</w:t>
            </w:r>
          </w:p>
        </w:tc>
        <w:tc>
          <w:tcPr>
            <w:tcW w:w="6680" w:type="dxa"/>
            <w:vAlign w:val="bottom"/>
            <w:gridSpan w:val="5"/>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249"/>
        </w:trPr>
        <w:tc>
          <w:tcPr>
            <w:tcW w:w="1320" w:type="dxa"/>
            <w:vAlign w:val="bottom"/>
          </w:tcPr>
          <w:p>
            <w:pPr>
              <w:spacing w:after="0"/>
              <w:rPr>
                <w:sz w:val="20"/>
                <w:szCs w:val="20"/>
                <w:color w:val="auto"/>
              </w:rPr>
            </w:pPr>
            <w:r>
              <w:rPr>
                <w:rFonts w:ascii="Arial" w:cs="Arial" w:eastAsia="Arial" w:hAnsi="Arial"/>
                <w:sz w:val="14"/>
                <w:szCs w:val="14"/>
                <w:color w:val="auto"/>
              </w:rPr>
              <w:t>101.LAB*</w:t>
            </w:r>
          </w:p>
        </w:tc>
        <w:tc>
          <w:tcPr>
            <w:tcW w:w="6680" w:type="dxa"/>
            <w:vAlign w:val="bottom"/>
            <w:gridSpan w:val="5"/>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249"/>
        </w:trPr>
        <w:tc>
          <w:tcPr>
            <w:tcW w:w="1320" w:type="dxa"/>
            <w:vAlign w:val="bottom"/>
          </w:tcPr>
          <w:p>
            <w:pPr>
              <w:spacing w:after="0"/>
              <w:rPr>
                <w:sz w:val="20"/>
                <w:szCs w:val="20"/>
                <w:color w:val="auto"/>
              </w:rPr>
            </w:pPr>
            <w:r>
              <w:rPr>
                <w:rFonts w:ascii="Arial" w:cs="Arial" w:eastAsia="Arial" w:hAnsi="Arial"/>
                <w:sz w:val="14"/>
                <w:szCs w:val="14"/>
                <w:color w:val="auto"/>
              </w:rPr>
              <w:t>101.PRE*</w:t>
            </w:r>
          </w:p>
        </w:tc>
        <w:tc>
          <w:tcPr>
            <w:tcW w:w="6680" w:type="dxa"/>
            <w:vAlign w:val="bottom"/>
            <w:gridSpan w:val="5"/>
          </w:tcPr>
          <w:p>
            <w:pPr>
              <w:spacing w:after="0"/>
              <w:rPr>
                <w:sz w:val="20"/>
                <w:szCs w:val="20"/>
                <w:color w:val="auto"/>
              </w:rPr>
            </w:pPr>
            <w:r>
              <w:rPr>
                <w:rFonts w:ascii="Arial" w:cs="Arial" w:eastAsia="Arial" w:hAnsi="Arial"/>
                <w:sz w:val="14"/>
                <w:szCs w:val="14"/>
                <w:color w:val="auto"/>
              </w:rPr>
              <w:t>Inline XBRL Taxonomy Extension Presentation Linkbase Document</w:t>
            </w:r>
          </w:p>
        </w:tc>
      </w:tr>
      <w:tr>
        <w:trPr>
          <w:trHeight w:val="353"/>
        </w:trPr>
        <w:tc>
          <w:tcPr>
            <w:tcW w:w="1320" w:type="dxa"/>
            <w:vAlign w:val="bottom"/>
          </w:tcPr>
          <w:p>
            <w:pPr>
              <w:spacing w:after="0"/>
              <w:rPr>
                <w:sz w:val="20"/>
                <w:szCs w:val="20"/>
                <w:color w:val="auto"/>
              </w:rPr>
            </w:pPr>
            <w:r>
              <w:rPr>
                <w:rFonts w:ascii="Arial" w:cs="Arial" w:eastAsia="Arial" w:hAnsi="Arial"/>
                <w:sz w:val="14"/>
                <w:szCs w:val="14"/>
                <w:color w:val="auto"/>
              </w:rPr>
              <w:t>*  Filed herewith</w:t>
            </w:r>
          </w:p>
        </w:tc>
        <w:tc>
          <w:tcPr>
            <w:tcW w:w="17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1">
                      <a:extLst>
                        <a:ext uri="{28A0092B-C50C-407E-A947-70E740481C1C}"/>
                      </a:extLst>
                    </a:blip>
                    <a:srcRect/>
                    <a:stretch>
                      <a:fillRect/>
                    </a:stretch>
                  </pic:blipFill>
                  <pic:spPr bwMode="auto">
                    <a:xfrm>
                      <a:off x="0" y="0"/>
                      <a:ext cx="7202805" cy="45720"/>
                    </a:xfrm>
                    <a:prstGeom prst="rect">
                      <a:avLst/>
                    </a:prstGeom>
                    <a:noFill/>
                  </pic:spPr>
                </pic:pic>
              </a:graphicData>
            </a:graphic>
          </wp:anchor>
        </w:drawing>
      </w:r>
    </w:p>
    <w:p>
      <w:pPr>
        <w:ind w:left="280"/>
        <w:spacing w:after="0"/>
        <w:tabs>
          <w:tab w:leader="none" w:pos="1100" w:val="left"/>
        </w:tabs>
        <w:rPr>
          <w:sz w:val="20"/>
          <w:szCs w:val="20"/>
          <w:color w:val="auto"/>
        </w:rPr>
      </w:pPr>
      <w:r>
        <w:rPr>
          <w:rFonts w:ascii="Arial" w:cs="Arial" w:eastAsia="Arial" w:hAnsi="Arial"/>
          <w:sz w:val="14"/>
          <w:szCs w:val="14"/>
          <w:b w:val="1"/>
          <w:bCs w:val="1"/>
          <w:color w:val="auto"/>
        </w:rPr>
        <w:t>Item 26.</w:t>
      </w:r>
      <w:r>
        <w:rPr>
          <w:sz w:val="20"/>
          <w:szCs w:val="20"/>
          <w:color w:val="auto"/>
        </w:rPr>
        <w:tab/>
      </w:r>
      <w:r>
        <w:rPr>
          <w:rFonts w:ascii="Arial" w:cs="Arial" w:eastAsia="Arial" w:hAnsi="Arial"/>
          <w:sz w:val="12"/>
          <w:szCs w:val="12"/>
          <w:b w:val="1"/>
          <w:bCs w:val="1"/>
          <w:color w:val="auto"/>
        </w:rPr>
        <w:t>Marketing arrangements</w:t>
      </w:r>
    </w:p>
    <w:p>
      <w:pPr>
        <w:spacing w:after="0" w:line="92" w:lineRule="exact"/>
        <w:rPr>
          <w:sz w:val="20"/>
          <w:szCs w:val="20"/>
          <w:color w:val="auto"/>
        </w:rPr>
      </w:pPr>
    </w:p>
    <w:p>
      <w:pPr>
        <w:ind w:left="620"/>
        <w:spacing w:after="0"/>
        <w:rPr>
          <w:sz w:val="20"/>
          <w:szCs w:val="20"/>
          <w:color w:val="auto"/>
        </w:rPr>
      </w:pPr>
      <w:r>
        <w:rPr>
          <w:rFonts w:ascii="Arial" w:cs="Arial" w:eastAsia="Arial" w:hAnsi="Arial"/>
          <w:sz w:val="13"/>
          <w:szCs w:val="13"/>
          <w:color w:val="auto"/>
        </w:rPr>
        <w:t>The information contained under the heading “Plan of Distribution” in this Registration Statement is hereby incorporated by reference.</w:t>
      </w:r>
    </w:p>
    <w:p>
      <w:pPr>
        <w:spacing w:after="0" w:line="292" w:lineRule="exact"/>
        <w:rPr>
          <w:sz w:val="20"/>
          <w:szCs w:val="20"/>
          <w:color w:val="auto"/>
        </w:rPr>
      </w:pPr>
    </w:p>
    <w:p>
      <w:pPr>
        <w:ind w:left="280"/>
        <w:spacing w:after="0"/>
        <w:tabs>
          <w:tab w:leader="none" w:pos="1100" w:val="left"/>
        </w:tabs>
        <w:rPr>
          <w:sz w:val="20"/>
          <w:szCs w:val="20"/>
          <w:color w:val="auto"/>
        </w:rPr>
      </w:pPr>
      <w:r>
        <w:rPr>
          <w:rFonts w:ascii="Arial" w:cs="Arial" w:eastAsia="Arial" w:hAnsi="Arial"/>
          <w:sz w:val="14"/>
          <w:szCs w:val="14"/>
          <w:b w:val="1"/>
          <w:bCs w:val="1"/>
          <w:color w:val="auto"/>
        </w:rPr>
        <w:t>Item 27.</w:t>
      </w:r>
      <w:r>
        <w:rPr>
          <w:sz w:val="20"/>
          <w:szCs w:val="20"/>
          <w:color w:val="auto"/>
        </w:rPr>
        <w:tab/>
      </w:r>
      <w:r>
        <w:rPr>
          <w:rFonts w:ascii="Arial" w:cs="Arial" w:eastAsia="Arial" w:hAnsi="Arial"/>
          <w:sz w:val="12"/>
          <w:szCs w:val="12"/>
          <w:b w:val="1"/>
          <w:bCs w:val="1"/>
          <w:color w:val="auto"/>
        </w:rPr>
        <w:t>Other expenses of issuance and distribution</w:t>
      </w:r>
    </w:p>
    <w:p>
      <w:pPr>
        <w:spacing w:after="0" w:line="92" w:lineRule="exact"/>
        <w:rPr>
          <w:sz w:val="20"/>
          <w:szCs w:val="20"/>
          <w:color w:val="auto"/>
        </w:rPr>
      </w:pPr>
    </w:p>
    <w:p>
      <w:pPr>
        <w:ind w:left="280" w:right="339" w:firstLine="338"/>
        <w:spacing w:after="0" w:line="268" w:lineRule="auto"/>
        <w:rPr>
          <w:sz w:val="20"/>
          <w:szCs w:val="20"/>
          <w:color w:val="auto"/>
        </w:rPr>
      </w:pPr>
      <w:r>
        <w:rPr>
          <w:rFonts w:ascii="Arial" w:cs="Arial" w:eastAsia="Arial" w:hAnsi="Arial"/>
          <w:sz w:val="14"/>
          <w:szCs w:val="14"/>
          <w:color w:val="auto"/>
        </w:rPr>
        <w:t>The following table sets forth the estimated expenses to be incurred by the Registrant in connection with the offering described in this registration statement:</w:t>
      </w:r>
    </w:p>
    <w:p>
      <w:pPr>
        <w:spacing w:after="0" w:line="170" w:lineRule="exact"/>
        <w:rPr>
          <w:sz w:val="20"/>
          <w:szCs w:val="20"/>
          <w:color w:val="auto"/>
        </w:rPr>
      </w:pPr>
    </w:p>
    <w:tbl>
      <w:tblPr>
        <w:tblLayout w:type="fixed"/>
        <w:tblInd w:w="128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SEC registration fee</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8"/>
              </w:rPr>
              <w:t>31,362.92*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Arial" w:cs="Arial" w:eastAsia="Arial" w:hAnsi="Arial"/>
                <w:sz w:val="14"/>
                <w:szCs w:val="14"/>
                <w:color w:val="auto"/>
              </w:rPr>
              <w:t>NYSE listing fee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Printing (other than certificates)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Arial" w:cs="Arial" w:eastAsia="Arial" w:hAnsi="Arial"/>
                <w:sz w:val="14"/>
                <w:szCs w:val="14"/>
                <w:color w:val="auto"/>
              </w:rPr>
              <w:t>Legal fees and expenses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Accounting fees and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Arial" w:cs="Arial" w:eastAsia="Arial" w:hAnsi="Arial"/>
                <w:sz w:val="14"/>
                <w:szCs w:val="14"/>
                <w:color w:val="auto"/>
              </w:rPr>
              <w:t>Miscellaneous fees and expenses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600"/>
        <w:spacing w:after="0"/>
        <w:rPr>
          <w:sz w:val="20"/>
          <w:szCs w:val="20"/>
          <w:color w:val="auto"/>
        </w:rPr>
      </w:pPr>
      <w:r>
        <w:rPr>
          <w:rFonts w:ascii="Arial" w:cs="Arial" w:eastAsia="Arial" w:hAnsi="Arial"/>
          <w:sz w:val="14"/>
          <w:szCs w:val="14"/>
          <w:color w:val="auto"/>
        </w:rPr>
        <w:t>All of the expenses set forth above shall be borne by the Registrant.</w:t>
      </w:r>
    </w:p>
    <w:p>
      <w:pPr>
        <w:spacing w:after="0" w:line="98" w:lineRule="exact"/>
        <w:rPr>
          <w:sz w:val="20"/>
          <w:szCs w:val="20"/>
          <w:color w:val="auto"/>
        </w:rPr>
      </w:pPr>
    </w:p>
    <w:p>
      <w:pPr>
        <w:ind w:left="280" w:right="1159" w:hanging="7"/>
        <w:spacing w:after="0" w:line="268" w:lineRule="auto"/>
        <w:tabs>
          <w:tab w:leader="none" w:pos="612"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This amount has been offset against a filing fee associated with unsold securities registered under a previous registration statement. ** To be provided by amendment.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9019"/>
          </w:cols>
          <w:pgMar w:left="1440" w:top="248" w:right="1440" w:bottom="1440" w:gutter="0" w:footer="0" w:header="0"/>
        </w:sectPr>
      </w:pPr>
    </w:p>
    <w:bookmarkStart w:id="84" w:name="page85"/>
    <w:bookmarkEnd w:id="84"/>
    <w:p>
      <w:pPr>
        <w:ind w:left="280"/>
        <w:spacing w:after="0"/>
        <w:tabs>
          <w:tab w:leader="none" w:pos="110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2">
                      <a:extLst>
                        <a:ext uri="{28A0092B-C50C-407E-A947-70E740481C1C}"/>
                      </a:extLst>
                    </a:blip>
                    <a:srcRect/>
                    <a:stretch>
                      <a:fillRect/>
                    </a:stretch>
                  </pic:blipFill>
                  <pic:spPr bwMode="auto">
                    <a:xfrm>
                      <a:off x="0" y="0"/>
                      <a:ext cx="7202805" cy="45720"/>
                    </a:xfrm>
                    <a:prstGeom prst="rect">
                      <a:avLst/>
                    </a:prstGeom>
                    <a:noFill/>
                  </pic:spPr>
                </pic:pic>
              </a:graphicData>
            </a:graphic>
          </wp:anchor>
        </w:drawing>
        <w:t>Item 28.</w:t>
      </w:r>
      <w:r>
        <w:rPr>
          <w:sz w:val="20"/>
          <w:szCs w:val="20"/>
          <w:color w:val="auto"/>
        </w:rPr>
        <w:tab/>
      </w:r>
      <w:r>
        <w:rPr>
          <w:rFonts w:ascii="Arial" w:cs="Arial" w:eastAsia="Arial" w:hAnsi="Arial"/>
          <w:sz w:val="12"/>
          <w:szCs w:val="12"/>
          <w:b w:val="1"/>
          <w:bCs w:val="1"/>
          <w:color w:val="auto"/>
        </w:rPr>
        <w:t>Persons controlled by or under common control with the registrant</w:t>
      </w:r>
    </w:p>
    <w:p>
      <w:pPr>
        <w:spacing w:after="0" w:line="9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following lists sets forth each of the companies considered to be controlled by us as defined by the 1940 Act.</w:t>
      </w:r>
    </w:p>
    <w:p>
      <w:pPr>
        <w:spacing w:after="0" w:line="173" w:lineRule="exact"/>
        <w:rPr>
          <w:sz w:val="20"/>
          <w:szCs w:val="20"/>
          <w:color w:val="auto"/>
        </w:rPr>
      </w:pPr>
    </w:p>
    <w:tbl>
      <w:tblPr>
        <w:tblLayout w:type="fixed"/>
        <w:tblInd w:w="280" w:type="dxa"/>
        <w:tblCellMar>
          <w:top w:w="0" w:type="dxa"/>
          <w:left w:w="0" w:type="dxa"/>
          <w:bottom w:w="0" w:type="dxa"/>
          <w:right w:w="0" w:type="dxa"/>
        </w:tblCellMar>
      </w:tblPr>
      <w:tr>
        <w:trPr>
          <w:trHeight w:val="126"/>
        </w:trPr>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vMerge w:val="restart"/>
          </w:tcPr>
          <w:p>
            <w:pPr>
              <w:spacing w:after="0"/>
              <w:rPr>
                <w:sz w:val="10"/>
                <w:szCs w:val="10"/>
                <w:color w:val="auto"/>
              </w:rPr>
            </w:pPr>
          </w:p>
        </w:tc>
        <w:tc>
          <w:tcPr>
            <w:tcW w:w="1880" w:type="dxa"/>
            <w:vAlign w:val="bottom"/>
            <w:gridSpan w:val="3"/>
            <w:vMerge w:val="restart"/>
          </w:tcPr>
          <w:p>
            <w:pPr>
              <w:spacing w:after="0"/>
              <w:rPr>
                <w:sz w:val="20"/>
                <w:szCs w:val="20"/>
                <w:color w:val="auto"/>
              </w:rPr>
            </w:pPr>
            <w:r>
              <w:rPr>
                <w:rFonts w:ascii="Arial" w:cs="Arial" w:eastAsia="Arial" w:hAnsi="Arial"/>
                <w:sz w:val="11"/>
                <w:szCs w:val="11"/>
                <w:b w:val="1"/>
                <w:bCs w:val="1"/>
                <w:color w:val="auto"/>
                <w:w w:val="90"/>
              </w:rPr>
              <w:t>Name of entity and place of jurisdiction</w:t>
            </w:r>
          </w:p>
        </w:tc>
        <w:tc>
          <w:tcPr>
            <w:tcW w:w="2940" w:type="dxa"/>
            <w:vAlign w:val="bottom"/>
            <w:vMerge w:val="restart"/>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88"/>
              </w:rPr>
              <w:t>Voting Securities</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1880" w:type="dxa"/>
            <w:vAlign w:val="bottom"/>
            <w:tcBorders>
              <w:bottom w:val="single" w:sz="8" w:color="auto"/>
            </w:tcBorders>
            <w:gridSpan w:val="3"/>
            <w:vMerge w:val="continue"/>
          </w:tcPr>
          <w:p>
            <w:pPr>
              <w:spacing w:after="0"/>
              <w:rPr>
                <w:sz w:val="10"/>
                <w:szCs w:val="10"/>
                <w:color w:val="auto"/>
              </w:rPr>
            </w:pPr>
          </w:p>
        </w:tc>
        <w:tc>
          <w:tcPr>
            <w:tcW w:w="29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gridSpan w:val="2"/>
          </w:tcPr>
          <w:p>
            <w:pPr>
              <w:jc w:val="center"/>
              <w:ind w:right="360"/>
              <w:spacing w:after="0" w:line="121" w:lineRule="exact"/>
              <w:rPr>
                <w:sz w:val="20"/>
                <w:szCs w:val="20"/>
                <w:color w:val="auto"/>
              </w:rPr>
            </w:pPr>
            <w:r>
              <w:rPr>
                <w:rFonts w:ascii="Arial" w:cs="Arial" w:eastAsia="Arial" w:hAnsi="Arial"/>
                <w:sz w:val="11"/>
                <w:szCs w:val="11"/>
                <w:b w:val="1"/>
                <w:bCs w:val="1"/>
                <w:color w:val="auto"/>
                <w:w w:val="88"/>
              </w:rPr>
              <w:t>Owned Percentage</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20" w:type="dxa"/>
            <w:vAlign w:val="bottom"/>
            <w:gridSpan w:val="4"/>
            <w:vMerge w:val="restart"/>
            <w:shd w:val="clear" w:color="auto" w:fill="CCEEFF"/>
          </w:tcPr>
          <w:p>
            <w:pPr>
              <w:spacing w:after="0"/>
              <w:rPr>
                <w:sz w:val="20"/>
                <w:szCs w:val="20"/>
                <w:color w:val="auto"/>
              </w:rPr>
            </w:pPr>
            <w:r>
              <w:rPr>
                <w:rFonts w:ascii="Arial" w:cs="Arial" w:eastAsia="Arial" w:hAnsi="Arial"/>
                <w:sz w:val="14"/>
                <w:szCs w:val="14"/>
                <w:color w:val="auto"/>
              </w:rPr>
              <w:t>PennantPark Floating Rate Funding I, LLC (Delaware)</w:t>
            </w:r>
          </w:p>
        </w:tc>
        <w:tc>
          <w:tcPr>
            <w:tcW w:w="380" w:type="dxa"/>
            <w:vAlign w:val="bottom"/>
            <w:vMerge w:val="restart"/>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20" w:type="dxa"/>
            <w:vAlign w:val="bottom"/>
            <w:gridSpan w:val="4"/>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1240" w:type="dxa"/>
            <w:vAlign w:val="bottom"/>
            <w:gridSpan w:val="2"/>
            <w:shd w:val="clear" w:color="auto" w:fill="CCEEFF"/>
          </w:tcPr>
          <w:p>
            <w:pPr>
              <w:ind w:left="680"/>
              <w:spacing w:after="0" w:line="147"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6"/>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20" w:type="dxa"/>
            <w:vAlign w:val="bottom"/>
            <w:gridSpan w:val="4"/>
          </w:tcPr>
          <w:p>
            <w:pPr>
              <w:spacing w:after="0"/>
              <w:rPr>
                <w:sz w:val="20"/>
                <w:szCs w:val="20"/>
                <w:color w:val="auto"/>
              </w:rPr>
            </w:pPr>
            <w:r>
              <w:rPr>
                <w:rFonts w:ascii="Arial" w:cs="Arial" w:eastAsia="Arial" w:hAnsi="Arial"/>
                <w:sz w:val="14"/>
                <w:szCs w:val="14"/>
                <w:color w:val="auto"/>
              </w:rPr>
              <w:t>PennantPark Floating Rate Funding II, LLC (Delaware)</w:t>
            </w:r>
          </w:p>
        </w:tc>
        <w:tc>
          <w:tcPr>
            <w:tcW w:w="1620" w:type="dxa"/>
            <w:vAlign w:val="bottom"/>
            <w:gridSpan w:val="3"/>
          </w:tcPr>
          <w:p>
            <w:pPr>
              <w:ind w:left="106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6"/>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2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PennantPark CLO I, LLC (Delaware)</w:t>
            </w:r>
          </w:p>
        </w:tc>
        <w:tc>
          <w:tcPr>
            <w:tcW w:w="1620" w:type="dxa"/>
            <w:vAlign w:val="bottom"/>
            <w:gridSpan w:val="3"/>
            <w:shd w:val="clear" w:color="auto" w:fill="CCEEFF"/>
          </w:tcPr>
          <w:p>
            <w:pPr>
              <w:ind w:left="106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6"/>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20" w:type="dxa"/>
            <w:vAlign w:val="bottom"/>
            <w:gridSpan w:val="4"/>
          </w:tcPr>
          <w:p>
            <w:pPr>
              <w:spacing w:after="0"/>
              <w:rPr>
                <w:sz w:val="20"/>
                <w:szCs w:val="20"/>
                <w:color w:val="auto"/>
              </w:rPr>
            </w:pPr>
            <w:r>
              <w:rPr>
                <w:rFonts w:ascii="Arial" w:cs="Arial" w:eastAsia="Arial" w:hAnsi="Arial"/>
                <w:sz w:val="14"/>
                <w:szCs w:val="14"/>
                <w:color w:val="auto"/>
              </w:rPr>
              <w:t>PennantPark CLO I, Ltd. (Cayman Islands)</w:t>
            </w:r>
          </w:p>
        </w:tc>
        <w:tc>
          <w:tcPr>
            <w:tcW w:w="1620" w:type="dxa"/>
            <w:vAlign w:val="bottom"/>
            <w:gridSpan w:val="3"/>
          </w:tcPr>
          <w:p>
            <w:pPr>
              <w:ind w:left="106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6"/>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2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PennantPark CLO I Depositor, LLC (Delaware)</w:t>
            </w:r>
          </w:p>
        </w:tc>
        <w:tc>
          <w:tcPr>
            <w:tcW w:w="1620" w:type="dxa"/>
            <w:vAlign w:val="bottom"/>
            <w:gridSpan w:val="3"/>
            <w:shd w:val="clear" w:color="auto" w:fill="CCEEFF"/>
          </w:tcPr>
          <w:p>
            <w:pPr>
              <w:ind w:left="106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6"/>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20" w:type="dxa"/>
            <w:vAlign w:val="bottom"/>
            <w:gridSpan w:val="4"/>
          </w:tcPr>
          <w:p>
            <w:pPr>
              <w:spacing w:after="0"/>
              <w:rPr>
                <w:sz w:val="20"/>
                <w:szCs w:val="20"/>
                <w:color w:val="auto"/>
              </w:rPr>
            </w:pPr>
            <w:r>
              <w:rPr>
                <w:rFonts w:ascii="Arial" w:cs="Arial" w:eastAsia="Arial" w:hAnsi="Arial"/>
                <w:sz w:val="14"/>
                <w:szCs w:val="14"/>
                <w:color w:val="auto"/>
              </w:rPr>
              <w:t>PFLT Investment Holdings, LLC (Delaware)</w:t>
            </w:r>
          </w:p>
        </w:tc>
        <w:tc>
          <w:tcPr>
            <w:tcW w:w="1620" w:type="dxa"/>
            <w:vAlign w:val="bottom"/>
            <w:gridSpan w:val="3"/>
          </w:tcPr>
          <w:p>
            <w:pPr>
              <w:ind w:left="106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6"/>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2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PennantPark Senior Secured Loan Fund I LLC</w:t>
            </w:r>
          </w:p>
        </w:tc>
        <w:tc>
          <w:tcPr>
            <w:tcW w:w="1620" w:type="dxa"/>
            <w:vAlign w:val="bottom"/>
            <w:gridSpan w:val="3"/>
            <w:shd w:val="clear" w:color="auto" w:fill="CCEEFF"/>
          </w:tcPr>
          <w:p>
            <w:pPr>
              <w:ind w:left="1060"/>
              <w:spacing w:after="0"/>
              <w:rPr>
                <w:sz w:val="20"/>
                <w:szCs w:val="20"/>
                <w:color w:val="auto"/>
              </w:rPr>
            </w:pPr>
            <w:r>
              <w:rPr>
                <w:rFonts w:ascii="Arial" w:cs="Arial" w:eastAsia="Arial" w:hAnsi="Arial"/>
                <w:sz w:val="14"/>
                <w:szCs w:val="14"/>
                <w:color w:val="auto"/>
                <w:w w:val="94"/>
              </w:rPr>
              <w:t>100% (1)</w:t>
            </w:r>
          </w:p>
        </w:tc>
        <w:tc>
          <w:tcPr>
            <w:tcW w:w="0" w:type="dxa"/>
            <w:vAlign w:val="bottom"/>
          </w:tcPr>
          <w:p>
            <w:pPr>
              <w:spacing w:after="0"/>
              <w:rPr>
                <w:sz w:val="1"/>
                <w:szCs w:val="1"/>
                <w:color w:val="auto"/>
              </w:rPr>
            </w:pPr>
          </w:p>
        </w:tc>
      </w:tr>
      <w:tr>
        <w:trPr>
          <w:trHeight w:val="114"/>
        </w:trPr>
        <w:tc>
          <w:tcPr>
            <w:tcW w:w="920" w:type="dxa"/>
            <w:vAlign w:val="bottom"/>
            <w:tcBorders>
              <w:bottom w:val="single" w:sz="8" w:color="auto"/>
            </w:tcBorders>
            <w:gridSpan w:val="2"/>
          </w:tcPr>
          <w:p>
            <w:pPr>
              <w:spacing w:after="0"/>
              <w:rPr>
                <w:sz w:val="9"/>
                <w:szCs w:val="9"/>
                <w:color w:val="auto"/>
              </w:rPr>
            </w:pPr>
          </w:p>
        </w:tc>
        <w:tc>
          <w:tcPr>
            <w:tcW w:w="440" w:type="dxa"/>
            <w:vAlign w:val="bottom"/>
            <w:gridSpan w:val="2"/>
          </w:tcPr>
          <w:p>
            <w:pPr>
              <w:spacing w:after="0"/>
              <w:rPr>
                <w:sz w:val="9"/>
                <w:szCs w:val="9"/>
                <w:color w:val="auto"/>
              </w:rPr>
            </w:pPr>
          </w:p>
        </w:tc>
        <w:tc>
          <w:tcPr>
            <w:tcW w:w="620" w:type="dxa"/>
            <w:vAlign w:val="bottom"/>
          </w:tcPr>
          <w:p>
            <w:pPr>
              <w:spacing w:after="0"/>
              <w:rPr>
                <w:sz w:val="9"/>
                <w:szCs w:val="9"/>
                <w:color w:val="auto"/>
              </w:rPr>
            </w:pPr>
          </w:p>
        </w:tc>
        <w:tc>
          <w:tcPr>
            <w:tcW w:w="384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5820" w:type="dxa"/>
            <w:vAlign w:val="bottom"/>
            <w:gridSpan w:val="7"/>
          </w:tcPr>
          <w:p>
            <w:pPr>
              <w:spacing w:after="0"/>
              <w:rPr>
                <w:sz w:val="20"/>
                <w:szCs w:val="20"/>
                <w:color w:val="auto"/>
              </w:rPr>
            </w:pPr>
            <w:r>
              <w:rPr>
                <w:rFonts w:ascii="Arial" w:cs="Arial" w:eastAsia="Arial" w:hAnsi="Arial"/>
                <w:sz w:val="14"/>
                <w:szCs w:val="14"/>
                <w:color w:val="auto"/>
              </w:rPr>
              <w:t>(1)   This is a controlled affiliated investment.</w:t>
            </w: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6"/>
        </w:trPr>
        <w:tc>
          <w:tcPr>
            <w:tcW w:w="660" w:type="dxa"/>
            <w:vAlign w:val="bottom"/>
          </w:tcPr>
          <w:p>
            <w:pPr>
              <w:spacing w:after="0"/>
              <w:rPr>
                <w:sz w:val="20"/>
                <w:szCs w:val="20"/>
                <w:color w:val="auto"/>
              </w:rPr>
            </w:pPr>
            <w:r>
              <w:rPr>
                <w:rFonts w:ascii="Arial" w:cs="Arial" w:eastAsia="Arial" w:hAnsi="Arial"/>
                <w:sz w:val="14"/>
                <w:szCs w:val="14"/>
                <w:b w:val="1"/>
                <w:bCs w:val="1"/>
                <w:color w:val="auto"/>
              </w:rPr>
              <w:t>Item 29.</w:t>
            </w:r>
          </w:p>
        </w:tc>
        <w:tc>
          <w:tcPr>
            <w:tcW w:w="5160" w:type="dxa"/>
            <w:vAlign w:val="bottom"/>
            <w:gridSpan w:val="6"/>
          </w:tcPr>
          <w:p>
            <w:pPr>
              <w:ind w:left="180"/>
              <w:spacing w:after="0"/>
              <w:rPr>
                <w:sz w:val="20"/>
                <w:szCs w:val="20"/>
                <w:color w:val="auto"/>
              </w:rPr>
            </w:pPr>
            <w:r>
              <w:rPr>
                <w:rFonts w:ascii="Arial" w:cs="Arial" w:eastAsia="Arial" w:hAnsi="Arial"/>
                <w:sz w:val="14"/>
                <w:szCs w:val="14"/>
                <w:b w:val="1"/>
                <w:bCs w:val="1"/>
                <w:color w:val="auto"/>
              </w:rPr>
              <w:t>Number of holders of securities</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5820" w:type="dxa"/>
            <w:vAlign w:val="bottom"/>
            <w:gridSpan w:val="7"/>
          </w:tcPr>
          <w:p>
            <w:pPr>
              <w:ind w:left="340"/>
              <w:spacing w:after="0"/>
              <w:rPr>
                <w:sz w:val="20"/>
                <w:szCs w:val="20"/>
                <w:color w:val="auto"/>
              </w:rPr>
            </w:pPr>
            <w:r>
              <w:rPr>
                <w:rFonts w:ascii="Arial" w:cs="Arial" w:eastAsia="Arial" w:hAnsi="Arial"/>
                <w:sz w:val="14"/>
                <w:szCs w:val="14"/>
                <w:color w:val="auto"/>
              </w:rPr>
              <w:t>As of September 30, 2022</w:t>
            </w: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2"/>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20" w:type="dxa"/>
            <w:vAlign w:val="bottom"/>
            <w:gridSpan w:val="4"/>
          </w:tcPr>
          <w:p>
            <w:pPr>
              <w:ind w:left="360"/>
              <w:spacing w:after="0"/>
              <w:rPr>
                <w:sz w:val="20"/>
                <w:szCs w:val="20"/>
                <w:color w:val="auto"/>
              </w:rPr>
            </w:pPr>
            <w:r>
              <w:rPr>
                <w:rFonts w:ascii="Arial" w:cs="Arial" w:eastAsia="Arial" w:hAnsi="Arial"/>
                <w:sz w:val="11"/>
                <w:szCs w:val="11"/>
                <w:b w:val="1"/>
                <w:bCs w:val="1"/>
                <w:color w:val="auto"/>
              </w:rPr>
              <w:t>Title of Class</w:t>
            </w:r>
          </w:p>
        </w:tc>
        <w:tc>
          <w:tcPr>
            <w:tcW w:w="1620" w:type="dxa"/>
            <w:vAlign w:val="bottom"/>
            <w:gridSpan w:val="3"/>
          </w:tcPr>
          <w:p>
            <w:pPr>
              <w:jc w:val="center"/>
              <w:ind w:right="340"/>
              <w:spacing w:after="0"/>
              <w:rPr>
                <w:sz w:val="20"/>
                <w:szCs w:val="20"/>
                <w:color w:val="auto"/>
              </w:rPr>
            </w:pPr>
            <w:r>
              <w:rPr>
                <w:rFonts w:ascii="Arial" w:cs="Arial" w:eastAsia="Arial" w:hAnsi="Arial"/>
                <w:sz w:val="11"/>
                <w:szCs w:val="11"/>
                <w:b w:val="1"/>
                <w:bCs w:val="1"/>
                <w:color w:val="auto"/>
                <w:w w:val="91"/>
              </w:rPr>
              <w:t>Number of Record Holders</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60" w:type="dxa"/>
            <w:vAlign w:val="bottom"/>
            <w:gridSpan w:val="3"/>
            <w:shd w:val="clear" w:color="auto" w:fill="CCEEFF"/>
          </w:tcPr>
          <w:p>
            <w:pPr>
              <w:spacing w:after="0" w:line="147" w:lineRule="exact"/>
              <w:rPr>
                <w:sz w:val="20"/>
                <w:szCs w:val="20"/>
                <w:color w:val="auto"/>
              </w:rPr>
            </w:pPr>
            <w:r>
              <w:rPr>
                <w:rFonts w:ascii="Arial" w:cs="Arial" w:eastAsia="Arial" w:hAnsi="Arial"/>
                <w:sz w:val="14"/>
                <w:szCs w:val="14"/>
                <w:color w:val="auto"/>
              </w:rPr>
              <w:t>Common Stock, $0.001 par value</w:t>
            </w:r>
          </w:p>
        </w:tc>
        <w:tc>
          <w:tcPr>
            <w:tcW w:w="1280" w:type="dxa"/>
            <w:vAlign w:val="bottom"/>
            <w:tcBorders>
              <w:right w:val="single" w:sz="8" w:color="CCEEFF"/>
            </w:tcBorders>
            <w:gridSpan w:val="2"/>
            <w:shd w:val="clear" w:color="auto" w:fill="CCEEFF"/>
          </w:tcPr>
          <w:p>
            <w:pPr>
              <w:jc w:val="right"/>
              <w:ind w:right="520"/>
              <w:spacing w:after="0" w:line="147" w:lineRule="exact"/>
              <w:rPr>
                <w:sz w:val="20"/>
                <w:szCs w:val="20"/>
                <w:color w:val="auto"/>
              </w:rPr>
            </w:pPr>
            <w:r>
              <w:rPr>
                <w:rFonts w:ascii="Arial" w:cs="Arial" w:eastAsia="Arial" w:hAnsi="Arial"/>
                <w:sz w:val="14"/>
                <w:szCs w:val="14"/>
                <w:color w:val="auto"/>
              </w:rPr>
              <w:t>37</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280"/>
        <w:spacing w:after="0"/>
        <w:tabs>
          <w:tab w:leader="none" w:pos="1100" w:val="left"/>
        </w:tabs>
        <w:rPr>
          <w:sz w:val="20"/>
          <w:szCs w:val="20"/>
          <w:color w:val="auto"/>
        </w:rPr>
      </w:pPr>
      <w:r>
        <w:rPr>
          <w:rFonts w:ascii="Arial" w:cs="Arial" w:eastAsia="Arial" w:hAnsi="Arial"/>
          <w:sz w:val="14"/>
          <w:szCs w:val="14"/>
          <w:b w:val="1"/>
          <w:bCs w:val="1"/>
          <w:color w:val="auto"/>
        </w:rPr>
        <w:t>Item 30.</w:t>
      </w:r>
      <w:r>
        <w:rPr>
          <w:sz w:val="20"/>
          <w:szCs w:val="20"/>
          <w:color w:val="auto"/>
        </w:rPr>
        <w:tab/>
      </w:r>
      <w:r>
        <w:rPr>
          <w:rFonts w:ascii="Arial" w:cs="Arial" w:eastAsia="Arial" w:hAnsi="Arial"/>
          <w:sz w:val="12"/>
          <w:szCs w:val="12"/>
          <w:b w:val="1"/>
          <w:bCs w:val="1"/>
          <w:color w:val="auto"/>
        </w:rPr>
        <w:t>Indemnification</w:t>
      </w:r>
    </w:p>
    <w:p>
      <w:pPr>
        <w:spacing w:after="0" w:line="92" w:lineRule="exact"/>
        <w:rPr>
          <w:sz w:val="20"/>
          <w:szCs w:val="20"/>
          <w:color w:val="auto"/>
        </w:rPr>
      </w:pPr>
    </w:p>
    <w:p>
      <w:pPr>
        <w:ind w:left="280" w:right="1159" w:firstLine="338"/>
        <w:spacing w:after="0" w:line="268" w:lineRule="auto"/>
        <w:rPr>
          <w:sz w:val="20"/>
          <w:szCs w:val="20"/>
          <w:color w:val="auto"/>
        </w:rPr>
      </w:pPr>
      <w:r>
        <w:rPr>
          <w:rFonts w:ascii="Arial" w:cs="Arial" w:eastAsia="Arial" w:hAnsi="Arial"/>
          <w:sz w:val="14"/>
          <w:szCs w:val="14"/>
          <w:color w:val="auto"/>
        </w:rPr>
        <w:t>The information contained under the heading “Description of our Capital Stock—Limitation on Liability of Directors and Officers; Indemnification and Advance of Expenses” is incorporated herein by reference.</w:t>
      </w:r>
    </w:p>
    <w:p>
      <w:pPr>
        <w:spacing w:after="0" w:line="248" w:lineRule="exact"/>
        <w:rPr>
          <w:sz w:val="20"/>
          <w:szCs w:val="20"/>
          <w:color w:val="auto"/>
        </w:rPr>
      </w:pPr>
    </w:p>
    <w:p>
      <w:pPr>
        <w:ind w:left="280"/>
        <w:spacing w:after="0"/>
        <w:tabs>
          <w:tab w:leader="none" w:pos="1100" w:val="left"/>
        </w:tabs>
        <w:rPr>
          <w:sz w:val="20"/>
          <w:szCs w:val="20"/>
          <w:color w:val="auto"/>
        </w:rPr>
      </w:pPr>
      <w:r>
        <w:rPr>
          <w:rFonts w:ascii="Arial" w:cs="Arial" w:eastAsia="Arial" w:hAnsi="Arial"/>
          <w:sz w:val="14"/>
          <w:szCs w:val="14"/>
          <w:b w:val="1"/>
          <w:bCs w:val="1"/>
          <w:color w:val="auto"/>
        </w:rPr>
        <w:t>Item 31.</w:t>
      </w:r>
      <w:r>
        <w:rPr>
          <w:sz w:val="20"/>
          <w:szCs w:val="20"/>
          <w:color w:val="auto"/>
        </w:rPr>
        <w:tab/>
      </w:r>
      <w:r>
        <w:rPr>
          <w:rFonts w:ascii="Arial" w:cs="Arial" w:eastAsia="Arial" w:hAnsi="Arial"/>
          <w:sz w:val="12"/>
          <w:szCs w:val="12"/>
          <w:b w:val="1"/>
          <w:bCs w:val="1"/>
          <w:color w:val="auto"/>
        </w:rPr>
        <w:t>Business and other connections of Investment Adviser</w:t>
      </w:r>
    </w:p>
    <w:p>
      <w:pPr>
        <w:spacing w:after="0" w:line="92" w:lineRule="exact"/>
        <w:rPr>
          <w:sz w:val="20"/>
          <w:szCs w:val="20"/>
          <w:color w:val="auto"/>
        </w:rPr>
      </w:pPr>
    </w:p>
    <w:p>
      <w:pPr>
        <w:ind w:left="280" w:right="339" w:firstLine="338"/>
        <w:spacing w:after="0" w:line="280" w:lineRule="auto"/>
        <w:rPr>
          <w:sz w:val="20"/>
          <w:szCs w:val="20"/>
          <w:color w:val="auto"/>
        </w:rPr>
      </w:pPr>
      <w:r>
        <w:rPr>
          <w:rFonts w:ascii="Arial" w:cs="Arial" w:eastAsia="Arial" w:hAnsi="Arial"/>
          <w:sz w:val="13"/>
          <w:szCs w:val="13"/>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“Portfolio Management” or is otherwise incorporated by reference. Additional information regarding the Investment Adviser and its officers and directors is set forth in its Form ADV, as filed with the SEC (SEC File No. 801-67622), and is incorporated herein by reference.</w:t>
      </w:r>
    </w:p>
    <w:p>
      <w:pPr>
        <w:spacing w:after="0" w:line="242" w:lineRule="exact"/>
        <w:rPr>
          <w:sz w:val="20"/>
          <w:szCs w:val="20"/>
          <w:color w:val="auto"/>
        </w:rPr>
      </w:pPr>
    </w:p>
    <w:p>
      <w:pPr>
        <w:ind w:left="280"/>
        <w:spacing w:after="0"/>
        <w:tabs>
          <w:tab w:leader="none" w:pos="1100" w:val="left"/>
        </w:tabs>
        <w:rPr>
          <w:sz w:val="20"/>
          <w:szCs w:val="20"/>
          <w:color w:val="auto"/>
        </w:rPr>
      </w:pPr>
      <w:r>
        <w:rPr>
          <w:rFonts w:ascii="Arial" w:cs="Arial" w:eastAsia="Arial" w:hAnsi="Arial"/>
          <w:sz w:val="14"/>
          <w:szCs w:val="14"/>
          <w:b w:val="1"/>
          <w:bCs w:val="1"/>
          <w:color w:val="auto"/>
        </w:rPr>
        <w:t>Item 32.</w:t>
      </w:r>
      <w:r>
        <w:rPr>
          <w:sz w:val="20"/>
          <w:szCs w:val="20"/>
          <w:color w:val="auto"/>
        </w:rPr>
        <w:tab/>
      </w:r>
      <w:r>
        <w:rPr>
          <w:rFonts w:ascii="Arial" w:cs="Arial" w:eastAsia="Arial" w:hAnsi="Arial"/>
          <w:sz w:val="12"/>
          <w:szCs w:val="12"/>
          <w:b w:val="1"/>
          <w:bCs w:val="1"/>
          <w:color w:val="auto"/>
        </w:rPr>
        <w:t>Location of accounts and records</w:t>
      </w:r>
    </w:p>
    <w:p>
      <w:pPr>
        <w:spacing w:after="0" w:line="92" w:lineRule="exact"/>
        <w:rPr>
          <w:sz w:val="20"/>
          <w:szCs w:val="20"/>
          <w:color w:val="auto"/>
        </w:rPr>
      </w:pPr>
    </w:p>
    <w:p>
      <w:pPr>
        <w:ind w:left="280" w:right="439" w:firstLine="338"/>
        <w:spacing w:after="0" w:line="268" w:lineRule="auto"/>
        <w:rPr>
          <w:sz w:val="20"/>
          <w:szCs w:val="20"/>
          <w:color w:val="auto"/>
        </w:rPr>
      </w:pPr>
      <w:r>
        <w:rPr>
          <w:rFonts w:ascii="Arial" w:cs="Arial" w:eastAsia="Arial" w:hAnsi="Arial"/>
          <w:sz w:val="14"/>
          <w:szCs w:val="14"/>
          <w:color w:val="auto"/>
        </w:rPr>
        <w:t>All accounts, books and other documents required to be maintained by Section 31(a) of the 1940 Act, and the rules thereunder are maintained at the offices of:</w:t>
      </w:r>
    </w:p>
    <w:p>
      <w:pPr>
        <w:spacing w:after="0" w:line="55" w:lineRule="exact"/>
        <w:rPr>
          <w:sz w:val="20"/>
          <w:szCs w:val="20"/>
          <w:color w:val="auto"/>
        </w:rPr>
      </w:pPr>
    </w:p>
    <w:p>
      <w:pPr>
        <w:ind w:left="800" w:hanging="188"/>
        <w:spacing w:after="0"/>
        <w:tabs>
          <w:tab w:leader="none" w:pos="8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Registrant, PennantPark Floating Rate Capital Ltd., 1691 Michigan Avenue, Miami, FL 33139;</w:t>
      </w:r>
    </w:p>
    <w:p>
      <w:pPr>
        <w:spacing w:after="0" w:line="87" w:lineRule="exact"/>
        <w:rPr>
          <w:rFonts w:ascii="Arial" w:cs="Arial" w:eastAsia="Arial" w:hAnsi="Arial"/>
          <w:sz w:val="14"/>
          <w:szCs w:val="14"/>
          <w:color w:val="auto"/>
        </w:rPr>
      </w:pPr>
    </w:p>
    <w:p>
      <w:pPr>
        <w:ind w:left="800" w:hanging="188"/>
        <w:spacing w:after="0"/>
        <w:tabs>
          <w:tab w:leader="none" w:pos="8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Transfer Agent, American Stock Transfer &amp; Trust Company, LLC, 6201 15th Avenue, Brooklyn, NY 11219;</w:t>
      </w:r>
    </w:p>
    <w:p>
      <w:pPr>
        <w:spacing w:after="0" w:line="87" w:lineRule="exact"/>
        <w:rPr>
          <w:rFonts w:ascii="Arial" w:cs="Arial" w:eastAsia="Arial" w:hAnsi="Arial"/>
          <w:sz w:val="14"/>
          <w:szCs w:val="14"/>
          <w:color w:val="auto"/>
        </w:rPr>
      </w:pPr>
    </w:p>
    <w:p>
      <w:pPr>
        <w:ind w:left="800" w:hanging="188"/>
        <w:spacing w:after="0"/>
        <w:tabs>
          <w:tab w:leader="none" w:pos="8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Custodian, The Bank of New York Mellon, 240 Greenwich Street, New York, NY 10286; and</w:t>
      </w:r>
    </w:p>
    <w:p>
      <w:pPr>
        <w:spacing w:after="0" w:line="87" w:lineRule="exact"/>
        <w:rPr>
          <w:rFonts w:ascii="Arial" w:cs="Arial" w:eastAsia="Arial" w:hAnsi="Arial"/>
          <w:sz w:val="14"/>
          <w:szCs w:val="14"/>
          <w:color w:val="auto"/>
        </w:rPr>
      </w:pPr>
    </w:p>
    <w:p>
      <w:pPr>
        <w:ind w:left="800" w:hanging="188"/>
        <w:spacing w:after="0"/>
        <w:tabs>
          <w:tab w:leader="none" w:pos="8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Investment Adviser, PennantPark Investment Advisers, LLC, 1691 Michigan Avenue, Miami, FL 33139.</w:t>
      </w:r>
    </w:p>
    <w:p>
      <w:pPr>
        <w:spacing w:after="0" w:line="281" w:lineRule="exact"/>
        <w:rPr>
          <w:sz w:val="20"/>
          <w:szCs w:val="20"/>
          <w:color w:val="auto"/>
        </w:rPr>
      </w:pPr>
    </w:p>
    <w:p>
      <w:pPr>
        <w:ind w:left="280"/>
        <w:spacing w:after="0"/>
        <w:tabs>
          <w:tab w:leader="none" w:pos="1100" w:val="left"/>
        </w:tabs>
        <w:rPr>
          <w:sz w:val="20"/>
          <w:szCs w:val="20"/>
          <w:color w:val="auto"/>
        </w:rPr>
      </w:pPr>
      <w:r>
        <w:rPr>
          <w:rFonts w:ascii="Arial" w:cs="Arial" w:eastAsia="Arial" w:hAnsi="Arial"/>
          <w:sz w:val="14"/>
          <w:szCs w:val="14"/>
          <w:b w:val="1"/>
          <w:bCs w:val="1"/>
          <w:color w:val="auto"/>
        </w:rPr>
        <w:t>Item 33.</w:t>
      </w:r>
      <w:r>
        <w:rPr>
          <w:sz w:val="20"/>
          <w:szCs w:val="20"/>
          <w:color w:val="auto"/>
        </w:rPr>
        <w:tab/>
      </w:r>
      <w:r>
        <w:rPr>
          <w:rFonts w:ascii="Arial" w:cs="Arial" w:eastAsia="Arial" w:hAnsi="Arial"/>
          <w:sz w:val="12"/>
          <w:szCs w:val="12"/>
          <w:b w:val="1"/>
          <w:bCs w:val="1"/>
          <w:color w:val="auto"/>
        </w:rPr>
        <w:t>Management services</w:t>
      </w:r>
    </w:p>
    <w:p>
      <w:pPr>
        <w:spacing w:after="0" w:line="9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Not Applicable.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9019"/>
          </w:cols>
          <w:pgMar w:left="1440" w:top="259" w:right="1440" w:bottom="1440" w:gutter="0" w:footer="0" w:header="0"/>
        </w:sectPr>
      </w:pPr>
    </w:p>
    <w:bookmarkStart w:id="85" w:name="page86"/>
    <w:bookmarkEnd w:id="85"/>
    <w:p>
      <w:pPr>
        <w:ind w:left="280"/>
        <w:spacing w:after="0"/>
        <w:tabs>
          <w:tab w:leader="none" w:pos="110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3">
                      <a:extLst>
                        <a:ext uri="{28A0092B-C50C-407E-A947-70E740481C1C}"/>
                      </a:extLst>
                    </a:blip>
                    <a:srcRect/>
                    <a:stretch>
                      <a:fillRect/>
                    </a:stretch>
                  </pic:blipFill>
                  <pic:spPr bwMode="auto">
                    <a:xfrm>
                      <a:off x="0" y="0"/>
                      <a:ext cx="7202805" cy="45720"/>
                    </a:xfrm>
                    <a:prstGeom prst="rect">
                      <a:avLst/>
                    </a:prstGeom>
                    <a:noFill/>
                  </pic:spPr>
                </pic:pic>
              </a:graphicData>
            </a:graphic>
          </wp:anchor>
        </w:drawing>
        <w:t>Item 34.</w:t>
      </w:r>
      <w:r>
        <w:rPr>
          <w:sz w:val="20"/>
          <w:szCs w:val="20"/>
          <w:color w:val="auto"/>
        </w:rPr>
        <w:tab/>
      </w:r>
      <w:r>
        <w:rPr>
          <w:rFonts w:ascii="Arial" w:cs="Arial" w:eastAsia="Arial" w:hAnsi="Arial"/>
          <w:sz w:val="12"/>
          <w:szCs w:val="12"/>
          <w:b w:val="1"/>
          <w:bCs w:val="1"/>
          <w:color w:val="auto"/>
        </w:rPr>
        <w:t>Undertakings</w:t>
      </w:r>
    </w:p>
    <w:p>
      <w:pPr>
        <w:spacing w:after="0" w:line="9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Registrant hereby undertakes:</w:t>
      </w:r>
    </w:p>
    <w:p>
      <w:pPr>
        <w:spacing w:after="0" w:line="98" w:lineRule="exact"/>
        <w:rPr>
          <w:sz w:val="20"/>
          <w:szCs w:val="20"/>
          <w:color w:val="auto"/>
        </w:rPr>
      </w:pPr>
    </w:p>
    <w:p>
      <w:pPr>
        <w:ind w:left="1020" w:right="299" w:hanging="415"/>
        <w:spacing w:after="0" w:line="286" w:lineRule="auto"/>
        <w:tabs>
          <w:tab w:leader="none" w:pos="10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to suspend the offering of shares until the prospectus filed as part of this registration statement is amended if (1) subsequent to the effective date of its registration statement, the NAV declines more than ten percent from its NAV as of the effective date of the registration statement; or (2) the NAV increases to an amount greater than the net proceeds as stated in the prospectus.</w:t>
      </w:r>
    </w:p>
    <w:p>
      <w:pPr>
        <w:spacing w:after="0" w:line="56" w:lineRule="exact"/>
        <w:rPr>
          <w:rFonts w:ascii="Arial" w:cs="Arial" w:eastAsia="Arial" w:hAnsi="Arial"/>
          <w:sz w:val="13"/>
          <w:szCs w:val="13"/>
          <w:color w:val="auto"/>
        </w:rPr>
      </w:pPr>
    </w:p>
    <w:p>
      <w:pPr>
        <w:ind w:left="1020" w:hanging="415"/>
        <w:spacing w:after="0"/>
        <w:tabs>
          <w:tab w:leader="none" w:pos="10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98" w:lineRule="exact"/>
        <w:rPr>
          <w:rFonts w:ascii="Arial" w:cs="Arial" w:eastAsia="Arial" w:hAnsi="Arial"/>
          <w:sz w:val="14"/>
          <w:szCs w:val="14"/>
          <w:color w:val="auto"/>
        </w:rPr>
      </w:pPr>
    </w:p>
    <w:p>
      <w:pPr>
        <w:ind w:left="1020" w:hanging="415"/>
        <w:spacing w:after="0"/>
        <w:tabs>
          <w:tab w:leader="none" w:pos="10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98" w:lineRule="exact"/>
        <w:rPr>
          <w:rFonts w:ascii="Arial" w:cs="Arial" w:eastAsia="Arial" w:hAnsi="Arial"/>
          <w:sz w:val="14"/>
          <w:szCs w:val="14"/>
          <w:color w:val="auto"/>
        </w:rPr>
      </w:pPr>
    </w:p>
    <w:p>
      <w:pPr>
        <w:jc w:val="both"/>
        <w:ind w:left="1020" w:right="399" w:hanging="415"/>
        <w:spacing w:after="0" w:line="296" w:lineRule="auto"/>
        <w:tabs>
          <w:tab w:leader="none" w:pos="10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(a) for the purpose of determining any liability under the Securities Act, the information omitted from the form of prospectus filed as part of this registration statement in reliance upon Rule 430A and contained in a form of prospectus filed by the Registrant under Rule 424(b)</w:t>
      </w:r>
    </w:p>
    <w:p>
      <w:pPr>
        <w:ind w:left="1020" w:right="359"/>
        <w:spacing w:after="0" w:line="249" w:lineRule="auto"/>
        <w:rPr>
          <w:rFonts w:ascii="Arial" w:cs="Arial" w:eastAsia="Arial" w:hAnsi="Arial"/>
          <w:sz w:val="12"/>
          <w:szCs w:val="12"/>
          <w:color w:val="auto"/>
        </w:rPr>
      </w:pPr>
      <w:r>
        <w:rPr>
          <w:rFonts w:ascii="Arial" w:cs="Arial" w:eastAsia="Arial" w:hAnsi="Arial"/>
          <w:sz w:val="14"/>
          <w:szCs w:val="14"/>
          <w:color w:val="auto"/>
        </w:rPr>
        <w:t>(1) under the Securities Act shall be deemed to be part of this registration statement as of the time it was declared effective; and (b) for the purpose of determining any liability under the Securities Act,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79" w:lineRule="exact"/>
        <w:rPr>
          <w:rFonts w:ascii="Arial" w:cs="Arial" w:eastAsia="Arial" w:hAnsi="Arial"/>
          <w:sz w:val="12"/>
          <w:szCs w:val="12"/>
          <w:color w:val="auto"/>
        </w:rPr>
      </w:pPr>
    </w:p>
    <w:p>
      <w:pPr>
        <w:ind w:left="1020" w:hanging="415"/>
        <w:spacing w:after="0"/>
        <w:tabs>
          <w:tab w:leader="none" w:pos="10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98" w:lineRule="exact"/>
        <w:rPr>
          <w:rFonts w:ascii="Arial" w:cs="Arial" w:eastAsia="Arial" w:hAnsi="Arial"/>
          <w:sz w:val="14"/>
          <w:szCs w:val="14"/>
          <w:color w:val="auto"/>
        </w:rPr>
      </w:pPr>
    </w:p>
    <w:p>
      <w:pPr>
        <w:ind w:left="1020" w:right="399" w:hanging="415"/>
        <w:spacing w:after="0" w:line="249" w:lineRule="auto"/>
        <w:tabs>
          <w:tab w:leader="none" w:pos="10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83" w:lineRule="exact"/>
        <w:rPr>
          <w:rFonts w:ascii="Arial" w:cs="Arial" w:eastAsia="Arial" w:hAnsi="Arial"/>
          <w:sz w:val="14"/>
          <w:szCs w:val="14"/>
          <w:color w:val="auto"/>
        </w:rPr>
      </w:pPr>
    </w:p>
    <w:p>
      <w:pPr>
        <w:ind w:left="1020" w:right="479" w:hanging="415"/>
        <w:spacing w:after="0" w:line="268" w:lineRule="auto"/>
        <w:tabs>
          <w:tab w:leader="none" w:pos="10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to send by first class mail or other means designed to ensure equally prompt delivery, within two business days of receipt of a written or oral request, any prospectus or Statement of Additional Information.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9019"/>
          </w:cols>
          <w:pgMar w:left="1440" w:top="259" w:right="1440"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4">
                      <a:extLst>
                        <a:ext uri="{28A0092B-C50C-407E-A947-70E740481C1C}"/>
                      </a:extLst>
                    </a:blip>
                    <a:srcRect/>
                    <a:stretch>
                      <a:fillRect/>
                    </a:stretch>
                  </pic:blipFill>
                  <pic:spPr bwMode="auto">
                    <a:xfrm>
                      <a:off x="0" y="0"/>
                      <a:ext cx="7202805" cy="45720"/>
                    </a:xfrm>
                    <a:prstGeom prst="rect">
                      <a:avLst/>
                    </a:prstGeom>
                    <a:noFill/>
                  </pic:spPr>
                </pic:pic>
              </a:graphicData>
            </a:graphic>
          </wp:anchor>
        </w:drawing>
        <w:t>SIGNATURES</w:t>
      </w:r>
    </w:p>
    <w:p>
      <w:pPr>
        <w:spacing w:after="0" w:line="175" w:lineRule="exact"/>
        <w:rPr>
          <w:sz w:val="20"/>
          <w:szCs w:val="20"/>
          <w:color w:val="auto"/>
        </w:rPr>
      </w:pPr>
    </w:p>
    <w:p>
      <w:pPr>
        <w:ind w:left="280" w:right="459" w:firstLine="338"/>
        <w:spacing w:after="0" w:line="353" w:lineRule="auto"/>
        <w:rPr>
          <w:sz w:val="20"/>
          <w:szCs w:val="20"/>
          <w:color w:val="auto"/>
        </w:rPr>
      </w:pPr>
      <w:r>
        <w:rPr>
          <w:rFonts w:ascii="Arial" w:cs="Arial" w:eastAsia="Arial" w:hAnsi="Arial"/>
          <w:sz w:val="12"/>
          <w:szCs w:val="12"/>
          <w:color w:val="auto"/>
        </w:rPr>
        <w:t>Pursuant to the requirements of the Securities Act of 1933, the Registrant has duly caused this Registration Statement on Form N-2 to be signed on its behalf by the undersigned, thereunto duly authorized, in the City of Miami, and State of Florida on the 15th day of December, 2022.</w:t>
      </w:r>
    </w:p>
    <w:p>
      <w:pPr>
        <w:spacing w:after="0" w:line="113" w:lineRule="exact"/>
        <w:rPr>
          <w:sz w:val="20"/>
          <w:szCs w:val="20"/>
          <w:color w:val="auto"/>
        </w:rPr>
      </w:pPr>
    </w:p>
    <w:tbl>
      <w:tblPr>
        <w:tblLayout w:type="fixed"/>
        <w:tblInd w:w="280" w:type="dxa"/>
        <w:tblCellMar>
          <w:top w:w="0" w:type="dxa"/>
          <w:left w:w="0" w:type="dxa"/>
          <w:bottom w:w="0" w:type="dxa"/>
          <w:right w:w="0" w:type="dxa"/>
        </w:tblCellMar>
      </w:tblPr>
      <w:tr>
        <w:trPr>
          <w:trHeight w:val="175"/>
        </w:trPr>
        <w:tc>
          <w:tcPr>
            <w:tcW w:w="660" w:type="dxa"/>
            <w:vAlign w:val="bottom"/>
          </w:tcPr>
          <w:p>
            <w:pPr>
              <w:spacing w:after="0"/>
              <w:rPr>
                <w:sz w:val="20"/>
                <w:szCs w:val="20"/>
                <w:color w:val="auto"/>
              </w:rPr>
            </w:pPr>
            <w:r>
              <w:rPr>
                <w:rFonts w:ascii="Arial" w:cs="Arial" w:eastAsia="Arial" w:hAnsi="Arial"/>
                <w:sz w:val="14"/>
                <w:szCs w:val="14"/>
                <w:color w:val="auto"/>
              </w:rPr>
              <w:t>By:</w:t>
            </w: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/s/Arthur H. Penn</w:t>
            </w:r>
          </w:p>
        </w:tc>
      </w:tr>
      <w:tr>
        <w:trPr>
          <w:trHeight w:val="157"/>
        </w:trPr>
        <w:tc>
          <w:tcPr>
            <w:tcW w:w="660" w:type="dxa"/>
            <w:vAlign w:val="bottom"/>
          </w:tcPr>
          <w:p>
            <w:pPr>
              <w:spacing w:after="0" w:line="157" w:lineRule="exact"/>
              <w:rPr>
                <w:sz w:val="20"/>
                <w:szCs w:val="20"/>
                <w:color w:val="auto"/>
              </w:rPr>
            </w:pPr>
            <w:r>
              <w:rPr>
                <w:rFonts w:ascii="Arial" w:cs="Arial" w:eastAsia="Arial" w:hAnsi="Arial"/>
                <w:sz w:val="14"/>
                <w:szCs w:val="14"/>
                <w:color w:val="auto"/>
              </w:rPr>
              <w:t>Name:</w:t>
            </w:r>
          </w:p>
        </w:tc>
        <w:tc>
          <w:tcPr>
            <w:tcW w:w="44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Arthur H. Penn</w:t>
            </w:r>
          </w:p>
        </w:tc>
      </w:tr>
      <w:tr>
        <w:trPr>
          <w:trHeight w:val="188"/>
        </w:trPr>
        <w:tc>
          <w:tcPr>
            <w:tcW w:w="660" w:type="dxa"/>
            <w:vAlign w:val="bottom"/>
          </w:tcPr>
          <w:p>
            <w:pPr>
              <w:spacing w:after="0"/>
              <w:rPr>
                <w:sz w:val="20"/>
                <w:szCs w:val="20"/>
                <w:color w:val="auto"/>
              </w:rPr>
            </w:pPr>
            <w:r>
              <w:rPr>
                <w:rFonts w:ascii="Arial" w:cs="Arial" w:eastAsia="Arial" w:hAnsi="Arial"/>
                <w:sz w:val="14"/>
                <w:szCs w:val="14"/>
                <w:color w:val="auto"/>
              </w:rPr>
              <w:t>Title:</w:t>
            </w:r>
          </w:p>
        </w:tc>
        <w:tc>
          <w:tcPr>
            <w:tcW w:w="4400" w:type="dxa"/>
            <w:vAlign w:val="bottom"/>
          </w:tcPr>
          <w:p>
            <w:pPr>
              <w:jc w:val="center"/>
              <w:spacing w:after="0"/>
              <w:rPr>
                <w:sz w:val="20"/>
                <w:szCs w:val="20"/>
                <w:color w:val="auto"/>
              </w:rPr>
            </w:pPr>
            <w:r>
              <w:rPr>
                <w:rFonts w:ascii="Arial" w:cs="Arial" w:eastAsia="Arial" w:hAnsi="Arial"/>
                <w:sz w:val="11"/>
                <w:szCs w:val="11"/>
                <w:b w:val="1"/>
                <w:bCs w:val="1"/>
                <w:color w:val="auto"/>
                <w:w w:val="92"/>
              </w:rPr>
              <w:t>Chief Executive Officer and Chairman of the Board</w:t>
            </w:r>
          </w:p>
        </w:tc>
      </w:tr>
    </w:tbl>
    <w:p>
      <w:pPr>
        <w:spacing w:after="0" w:line="144" w:lineRule="exact"/>
        <w:rPr>
          <w:sz w:val="20"/>
          <w:szCs w:val="20"/>
          <w:color w:val="auto"/>
        </w:rPr>
      </w:pPr>
    </w:p>
    <w:p>
      <w:pPr>
        <w:ind w:left="280" w:right="319" w:firstLine="338"/>
        <w:spacing w:after="0" w:line="273" w:lineRule="auto"/>
        <w:rPr>
          <w:sz w:val="20"/>
          <w:szCs w:val="20"/>
          <w:color w:val="auto"/>
        </w:rPr>
      </w:pPr>
      <w:r>
        <w:rPr>
          <w:rFonts w:ascii="Arial" w:cs="Arial" w:eastAsia="Arial" w:hAnsi="Arial"/>
          <w:sz w:val="13"/>
          <w:szCs w:val="13"/>
          <w:color w:val="auto"/>
        </w:rPr>
        <w:t>KNOW ALL MEN BY THESE PRESENT, each person whose signature appears below hereby constitutes and appoints Richard T. Allorto, Jr. his true and lawful attorney-in-fact and agent, with full power of substitution and resubstitution, for him and in his name, place and stead, in any and all capacities, to sign any and all amendments to this Registration Statement on Form N-2 and any registration statement filed pursuant to Rule 462(b) under the Securities Act of 1933, as amended, and to file the same, with the Securities and Exchange Commission, granting unto said attorney-in-fact and agent full power and authority to do and perform each and every act and thing requisite and necessary to be done in and about the premises, as fully and to all intents and purposes as he might or could do in person, hereby ratifying and confirming all that said attorney-in-fact and agent, or his substitutes, may lawfully do or cause to be done by virtue hereof.</w:t>
      </w:r>
    </w:p>
    <w:p>
      <w:pPr>
        <w:spacing w:after="0" w:line="137" w:lineRule="exact"/>
        <w:rPr>
          <w:sz w:val="20"/>
          <w:szCs w:val="20"/>
          <w:color w:val="auto"/>
        </w:rPr>
      </w:pPr>
    </w:p>
    <w:p>
      <w:pPr>
        <w:ind w:left="280" w:right="299" w:firstLine="338"/>
        <w:spacing w:after="0" w:line="268" w:lineRule="auto"/>
        <w:rPr>
          <w:sz w:val="20"/>
          <w:szCs w:val="20"/>
          <w:color w:val="auto"/>
        </w:rPr>
      </w:pPr>
      <w:r>
        <w:rPr>
          <w:rFonts w:ascii="Arial" w:cs="Arial" w:eastAsia="Arial" w:hAnsi="Arial"/>
          <w:sz w:val="14"/>
          <w:szCs w:val="14"/>
          <w:color w:val="auto"/>
        </w:rPr>
        <w:t>Pursuant to the requirements of the Securities Act of 1933, as amended, this Registration Statement on Form N-2 has been signed by the following persons in the capacities set forth below on the 15th day of December, 2022.</w:t>
      </w:r>
    </w:p>
    <w:p>
      <w:pPr>
        <w:sectPr>
          <w:pgSz w:w="11900" w:h="16838" w:orient="portrait"/>
          <w:cols w:equalWidth="0" w:num="1">
            <w:col w:w="9019"/>
          </w:cols>
          <w:pgMar w:left="1440" w:top="259" w:right="1440" w:bottom="1440" w:gutter="0" w:footer="0" w:header="0"/>
        </w:sectPr>
      </w:pPr>
    </w:p>
    <w:p>
      <w:pPr>
        <w:spacing w:after="0" w:line="152" w:lineRule="exact"/>
        <w:rPr>
          <w:sz w:val="20"/>
          <w:szCs w:val="20"/>
          <w:color w:val="auto"/>
        </w:rPr>
      </w:pPr>
    </w:p>
    <w:p>
      <w:pPr>
        <w:jc w:val="center"/>
        <w:ind w:left="20"/>
        <w:spacing w:after="0"/>
        <w:rPr>
          <w:sz w:val="20"/>
          <w:szCs w:val="20"/>
          <w:color w:val="auto"/>
        </w:rPr>
      </w:pPr>
      <w:r>
        <w:rPr>
          <w:rFonts w:ascii="Arial" w:cs="Arial" w:eastAsia="Arial" w:hAnsi="Arial"/>
          <w:sz w:val="11"/>
          <w:szCs w:val="11"/>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9525</wp:posOffset>
            </wp:positionV>
            <wp:extent cx="196850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5">
                      <a:extLst>
                        <a:ext uri="{28A0092B-C50C-407E-A947-70E740481C1C}"/>
                      </a:extLst>
                    </a:blip>
                    <a:srcRect/>
                    <a:stretch>
                      <a:fillRect/>
                    </a:stretch>
                  </pic:blipFill>
                  <pic:spPr bwMode="auto">
                    <a:xfrm>
                      <a:off x="0" y="0"/>
                      <a:ext cx="1968500" cy="6350"/>
                    </a:xfrm>
                    <a:prstGeom prst="rect">
                      <a:avLst/>
                    </a:prstGeom>
                    <a:noFill/>
                  </pic:spPr>
                </pic:pic>
              </a:graphicData>
            </a:graphic>
          </wp:anchor>
        </w:drawing>
      </w:r>
    </w:p>
    <w:p>
      <w:pPr>
        <w:spacing w:after="0" w:line="67"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10160</wp:posOffset>
            </wp:positionV>
            <wp:extent cx="196850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6">
                      <a:extLst>
                        <a:ext uri="{28A0092B-C50C-407E-A947-70E740481C1C}"/>
                      </a:extLst>
                    </a:blip>
                    <a:srcRect/>
                    <a:stretch>
                      <a:fillRect/>
                    </a:stretch>
                  </pic:blipFill>
                  <pic:spPr bwMode="auto">
                    <a:xfrm>
                      <a:off x="0" y="0"/>
                      <a:ext cx="1968500" cy="6350"/>
                    </a:xfrm>
                    <a:prstGeom prst="rect">
                      <a:avLst/>
                    </a:prstGeom>
                    <a:noFill/>
                  </pic:spPr>
                </pic:pic>
              </a:graphicData>
            </a:graphic>
          </wp:anchor>
        </w:drawing>
      </w:r>
    </w:p>
    <w:p>
      <w:pPr>
        <w:spacing w:after="0" w:line="2"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Arthur H. Penn</w:t>
      </w:r>
    </w:p>
    <w:p>
      <w:pPr>
        <w:spacing w:after="0" w:line="175"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/s/ 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24765</wp:posOffset>
            </wp:positionV>
            <wp:extent cx="196850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7">
                      <a:extLst>
                        <a:ext uri="{28A0092B-C50C-407E-A947-70E740481C1C}"/>
                      </a:extLst>
                    </a:blip>
                    <a:srcRect/>
                    <a:stretch>
                      <a:fillRect/>
                    </a:stretch>
                  </pic:blipFill>
                  <pic:spPr bwMode="auto">
                    <a:xfrm>
                      <a:off x="0" y="0"/>
                      <a:ext cx="1968500" cy="6350"/>
                    </a:xfrm>
                    <a:prstGeom prst="rect">
                      <a:avLst/>
                    </a:prstGeom>
                    <a:noFill/>
                  </pic:spPr>
                </pic:pic>
              </a:graphicData>
            </a:graphic>
          </wp:anchor>
        </w:drawing>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auto"/>
        </w:rPr>
        <w:t>Richard T. Allorto, Jr.</w:t>
      </w:r>
    </w:p>
    <w:p>
      <w:pPr>
        <w:spacing w:after="0" w:line="186" w:lineRule="exact"/>
        <w:rPr>
          <w:sz w:val="20"/>
          <w:szCs w:val="20"/>
          <w:color w:val="auto"/>
        </w:rPr>
      </w:pPr>
    </w:p>
    <w:p>
      <w:pPr>
        <w:jc w:val="center"/>
        <w:ind w:left="20"/>
        <w:spacing w:after="0"/>
        <w:rPr>
          <w:sz w:val="20"/>
          <w:szCs w:val="20"/>
          <w:color w:val="auto"/>
        </w:rPr>
      </w:pPr>
      <w:r>
        <w:rPr>
          <w:rFonts w:ascii="Arial" w:cs="Arial" w:eastAsia="Arial" w:hAnsi="Arial"/>
          <w:sz w:val="14"/>
          <w:szCs w:val="14"/>
          <w:color w:val="auto"/>
        </w:rPr>
        <w:t>/s/ Adam K.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10160</wp:posOffset>
            </wp:positionV>
            <wp:extent cx="196850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8">
                      <a:extLst>
                        <a:ext uri="{28A0092B-C50C-407E-A947-70E740481C1C}"/>
                      </a:extLst>
                    </a:blip>
                    <a:srcRect/>
                    <a:stretch>
                      <a:fillRect/>
                    </a:stretch>
                  </pic:blipFill>
                  <pic:spPr bwMode="auto">
                    <a:xfrm>
                      <a:off x="0" y="0"/>
                      <a:ext cx="1968500" cy="6350"/>
                    </a:xfrm>
                    <a:prstGeom prst="rect">
                      <a:avLst/>
                    </a:prstGeom>
                    <a:noFill/>
                  </pic:spPr>
                </pic:pic>
              </a:graphicData>
            </a:graphic>
          </wp:anchor>
        </w:drawing>
      </w:r>
    </w:p>
    <w:p>
      <w:pPr>
        <w:spacing w:after="0" w:line="2"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color w:val="auto"/>
        </w:rPr>
        <w:t>Adam K. Bernstein</w:t>
      </w:r>
    </w:p>
    <w:p>
      <w:pPr>
        <w:spacing w:after="0" w:line="175" w:lineRule="exact"/>
        <w:rPr>
          <w:sz w:val="20"/>
          <w:szCs w:val="20"/>
          <w:color w:val="auto"/>
        </w:rPr>
      </w:pPr>
    </w:p>
    <w:p>
      <w:pPr>
        <w:jc w:val="center"/>
        <w:ind w:left="20"/>
        <w:spacing w:after="0"/>
        <w:rPr>
          <w:sz w:val="20"/>
          <w:szCs w:val="20"/>
          <w:color w:val="auto"/>
        </w:rPr>
      </w:pPr>
      <w:r>
        <w:rPr>
          <w:rFonts w:ascii="Arial" w:cs="Arial" w:eastAsia="Arial" w:hAnsi="Arial"/>
          <w:sz w:val="14"/>
          <w:szCs w:val="14"/>
          <w:color w:val="auto"/>
        </w:rPr>
        <w:t>/s/ Jeffrey Flug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10160</wp:posOffset>
            </wp:positionV>
            <wp:extent cx="196850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9">
                      <a:extLst>
                        <a:ext uri="{28A0092B-C50C-407E-A947-70E740481C1C}"/>
                      </a:extLst>
                    </a:blip>
                    <a:srcRect/>
                    <a:stretch>
                      <a:fillRect/>
                    </a:stretch>
                  </pic:blipFill>
                  <pic:spPr bwMode="auto">
                    <a:xfrm>
                      <a:off x="0" y="0"/>
                      <a:ext cx="1968500" cy="6350"/>
                    </a:xfrm>
                    <a:prstGeom prst="rect">
                      <a:avLst/>
                    </a:prstGeom>
                    <a:noFill/>
                  </pic:spPr>
                </pic:pic>
              </a:graphicData>
            </a:graphic>
          </wp:anchor>
        </w:drawing>
      </w:r>
    </w:p>
    <w:p>
      <w:pPr>
        <w:spacing w:after="0" w:line="2"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color w:val="auto"/>
        </w:rPr>
        <w:t>Jeffrey Flug</w:t>
      </w:r>
    </w:p>
    <w:p>
      <w:pPr>
        <w:spacing w:after="0" w:line="175" w:lineRule="exact"/>
        <w:rPr>
          <w:sz w:val="20"/>
          <w:szCs w:val="20"/>
          <w:color w:val="auto"/>
        </w:rPr>
      </w:pPr>
    </w:p>
    <w:p>
      <w:pPr>
        <w:jc w:val="center"/>
        <w:ind w:left="20"/>
        <w:spacing w:after="0"/>
        <w:rPr>
          <w:sz w:val="20"/>
          <w:szCs w:val="20"/>
          <w:color w:val="auto"/>
        </w:rPr>
      </w:pPr>
      <w:r>
        <w:rPr>
          <w:rFonts w:ascii="Arial" w:cs="Arial" w:eastAsia="Arial" w:hAnsi="Arial"/>
          <w:sz w:val="14"/>
          <w:szCs w:val="14"/>
          <w:color w:val="auto"/>
        </w:rPr>
        <w:t>/s/ Marshall Brozost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10160</wp:posOffset>
            </wp:positionV>
            <wp:extent cx="196850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0">
                      <a:extLst>
                        <a:ext uri="{28A0092B-C50C-407E-A947-70E740481C1C}"/>
                      </a:extLst>
                    </a:blip>
                    <a:srcRect/>
                    <a:stretch>
                      <a:fillRect/>
                    </a:stretch>
                  </pic:blipFill>
                  <pic:spPr bwMode="auto">
                    <a:xfrm>
                      <a:off x="0" y="0"/>
                      <a:ext cx="1968500" cy="6350"/>
                    </a:xfrm>
                    <a:prstGeom prst="rect">
                      <a:avLst/>
                    </a:prstGeom>
                    <a:noFill/>
                  </pic:spPr>
                </pic:pic>
              </a:graphicData>
            </a:graphic>
          </wp:anchor>
        </w:drawing>
      </w:r>
    </w:p>
    <w:p>
      <w:pPr>
        <w:spacing w:after="0" w:line="2"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color w:val="auto"/>
        </w:rPr>
        <w:t>Marshall Brozost</w:t>
      </w:r>
    </w:p>
    <w:p>
      <w:pPr>
        <w:spacing w:after="0" w:line="175" w:lineRule="exact"/>
        <w:rPr>
          <w:sz w:val="20"/>
          <w:szCs w:val="20"/>
          <w:color w:val="auto"/>
        </w:rPr>
      </w:pPr>
    </w:p>
    <w:p>
      <w:pPr>
        <w:jc w:val="center"/>
        <w:ind w:left="20"/>
        <w:spacing w:after="0"/>
        <w:rPr>
          <w:sz w:val="20"/>
          <w:szCs w:val="20"/>
          <w:color w:val="auto"/>
        </w:rPr>
      </w:pPr>
      <w:r>
        <w:rPr>
          <w:rFonts w:ascii="Arial" w:cs="Arial" w:eastAsia="Arial" w:hAnsi="Arial"/>
          <w:sz w:val="14"/>
          <w:szCs w:val="14"/>
          <w:color w:val="auto"/>
        </w:rPr>
        <w:t>/s/ Samuel L.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10160</wp:posOffset>
            </wp:positionV>
            <wp:extent cx="196850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1">
                      <a:extLst>
                        <a:ext uri="{28A0092B-C50C-407E-A947-70E740481C1C}"/>
                      </a:extLst>
                    </a:blip>
                    <a:srcRect/>
                    <a:stretch>
                      <a:fillRect/>
                    </a:stretch>
                  </pic:blipFill>
                  <pic:spPr bwMode="auto">
                    <a:xfrm>
                      <a:off x="0" y="0"/>
                      <a:ext cx="1968500" cy="6350"/>
                    </a:xfrm>
                    <a:prstGeom prst="rect">
                      <a:avLst/>
                    </a:prstGeom>
                    <a:noFill/>
                  </pic:spPr>
                </pic:pic>
              </a:graphicData>
            </a:graphic>
          </wp:anchor>
        </w:drawing>
      </w:r>
    </w:p>
    <w:p>
      <w:pPr>
        <w:spacing w:after="0" w:line="2"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color w:val="auto"/>
        </w:rPr>
        <w:t>Samuel L. Katz</w:t>
      </w:r>
    </w:p>
    <w:p>
      <w:pPr>
        <w:spacing w:after="0" w:line="175" w:lineRule="exact"/>
        <w:rPr>
          <w:sz w:val="20"/>
          <w:szCs w:val="20"/>
          <w:color w:val="auto"/>
        </w:rPr>
      </w:pPr>
    </w:p>
    <w:p>
      <w:pPr>
        <w:jc w:val="center"/>
        <w:ind w:left="20"/>
        <w:spacing w:after="0"/>
        <w:rPr>
          <w:sz w:val="20"/>
          <w:szCs w:val="20"/>
          <w:color w:val="auto"/>
        </w:rPr>
      </w:pPr>
      <w:r>
        <w:rPr>
          <w:rFonts w:ascii="Arial" w:cs="Arial" w:eastAsia="Arial" w:hAnsi="Arial"/>
          <w:sz w:val="14"/>
          <w:szCs w:val="14"/>
          <w:color w:val="auto"/>
        </w:rPr>
        <w:t>/s/ José A. Briones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10160</wp:posOffset>
            </wp:positionV>
            <wp:extent cx="196850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2">
                      <a:extLst>
                        <a:ext uri="{28A0092B-C50C-407E-A947-70E740481C1C}"/>
                      </a:extLst>
                    </a:blip>
                    <a:srcRect/>
                    <a:stretch>
                      <a:fillRect/>
                    </a:stretch>
                  </pic:blipFill>
                  <pic:spPr bwMode="auto">
                    <a:xfrm>
                      <a:off x="0" y="0"/>
                      <a:ext cx="1968500" cy="6350"/>
                    </a:xfrm>
                    <a:prstGeom prst="rect">
                      <a:avLst/>
                    </a:prstGeom>
                    <a:noFill/>
                  </pic:spPr>
                </pic:pic>
              </a:graphicData>
            </a:graphic>
          </wp:anchor>
        </w:drawing>
      </w:r>
    </w:p>
    <w:p>
      <w:pPr>
        <w:spacing w:after="0" w:line="2"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color w:val="auto"/>
        </w:rPr>
        <w:t>José A. Briones</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center"/>
        <w:ind w:right="1099"/>
        <w:spacing w:after="0"/>
        <w:rPr>
          <w:sz w:val="20"/>
          <w:szCs w:val="20"/>
          <w:color w:val="auto"/>
        </w:rPr>
      </w:pPr>
      <w:r>
        <w:rPr>
          <w:rFonts w:ascii="Arial" w:cs="Arial" w:eastAsia="Arial" w:hAnsi="Arial"/>
          <w:sz w:val="11"/>
          <w:szCs w:val="11"/>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9525</wp:posOffset>
            </wp:positionV>
            <wp:extent cx="329882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3">
                      <a:extLst>
                        <a:ext uri="{28A0092B-C50C-407E-A947-70E740481C1C}"/>
                      </a:extLst>
                    </a:blip>
                    <a:srcRect/>
                    <a:stretch>
                      <a:fillRect/>
                    </a:stretch>
                  </pic:blipFill>
                  <pic:spPr bwMode="auto">
                    <a:xfrm>
                      <a:off x="0" y="0"/>
                      <a:ext cx="3298825" cy="6350"/>
                    </a:xfrm>
                    <a:prstGeom prst="rect">
                      <a:avLst/>
                    </a:prstGeom>
                    <a:noFill/>
                  </pic:spPr>
                </pic:pic>
              </a:graphicData>
            </a:graphic>
          </wp:anchor>
        </w:drawing>
      </w:r>
    </w:p>
    <w:p>
      <w:pPr>
        <w:spacing w:after="0" w:line="78" w:lineRule="exact"/>
        <w:rPr>
          <w:sz w:val="20"/>
          <w:szCs w:val="20"/>
          <w:color w:val="auto"/>
        </w:rPr>
      </w:pPr>
    </w:p>
    <w:p>
      <w:pPr>
        <w:jc w:val="center"/>
        <w:ind w:right="1099"/>
        <w:spacing w:after="0"/>
        <w:rPr>
          <w:sz w:val="20"/>
          <w:szCs w:val="20"/>
          <w:color w:val="auto"/>
        </w:rPr>
      </w:pPr>
      <w:r>
        <w:rPr>
          <w:rFonts w:ascii="Arial" w:cs="Arial" w:eastAsia="Arial" w:hAnsi="Arial"/>
          <w:sz w:val="12"/>
          <w:szCs w:val="12"/>
          <w:color w:val="auto"/>
        </w:rPr>
        <w:t>Chief Executive Officer and Chairman of the Board of Directors</w:t>
      </w:r>
    </w:p>
    <w:p>
      <w:pPr>
        <w:spacing w:after="0" w:line="37" w:lineRule="exact"/>
        <w:rPr>
          <w:sz w:val="20"/>
          <w:szCs w:val="20"/>
          <w:color w:val="auto"/>
        </w:rPr>
      </w:pPr>
    </w:p>
    <w:p>
      <w:pPr>
        <w:jc w:val="center"/>
        <w:ind w:right="1099"/>
        <w:spacing w:after="0"/>
        <w:rPr>
          <w:sz w:val="20"/>
          <w:szCs w:val="20"/>
          <w:color w:val="auto"/>
        </w:rPr>
      </w:pPr>
      <w:r>
        <w:rPr>
          <w:rFonts w:ascii="Arial" w:cs="Arial" w:eastAsia="Arial" w:hAnsi="Arial"/>
          <w:sz w:val="14"/>
          <w:szCs w:val="14"/>
          <w:color w:val="auto"/>
        </w:rPr>
        <w:t>(Principal Executive Officer)</w:t>
      </w:r>
    </w:p>
    <w:p>
      <w:pPr>
        <w:spacing w:after="0" w:line="193" w:lineRule="exact"/>
        <w:rPr>
          <w:sz w:val="20"/>
          <w:szCs w:val="20"/>
          <w:color w:val="auto"/>
        </w:rPr>
      </w:pPr>
    </w:p>
    <w:p>
      <w:pPr>
        <w:jc w:val="center"/>
        <w:ind w:right="1099"/>
        <w:spacing w:after="0"/>
        <w:rPr>
          <w:sz w:val="20"/>
          <w:szCs w:val="20"/>
          <w:color w:val="auto"/>
        </w:rPr>
      </w:pPr>
      <w:r>
        <w:rPr>
          <w:rFonts w:ascii="Arial" w:cs="Arial" w:eastAsia="Arial" w:hAnsi="Arial"/>
          <w:sz w:val="14"/>
          <w:szCs w:val="14"/>
          <w:color w:val="auto"/>
        </w:rPr>
        <w:t>Chief Financial Officer and Treasurer</w:t>
      </w:r>
    </w:p>
    <w:p>
      <w:pPr>
        <w:spacing w:after="0" w:line="14" w:lineRule="exact"/>
        <w:rPr>
          <w:sz w:val="20"/>
          <w:szCs w:val="20"/>
          <w:color w:val="auto"/>
        </w:rPr>
      </w:pPr>
    </w:p>
    <w:p>
      <w:pPr>
        <w:jc w:val="center"/>
        <w:ind w:right="1099"/>
        <w:spacing w:after="0"/>
        <w:rPr>
          <w:sz w:val="20"/>
          <w:szCs w:val="20"/>
          <w:color w:val="auto"/>
        </w:rPr>
      </w:pPr>
      <w:r>
        <w:rPr>
          <w:rFonts w:ascii="Arial" w:cs="Arial" w:eastAsia="Arial" w:hAnsi="Arial"/>
          <w:sz w:val="14"/>
          <w:szCs w:val="14"/>
          <w:color w:val="auto"/>
        </w:rPr>
        <w:t>(Principal Financial and Accounting Officer)</w:t>
      </w:r>
    </w:p>
    <w:p>
      <w:pPr>
        <w:spacing w:after="0" w:line="182"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Director</w:t>
      </w:r>
    </w:p>
    <w:p>
      <w:pPr>
        <w:spacing w:after="0" w:line="357"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Director</w:t>
      </w:r>
    </w:p>
    <w:p>
      <w:pPr>
        <w:spacing w:after="0" w:line="357"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Director</w:t>
      </w:r>
    </w:p>
    <w:p>
      <w:pPr>
        <w:spacing w:after="0" w:line="357"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Director</w:t>
      </w:r>
    </w:p>
    <w:p>
      <w:pPr>
        <w:spacing w:after="0" w:line="357"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Director</w:t>
      </w:r>
    </w:p>
    <w:p>
      <w:pPr>
        <w:spacing w:after="0" w:line="285" w:lineRule="exact"/>
        <w:rPr>
          <w:sz w:val="20"/>
          <w:szCs w:val="20"/>
          <w:color w:val="auto"/>
        </w:rPr>
      </w:pPr>
    </w:p>
    <w:p>
      <w:pPr>
        <w:ind w:left="80"/>
        <w:spacing w:after="0"/>
        <w:rPr>
          <w:sz w:val="20"/>
          <w:szCs w:val="20"/>
          <w:color w:val="auto"/>
        </w:rPr>
      </w:pPr>
      <w:r>
        <w:rPr>
          <w:rFonts w:ascii="Arial" w:cs="Arial" w:eastAsia="Arial" w:hAnsi="Arial"/>
          <w:sz w:val="14"/>
          <w:szCs w:val="14"/>
          <w:color w:val="auto"/>
        </w:rPr>
        <w:t>83</w:t>
      </w:r>
    </w:p>
    <w:p>
      <w:pPr>
        <w:sectPr>
          <w:pgSz w:w="11900" w:h="16838" w:orient="portrait"/>
          <w:cols w:equalWidth="0" w:num="2">
            <w:col w:w="3640" w:space="720"/>
            <w:col w:w="4659"/>
          </w:cols>
          <w:pgMar w:left="1440" w:top="259" w:right="1440" w:bottom="1440" w:gutter="0" w:footer="0" w:header="0"/>
          <w:type w:val="continuous"/>
        </w:sectPr>
      </w:pPr>
    </w:p>
    <w:bookmarkStart w:id="87" w:name="page88"/>
    <w:bookmarkEnd w:id="87"/>
    <w:p>
      <w:pPr>
        <w:jc w:val="right"/>
        <w:spacing w:after="0"/>
        <w:rPr>
          <w:sz w:val="20"/>
          <w:szCs w:val="20"/>
          <w:color w:val="auto"/>
        </w:rPr>
      </w:pPr>
      <w:r>
        <w:rPr>
          <w:rFonts w:ascii="Arial" w:cs="Arial" w:eastAsia="Arial" w:hAnsi="Arial"/>
          <w:sz w:val="14"/>
          <w:szCs w:val="14"/>
          <w:b w:val="1"/>
          <w:bCs w:val="1"/>
          <w:color w:val="auto"/>
        </w:rPr>
        <w:t>Exhibit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716407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4">
                      <a:extLst>
                        <a:ext uri="{28A0092B-C50C-407E-A947-70E740481C1C}"/>
                      </a:extLst>
                    </a:blip>
                    <a:srcRect/>
                    <a:stretch>
                      <a:fillRect/>
                    </a:stretch>
                  </pic:blipFill>
                  <pic:spPr bwMode="auto">
                    <a:xfrm>
                      <a:off x="0" y="0"/>
                      <a:ext cx="716407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716407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5">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167005</wp:posOffset>
            </wp:positionV>
            <wp:extent cx="150114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6">
                      <a:extLst>
                        <a:ext uri="{28A0092B-C50C-407E-A947-70E740481C1C}"/>
                      </a:extLst>
                    </a:blip>
                    <a:srcRect/>
                    <a:stretch>
                      <a:fillRect/>
                    </a:stretch>
                  </pic:blipFill>
                  <pic:spPr bwMode="auto">
                    <a:xfrm>
                      <a:off x="0" y="0"/>
                      <a:ext cx="1501140" cy="6350"/>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186690</wp:posOffset>
            </wp:positionV>
            <wp:extent cx="150114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7">
                      <a:extLst>
                        <a:ext uri="{28A0092B-C50C-407E-A947-70E740481C1C}"/>
                      </a:extLst>
                    </a:blip>
                    <a:srcRect/>
                    <a:stretch>
                      <a:fillRect/>
                    </a:stretch>
                  </pic:blipFill>
                  <pic:spPr bwMode="auto">
                    <a:xfrm>
                      <a:off x="0" y="0"/>
                      <a:ext cx="1501140" cy="63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 OF ELIGIBILITY</w:t>
      </w:r>
    </w:p>
    <w:p>
      <w:pPr>
        <w:jc w:val="center"/>
        <w:spacing w:after="0"/>
        <w:rPr>
          <w:sz w:val="20"/>
          <w:szCs w:val="20"/>
          <w:color w:val="auto"/>
        </w:rPr>
      </w:pPr>
      <w:r>
        <w:rPr>
          <w:rFonts w:ascii="Arial" w:cs="Arial" w:eastAsia="Arial" w:hAnsi="Arial"/>
          <w:sz w:val="17"/>
          <w:szCs w:val="17"/>
          <w:b w:val="1"/>
          <w:bCs w:val="1"/>
          <w:color w:val="auto"/>
        </w:rPr>
        <w:t>UNDER THE TRUST INDENTURE ACT OF 1939 OF A</w:t>
      </w:r>
    </w:p>
    <w:p>
      <w:pPr>
        <w:jc w:val="center"/>
        <w:spacing w:after="0"/>
        <w:rPr>
          <w:sz w:val="20"/>
          <w:szCs w:val="20"/>
          <w:color w:val="auto"/>
        </w:rPr>
      </w:pPr>
      <w:r>
        <w:rPr>
          <w:rFonts w:ascii="Arial" w:cs="Arial" w:eastAsia="Arial" w:hAnsi="Arial"/>
          <w:sz w:val="17"/>
          <w:szCs w:val="17"/>
          <w:b w:val="1"/>
          <w:bCs w:val="1"/>
          <w:color w:val="auto"/>
        </w:rPr>
        <w:t>CORPORATION DESIGNATED TO ACT AS TRUSTEE</w:t>
      </w:r>
    </w:p>
    <w:p>
      <w:pPr>
        <w:spacing w:after="0" w:line="160" w:lineRule="exact"/>
        <w:rPr>
          <w:sz w:val="20"/>
          <w:szCs w:val="20"/>
          <w:color w:val="auto"/>
        </w:rPr>
      </w:pPr>
    </w:p>
    <w:p>
      <w:pPr>
        <w:ind w:left="440" w:hanging="437"/>
        <w:spacing w:after="0"/>
        <w:tabs>
          <w:tab w:leader="none" w:pos="440" w:val="left"/>
        </w:tabs>
        <w:numPr>
          <w:ilvl w:val="0"/>
          <w:numId w:val="63"/>
        </w:numPr>
        <w:rPr>
          <w:rFonts w:ascii="MS PGothic" w:cs="MS PGothic" w:eastAsia="MS PGothic" w:hAnsi="MS PGothic"/>
          <w:sz w:val="17"/>
          <w:szCs w:val="17"/>
          <w:color w:val="auto"/>
        </w:rPr>
      </w:pPr>
      <w:r>
        <w:rPr>
          <w:rFonts w:ascii="Arial" w:cs="Arial" w:eastAsia="Arial" w:hAnsi="Arial"/>
          <w:sz w:val="17"/>
          <w:szCs w:val="17"/>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191770</wp:posOffset>
            </wp:positionV>
            <wp:extent cx="150114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8">
                      <a:extLst>
                        <a:ext uri="{28A0092B-C50C-407E-A947-70E740481C1C}"/>
                      </a:extLst>
                    </a:blip>
                    <a:srcRect/>
                    <a:stretch>
                      <a:fillRect/>
                    </a:stretch>
                  </pic:blipFill>
                  <pic:spPr bwMode="auto">
                    <a:xfrm>
                      <a:off x="0" y="0"/>
                      <a:ext cx="1501140" cy="63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33"/>
          <w:szCs w:val="33"/>
          <w:b w:val="1"/>
          <w:bCs w:val="1"/>
          <w:color w:val="auto"/>
        </w:rPr>
        <w:t>AMERICAN STOCK TRANSFER &amp; TRUST COMPANY, LLC</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080" w:type="dxa"/>
            <w:vAlign w:val="bottom"/>
          </w:tcPr>
          <w:p>
            <w:pPr>
              <w:spacing w:after="0"/>
              <w:rPr>
                <w:sz w:val="15"/>
                <w:szCs w:val="15"/>
                <w:color w:val="auto"/>
              </w:rPr>
            </w:pPr>
          </w:p>
        </w:tc>
        <w:tc>
          <w:tcPr>
            <w:tcW w:w="7200" w:type="dxa"/>
            <w:vAlign w:val="bottom"/>
            <w:gridSpan w:val="5"/>
          </w:tcPr>
          <w:p>
            <w:pPr>
              <w:jc w:val="center"/>
              <w:ind w:right="4025"/>
              <w:spacing w:after="0"/>
              <w:rPr>
                <w:sz w:val="20"/>
                <w:szCs w:val="20"/>
                <w:color w:val="auto"/>
              </w:rPr>
            </w:pPr>
            <w:r>
              <w:rPr>
                <w:rFonts w:ascii="Arial" w:cs="Arial" w:eastAsia="Arial" w:hAnsi="Arial"/>
                <w:sz w:val="14"/>
                <w:szCs w:val="14"/>
                <w:b w:val="1"/>
                <w:bCs w:val="1"/>
                <w:color w:val="auto"/>
                <w:w w:val="88"/>
              </w:rPr>
              <w:t>(Exact name of trustee as specified in its charter)</w:t>
            </w:r>
          </w:p>
        </w:tc>
      </w:tr>
      <w:tr>
        <w:trPr>
          <w:trHeight w:val="255"/>
        </w:trPr>
        <w:tc>
          <w:tcPr>
            <w:tcW w:w="4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440" w:type="dxa"/>
            <w:vAlign w:val="bottom"/>
          </w:tcPr>
          <w:p>
            <w:pPr>
              <w:spacing w:after="0"/>
              <w:rPr>
                <w:sz w:val="22"/>
                <w:szCs w:val="22"/>
                <w:color w:val="auto"/>
              </w:rPr>
            </w:pPr>
          </w:p>
        </w:tc>
      </w:tr>
      <w:tr>
        <w:trPr>
          <w:trHeight w:val="357"/>
        </w:trPr>
        <w:tc>
          <w:tcPr>
            <w:tcW w:w="4080" w:type="dxa"/>
            <w:vAlign w:val="bottom"/>
          </w:tcPr>
          <w:p>
            <w:pPr>
              <w:jc w:val="center"/>
              <w:ind w:left="1559"/>
              <w:spacing w:after="0"/>
              <w:rPr>
                <w:sz w:val="20"/>
                <w:szCs w:val="20"/>
                <w:color w:val="auto"/>
              </w:rPr>
            </w:pPr>
            <w:r>
              <w:rPr>
                <w:rFonts w:ascii="Arial" w:cs="Arial" w:eastAsia="Arial" w:hAnsi="Arial"/>
                <w:sz w:val="14"/>
                <w:szCs w:val="14"/>
                <w:b w:val="1"/>
                <w:bCs w:val="1"/>
                <w:color w:val="auto"/>
                <w:w w:val="90"/>
              </w:rPr>
              <w:t>New York</w:t>
            </w:r>
          </w:p>
        </w:tc>
        <w:tc>
          <w:tcPr>
            <w:tcW w:w="7200" w:type="dxa"/>
            <w:vAlign w:val="bottom"/>
            <w:gridSpan w:val="5"/>
          </w:tcPr>
          <w:p>
            <w:pPr>
              <w:jc w:val="center"/>
              <w:ind w:left="1674"/>
              <w:spacing w:after="0"/>
              <w:rPr>
                <w:sz w:val="20"/>
                <w:szCs w:val="20"/>
                <w:color w:val="auto"/>
              </w:rPr>
            </w:pPr>
            <w:r>
              <w:rPr>
                <w:rFonts w:ascii="Arial" w:cs="Arial" w:eastAsia="Arial" w:hAnsi="Arial"/>
                <w:sz w:val="14"/>
                <w:szCs w:val="14"/>
                <w:b w:val="1"/>
                <w:bCs w:val="1"/>
                <w:color w:val="auto"/>
                <w:w w:val="88"/>
              </w:rPr>
              <w:t>13-3439945</w:t>
            </w:r>
          </w:p>
        </w:tc>
      </w:tr>
      <w:tr>
        <w:trPr>
          <w:trHeight w:val="114"/>
        </w:trPr>
        <w:tc>
          <w:tcPr>
            <w:tcW w:w="4080" w:type="dxa"/>
            <w:vAlign w:val="bottom"/>
          </w:tcPr>
          <w:p>
            <w:pPr>
              <w:jc w:val="center"/>
              <w:ind w:left="1579"/>
              <w:spacing w:after="0" w:line="114" w:lineRule="exact"/>
              <w:rPr>
                <w:sz w:val="20"/>
                <w:szCs w:val="20"/>
                <w:color w:val="auto"/>
              </w:rPr>
            </w:pPr>
            <w:r>
              <w:rPr>
                <w:rFonts w:ascii="Arial" w:cs="Arial" w:eastAsia="Arial" w:hAnsi="Arial"/>
                <w:sz w:val="11"/>
                <w:szCs w:val="11"/>
                <w:b w:val="1"/>
                <w:bCs w:val="1"/>
                <w:color w:val="auto"/>
                <w:w w:val="91"/>
              </w:rPr>
              <w:t>(State of incorporation of</w:t>
            </w: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40" w:type="dxa"/>
            <w:vAlign w:val="bottom"/>
          </w:tcPr>
          <w:p>
            <w:pPr>
              <w:jc w:val="center"/>
              <w:ind w:right="985"/>
              <w:spacing w:after="0" w:line="114" w:lineRule="exact"/>
              <w:rPr>
                <w:sz w:val="20"/>
                <w:szCs w:val="20"/>
                <w:color w:val="auto"/>
              </w:rPr>
            </w:pPr>
            <w:r>
              <w:rPr>
                <w:rFonts w:ascii="Arial" w:cs="Arial" w:eastAsia="Arial" w:hAnsi="Arial"/>
                <w:sz w:val="11"/>
                <w:szCs w:val="11"/>
                <w:b w:val="1"/>
                <w:bCs w:val="1"/>
                <w:color w:val="auto"/>
                <w:w w:val="94"/>
              </w:rPr>
              <w:t>(I.R.S. Employer</w:t>
            </w:r>
          </w:p>
        </w:tc>
      </w:tr>
      <w:tr>
        <w:trPr>
          <w:trHeight w:val="142"/>
        </w:trPr>
        <w:tc>
          <w:tcPr>
            <w:tcW w:w="4080" w:type="dxa"/>
            <w:vAlign w:val="bottom"/>
          </w:tcPr>
          <w:p>
            <w:pPr>
              <w:jc w:val="center"/>
              <w:ind w:left="1559"/>
              <w:spacing w:after="0"/>
              <w:rPr>
                <w:sz w:val="20"/>
                <w:szCs w:val="20"/>
                <w:color w:val="auto"/>
              </w:rPr>
            </w:pPr>
            <w:r>
              <w:rPr>
                <w:rFonts w:ascii="Arial" w:cs="Arial" w:eastAsia="Arial" w:hAnsi="Arial"/>
                <w:sz w:val="11"/>
                <w:szCs w:val="11"/>
                <w:b w:val="1"/>
                <w:bCs w:val="1"/>
                <w:color w:val="auto"/>
                <w:w w:val="91"/>
              </w:rPr>
              <w:t>organization if not a U.S. national bank)</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40" w:type="dxa"/>
            <w:vAlign w:val="bottom"/>
          </w:tcPr>
          <w:p>
            <w:pPr>
              <w:jc w:val="center"/>
              <w:ind w:right="965"/>
              <w:spacing w:after="0"/>
              <w:rPr>
                <w:sz w:val="20"/>
                <w:szCs w:val="20"/>
                <w:color w:val="auto"/>
              </w:rPr>
            </w:pPr>
            <w:r>
              <w:rPr>
                <w:rFonts w:ascii="Arial" w:cs="Arial" w:eastAsia="Arial" w:hAnsi="Arial"/>
                <w:sz w:val="11"/>
                <w:szCs w:val="11"/>
                <w:b w:val="1"/>
                <w:bCs w:val="1"/>
                <w:color w:val="auto"/>
                <w:w w:val="94"/>
              </w:rPr>
              <w:t>Identification Number)</w:t>
            </w:r>
          </w:p>
        </w:tc>
      </w:tr>
      <w:tr>
        <w:trPr>
          <w:trHeight w:val="335"/>
        </w:trPr>
        <w:tc>
          <w:tcPr>
            <w:tcW w:w="4080" w:type="dxa"/>
            <w:vAlign w:val="bottom"/>
          </w:tcPr>
          <w:p>
            <w:pPr>
              <w:jc w:val="center"/>
              <w:ind w:left="1579"/>
              <w:spacing w:after="0"/>
              <w:rPr>
                <w:sz w:val="20"/>
                <w:szCs w:val="20"/>
                <w:color w:val="auto"/>
              </w:rPr>
            </w:pPr>
            <w:r>
              <w:rPr>
                <w:rFonts w:ascii="Arial" w:cs="Arial" w:eastAsia="Arial" w:hAnsi="Arial"/>
                <w:sz w:val="14"/>
                <w:szCs w:val="14"/>
                <w:b w:val="1"/>
                <w:bCs w:val="1"/>
                <w:color w:val="auto"/>
                <w:w w:val="88"/>
              </w:rPr>
              <w:t>6201 15</w:t>
            </w:r>
            <w:r>
              <w:rPr>
                <w:rFonts w:ascii="Arial" w:cs="Arial" w:eastAsia="Arial" w:hAnsi="Arial"/>
                <w:sz w:val="20"/>
                <w:szCs w:val="20"/>
                <w:b w:val="1"/>
                <w:bCs w:val="1"/>
                <w:color w:val="auto"/>
                <w:w w:val="88"/>
                <w:vertAlign w:val="superscript"/>
              </w:rPr>
              <w:t>th</w:t>
            </w:r>
            <w:r>
              <w:rPr>
                <w:rFonts w:ascii="Arial" w:cs="Arial" w:eastAsia="Arial" w:hAnsi="Arial"/>
                <w:sz w:val="14"/>
                <w:szCs w:val="14"/>
                <w:b w:val="1"/>
                <w:bCs w:val="1"/>
                <w:color w:val="auto"/>
                <w:w w:val="88"/>
              </w:rPr>
              <w:t xml:space="preserve"> Avenue, Brooklyn, New York</w:t>
            </w:r>
          </w:p>
        </w:tc>
        <w:tc>
          <w:tcPr>
            <w:tcW w:w="7200" w:type="dxa"/>
            <w:vAlign w:val="bottom"/>
            <w:gridSpan w:val="5"/>
          </w:tcPr>
          <w:p>
            <w:pPr>
              <w:jc w:val="center"/>
              <w:ind w:left="1674"/>
              <w:spacing w:after="0"/>
              <w:rPr>
                <w:sz w:val="20"/>
                <w:szCs w:val="20"/>
                <w:color w:val="auto"/>
              </w:rPr>
            </w:pPr>
            <w:r>
              <w:rPr>
                <w:rFonts w:ascii="Arial" w:cs="Arial" w:eastAsia="Arial" w:hAnsi="Arial"/>
                <w:sz w:val="14"/>
                <w:szCs w:val="14"/>
                <w:b w:val="1"/>
                <w:bCs w:val="1"/>
                <w:color w:val="auto"/>
                <w:w w:val="87"/>
              </w:rPr>
              <w:t>11219</w:t>
            </w:r>
          </w:p>
        </w:tc>
      </w:tr>
      <w:tr>
        <w:trPr>
          <w:trHeight w:val="142"/>
        </w:trPr>
        <w:tc>
          <w:tcPr>
            <w:tcW w:w="4080" w:type="dxa"/>
            <w:vAlign w:val="bottom"/>
          </w:tcPr>
          <w:p>
            <w:pPr>
              <w:jc w:val="center"/>
              <w:ind w:left="1559"/>
              <w:spacing w:after="0"/>
              <w:rPr>
                <w:sz w:val="20"/>
                <w:szCs w:val="20"/>
                <w:color w:val="auto"/>
              </w:rPr>
            </w:pPr>
            <w:r>
              <w:rPr>
                <w:rFonts w:ascii="Arial" w:cs="Arial" w:eastAsia="Arial" w:hAnsi="Arial"/>
                <w:sz w:val="11"/>
                <w:szCs w:val="11"/>
                <w:b w:val="1"/>
                <w:bCs w:val="1"/>
                <w:color w:val="auto"/>
                <w:w w:val="88"/>
              </w:rPr>
              <w:t>(Address of principal executive offices)</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40" w:type="dxa"/>
            <w:vAlign w:val="bottom"/>
          </w:tcPr>
          <w:p>
            <w:pPr>
              <w:jc w:val="center"/>
              <w:ind w:right="965"/>
              <w:spacing w:after="0"/>
              <w:rPr>
                <w:sz w:val="20"/>
                <w:szCs w:val="20"/>
                <w:color w:val="auto"/>
              </w:rPr>
            </w:pPr>
            <w:r>
              <w:rPr>
                <w:rFonts w:ascii="Arial" w:cs="Arial" w:eastAsia="Arial" w:hAnsi="Arial"/>
                <w:sz w:val="11"/>
                <w:szCs w:val="11"/>
                <w:b w:val="1"/>
                <w:bCs w:val="1"/>
                <w:color w:val="auto"/>
                <w:w w:val="91"/>
              </w:rPr>
              <w:t>(Zip Code)</w:t>
            </w:r>
          </w:p>
        </w:tc>
      </w:tr>
      <w:tr>
        <w:trPr>
          <w:trHeight w:val="306"/>
        </w:trPr>
        <w:tc>
          <w:tcPr>
            <w:tcW w:w="4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3"/>
          </w:tcPr>
          <w:p>
            <w:pPr>
              <w:jc w:val="center"/>
              <w:ind w:right="4405"/>
              <w:spacing w:after="0"/>
              <w:rPr>
                <w:sz w:val="20"/>
                <w:szCs w:val="20"/>
                <w:color w:val="auto"/>
              </w:rPr>
            </w:pPr>
            <w:r>
              <w:rPr>
                <w:rFonts w:ascii="Arial" w:cs="Arial" w:eastAsia="Arial" w:hAnsi="Arial"/>
                <w:sz w:val="14"/>
                <w:szCs w:val="14"/>
                <w:b w:val="1"/>
                <w:bCs w:val="1"/>
                <w:color w:val="auto"/>
                <w:w w:val="95"/>
              </w:rPr>
              <w:t>Paul H. Kim</w:t>
            </w:r>
          </w:p>
        </w:tc>
      </w:tr>
      <w:tr>
        <w:trPr>
          <w:trHeight w:val="166"/>
        </w:trPr>
        <w:tc>
          <w:tcPr>
            <w:tcW w:w="4080" w:type="dxa"/>
            <w:vAlign w:val="bottom"/>
          </w:tcPr>
          <w:p>
            <w:pPr>
              <w:spacing w:after="0"/>
              <w:rPr>
                <w:sz w:val="14"/>
                <w:szCs w:val="14"/>
                <w:color w:val="auto"/>
              </w:rPr>
            </w:pPr>
          </w:p>
        </w:tc>
        <w:tc>
          <w:tcPr>
            <w:tcW w:w="7200" w:type="dxa"/>
            <w:vAlign w:val="bottom"/>
            <w:gridSpan w:val="5"/>
          </w:tcPr>
          <w:p>
            <w:pPr>
              <w:jc w:val="center"/>
              <w:ind w:right="4025"/>
              <w:spacing w:after="0"/>
              <w:rPr>
                <w:sz w:val="20"/>
                <w:szCs w:val="20"/>
                <w:color w:val="auto"/>
              </w:rPr>
            </w:pPr>
            <w:r>
              <w:rPr>
                <w:rFonts w:ascii="Arial" w:cs="Arial" w:eastAsia="Arial" w:hAnsi="Arial"/>
                <w:sz w:val="14"/>
                <w:szCs w:val="14"/>
                <w:b w:val="1"/>
                <w:bCs w:val="1"/>
                <w:color w:val="auto"/>
                <w:w w:val="92"/>
              </w:rPr>
              <w:t>American Stock Transfer &amp; Trust Company, LLC</w:t>
            </w:r>
          </w:p>
        </w:tc>
      </w:tr>
      <w:tr>
        <w:trPr>
          <w:trHeight w:val="166"/>
        </w:trPr>
        <w:tc>
          <w:tcPr>
            <w:tcW w:w="4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0" w:type="dxa"/>
            <w:vAlign w:val="bottom"/>
            <w:gridSpan w:val="3"/>
          </w:tcPr>
          <w:p>
            <w:pPr>
              <w:jc w:val="center"/>
              <w:ind w:right="4425"/>
              <w:spacing w:after="0"/>
              <w:rPr>
                <w:sz w:val="20"/>
                <w:szCs w:val="20"/>
                <w:color w:val="auto"/>
              </w:rPr>
            </w:pPr>
            <w:r>
              <w:rPr>
                <w:rFonts w:ascii="Arial" w:cs="Arial" w:eastAsia="Arial" w:hAnsi="Arial"/>
                <w:sz w:val="14"/>
                <w:szCs w:val="14"/>
                <w:b w:val="1"/>
                <w:bCs w:val="1"/>
                <w:color w:val="auto"/>
                <w:w w:val="87"/>
              </w:rPr>
              <w:t>6201 15th Avenue</w:t>
            </w:r>
          </w:p>
        </w:tc>
      </w:tr>
      <w:tr>
        <w:trPr>
          <w:trHeight w:val="166"/>
        </w:trPr>
        <w:tc>
          <w:tcPr>
            <w:tcW w:w="4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0" w:type="dxa"/>
            <w:vAlign w:val="bottom"/>
            <w:gridSpan w:val="3"/>
          </w:tcPr>
          <w:p>
            <w:pPr>
              <w:jc w:val="center"/>
              <w:ind w:right="4425"/>
              <w:spacing w:after="0"/>
              <w:rPr>
                <w:sz w:val="20"/>
                <w:szCs w:val="20"/>
                <w:color w:val="auto"/>
              </w:rPr>
            </w:pPr>
            <w:r>
              <w:rPr>
                <w:rFonts w:ascii="Arial" w:cs="Arial" w:eastAsia="Arial" w:hAnsi="Arial"/>
                <w:sz w:val="14"/>
                <w:szCs w:val="14"/>
                <w:b w:val="1"/>
                <w:bCs w:val="1"/>
                <w:color w:val="auto"/>
                <w:w w:val="91"/>
              </w:rPr>
              <w:t>Brooklyn, NY 11219</w:t>
            </w:r>
          </w:p>
        </w:tc>
      </w:tr>
      <w:tr>
        <w:trPr>
          <w:trHeight w:val="163"/>
        </w:trPr>
        <w:tc>
          <w:tcPr>
            <w:tcW w:w="4080" w:type="dxa"/>
            <w:vAlign w:val="bottom"/>
          </w:tcPr>
          <w:p>
            <w:pPr>
              <w:spacing w:after="0"/>
              <w:rPr>
                <w:sz w:val="14"/>
                <w:szCs w:val="14"/>
                <w:color w:val="auto"/>
              </w:rPr>
            </w:pPr>
          </w:p>
        </w:tc>
        <w:tc>
          <w:tcPr>
            <w:tcW w:w="2740" w:type="dxa"/>
            <w:vAlign w:val="bottom"/>
            <w:gridSpan w:val="3"/>
          </w:tcPr>
          <w:p>
            <w:pPr>
              <w:jc w:val="center"/>
              <w:ind w:left="334"/>
              <w:spacing w:after="0"/>
              <w:rPr>
                <w:sz w:val="20"/>
                <w:szCs w:val="20"/>
                <w:color w:val="auto"/>
              </w:rPr>
            </w:pPr>
            <w:r>
              <w:rPr>
                <w:rFonts w:ascii="Arial" w:cs="Arial" w:eastAsia="Arial" w:hAnsi="Arial"/>
                <w:sz w:val="14"/>
                <w:szCs w:val="14"/>
                <w:b w:val="1"/>
                <w:bCs w:val="1"/>
                <w:color w:val="auto"/>
                <w:w w:val="89"/>
              </w:rPr>
              <w:t>(718) 921-8183</w:t>
            </w:r>
          </w:p>
        </w:tc>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142"/>
        </w:trPr>
        <w:tc>
          <w:tcPr>
            <w:tcW w:w="4080" w:type="dxa"/>
            <w:vAlign w:val="bottom"/>
          </w:tcPr>
          <w:p>
            <w:pPr>
              <w:spacing w:after="0"/>
              <w:rPr>
                <w:sz w:val="12"/>
                <w:szCs w:val="12"/>
                <w:color w:val="auto"/>
              </w:rPr>
            </w:pPr>
          </w:p>
        </w:tc>
        <w:tc>
          <w:tcPr>
            <w:tcW w:w="7200" w:type="dxa"/>
            <w:vAlign w:val="bottom"/>
            <w:gridSpan w:val="5"/>
          </w:tcPr>
          <w:p>
            <w:pPr>
              <w:jc w:val="center"/>
              <w:ind w:right="4005"/>
              <w:spacing w:after="0"/>
              <w:rPr>
                <w:sz w:val="20"/>
                <w:szCs w:val="20"/>
                <w:color w:val="auto"/>
              </w:rPr>
            </w:pPr>
            <w:r>
              <w:rPr>
                <w:rFonts w:ascii="Arial" w:cs="Arial" w:eastAsia="Arial" w:hAnsi="Arial"/>
                <w:sz w:val="11"/>
                <w:szCs w:val="11"/>
                <w:b w:val="1"/>
                <w:bCs w:val="1"/>
                <w:color w:val="auto"/>
                <w:w w:val="89"/>
              </w:rPr>
              <w:t>(Name, address and telephone number of agent for service)</w:t>
            </w:r>
          </w:p>
        </w:tc>
      </w:tr>
      <w:tr>
        <w:trPr>
          <w:trHeight w:val="258"/>
        </w:trPr>
        <w:tc>
          <w:tcPr>
            <w:tcW w:w="4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380" w:type="dxa"/>
            <w:vAlign w:val="bottom"/>
            <w:tcBorders>
              <w:bottom w:val="single" w:sz="8" w:color="auto"/>
            </w:tcBorders>
            <w:gridSpan w:val="3"/>
          </w:tcPr>
          <w:p>
            <w:pPr>
              <w:spacing w:after="0"/>
              <w:rPr>
                <w:sz w:val="22"/>
                <w:szCs w:val="22"/>
                <w:color w:val="auto"/>
              </w:rPr>
            </w:pPr>
          </w:p>
        </w:tc>
        <w:tc>
          <w:tcPr>
            <w:tcW w:w="4440" w:type="dxa"/>
            <w:vAlign w:val="bottom"/>
          </w:tcPr>
          <w:p>
            <w:pPr>
              <w:spacing w:after="0"/>
              <w:rPr>
                <w:sz w:val="22"/>
                <w:szCs w:val="22"/>
                <w:color w:val="auto"/>
              </w:rPr>
            </w:pPr>
          </w:p>
        </w:tc>
      </w:tr>
      <w:tr>
        <w:trPr>
          <w:trHeight w:val="305"/>
        </w:trPr>
        <w:tc>
          <w:tcPr>
            <w:tcW w:w="4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20" w:type="dxa"/>
            <w:vAlign w:val="bottom"/>
            <w:gridSpan w:val="4"/>
          </w:tcPr>
          <w:p>
            <w:pPr>
              <w:jc w:val="center"/>
              <w:ind w:right="4385"/>
              <w:spacing w:after="0"/>
              <w:rPr>
                <w:sz w:val="20"/>
                <w:szCs w:val="20"/>
                <w:color w:val="auto"/>
              </w:rPr>
            </w:pPr>
            <w:r>
              <w:rPr>
                <w:rFonts w:ascii="Arial" w:cs="Arial" w:eastAsia="Arial" w:hAnsi="Arial"/>
                <w:sz w:val="14"/>
                <w:szCs w:val="14"/>
                <w:b w:val="1"/>
                <w:bCs w:val="1"/>
                <w:color w:val="auto"/>
                <w:w w:val="92"/>
              </w:rPr>
              <w:t>PennantPark Floating Rate Capital Ltd.</w:t>
            </w:r>
          </w:p>
        </w:tc>
      </w:tr>
      <w:tr>
        <w:trPr>
          <w:trHeight w:val="142"/>
        </w:trPr>
        <w:tc>
          <w:tcPr>
            <w:tcW w:w="4080" w:type="dxa"/>
            <w:vAlign w:val="bottom"/>
          </w:tcPr>
          <w:p>
            <w:pPr>
              <w:spacing w:after="0"/>
              <w:rPr>
                <w:sz w:val="12"/>
                <w:szCs w:val="12"/>
                <w:color w:val="auto"/>
              </w:rPr>
            </w:pPr>
          </w:p>
        </w:tc>
        <w:tc>
          <w:tcPr>
            <w:tcW w:w="7200" w:type="dxa"/>
            <w:vAlign w:val="bottom"/>
            <w:gridSpan w:val="5"/>
          </w:tcPr>
          <w:p>
            <w:pPr>
              <w:jc w:val="center"/>
              <w:ind w:right="4005"/>
              <w:spacing w:after="0"/>
              <w:rPr>
                <w:sz w:val="20"/>
                <w:szCs w:val="20"/>
                <w:color w:val="auto"/>
              </w:rPr>
            </w:pPr>
            <w:r>
              <w:rPr>
                <w:rFonts w:ascii="Arial" w:cs="Arial" w:eastAsia="Arial" w:hAnsi="Arial"/>
                <w:sz w:val="11"/>
                <w:szCs w:val="11"/>
                <w:b w:val="1"/>
                <w:bCs w:val="1"/>
                <w:color w:val="auto"/>
                <w:w w:val="89"/>
              </w:rPr>
              <w:t>(Exact name of obligor as specified in its character)</w:t>
            </w:r>
          </w:p>
        </w:tc>
      </w:tr>
      <w:tr>
        <w:trPr>
          <w:trHeight w:val="258"/>
        </w:trPr>
        <w:tc>
          <w:tcPr>
            <w:tcW w:w="4080" w:type="dxa"/>
            <w:vAlign w:val="bottom"/>
          </w:tcPr>
          <w:p>
            <w:pPr>
              <w:spacing w:after="0"/>
              <w:rPr>
                <w:sz w:val="22"/>
                <w:szCs w:val="22"/>
                <w:color w:val="auto"/>
              </w:rPr>
            </w:pPr>
          </w:p>
        </w:tc>
        <w:tc>
          <w:tcPr>
            <w:tcW w:w="400" w:type="dxa"/>
            <w:vAlign w:val="bottom"/>
            <w:gridSpan w:val="2"/>
          </w:tcPr>
          <w:p>
            <w:pPr>
              <w:spacing w:after="0"/>
              <w:rPr>
                <w:sz w:val="22"/>
                <w:szCs w:val="22"/>
                <w:color w:val="auto"/>
              </w:rPr>
            </w:pPr>
          </w:p>
        </w:tc>
        <w:tc>
          <w:tcPr>
            <w:tcW w:w="2340" w:type="dxa"/>
            <w:vAlign w:val="bottom"/>
            <w:tcBorders>
              <w:bottom w:val="single" w:sz="8" w:color="auto"/>
            </w:tcBorders>
          </w:tcPr>
          <w:p>
            <w:pPr>
              <w:spacing w:after="0"/>
              <w:rPr>
                <w:sz w:val="22"/>
                <w:szCs w:val="22"/>
                <w:color w:val="auto"/>
              </w:rPr>
            </w:pPr>
          </w:p>
        </w:tc>
        <w:tc>
          <w:tcPr>
            <w:tcW w:w="4460" w:type="dxa"/>
            <w:vAlign w:val="bottom"/>
            <w:gridSpan w:val="2"/>
          </w:tcPr>
          <w:p>
            <w:pPr>
              <w:spacing w:after="0"/>
              <w:rPr>
                <w:sz w:val="22"/>
                <w:szCs w:val="22"/>
                <w:color w:val="auto"/>
              </w:rPr>
            </w:pPr>
          </w:p>
        </w:tc>
      </w:tr>
      <w:tr>
        <w:trPr>
          <w:trHeight w:val="357"/>
        </w:trPr>
        <w:tc>
          <w:tcPr>
            <w:tcW w:w="4080" w:type="dxa"/>
            <w:vAlign w:val="bottom"/>
          </w:tcPr>
          <w:p>
            <w:pPr>
              <w:jc w:val="center"/>
              <w:ind w:left="1579"/>
              <w:spacing w:after="0"/>
              <w:rPr>
                <w:sz w:val="20"/>
                <w:szCs w:val="20"/>
                <w:color w:val="auto"/>
              </w:rPr>
            </w:pPr>
            <w:r>
              <w:rPr>
                <w:rFonts w:ascii="Arial" w:cs="Arial" w:eastAsia="Arial" w:hAnsi="Arial"/>
                <w:sz w:val="14"/>
                <w:szCs w:val="14"/>
                <w:b w:val="1"/>
                <w:bCs w:val="1"/>
                <w:color w:val="auto"/>
                <w:w w:val="97"/>
              </w:rPr>
              <w:t>Maryland</w:t>
            </w:r>
          </w:p>
        </w:tc>
        <w:tc>
          <w:tcPr>
            <w:tcW w:w="7200" w:type="dxa"/>
            <w:vAlign w:val="bottom"/>
            <w:gridSpan w:val="5"/>
          </w:tcPr>
          <w:p>
            <w:pPr>
              <w:jc w:val="center"/>
              <w:ind w:left="1674"/>
              <w:spacing w:after="0"/>
              <w:rPr>
                <w:sz w:val="20"/>
                <w:szCs w:val="20"/>
                <w:color w:val="auto"/>
              </w:rPr>
            </w:pPr>
            <w:r>
              <w:rPr>
                <w:rFonts w:ascii="Arial" w:cs="Arial" w:eastAsia="Arial" w:hAnsi="Arial"/>
                <w:sz w:val="14"/>
                <w:szCs w:val="14"/>
                <w:b w:val="1"/>
                <w:bCs w:val="1"/>
                <w:color w:val="auto"/>
                <w:w w:val="88"/>
              </w:rPr>
              <w:t>27-3794690</w:t>
            </w:r>
          </w:p>
        </w:tc>
      </w:tr>
      <w:tr>
        <w:trPr>
          <w:trHeight w:val="114"/>
        </w:trPr>
        <w:tc>
          <w:tcPr>
            <w:tcW w:w="4080" w:type="dxa"/>
            <w:vAlign w:val="bottom"/>
          </w:tcPr>
          <w:p>
            <w:pPr>
              <w:jc w:val="center"/>
              <w:ind w:left="1559"/>
              <w:spacing w:after="0" w:line="114" w:lineRule="exact"/>
              <w:rPr>
                <w:sz w:val="20"/>
                <w:szCs w:val="20"/>
                <w:color w:val="auto"/>
              </w:rPr>
            </w:pPr>
            <w:r>
              <w:rPr>
                <w:rFonts w:ascii="Arial" w:cs="Arial" w:eastAsia="Arial" w:hAnsi="Arial"/>
                <w:sz w:val="11"/>
                <w:szCs w:val="11"/>
                <w:b w:val="1"/>
                <w:bCs w:val="1"/>
                <w:color w:val="auto"/>
                <w:w w:val="91"/>
              </w:rPr>
              <w:t>(State or other jurisdiction of</w:t>
            </w: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40" w:type="dxa"/>
            <w:vAlign w:val="bottom"/>
          </w:tcPr>
          <w:p>
            <w:pPr>
              <w:jc w:val="center"/>
              <w:ind w:right="985"/>
              <w:spacing w:after="0" w:line="114" w:lineRule="exact"/>
              <w:rPr>
                <w:sz w:val="20"/>
                <w:szCs w:val="20"/>
                <w:color w:val="auto"/>
              </w:rPr>
            </w:pPr>
            <w:r>
              <w:rPr>
                <w:rFonts w:ascii="Arial" w:cs="Arial" w:eastAsia="Arial" w:hAnsi="Arial"/>
                <w:sz w:val="11"/>
                <w:szCs w:val="11"/>
                <w:b w:val="1"/>
                <w:bCs w:val="1"/>
                <w:color w:val="auto"/>
                <w:w w:val="94"/>
              </w:rPr>
              <w:t>(I.R.S. Employer</w:t>
            </w:r>
          </w:p>
        </w:tc>
      </w:tr>
      <w:tr>
        <w:trPr>
          <w:trHeight w:val="142"/>
        </w:trPr>
        <w:tc>
          <w:tcPr>
            <w:tcW w:w="4080" w:type="dxa"/>
            <w:vAlign w:val="bottom"/>
          </w:tcPr>
          <w:p>
            <w:pPr>
              <w:jc w:val="center"/>
              <w:ind w:left="1579"/>
              <w:spacing w:after="0"/>
              <w:rPr>
                <w:sz w:val="20"/>
                <w:szCs w:val="20"/>
                <w:color w:val="auto"/>
              </w:rPr>
            </w:pPr>
            <w:r>
              <w:rPr>
                <w:rFonts w:ascii="Arial" w:cs="Arial" w:eastAsia="Arial" w:hAnsi="Arial"/>
                <w:sz w:val="11"/>
                <w:szCs w:val="11"/>
                <w:b w:val="1"/>
                <w:bCs w:val="1"/>
                <w:color w:val="auto"/>
                <w:w w:val="91"/>
              </w:rPr>
              <w:t>incorporation or organization)</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40" w:type="dxa"/>
            <w:vAlign w:val="bottom"/>
          </w:tcPr>
          <w:p>
            <w:pPr>
              <w:jc w:val="center"/>
              <w:ind w:right="965"/>
              <w:spacing w:after="0"/>
              <w:rPr>
                <w:sz w:val="20"/>
                <w:szCs w:val="20"/>
                <w:color w:val="auto"/>
              </w:rPr>
            </w:pPr>
            <w:r>
              <w:rPr>
                <w:rFonts w:ascii="Arial" w:cs="Arial" w:eastAsia="Arial" w:hAnsi="Arial"/>
                <w:sz w:val="11"/>
                <w:szCs w:val="11"/>
                <w:b w:val="1"/>
                <w:bCs w:val="1"/>
                <w:color w:val="auto"/>
                <w:w w:val="94"/>
              </w:rPr>
              <w:t>Identification Number)</w:t>
            </w:r>
          </w:p>
        </w:tc>
      </w:tr>
      <w:tr>
        <w:trPr>
          <w:trHeight w:val="335"/>
        </w:trPr>
        <w:tc>
          <w:tcPr>
            <w:tcW w:w="4080" w:type="dxa"/>
            <w:vAlign w:val="bottom"/>
          </w:tcPr>
          <w:p>
            <w:pPr>
              <w:jc w:val="center"/>
              <w:ind w:left="1579"/>
              <w:spacing w:after="0"/>
              <w:rPr>
                <w:sz w:val="20"/>
                <w:szCs w:val="20"/>
                <w:color w:val="auto"/>
              </w:rPr>
            </w:pPr>
            <w:r>
              <w:rPr>
                <w:rFonts w:ascii="Arial" w:cs="Arial" w:eastAsia="Arial" w:hAnsi="Arial"/>
                <w:sz w:val="14"/>
                <w:szCs w:val="14"/>
                <w:b w:val="1"/>
                <w:bCs w:val="1"/>
                <w:color w:val="auto"/>
                <w:w w:val="91"/>
              </w:rPr>
              <w:t>1691 Michigan Avenue Miami, Florida</w:t>
            </w:r>
          </w:p>
        </w:tc>
        <w:tc>
          <w:tcPr>
            <w:tcW w:w="7200" w:type="dxa"/>
            <w:vAlign w:val="bottom"/>
            <w:gridSpan w:val="5"/>
          </w:tcPr>
          <w:p>
            <w:pPr>
              <w:jc w:val="center"/>
              <w:ind w:left="1674"/>
              <w:spacing w:after="0"/>
              <w:rPr>
                <w:sz w:val="20"/>
                <w:szCs w:val="20"/>
                <w:color w:val="auto"/>
              </w:rPr>
            </w:pPr>
            <w:r>
              <w:rPr>
                <w:rFonts w:ascii="Arial" w:cs="Arial" w:eastAsia="Arial" w:hAnsi="Arial"/>
                <w:sz w:val="14"/>
                <w:szCs w:val="14"/>
                <w:b w:val="1"/>
                <w:bCs w:val="1"/>
                <w:color w:val="auto"/>
                <w:w w:val="87"/>
              </w:rPr>
              <w:t>33139</w:t>
            </w:r>
          </w:p>
        </w:tc>
      </w:tr>
      <w:tr>
        <w:trPr>
          <w:trHeight w:val="142"/>
        </w:trPr>
        <w:tc>
          <w:tcPr>
            <w:tcW w:w="4080" w:type="dxa"/>
            <w:vAlign w:val="bottom"/>
          </w:tcPr>
          <w:p>
            <w:pPr>
              <w:jc w:val="center"/>
              <w:ind w:left="1559"/>
              <w:spacing w:after="0"/>
              <w:rPr>
                <w:sz w:val="20"/>
                <w:szCs w:val="20"/>
                <w:color w:val="auto"/>
              </w:rPr>
            </w:pPr>
            <w:r>
              <w:rPr>
                <w:rFonts w:ascii="Arial" w:cs="Arial" w:eastAsia="Arial" w:hAnsi="Arial"/>
                <w:sz w:val="11"/>
                <w:szCs w:val="11"/>
                <w:b w:val="1"/>
                <w:bCs w:val="1"/>
                <w:color w:val="auto"/>
                <w:w w:val="88"/>
              </w:rPr>
              <w:t>(Address of principal executive offices)</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40" w:type="dxa"/>
            <w:vAlign w:val="bottom"/>
          </w:tcPr>
          <w:p>
            <w:pPr>
              <w:jc w:val="center"/>
              <w:ind w:right="965"/>
              <w:spacing w:after="0"/>
              <w:rPr>
                <w:sz w:val="20"/>
                <w:szCs w:val="20"/>
                <w:color w:val="auto"/>
              </w:rPr>
            </w:pPr>
            <w:r>
              <w:rPr>
                <w:rFonts w:ascii="Arial" w:cs="Arial" w:eastAsia="Arial" w:hAnsi="Arial"/>
                <w:sz w:val="11"/>
                <w:szCs w:val="11"/>
                <w:b w:val="1"/>
                <w:bCs w:val="1"/>
                <w:color w:val="auto"/>
                <w:w w:val="91"/>
              </w:rPr>
              <w:t>(Zip Code)</w:t>
            </w:r>
          </w:p>
        </w:tc>
      </w:tr>
      <w:tr>
        <w:trPr>
          <w:trHeight w:val="258"/>
        </w:trPr>
        <w:tc>
          <w:tcPr>
            <w:tcW w:w="4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40" w:type="dxa"/>
            <w:vAlign w:val="bottom"/>
            <w:tcBorders>
              <w:bottom w:val="single" w:sz="8" w:color="auto"/>
            </w:tcBorders>
          </w:tcPr>
          <w:p>
            <w:pPr>
              <w:spacing w:after="0"/>
              <w:rPr>
                <w:sz w:val="22"/>
                <w:szCs w:val="22"/>
                <w:color w:val="auto"/>
              </w:rPr>
            </w:pPr>
          </w:p>
        </w:tc>
        <w:tc>
          <w:tcPr>
            <w:tcW w:w="4460" w:type="dxa"/>
            <w:vAlign w:val="bottom"/>
            <w:gridSpan w:val="2"/>
          </w:tcPr>
          <w:p>
            <w:pPr>
              <w:spacing w:after="0"/>
              <w:rPr>
                <w:sz w:val="22"/>
                <w:szCs w:val="22"/>
                <w:color w:val="auto"/>
              </w:rPr>
            </w:pPr>
          </w:p>
        </w:tc>
      </w:tr>
      <w:tr>
        <w:trPr>
          <w:trHeight w:val="305"/>
        </w:trPr>
        <w:tc>
          <w:tcPr>
            <w:tcW w:w="4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3"/>
          </w:tcPr>
          <w:p>
            <w:pPr>
              <w:jc w:val="center"/>
              <w:ind w:right="4405"/>
              <w:spacing w:after="0"/>
              <w:rPr>
                <w:sz w:val="20"/>
                <w:szCs w:val="20"/>
                <w:color w:val="auto"/>
              </w:rPr>
            </w:pPr>
            <w:r>
              <w:rPr>
                <w:rFonts w:ascii="Arial" w:cs="Arial" w:eastAsia="Arial" w:hAnsi="Arial"/>
                <w:sz w:val="14"/>
                <w:szCs w:val="14"/>
                <w:b w:val="1"/>
                <w:bCs w:val="1"/>
                <w:color w:val="auto"/>
                <w:w w:val="88"/>
              </w:rPr>
              <w:t>Debt Securities</w:t>
            </w:r>
          </w:p>
        </w:tc>
      </w:tr>
      <w:tr>
        <w:trPr>
          <w:trHeight w:val="142"/>
        </w:trPr>
        <w:tc>
          <w:tcPr>
            <w:tcW w:w="4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0" w:type="dxa"/>
            <w:vAlign w:val="bottom"/>
            <w:gridSpan w:val="3"/>
          </w:tcPr>
          <w:p>
            <w:pPr>
              <w:jc w:val="center"/>
              <w:ind w:right="4405"/>
              <w:spacing w:after="0"/>
              <w:rPr>
                <w:sz w:val="20"/>
                <w:szCs w:val="20"/>
                <w:color w:val="auto"/>
              </w:rPr>
            </w:pPr>
            <w:r>
              <w:rPr>
                <w:rFonts w:ascii="Arial" w:cs="Arial" w:eastAsia="Arial" w:hAnsi="Arial"/>
                <w:sz w:val="11"/>
                <w:szCs w:val="11"/>
                <w:b w:val="1"/>
                <w:bCs w:val="1"/>
                <w:color w:val="auto"/>
                <w:w w:val="91"/>
              </w:rPr>
              <w:t>(Title of the Indenture Securities)</w:t>
            </w:r>
          </w:p>
        </w:tc>
      </w:tr>
      <w:tr>
        <w:trPr>
          <w:trHeight w:val="175"/>
        </w:trPr>
        <w:tc>
          <w:tcPr>
            <w:tcW w:w="40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40" w:type="dxa"/>
            <w:vAlign w:val="bottom"/>
            <w:tcBorders>
              <w:bottom w:val="single" w:sz="8" w:color="auto"/>
            </w:tcBorders>
          </w:tcPr>
          <w:p>
            <w:pPr>
              <w:spacing w:after="0"/>
              <w:rPr>
                <w:sz w:val="15"/>
                <w:szCs w:val="15"/>
                <w:color w:val="auto"/>
              </w:rPr>
            </w:pPr>
          </w:p>
        </w:tc>
      </w:tr>
      <w:tr>
        <w:trPr>
          <w:trHeight w:val="32"/>
        </w:trPr>
        <w:tc>
          <w:tcPr>
            <w:tcW w:w="4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bl>
    <w:p>
      <w:pPr>
        <w:sectPr>
          <w:pgSz w:w="11900" w:h="16838" w:orient="portrait"/>
          <w:cols w:equalWidth="0" w:num="1">
            <w:col w:w="11280"/>
          </w:cols>
          <w:pgMar w:left="300" w:top="125" w:right="319" w:bottom="1440" w:gutter="0" w:footer="0" w:header="0"/>
        </w:sectPr>
      </w:pPr>
    </w:p>
    <w:bookmarkStart w:id="88" w:name="page89"/>
    <w:bookmarkEnd w:id="88"/>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Item 1. General Information.</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Furnish the following information as to the trustee: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Name and address of each examining or supervising authority to which it is subject.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New York State Department of Financial Services</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One State Street</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New York, NY 10004-1511</w:t>
      </w:r>
    </w:p>
    <w:p>
      <w:pPr>
        <w:spacing w:after="0" w:line="162" w:lineRule="exact"/>
        <w:rPr>
          <w:sz w:val="20"/>
          <w:szCs w:val="20"/>
          <w:color w:val="auto"/>
        </w:rPr>
      </w:pPr>
    </w:p>
    <w:p>
      <w:pPr>
        <w:ind w:left="460" w:right="7360" w:hanging="6"/>
        <w:spacing w:after="0" w:line="641" w:lineRule="auto"/>
        <w:tabs>
          <w:tab w:leader="none" w:pos="656" w:val="left"/>
        </w:tabs>
        <w:numPr>
          <w:ilvl w:val="0"/>
          <w:numId w:val="64"/>
        </w:numPr>
        <w:rPr>
          <w:rFonts w:ascii="Arial" w:cs="Arial" w:eastAsia="Arial" w:hAnsi="Arial"/>
          <w:sz w:val="12"/>
          <w:szCs w:val="12"/>
          <w:color w:val="auto"/>
        </w:rPr>
      </w:pPr>
      <w:r>
        <w:rPr>
          <w:rFonts w:ascii="Arial" w:cs="Arial" w:eastAsia="Arial" w:hAnsi="Arial"/>
          <w:sz w:val="12"/>
          <w:szCs w:val="12"/>
          <w:color w:val="auto"/>
        </w:rPr>
        <w:t>Whether it is authorized to exercise corporate trust powers. The trustee is authorized to exercise corporate trust powers.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Affiliations with Obligor.</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the obligor is an affiliate of the trustee, describe each such affiliation.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None.</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Items 3-15.</w:t>
      </w:r>
    </w:p>
    <w:p>
      <w:pPr>
        <w:spacing w:after="0" w:line="92" w:lineRule="exact"/>
        <w:rPr>
          <w:sz w:val="20"/>
          <w:szCs w:val="20"/>
          <w:color w:val="auto"/>
        </w:rPr>
      </w:pPr>
    </w:p>
    <w:p>
      <w:pPr>
        <w:ind w:left="460" w:right="4460"/>
        <w:spacing w:after="0" w:line="268" w:lineRule="auto"/>
        <w:rPr>
          <w:sz w:val="20"/>
          <w:szCs w:val="20"/>
          <w:color w:val="auto"/>
        </w:rPr>
      </w:pPr>
      <w:r>
        <w:rPr>
          <w:rFonts w:ascii="Arial" w:cs="Arial" w:eastAsia="Arial" w:hAnsi="Arial"/>
          <w:sz w:val="14"/>
          <w:szCs w:val="14"/>
          <w:color w:val="auto"/>
        </w:rPr>
        <w:t>Items 3-15 are not applicable because, to the best of the trustee’s knowledge, the obligor is not in default under any indenture for which the trustee acts as trustee.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List of Exhibits.</w:t>
      </w:r>
    </w:p>
    <w:p>
      <w:pPr>
        <w:spacing w:after="0" w:line="88" w:lineRule="exact"/>
        <w:rPr>
          <w:sz w:val="20"/>
          <w:szCs w:val="20"/>
          <w:color w:val="auto"/>
        </w:rPr>
      </w:pPr>
    </w:p>
    <w:p>
      <w:pPr>
        <w:ind w:right="60"/>
        <w:spacing w:after="0" w:line="274" w:lineRule="auto"/>
        <w:rPr>
          <w:sz w:val="20"/>
          <w:szCs w:val="20"/>
          <w:color w:val="auto"/>
        </w:rPr>
      </w:pPr>
      <w:r>
        <w:rPr>
          <w:rFonts w:ascii="Arial" w:cs="Arial" w:eastAsia="Arial" w:hAnsi="Arial"/>
          <w:sz w:val="14"/>
          <w:szCs w:val="14"/>
          <w:b w:val="1"/>
          <w:bCs w:val="1"/>
          <w:color w:val="auto"/>
        </w:rPr>
        <w:t>Exhibits identified in parentheses below, on file with the Commission, are incorporated herein by reference as an exhibit hereto, pursuant to Rule 7a-29 under the Trust Indenture Act of 1939, as amended (the “Act”) and 17 C.F.R. 229.10(d).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60" w:type="dxa"/>
            <w:vAlign w:val="bottom"/>
          </w:tcPr>
          <w:p>
            <w:pPr>
              <w:spacing w:after="0"/>
              <w:rPr>
                <w:sz w:val="11"/>
                <w:szCs w:val="11"/>
                <w:color w:val="auto"/>
              </w:rPr>
            </w:pPr>
          </w:p>
        </w:tc>
        <w:tc>
          <w:tcPr>
            <w:tcW w:w="360" w:type="dxa"/>
            <w:vAlign w:val="bottom"/>
          </w:tcPr>
          <w:p>
            <w:pPr>
              <w:spacing w:after="0"/>
              <w:rPr>
                <w:sz w:val="20"/>
                <w:szCs w:val="20"/>
                <w:color w:val="auto"/>
              </w:rPr>
            </w:pPr>
            <w:r>
              <w:rPr>
                <w:rFonts w:ascii="Arial" w:cs="Arial" w:eastAsia="Arial" w:hAnsi="Arial"/>
                <w:sz w:val="11"/>
                <w:szCs w:val="11"/>
                <w:b w:val="1"/>
                <w:bCs w:val="1"/>
                <w:color w:val="auto"/>
                <w:w w:val="92"/>
              </w:rPr>
              <w:t>Exhibit</w:t>
            </w:r>
          </w:p>
        </w:tc>
        <w:tc>
          <w:tcPr>
            <w:tcW w:w="380" w:type="dxa"/>
            <w:vAlign w:val="bottom"/>
          </w:tcPr>
          <w:p>
            <w:pPr>
              <w:spacing w:after="0"/>
              <w:rPr>
                <w:sz w:val="11"/>
                <w:szCs w:val="11"/>
                <w:color w:val="auto"/>
              </w:rPr>
            </w:pPr>
          </w:p>
        </w:tc>
        <w:tc>
          <w:tcPr>
            <w:tcW w:w="104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Exhibit Title</w:t>
            </w:r>
          </w:p>
        </w:tc>
      </w:tr>
      <w:tr>
        <w:trPr>
          <w:trHeight w:val="237"/>
        </w:trPr>
        <w:tc>
          <w:tcPr>
            <w:tcW w:w="420" w:type="dxa"/>
            <w:vAlign w:val="bottom"/>
            <w:gridSpan w:val="2"/>
          </w:tcPr>
          <w:p>
            <w:pPr>
              <w:spacing w:after="0"/>
              <w:rPr>
                <w:sz w:val="20"/>
                <w:szCs w:val="20"/>
                <w:color w:val="auto"/>
              </w:rPr>
            </w:pPr>
            <w:r>
              <w:rPr>
                <w:rFonts w:ascii="Arial" w:cs="Arial" w:eastAsia="Arial" w:hAnsi="Arial"/>
                <w:sz w:val="14"/>
                <w:szCs w:val="14"/>
                <w:color w:val="auto"/>
              </w:rPr>
              <w:t>T-1.1</w:t>
            </w:r>
          </w:p>
        </w:tc>
        <w:tc>
          <w:tcPr>
            <w:tcW w:w="10860" w:type="dxa"/>
            <w:vAlign w:val="bottom"/>
            <w:gridSpan w:val="2"/>
          </w:tcPr>
          <w:p>
            <w:pPr>
              <w:ind w:left="380"/>
              <w:spacing w:after="0"/>
              <w:rPr>
                <w:sz w:val="20"/>
                <w:szCs w:val="20"/>
                <w:color w:val="auto"/>
              </w:rPr>
            </w:pPr>
            <w:r>
              <w:rPr>
                <w:rFonts w:ascii="Arial" w:cs="Arial" w:eastAsia="Arial" w:hAnsi="Arial"/>
                <w:sz w:val="14"/>
                <w:szCs w:val="14"/>
                <w:color w:val="auto"/>
              </w:rPr>
              <w:t>A copy of the Articles of Organization of the Trustee, as amended to date</w:t>
            </w:r>
          </w:p>
        </w:tc>
      </w:tr>
      <w:tr>
        <w:trPr>
          <w:trHeight w:val="249"/>
        </w:trPr>
        <w:tc>
          <w:tcPr>
            <w:tcW w:w="420" w:type="dxa"/>
            <w:vAlign w:val="bottom"/>
            <w:gridSpan w:val="2"/>
          </w:tcPr>
          <w:p>
            <w:pPr>
              <w:spacing w:after="0"/>
              <w:rPr>
                <w:sz w:val="20"/>
                <w:szCs w:val="20"/>
                <w:color w:val="auto"/>
              </w:rPr>
            </w:pPr>
            <w:r>
              <w:rPr>
                <w:rFonts w:ascii="Arial" w:cs="Arial" w:eastAsia="Arial" w:hAnsi="Arial"/>
                <w:sz w:val="14"/>
                <w:szCs w:val="14"/>
                <w:color w:val="auto"/>
              </w:rPr>
              <w:t>T-1.2</w:t>
            </w:r>
          </w:p>
        </w:tc>
        <w:tc>
          <w:tcPr>
            <w:tcW w:w="10860" w:type="dxa"/>
            <w:vAlign w:val="bottom"/>
            <w:gridSpan w:val="2"/>
          </w:tcPr>
          <w:p>
            <w:pPr>
              <w:ind w:left="380"/>
              <w:spacing w:after="0"/>
              <w:rPr>
                <w:sz w:val="20"/>
                <w:szCs w:val="20"/>
                <w:color w:val="auto"/>
              </w:rPr>
            </w:pPr>
            <w:r>
              <w:rPr>
                <w:rFonts w:ascii="Arial" w:cs="Arial" w:eastAsia="Arial" w:hAnsi="Arial"/>
                <w:sz w:val="14"/>
                <w:szCs w:val="14"/>
                <w:color w:val="auto"/>
              </w:rPr>
              <w:t>A copy of the Certificate of Authority of the Trustee to commence business</w:t>
            </w:r>
          </w:p>
        </w:tc>
      </w:tr>
      <w:tr>
        <w:trPr>
          <w:trHeight w:val="249"/>
        </w:trPr>
        <w:tc>
          <w:tcPr>
            <w:tcW w:w="420" w:type="dxa"/>
            <w:vAlign w:val="bottom"/>
            <w:gridSpan w:val="2"/>
          </w:tcPr>
          <w:p>
            <w:pPr>
              <w:spacing w:after="0"/>
              <w:rPr>
                <w:sz w:val="20"/>
                <w:szCs w:val="20"/>
                <w:color w:val="auto"/>
              </w:rPr>
            </w:pPr>
            <w:r>
              <w:rPr>
                <w:rFonts w:ascii="Arial" w:cs="Arial" w:eastAsia="Arial" w:hAnsi="Arial"/>
                <w:sz w:val="14"/>
                <w:szCs w:val="14"/>
                <w:color w:val="auto"/>
              </w:rPr>
              <w:t>T-1.4</w:t>
            </w:r>
          </w:p>
        </w:tc>
        <w:tc>
          <w:tcPr>
            <w:tcW w:w="10860" w:type="dxa"/>
            <w:vAlign w:val="bottom"/>
            <w:gridSpan w:val="2"/>
          </w:tcPr>
          <w:p>
            <w:pPr>
              <w:ind w:left="380"/>
              <w:spacing w:after="0"/>
              <w:rPr>
                <w:sz w:val="20"/>
                <w:szCs w:val="20"/>
                <w:color w:val="auto"/>
              </w:rPr>
            </w:pPr>
            <w:r>
              <w:rPr>
                <w:rFonts w:ascii="Arial" w:cs="Arial" w:eastAsia="Arial" w:hAnsi="Arial"/>
                <w:sz w:val="14"/>
                <w:szCs w:val="14"/>
                <w:color w:val="auto"/>
              </w:rPr>
              <w:t>Limited Liability Trust Company Agreement of the Trustee</w:t>
            </w:r>
          </w:p>
        </w:tc>
      </w:tr>
      <w:tr>
        <w:trPr>
          <w:trHeight w:val="249"/>
        </w:trPr>
        <w:tc>
          <w:tcPr>
            <w:tcW w:w="420" w:type="dxa"/>
            <w:vAlign w:val="bottom"/>
            <w:gridSpan w:val="2"/>
          </w:tcPr>
          <w:p>
            <w:pPr>
              <w:spacing w:after="0"/>
              <w:rPr>
                <w:sz w:val="20"/>
                <w:szCs w:val="20"/>
                <w:color w:val="auto"/>
              </w:rPr>
            </w:pPr>
            <w:r>
              <w:rPr>
                <w:rFonts w:ascii="Arial" w:cs="Arial" w:eastAsia="Arial" w:hAnsi="Arial"/>
                <w:sz w:val="14"/>
                <w:szCs w:val="14"/>
                <w:color w:val="auto"/>
              </w:rPr>
              <w:t>T-1.6</w:t>
            </w:r>
          </w:p>
        </w:tc>
        <w:tc>
          <w:tcPr>
            <w:tcW w:w="10860" w:type="dxa"/>
            <w:vAlign w:val="bottom"/>
            <w:gridSpan w:val="2"/>
          </w:tcPr>
          <w:p>
            <w:pPr>
              <w:ind w:left="380"/>
              <w:spacing w:after="0"/>
              <w:rPr>
                <w:sz w:val="20"/>
                <w:szCs w:val="20"/>
                <w:color w:val="auto"/>
              </w:rPr>
            </w:pPr>
            <w:r>
              <w:rPr>
                <w:rFonts w:ascii="Arial" w:cs="Arial" w:eastAsia="Arial" w:hAnsi="Arial"/>
                <w:sz w:val="14"/>
                <w:szCs w:val="14"/>
                <w:color w:val="auto"/>
              </w:rPr>
              <w:t>The consent of the Trustee required by Section 321(b) of the Trust Indenture Act of 1939</w:t>
            </w:r>
          </w:p>
        </w:tc>
      </w:tr>
      <w:tr>
        <w:trPr>
          <w:trHeight w:val="249"/>
        </w:trPr>
        <w:tc>
          <w:tcPr>
            <w:tcW w:w="420" w:type="dxa"/>
            <w:vAlign w:val="bottom"/>
            <w:gridSpan w:val="2"/>
          </w:tcPr>
          <w:p>
            <w:pPr>
              <w:spacing w:after="0"/>
              <w:rPr>
                <w:sz w:val="20"/>
                <w:szCs w:val="20"/>
                <w:color w:val="auto"/>
              </w:rPr>
            </w:pPr>
            <w:r>
              <w:rPr>
                <w:rFonts w:ascii="Arial" w:cs="Arial" w:eastAsia="Arial" w:hAnsi="Arial"/>
                <w:sz w:val="14"/>
                <w:szCs w:val="14"/>
                <w:color w:val="auto"/>
              </w:rPr>
              <w:t>T-1.7</w:t>
            </w:r>
          </w:p>
        </w:tc>
        <w:tc>
          <w:tcPr>
            <w:tcW w:w="10860" w:type="dxa"/>
            <w:vAlign w:val="bottom"/>
            <w:gridSpan w:val="2"/>
          </w:tcPr>
          <w:p>
            <w:pPr>
              <w:ind w:left="380"/>
              <w:spacing w:after="0"/>
              <w:rPr>
                <w:sz w:val="20"/>
                <w:szCs w:val="20"/>
                <w:color w:val="auto"/>
              </w:rPr>
            </w:pPr>
            <w:r>
              <w:rPr>
                <w:rFonts w:ascii="Arial" w:cs="Arial" w:eastAsia="Arial" w:hAnsi="Arial"/>
                <w:sz w:val="14"/>
                <w:szCs w:val="14"/>
                <w:color w:val="auto"/>
              </w:rPr>
              <w:t>A copy of the latest report of condition of the Trustee published pursuant to law or the requirements of its supervising or examining authority</w:t>
            </w:r>
          </w:p>
        </w:tc>
      </w:tr>
    </w:tbl>
    <w:p>
      <w:pPr>
        <w:sectPr>
          <w:pgSz w:w="11900" w:h="16838" w:orient="portrait"/>
          <w:cols w:equalWidth="0" w:num="1">
            <w:col w:w="11280"/>
          </w:cols>
          <w:pgMar w:left="300" w:top="239" w:right="31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SIGNATURE</w:t>
      </w:r>
    </w:p>
    <w:p>
      <w:pPr>
        <w:spacing w:after="0" w:line="175" w:lineRule="exact"/>
        <w:rPr>
          <w:sz w:val="20"/>
          <w:szCs w:val="20"/>
          <w:color w:val="auto"/>
        </w:rPr>
      </w:pPr>
    </w:p>
    <w:p>
      <w:pPr>
        <w:ind w:firstLine="451"/>
        <w:spacing w:after="0" w:line="257" w:lineRule="auto"/>
        <w:rPr>
          <w:sz w:val="20"/>
          <w:szCs w:val="20"/>
          <w:color w:val="auto"/>
        </w:rPr>
      </w:pPr>
      <w:r>
        <w:rPr>
          <w:rFonts w:ascii="Arial" w:cs="Arial" w:eastAsia="Arial" w:hAnsi="Arial"/>
          <w:sz w:val="14"/>
          <w:szCs w:val="14"/>
          <w:color w:val="auto"/>
        </w:rPr>
        <w:t>Pursuant to the requirements of the Trust Indenture Act of 1939, the trustee, American Stock Transfer &amp; Trust Company, LLC, a limited liability trust company organized and existing under the laws of the State of New York, has duly caused this statement of eligibility to be signed on its behalf by the undersigned, thereunto duly authorized, all in the City of New York, and the State of New York, on the 15th day of December, 2022.</w:t>
      </w:r>
    </w:p>
    <w:p>
      <w:pPr>
        <w:spacing w:after="0" w:line="167" w:lineRule="exact"/>
        <w:rPr>
          <w:sz w:val="20"/>
          <w:szCs w:val="20"/>
          <w:color w:val="auto"/>
        </w:rPr>
      </w:pPr>
    </w:p>
    <w:p>
      <w:pPr>
        <w:ind w:left="6780"/>
        <w:spacing w:after="0"/>
        <w:rPr>
          <w:sz w:val="20"/>
          <w:szCs w:val="20"/>
          <w:color w:val="auto"/>
        </w:rPr>
      </w:pPr>
      <w:r>
        <w:rPr>
          <w:rFonts w:ascii="Arial" w:cs="Arial" w:eastAsia="Arial" w:hAnsi="Arial"/>
          <w:sz w:val="14"/>
          <w:szCs w:val="14"/>
          <w:color w:val="auto"/>
        </w:rPr>
        <w:t>AMERICAN STOCK TRANSFER &amp; TRUST COMPANY, LLC</w:t>
      </w:r>
    </w:p>
    <w:p>
      <w:pPr>
        <w:spacing w:after="0" w:line="192" w:lineRule="exact"/>
        <w:rPr>
          <w:sz w:val="20"/>
          <w:szCs w:val="20"/>
          <w:color w:val="auto"/>
        </w:rPr>
      </w:pPr>
    </w:p>
    <w:p>
      <w:pPr>
        <w:ind w:left="6780"/>
        <w:spacing w:after="0"/>
        <w:rPr>
          <w:sz w:val="20"/>
          <w:szCs w:val="20"/>
          <w:color w:val="auto"/>
        </w:rPr>
      </w:pPr>
      <w:r>
        <w:rPr>
          <w:rFonts w:ascii="Arial" w:cs="Arial" w:eastAsia="Arial" w:hAnsi="Arial"/>
          <w:sz w:val="14"/>
          <w:szCs w:val="14"/>
          <w:color w:val="auto"/>
        </w:rPr>
        <w:t>Trustee</w:t>
      </w:r>
    </w:p>
    <w:p>
      <w:pPr>
        <w:spacing w:after="0" w:line="181" w:lineRule="exact"/>
        <w:rPr>
          <w:sz w:val="20"/>
          <w:szCs w:val="20"/>
          <w:color w:val="auto"/>
        </w:rPr>
      </w:pPr>
    </w:p>
    <w:p>
      <w:pPr>
        <w:ind w:left="6780"/>
        <w:spacing w:after="0"/>
        <w:tabs>
          <w:tab w:leader="none" w:pos="7120" w:val="left"/>
        </w:tabs>
        <w:rPr>
          <w:sz w:val="20"/>
          <w:szCs w:val="20"/>
          <w:color w:val="auto"/>
        </w:rPr>
      </w:pPr>
      <w:r>
        <w:rPr>
          <w:rFonts w:ascii="Arial" w:cs="Arial" w:eastAsia="Arial" w:hAnsi="Arial"/>
          <w:sz w:val="14"/>
          <w:szCs w:val="14"/>
          <w:color w:val="auto"/>
        </w:rPr>
        <w:t>By:</w:t>
        <w:tab/>
        <w:t>/s/ Paul H. Kim</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4"/>
          <w:szCs w:val="14"/>
          <w:color w:val="auto"/>
        </w:rPr>
        <w:t>Name: Paul H.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-101600</wp:posOffset>
            </wp:positionV>
            <wp:extent cx="266001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1">
                      <a:extLst>
                        <a:ext uri="{28A0092B-C50C-407E-A947-70E740481C1C}"/>
                      </a:extLst>
                    </a:blip>
                    <a:srcRect/>
                    <a:stretch>
                      <a:fillRect/>
                    </a:stretch>
                  </pic:blipFill>
                  <pic:spPr bwMode="auto">
                    <a:xfrm>
                      <a:off x="0" y="0"/>
                      <a:ext cx="2660015" cy="6350"/>
                    </a:xfrm>
                    <a:prstGeom prst="rect">
                      <a:avLst/>
                    </a:prstGeom>
                    <a:noFill/>
                  </pic:spPr>
                </pic:pic>
              </a:graphicData>
            </a:graphic>
          </wp:anchor>
        </w:drawing>
      </w:r>
    </w:p>
    <w:p>
      <w:pPr>
        <w:ind w:left="7140"/>
        <w:spacing w:after="0"/>
        <w:rPr>
          <w:sz w:val="20"/>
          <w:szCs w:val="20"/>
          <w:color w:val="auto"/>
        </w:rPr>
      </w:pPr>
      <w:r>
        <w:rPr>
          <w:rFonts w:ascii="Arial" w:cs="Arial" w:eastAsia="Arial" w:hAnsi="Arial"/>
          <w:sz w:val="14"/>
          <w:szCs w:val="14"/>
          <w:color w:val="auto"/>
        </w:rPr>
        <w:t>Title: Assistant General Counsel</w:t>
      </w:r>
    </w:p>
    <w:p>
      <w:pPr>
        <w:sectPr>
          <w:pgSz w:w="11900" w:h="16838" w:orient="portrait"/>
          <w:cols w:equalWidth="0" w:num="1">
            <w:col w:w="11280"/>
          </w:cols>
          <w:pgMar w:left="300" w:top="239" w:right="319" w:bottom="1440" w:gutter="0" w:footer="0" w:header="0"/>
        </w:sectPr>
      </w:pPr>
    </w:p>
    <w:bookmarkStart w:id="90" w:name="page91"/>
    <w:bookmarkEnd w:id="90"/>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EXHIBIT T-1.1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ARTICLES OF ORGANIZATION</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AMERICAN STOCK TRANSFER </w:t>
      </w:r>
      <w:r>
        <w:rPr>
          <w:rFonts w:ascii="Arial" w:cs="Arial" w:eastAsia="Arial" w:hAnsi="Arial"/>
          <w:sz w:val="14"/>
          <w:szCs w:val="14"/>
          <w:b w:val="1"/>
          <w:bCs w:val="1"/>
          <w:i w:val="1"/>
          <w:iCs w:val="1"/>
          <w:color w:val="auto"/>
        </w:rPr>
        <w:t>&amp;</w:t>
      </w:r>
      <w:r>
        <w:rPr>
          <w:rFonts w:ascii="Arial" w:cs="Arial" w:eastAsia="Arial" w:hAnsi="Arial"/>
          <w:sz w:val="14"/>
          <w:szCs w:val="14"/>
          <w:b w:val="1"/>
          <w:bCs w:val="1"/>
          <w:color w:val="auto"/>
        </w:rPr>
        <w:t xml:space="preserve"> TRUST COMPANY, LLC</w:t>
      </w:r>
    </w:p>
    <w:p>
      <w:pPr>
        <w:spacing w:after="0" w:line="175" w:lineRule="exact"/>
        <w:rPr>
          <w:sz w:val="20"/>
          <w:szCs w:val="20"/>
          <w:color w:val="auto"/>
        </w:rPr>
      </w:pPr>
    </w:p>
    <w:p>
      <w:pPr>
        <w:ind w:right="200" w:firstLine="451"/>
        <w:spacing w:after="0" w:line="268" w:lineRule="auto"/>
        <w:rPr>
          <w:sz w:val="20"/>
          <w:szCs w:val="20"/>
          <w:color w:val="auto"/>
        </w:rPr>
      </w:pPr>
      <w:r>
        <w:rPr>
          <w:rFonts w:ascii="Arial" w:cs="Arial" w:eastAsia="Arial" w:hAnsi="Arial"/>
          <w:sz w:val="14"/>
          <w:szCs w:val="14"/>
          <w:color w:val="auto"/>
        </w:rPr>
        <w:t>We, the undersigned, all being of full age, four of us being citizens of the United States, having associated ourselves together for the purposes of forming a limited liability trust company under and pursuant to the Banking Law of the State of New York, do hereby certify the following:</w:t>
      </w:r>
    </w:p>
    <w:p>
      <w:pPr>
        <w:spacing w:after="0" w:line="62"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First.</w:t>
      </w:r>
      <w:r>
        <w:rPr>
          <w:sz w:val="20"/>
          <w:szCs w:val="20"/>
          <w:color w:val="auto"/>
        </w:rPr>
        <w:tab/>
      </w:r>
      <w:r>
        <w:rPr>
          <w:rFonts w:ascii="Arial" w:cs="Arial" w:eastAsia="Arial" w:hAnsi="Arial"/>
          <w:sz w:val="14"/>
          <w:szCs w:val="14"/>
          <w:color w:val="auto"/>
        </w:rPr>
        <w:t>The name by which the limited liability trust company is to be known is American Stock Transfer &amp; Trust Company, LLC.</w:t>
      </w:r>
    </w:p>
    <w:p>
      <w:pPr>
        <w:spacing w:after="0" w:line="88"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Second.</w:t>
      </w:r>
      <w:r>
        <w:rPr>
          <w:sz w:val="20"/>
          <w:szCs w:val="20"/>
          <w:color w:val="auto"/>
        </w:rPr>
        <w:tab/>
      </w:r>
      <w:r>
        <w:rPr>
          <w:rFonts w:ascii="Arial" w:cs="Arial" w:eastAsia="Arial" w:hAnsi="Arial"/>
          <w:sz w:val="14"/>
          <w:szCs w:val="14"/>
          <w:color w:val="auto"/>
        </w:rPr>
        <w:t>The place where its principal office is to be located is 59 Maiden Lane, Borough of Manhattan, City, County, and State of New York.</w:t>
      </w:r>
    </w:p>
    <w:p>
      <w:pPr>
        <w:spacing w:after="0" w:line="88" w:lineRule="exact"/>
        <w:rPr>
          <w:sz w:val="20"/>
          <w:szCs w:val="20"/>
          <w:color w:val="auto"/>
        </w:rPr>
      </w:pPr>
    </w:p>
    <w:p>
      <w:pPr>
        <w:ind w:left="800" w:right="80" w:hanging="799"/>
        <w:spacing w:after="0" w:line="268" w:lineRule="auto"/>
        <w:tabs>
          <w:tab w:leader="none" w:pos="780" w:val="left"/>
        </w:tabs>
        <w:rPr>
          <w:sz w:val="20"/>
          <w:szCs w:val="20"/>
          <w:color w:val="auto"/>
        </w:rPr>
      </w:pPr>
      <w:r>
        <w:rPr>
          <w:rFonts w:ascii="Arial" w:cs="Arial" w:eastAsia="Arial" w:hAnsi="Arial"/>
          <w:sz w:val="14"/>
          <w:szCs w:val="14"/>
          <w:b w:val="1"/>
          <w:bCs w:val="1"/>
          <w:color w:val="auto"/>
        </w:rPr>
        <w:t>Third.</w:t>
      </w:r>
      <w:r>
        <w:rPr>
          <w:sz w:val="20"/>
          <w:szCs w:val="20"/>
          <w:color w:val="auto"/>
        </w:rPr>
        <w:tab/>
      </w:r>
      <w:r>
        <w:rPr>
          <w:rFonts w:ascii="Arial" w:cs="Arial" w:eastAsia="Arial" w:hAnsi="Arial"/>
          <w:sz w:val="14"/>
          <w:szCs w:val="14"/>
          <w:color w:val="auto"/>
        </w:rPr>
        <w:t>The amount of its capital contributions is to be Five Million Dollars ($5,000,000), and the number of units into which such capital contributions are to be divided is five million (5,000,000) units with a par value of $1.00 each.</w:t>
      </w:r>
    </w:p>
    <w:p>
      <w:pPr>
        <w:spacing w:after="0" w:line="55" w:lineRule="exact"/>
        <w:rPr>
          <w:sz w:val="20"/>
          <w:szCs w:val="20"/>
          <w:color w:val="auto"/>
        </w:rPr>
      </w:pPr>
    </w:p>
    <w:p>
      <w:pPr>
        <w:ind w:left="800" w:right="100" w:hanging="799"/>
        <w:spacing w:after="0" w:line="274" w:lineRule="auto"/>
        <w:tabs>
          <w:tab w:leader="none" w:pos="780" w:val="left"/>
        </w:tabs>
        <w:rPr>
          <w:sz w:val="20"/>
          <w:szCs w:val="20"/>
          <w:color w:val="auto"/>
        </w:rPr>
      </w:pPr>
      <w:r>
        <w:rPr>
          <w:rFonts w:ascii="Arial" w:cs="Arial" w:eastAsia="Arial" w:hAnsi="Arial"/>
          <w:sz w:val="14"/>
          <w:szCs w:val="14"/>
          <w:b w:val="1"/>
          <w:bCs w:val="1"/>
          <w:color w:val="auto"/>
        </w:rPr>
        <w:t>Fourth.</w:t>
      </w:r>
      <w:r>
        <w:rPr>
          <w:sz w:val="20"/>
          <w:szCs w:val="20"/>
          <w:color w:val="auto"/>
        </w:rPr>
        <w:tab/>
      </w:r>
      <w:r>
        <w:rPr>
          <w:rFonts w:ascii="Arial" w:cs="Arial" w:eastAsia="Arial" w:hAnsi="Arial"/>
          <w:sz w:val="14"/>
          <w:szCs w:val="14"/>
          <w:color w:val="auto"/>
        </w:rPr>
        <w:t xml:space="preserve">The </w:t>
      </w:r>
      <w:r>
        <w:rPr>
          <w:rFonts w:ascii="Arial" w:cs="Arial" w:eastAsia="Arial" w:hAnsi="Arial"/>
          <w:sz w:val="14"/>
          <w:szCs w:val="14"/>
          <w:b w:val="1"/>
          <w:bCs w:val="1"/>
          <w:color w:val="auto"/>
        </w:rPr>
        <w:t>company</w:t>
      </w:r>
      <w:r>
        <w:rPr>
          <w:rFonts w:ascii="Arial" w:cs="Arial" w:eastAsia="Arial" w:hAnsi="Arial"/>
          <w:sz w:val="14"/>
          <w:szCs w:val="14"/>
          <w:color w:val="auto"/>
        </w:rPr>
        <w:t xml:space="preserve"> will not have classes or groups of members, therefore there is only one class of members. Each member shall share the same relative rights, powers, preferences, limitations, and voting powers.</w:t>
      </w:r>
    </w:p>
    <w:p>
      <w:pPr>
        <w:spacing w:after="0" w:line="47"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Fifth.</w:t>
      </w:r>
      <w:r>
        <w:rPr>
          <w:sz w:val="20"/>
          <w:szCs w:val="20"/>
          <w:color w:val="auto"/>
        </w:rPr>
        <w:tab/>
      </w:r>
      <w:r>
        <w:rPr>
          <w:rFonts w:ascii="Arial" w:cs="Arial" w:eastAsia="Arial" w:hAnsi="Arial"/>
          <w:sz w:val="14"/>
          <w:szCs w:val="14"/>
          <w:color w:val="auto"/>
        </w:rPr>
        <w:t>The name, place of residence, and citizenship of each organizer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Name</w:t>
            </w:r>
          </w:p>
        </w:tc>
        <w:tc>
          <w:tcPr>
            <w:tcW w:w="1440" w:type="dxa"/>
            <w:vAlign w:val="bottom"/>
          </w:tcPr>
          <w:p>
            <w:pPr>
              <w:spacing w:after="0"/>
              <w:rPr>
                <w:sz w:val="11"/>
                <w:szCs w:val="11"/>
                <w:color w:val="auto"/>
              </w:rPr>
            </w:pPr>
          </w:p>
        </w:tc>
        <w:tc>
          <w:tcPr>
            <w:tcW w:w="3620" w:type="dxa"/>
            <w:vAlign w:val="bottom"/>
            <w:tcBorders>
              <w:bottom w:val="single" w:sz="8" w:color="auto"/>
            </w:tcBorders>
          </w:tcPr>
          <w:p>
            <w:pPr>
              <w:ind w:left="1580"/>
              <w:spacing w:after="0"/>
              <w:rPr>
                <w:sz w:val="20"/>
                <w:szCs w:val="20"/>
                <w:color w:val="auto"/>
              </w:rPr>
            </w:pPr>
            <w:r>
              <w:rPr>
                <w:rFonts w:ascii="Arial" w:cs="Arial" w:eastAsia="Arial" w:hAnsi="Arial"/>
                <w:sz w:val="11"/>
                <w:szCs w:val="11"/>
                <w:b w:val="1"/>
                <w:bCs w:val="1"/>
                <w:color w:val="auto"/>
              </w:rPr>
              <w:t>Residence</w:t>
            </w:r>
          </w:p>
        </w:tc>
        <w:tc>
          <w:tcPr>
            <w:tcW w:w="120" w:type="dxa"/>
            <w:vAlign w:val="bottom"/>
          </w:tcPr>
          <w:p>
            <w:pPr>
              <w:spacing w:after="0"/>
              <w:rPr>
                <w:sz w:val="11"/>
                <w:szCs w:val="11"/>
                <w:color w:val="auto"/>
              </w:rPr>
            </w:pPr>
          </w:p>
        </w:tc>
        <w:tc>
          <w:tcPr>
            <w:tcW w:w="3480" w:type="dxa"/>
            <w:vAlign w:val="bottom"/>
            <w:tcBorders>
              <w:bottom w:val="single" w:sz="8" w:color="auto"/>
            </w:tcBorders>
          </w:tcPr>
          <w:p>
            <w:pPr>
              <w:ind w:left="1480"/>
              <w:spacing w:after="0"/>
              <w:rPr>
                <w:sz w:val="20"/>
                <w:szCs w:val="20"/>
                <w:color w:val="auto"/>
              </w:rPr>
            </w:pPr>
            <w:r>
              <w:rPr>
                <w:rFonts w:ascii="Arial" w:cs="Arial" w:eastAsia="Arial" w:hAnsi="Arial"/>
                <w:sz w:val="11"/>
                <w:szCs w:val="11"/>
                <w:b w:val="1"/>
                <w:bCs w:val="1"/>
                <w:color w:val="auto"/>
              </w:rPr>
              <w:t>Citizenship</w:t>
            </w:r>
          </w:p>
        </w:tc>
      </w:tr>
      <w:tr>
        <w:trPr>
          <w:trHeight w:val="237"/>
        </w:trPr>
        <w:tc>
          <w:tcPr>
            <w:tcW w:w="2620" w:type="dxa"/>
            <w:vAlign w:val="bottom"/>
            <w:gridSpan w:val="2"/>
          </w:tcPr>
          <w:p>
            <w:pPr>
              <w:spacing w:after="0"/>
              <w:rPr>
                <w:sz w:val="20"/>
                <w:szCs w:val="20"/>
                <w:color w:val="auto"/>
              </w:rPr>
            </w:pPr>
            <w:r>
              <w:rPr>
                <w:rFonts w:ascii="Arial" w:cs="Arial" w:eastAsia="Arial" w:hAnsi="Arial"/>
                <w:sz w:val="14"/>
                <w:szCs w:val="14"/>
                <w:color w:val="auto"/>
              </w:rPr>
              <w:t>George Karfunkel</w:t>
            </w:r>
          </w:p>
        </w:tc>
        <w:tc>
          <w:tcPr>
            <w:tcW w:w="5060" w:type="dxa"/>
            <w:vAlign w:val="bottom"/>
            <w:gridSpan w:val="2"/>
          </w:tcPr>
          <w:p>
            <w:pPr>
              <w:ind w:left="1440"/>
              <w:spacing w:after="0"/>
              <w:rPr>
                <w:sz w:val="20"/>
                <w:szCs w:val="20"/>
                <w:color w:val="auto"/>
              </w:rPr>
            </w:pPr>
            <w:r>
              <w:rPr>
                <w:rFonts w:ascii="Arial" w:cs="Arial" w:eastAsia="Arial" w:hAnsi="Arial"/>
                <w:sz w:val="14"/>
                <w:szCs w:val="14"/>
                <w:color w:val="auto"/>
              </w:rPr>
              <w:t>Brooklyn, NY, USA</w:t>
            </w:r>
          </w:p>
        </w:tc>
        <w:tc>
          <w:tcPr>
            <w:tcW w:w="3600" w:type="dxa"/>
            <w:vAlign w:val="bottom"/>
            <w:gridSpan w:val="2"/>
          </w:tcPr>
          <w:p>
            <w:pPr>
              <w:ind w:left="120"/>
              <w:spacing w:after="0"/>
              <w:rPr>
                <w:sz w:val="20"/>
                <w:szCs w:val="20"/>
                <w:color w:val="auto"/>
              </w:rPr>
            </w:pPr>
            <w:r>
              <w:rPr>
                <w:rFonts w:ascii="Arial" w:cs="Arial" w:eastAsia="Arial" w:hAnsi="Arial"/>
                <w:sz w:val="14"/>
                <w:szCs w:val="14"/>
                <w:color w:val="auto"/>
              </w:rPr>
              <w:t>USA</w:t>
            </w:r>
          </w:p>
        </w:tc>
      </w:tr>
      <w:tr>
        <w:trPr>
          <w:trHeight w:val="249"/>
        </w:trPr>
        <w:tc>
          <w:tcPr>
            <w:tcW w:w="2620" w:type="dxa"/>
            <w:vAlign w:val="bottom"/>
            <w:gridSpan w:val="2"/>
          </w:tcPr>
          <w:p>
            <w:pPr>
              <w:spacing w:after="0"/>
              <w:rPr>
                <w:sz w:val="20"/>
                <w:szCs w:val="20"/>
                <w:color w:val="auto"/>
              </w:rPr>
            </w:pPr>
            <w:r>
              <w:rPr>
                <w:rFonts w:ascii="Arial" w:cs="Arial" w:eastAsia="Arial" w:hAnsi="Arial"/>
                <w:sz w:val="14"/>
                <w:szCs w:val="14"/>
                <w:color w:val="auto"/>
              </w:rPr>
              <w:t>Michael Karfunkel</w:t>
            </w:r>
          </w:p>
        </w:tc>
        <w:tc>
          <w:tcPr>
            <w:tcW w:w="5060" w:type="dxa"/>
            <w:vAlign w:val="bottom"/>
            <w:gridSpan w:val="2"/>
          </w:tcPr>
          <w:p>
            <w:pPr>
              <w:ind w:left="1440"/>
              <w:spacing w:after="0"/>
              <w:rPr>
                <w:sz w:val="20"/>
                <w:szCs w:val="20"/>
                <w:color w:val="auto"/>
              </w:rPr>
            </w:pPr>
            <w:r>
              <w:rPr>
                <w:rFonts w:ascii="Arial" w:cs="Arial" w:eastAsia="Arial" w:hAnsi="Arial"/>
                <w:sz w:val="14"/>
                <w:szCs w:val="14"/>
                <w:color w:val="auto"/>
              </w:rPr>
              <w:t>Brooklyn, NY, USA</w:t>
            </w:r>
          </w:p>
        </w:tc>
        <w:tc>
          <w:tcPr>
            <w:tcW w:w="3600" w:type="dxa"/>
            <w:vAlign w:val="bottom"/>
            <w:gridSpan w:val="2"/>
          </w:tcPr>
          <w:p>
            <w:pPr>
              <w:ind w:left="120"/>
              <w:spacing w:after="0"/>
              <w:rPr>
                <w:sz w:val="20"/>
                <w:szCs w:val="20"/>
                <w:color w:val="auto"/>
              </w:rPr>
            </w:pPr>
            <w:r>
              <w:rPr>
                <w:rFonts w:ascii="Arial" w:cs="Arial" w:eastAsia="Arial" w:hAnsi="Arial"/>
                <w:sz w:val="14"/>
                <w:szCs w:val="14"/>
                <w:color w:val="auto"/>
              </w:rPr>
              <w:t>USA</w:t>
            </w:r>
          </w:p>
        </w:tc>
      </w:tr>
      <w:tr>
        <w:trPr>
          <w:trHeight w:val="249"/>
        </w:trPr>
        <w:tc>
          <w:tcPr>
            <w:tcW w:w="2620" w:type="dxa"/>
            <w:vAlign w:val="bottom"/>
            <w:gridSpan w:val="2"/>
          </w:tcPr>
          <w:p>
            <w:pPr>
              <w:spacing w:after="0"/>
              <w:rPr>
                <w:sz w:val="20"/>
                <w:szCs w:val="20"/>
                <w:color w:val="auto"/>
              </w:rPr>
            </w:pPr>
            <w:r>
              <w:rPr>
                <w:rFonts w:ascii="Arial" w:cs="Arial" w:eastAsia="Arial" w:hAnsi="Arial"/>
                <w:sz w:val="14"/>
                <w:szCs w:val="14"/>
                <w:color w:val="auto"/>
              </w:rPr>
              <w:t>Cameron Blanks</w:t>
            </w:r>
          </w:p>
        </w:tc>
        <w:tc>
          <w:tcPr>
            <w:tcW w:w="5060" w:type="dxa"/>
            <w:vAlign w:val="bottom"/>
            <w:gridSpan w:val="2"/>
          </w:tcPr>
          <w:p>
            <w:pPr>
              <w:ind w:left="1440"/>
              <w:spacing w:after="0"/>
              <w:rPr>
                <w:sz w:val="20"/>
                <w:szCs w:val="20"/>
                <w:color w:val="auto"/>
              </w:rPr>
            </w:pPr>
            <w:r>
              <w:rPr>
                <w:rFonts w:ascii="Arial" w:cs="Arial" w:eastAsia="Arial" w:hAnsi="Arial"/>
                <w:sz w:val="14"/>
                <w:szCs w:val="14"/>
                <w:color w:val="auto"/>
              </w:rPr>
              <w:t>Cremorne Point, Australia</w:t>
            </w:r>
          </w:p>
        </w:tc>
        <w:tc>
          <w:tcPr>
            <w:tcW w:w="3600" w:type="dxa"/>
            <w:vAlign w:val="bottom"/>
            <w:gridSpan w:val="2"/>
          </w:tcPr>
          <w:p>
            <w:pPr>
              <w:ind w:left="120"/>
              <w:spacing w:after="0"/>
              <w:rPr>
                <w:sz w:val="20"/>
                <w:szCs w:val="20"/>
                <w:color w:val="auto"/>
              </w:rPr>
            </w:pPr>
            <w:r>
              <w:rPr>
                <w:rFonts w:ascii="Arial" w:cs="Arial" w:eastAsia="Arial" w:hAnsi="Arial"/>
                <w:sz w:val="14"/>
                <w:szCs w:val="14"/>
                <w:color w:val="auto"/>
              </w:rPr>
              <w:t>Australia</w:t>
            </w:r>
          </w:p>
        </w:tc>
      </w:tr>
      <w:tr>
        <w:trPr>
          <w:trHeight w:val="249"/>
        </w:trPr>
        <w:tc>
          <w:tcPr>
            <w:tcW w:w="2620" w:type="dxa"/>
            <w:vAlign w:val="bottom"/>
            <w:gridSpan w:val="2"/>
          </w:tcPr>
          <w:p>
            <w:pPr>
              <w:spacing w:after="0"/>
              <w:rPr>
                <w:sz w:val="20"/>
                <w:szCs w:val="20"/>
                <w:color w:val="auto"/>
              </w:rPr>
            </w:pPr>
            <w:r>
              <w:rPr>
                <w:rFonts w:ascii="Arial" w:cs="Arial" w:eastAsia="Arial" w:hAnsi="Arial"/>
                <w:sz w:val="14"/>
                <w:szCs w:val="14"/>
                <w:color w:val="auto"/>
              </w:rPr>
              <w:t>Timothy J. Sims</w:t>
            </w:r>
          </w:p>
        </w:tc>
        <w:tc>
          <w:tcPr>
            <w:tcW w:w="5060" w:type="dxa"/>
            <w:vAlign w:val="bottom"/>
            <w:gridSpan w:val="2"/>
          </w:tcPr>
          <w:p>
            <w:pPr>
              <w:ind w:left="1440"/>
              <w:spacing w:after="0"/>
              <w:rPr>
                <w:sz w:val="20"/>
                <w:szCs w:val="20"/>
                <w:color w:val="auto"/>
              </w:rPr>
            </w:pPr>
            <w:r>
              <w:rPr>
                <w:rFonts w:ascii="Arial" w:cs="Arial" w:eastAsia="Arial" w:hAnsi="Arial"/>
                <w:sz w:val="14"/>
                <w:szCs w:val="14"/>
                <w:color w:val="auto"/>
              </w:rPr>
              <w:t>Terrey Hills, Australia</w:t>
            </w:r>
          </w:p>
        </w:tc>
        <w:tc>
          <w:tcPr>
            <w:tcW w:w="3600" w:type="dxa"/>
            <w:vAlign w:val="bottom"/>
            <w:gridSpan w:val="2"/>
          </w:tcPr>
          <w:p>
            <w:pPr>
              <w:ind w:left="120"/>
              <w:spacing w:after="0"/>
              <w:rPr>
                <w:sz w:val="20"/>
                <w:szCs w:val="20"/>
                <w:color w:val="auto"/>
              </w:rPr>
            </w:pPr>
            <w:r>
              <w:rPr>
                <w:rFonts w:ascii="Arial" w:cs="Arial" w:eastAsia="Arial" w:hAnsi="Arial"/>
                <w:sz w:val="14"/>
                <w:szCs w:val="14"/>
                <w:color w:val="auto"/>
              </w:rPr>
              <w:t>Australia</w:t>
            </w:r>
          </w:p>
        </w:tc>
      </w:tr>
      <w:tr>
        <w:trPr>
          <w:trHeight w:val="249"/>
        </w:trPr>
        <w:tc>
          <w:tcPr>
            <w:tcW w:w="2620" w:type="dxa"/>
            <w:vAlign w:val="bottom"/>
            <w:gridSpan w:val="2"/>
          </w:tcPr>
          <w:p>
            <w:pPr>
              <w:spacing w:after="0"/>
              <w:rPr>
                <w:sz w:val="20"/>
                <w:szCs w:val="20"/>
                <w:color w:val="auto"/>
              </w:rPr>
            </w:pPr>
            <w:r>
              <w:rPr>
                <w:rFonts w:ascii="Arial" w:cs="Arial" w:eastAsia="Arial" w:hAnsi="Arial"/>
                <w:sz w:val="14"/>
                <w:szCs w:val="14"/>
                <w:color w:val="auto"/>
              </w:rPr>
              <w:t>Paul J. McCullagh</w:t>
            </w:r>
          </w:p>
        </w:tc>
        <w:tc>
          <w:tcPr>
            <w:tcW w:w="5060" w:type="dxa"/>
            <w:vAlign w:val="bottom"/>
            <w:gridSpan w:val="2"/>
          </w:tcPr>
          <w:p>
            <w:pPr>
              <w:ind w:left="1440"/>
              <w:spacing w:after="0"/>
              <w:rPr>
                <w:sz w:val="20"/>
                <w:szCs w:val="20"/>
                <w:color w:val="auto"/>
              </w:rPr>
            </w:pPr>
            <w:r>
              <w:rPr>
                <w:rFonts w:ascii="Arial" w:cs="Arial" w:eastAsia="Arial" w:hAnsi="Arial"/>
                <w:sz w:val="14"/>
                <w:szCs w:val="14"/>
                <w:color w:val="auto"/>
              </w:rPr>
              <w:t>Tamarama, Australia</w:t>
            </w:r>
          </w:p>
        </w:tc>
        <w:tc>
          <w:tcPr>
            <w:tcW w:w="3600" w:type="dxa"/>
            <w:vAlign w:val="bottom"/>
            <w:gridSpan w:val="2"/>
          </w:tcPr>
          <w:p>
            <w:pPr>
              <w:ind w:left="120"/>
              <w:spacing w:after="0"/>
              <w:rPr>
                <w:sz w:val="20"/>
                <w:szCs w:val="20"/>
                <w:color w:val="auto"/>
              </w:rPr>
            </w:pPr>
            <w:r>
              <w:rPr>
                <w:rFonts w:ascii="Arial" w:cs="Arial" w:eastAsia="Arial" w:hAnsi="Arial"/>
                <w:sz w:val="14"/>
                <w:szCs w:val="14"/>
                <w:color w:val="auto"/>
              </w:rPr>
              <w:t>Ireland</w:t>
            </w:r>
          </w:p>
        </w:tc>
      </w:tr>
      <w:tr>
        <w:trPr>
          <w:trHeight w:val="249"/>
        </w:trPr>
        <w:tc>
          <w:tcPr>
            <w:tcW w:w="2620" w:type="dxa"/>
            <w:vAlign w:val="bottom"/>
            <w:gridSpan w:val="2"/>
          </w:tcPr>
          <w:p>
            <w:pPr>
              <w:spacing w:after="0"/>
              <w:rPr>
                <w:sz w:val="20"/>
                <w:szCs w:val="20"/>
                <w:color w:val="auto"/>
              </w:rPr>
            </w:pPr>
            <w:r>
              <w:rPr>
                <w:rFonts w:ascii="Arial" w:cs="Arial" w:eastAsia="Arial" w:hAnsi="Arial"/>
                <w:sz w:val="14"/>
                <w:szCs w:val="14"/>
                <w:color w:val="auto"/>
              </w:rPr>
              <w:t>Joseph John O’Brien</w:t>
            </w:r>
          </w:p>
        </w:tc>
        <w:tc>
          <w:tcPr>
            <w:tcW w:w="5060" w:type="dxa"/>
            <w:vAlign w:val="bottom"/>
            <w:gridSpan w:val="2"/>
          </w:tcPr>
          <w:p>
            <w:pPr>
              <w:ind w:left="1440"/>
              <w:spacing w:after="0"/>
              <w:rPr>
                <w:sz w:val="20"/>
                <w:szCs w:val="20"/>
                <w:color w:val="auto"/>
              </w:rPr>
            </w:pPr>
            <w:r>
              <w:rPr>
                <w:rFonts w:ascii="Arial" w:cs="Arial" w:eastAsia="Arial" w:hAnsi="Arial"/>
                <w:sz w:val="14"/>
                <w:szCs w:val="14"/>
                <w:color w:val="auto"/>
              </w:rPr>
              <w:t>Bondi Beach, Australia</w:t>
            </w:r>
          </w:p>
        </w:tc>
        <w:tc>
          <w:tcPr>
            <w:tcW w:w="3600" w:type="dxa"/>
            <w:vAlign w:val="bottom"/>
            <w:gridSpan w:val="2"/>
          </w:tcPr>
          <w:p>
            <w:pPr>
              <w:ind w:left="120"/>
              <w:spacing w:after="0"/>
              <w:rPr>
                <w:sz w:val="20"/>
                <w:szCs w:val="20"/>
                <w:color w:val="auto"/>
              </w:rPr>
            </w:pPr>
            <w:r>
              <w:rPr>
                <w:rFonts w:ascii="Arial" w:cs="Arial" w:eastAsia="Arial" w:hAnsi="Arial"/>
                <w:sz w:val="14"/>
                <w:szCs w:val="14"/>
                <w:color w:val="auto"/>
              </w:rPr>
              <w:t>USA</w:t>
            </w:r>
          </w:p>
        </w:tc>
      </w:tr>
      <w:tr>
        <w:trPr>
          <w:trHeight w:val="249"/>
        </w:trPr>
        <w:tc>
          <w:tcPr>
            <w:tcW w:w="2620" w:type="dxa"/>
            <w:vAlign w:val="bottom"/>
            <w:gridSpan w:val="2"/>
          </w:tcPr>
          <w:p>
            <w:pPr>
              <w:spacing w:after="0"/>
              <w:rPr>
                <w:sz w:val="20"/>
                <w:szCs w:val="20"/>
                <w:color w:val="auto"/>
              </w:rPr>
            </w:pPr>
            <w:r>
              <w:rPr>
                <w:rFonts w:ascii="Arial" w:cs="Arial" w:eastAsia="Arial" w:hAnsi="Arial"/>
                <w:sz w:val="14"/>
                <w:szCs w:val="14"/>
                <w:color w:val="auto"/>
              </w:rPr>
              <w:t>Jay F. Krehbiel</w:t>
            </w:r>
          </w:p>
        </w:tc>
        <w:tc>
          <w:tcPr>
            <w:tcW w:w="5060" w:type="dxa"/>
            <w:vAlign w:val="bottom"/>
            <w:gridSpan w:val="2"/>
          </w:tcPr>
          <w:p>
            <w:pPr>
              <w:ind w:left="1440"/>
              <w:spacing w:after="0"/>
              <w:rPr>
                <w:sz w:val="20"/>
                <w:szCs w:val="20"/>
                <w:color w:val="auto"/>
              </w:rPr>
            </w:pPr>
            <w:r>
              <w:rPr>
                <w:rFonts w:ascii="Arial" w:cs="Arial" w:eastAsia="Arial" w:hAnsi="Arial"/>
                <w:sz w:val="14"/>
                <w:szCs w:val="14"/>
                <w:color w:val="auto"/>
              </w:rPr>
              <w:t>Darling Point, Australia</w:t>
            </w:r>
          </w:p>
        </w:tc>
        <w:tc>
          <w:tcPr>
            <w:tcW w:w="3600" w:type="dxa"/>
            <w:vAlign w:val="bottom"/>
            <w:gridSpan w:val="2"/>
          </w:tcPr>
          <w:p>
            <w:pPr>
              <w:ind w:left="120"/>
              <w:spacing w:after="0"/>
              <w:rPr>
                <w:sz w:val="20"/>
                <w:szCs w:val="20"/>
                <w:color w:val="auto"/>
              </w:rPr>
            </w:pPr>
            <w:r>
              <w:rPr>
                <w:rFonts w:ascii="Arial" w:cs="Arial" w:eastAsia="Arial" w:hAnsi="Arial"/>
                <w:sz w:val="14"/>
                <w:szCs w:val="14"/>
                <w:color w:val="auto"/>
              </w:rPr>
              <w:t>USA</w:t>
            </w:r>
          </w:p>
        </w:tc>
      </w:tr>
    </w:tbl>
    <w:p>
      <w:pPr>
        <w:spacing w:after="0" w:line="173"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color w:val="auto"/>
        </w:rPr>
        <w:t>Sixth.</w:t>
      </w:r>
      <w:r>
        <w:rPr>
          <w:sz w:val="20"/>
          <w:szCs w:val="20"/>
          <w:color w:val="auto"/>
        </w:rPr>
        <w:tab/>
      </w:r>
      <w:r>
        <w:rPr>
          <w:rFonts w:ascii="Arial" w:cs="Arial" w:eastAsia="Arial" w:hAnsi="Arial"/>
          <w:sz w:val="14"/>
          <w:szCs w:val="14"/>
          <w:color w:val="auto"/>
        </w:rPr>
        <w:t xml:space="preserve">The </w:t>
      </w:r>
      <w:r>
        <w:rPr>
          <w:rFonts w:ascii="Arial" w:cs="Arial" w:eastAsia="Arial" w:hAnsi="Arial"/>
          <w:sz w:val="14"/>
          <w:szCs w:val="14"/>
          <w:b w:val="1"/>
          <w:bCs w:val="1"/>
          <w:color w:val="auto"/>
        </w:rPr>
        <w:t>term</w:t>
      </w:r>
      <w:r>
        <w:rPr>
          <w:rFonts w:ascii="Arial" w:cs="Arial" w:eastAsia="Arial" w:hAnsi="Arial"/>
          <w:sz w:val="14"/>
          <w:szCs w:val="14"/>
          <w:color w:val="auto"/>
        </w:rPr>
        <w:t xml:space="preserve"> of existence of the trust company is to be until December 31, 2030, unless the interest holders agree to extend such date.</w:t>
      </w:r>
    </w:p>
    <w:p>
      <w:pPr>
        <w:spacing w:after="0" w:line="88"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color w:val="auto"/>
        </w:rPr>
        <w:t>Seventh.</w:t>
      </w:r>
      <w:r>
        <w:rPr>
          <w:sz w:val="20"/>
          <w:szCs w:val="20"/>
          <w:color w:val="auto"/>
        </w:rPr>
        <w:tab/>
      </w:r>
      <w:r>
        <w:rPr>
          <w:rFonts w:ascii="Arial" w:cs="Arial" w:eastAsia="Arial" w:hAnsi="Arial"/>
          <w:sz w:val="14"/>
          <w:szCs w:val="14"/>
          <w:color w:val="auto"/>
        </w:rPr>
        <w:t xml:space="preserve">The </w:t>
      </w:r>
      <w:r>
        <w:rPr>
          <w:rFonts w:ascii="Arial" w:cs="Arial" w:eastAsia="Arial" w:hAnsi="Arial"/>
          <w:sz w:val="14"/>
          <w:szCs w:val="14"/>
          <w:b w:val="1"/>
          <w:bCs w:val="1"/>
          <w:color w:val="auto"/>
        </w:rPr>
        <w:t>number</w:t>
      </w:r>
      <w:r>
        <w:rPr>
          <w:rFonts w:ascii="Arial" w:cs="Arial" w:eastAsia="Arial" w:hAnsi="Arial"/>
          <w:sz w:val="14"/>
          <w:szCs w:val="14"/>
          <w:color w:val="auto"/>
        </w:rPr>
        <w:t xml:space="preserve"> of managers of the company is to be not less than seven nor more than fifteen.</w:t>
      </w:r>
    </w:p>
    <w:p>
      <w:pPr>
        <w:spacing w:after="0" w:line="88" w:lineRule="exact"/>
        <w:rPr>
          <w:sz w:val="20"/>
          <w:szCs w:val="20"/>
          <w:color w:val="auto"/>
        </w:rPr>
      </w:pPr>
    </w:p>
    <w:p>
      <w:pPr>
        <w:spacing w:after="0"/>
        <w:tabs>
          <w:tab w:leader="none" w:pos="900" w:val="left"/>
        </w:tabs>
        <w:rPr>
          <w:sz w:val="20"/>
          <w:szCs w:val="20"/>
          <w:color w:val="auto"/>
        </w:rPr>
      </w:pPr>
      <w:r>
        <w:rPr>
          <w:rFonts w:ascii="Arial" w:cs="Arial" w:eastAsia="Arial" w:hAnsi="Arial"/>
          <w:sz w:val="12"/>
          <w:szCs w:val="12"/>
          <w:b w:val="1"/>
          <w:bCs w:val="1"/>
          <w:color w:val="auto"/>
        </w:rPr>
        <w:t>Eighth.</w:t>
      </w:r>
      <w:r>
        <w:rPr>
          <w:sz w:val="20"/>
          <w:szCs w:val="20"/>
          <w:color w:val="auto"/>
        </w:rPr>
        <w:tab/>
      </w:r>
      <w:r>
        <w:rPr>
          <w:rFonts w:ascii="Arial" w:cs="Arial" w:eastAsia="Arial" w:hAnsi="Arial"/>
          <w:sz w:val="12"/>
          <w:szCs w:val="12"/>
          <w:color w:val="auto"/>
        </w:rPr>
        <w:t xml:space="preserve">The </w:t>
      </w:r>
      <w:r>
        <w:rPr>
          <w:rFonts w:ascii="Arial" w:cs="Arial" w:eastAsia="Arial" w:hAnsi="Arial"/>
          <w:sz w:val="12"/>
          <w:szCs w:val="12"/>
          <w:b w:val="1"/>
          <w:bCs w:val="1"/>
          <w:color w:val="auto"/>
        </w:rPr>
        <w:t>names</w:t>
      </w:r>
      <w:r>
        <w:rPr>
          <w:rFonts w:ascii="Arial" w:cs="Arial" w:eastAsia="Arial" w:hAnsi="Arial"/>
          <w:sz w:val="12"/>
          <w:szCs w:val="12"/>
          <w:color w:val="auto"/>
        </w:rPr>
        <w:t xml:space="preserve"> of the organizers who shall manage the company until the first annual meeting of members are as follows: George Karfunkel, Michael Karfunkel, Cameron Blanks, Timothy J.</w:t>
      </w:r>
    </w:p>
    <w:p>
      <w:pPr>
        <w:spacing w:after="0" w:line="4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Sims, Paul J. McCullagh, Joseph John O’Brien, and Jay F. Krehbiel.</w:t>
      </w:r>
    </w:p>
    <w:p>
      <w:pPr>
        <w:spacing w:after="0" w:line="75" w:lineRule="exact"/>
        <w:rPr>
          <w:sz w:val="20"/>
          <w:szCs w:val="20"/>
          <w:color w:val="auto"/>
        </w:rPr>
      </w:pPr>
    </w:p>
    <w:p>
      <w:pPr>
        <w:ind w:left="920" w:right="320" w:hanging="919"/>
        <w:spacing w:after="0" w:line="274" w:lineRule="auto"/>
        <w:tabs>
          <w:tab w:leader="none" w:pos="900" w:val="left"/>
        </w:tabs>
        <w:rPr>
          <w:sz w:val="20"/>
          <w:szCs w:val="20"/>
          <w:color w:val="auto"/>
        </w:rPr>
      </w:pPr>
      <w:r>
        <w:rPr>
          <w:rFonts w:ascii="Arial" w:cs="Arial" w:eastAsia="Arial" w:hAnsi="Arial"/>
          <w:sz w:val="14"/>
          <w:szCs w:val="14"/>
          <w:b w:val="1"/>
          <w:bCs w:val="1"/>
          <w:color w:val="auto"/>
        </w:rPr>
        <w:t>Ninth.</w:t>
      </w:r>
      <w:r>
        <w:rPr>
          <w:sz w:val="20"/>
          <w:szCs w:val="20"/>
          <w:color w:val="auto"/>
        </w:rPr>
        <w:tab/>
      </w:r>
      <w:r>
        <w:rPr>
          <w:rFonts w:ascii="Arial" w:cs="Arial" w:eastAsia="Arial" w:hAnsi="Arial"/>
          <w:sz w:val="14"/>
          <w:szCs w:val="14"/>
          <w:color w:val="auto"/>
        </w:rPr>
        <w:t xml:space="preserve">The limited liability </w:t>
      </w:r>
      <w:r>
        <w:rPr>
          <w:rFonts w:ascii="Arial" w:cs="Arial" w:eastAsia="Arial" w:hAnsi="Arial"/>
          <w:sz w:val="14"/>
          <w:szCs w:val="14"/>
          <w:b w:val="1"/>
          <w:bCs w:val="1"/>
          <w:color w:val="auto"/>
        </w:rPr>
        <w:t>trust</w:t>
      </w:r>
      <w:r>
        <w:rPr>
          <w:rFonts w:ascii="Arial" w:cs="Arial" w:eastAsia="Arial" w:hAnsi="Arial"/>
          <w:sz w:val="14"/>
          <w:szCs w:val="14"/>
          <w:color w:val="auto"/>
        </w:rPr>
        <w:t xml:space="preserve"> company is to exercise the powers conferred by Section 100 of the Banking Law. The limited liability trust company shall neither accept deposits nor make loans except for deposits and loans arising directly from the exercise of the fiduciary powers specified in Section 100 of the Banking Law.</w:t>
      </w:r>
    </w:p>
    <w:p>
      <w:pPr>
        <w:sectPr>
          <w:pgSz w:w="11900" w:h="16838" w:orient="portrait"/>
          <w:cols w:equalWidth="0" w:num="1">
            <w:col w:w="11280"/>
          </w:cols>
          <w:pgMar w:left="300" w:top="239" w:right="319" w:bottom="1440" w:gutter="0" w:footer="0" w:header="0"/>
        </w:sectPr>
      </w:pPr>
    </w:p>
    <w:bookmarkStart w:id="91" w:name="page92"/>
    <w:bookmarkEnd w:id="91"/>
    <w:p>
      <w:pPr>
        <w:ind w:left="460"/>
        <w:spacing w:after="0"/>
        <w:tabs>
          <w:tab w:leader="none" w:pos="66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IN WITNESS WHEREOF, We have made, signed, and acknowledged this certificate in duplicate this</w:t>
      </w:r>
      <w:r>
        <w:rPr>
          <w:sz w:val="20"/>
          <w:szCs w:val="20"/>
          <w:color w:val="auto"/>
        </w:rPr>
        <w:tab/>
      </w:r>
      <w:r>
        <w:rPr>
          <w:rFonts w:ascii="Arial" w:cs="Arial" w:eastAsia="Arial" w:hAnsi="Arial"/>
          <w:sz w:val="12"/>
          <w:szCs w:val="12"/>
          <w:color w:val="auto"/>
        </w:rPr>
        <w:t>day of March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3878580</wp:posOffset>
            </wp:positionH>
            <wp:positionV relativeFrom="paragraph">
              <wp:posOffset>-8890</wp:posOffset>
            </wp:positionV>
            <wp:extent cx="351155"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4">
                      <a:extLst>
                        <a:ext uri="{28A0092B-C50C-407E-A947-70E740481C1C}"/>
                      </a:extLst>
                    </a:blip>
                    <a:srcRect/>
                    <a:stretch>
                      <a:fillRect/>
                    </a:stretch>
                  </pic:blipFill>
                  <pic:spPr bwMode="auto">
                    <a:xfrm>
                      <a:off x="0" y="0"/>
                      <a:ext cx="351155" cy="6350"/>
                    </a:xfrm>
                    <a:prstGeom prst="rect">
                      <a:avLst/>
                    </a:prstGeom>
                    <a:noFill/>
                  </pic:spPr>
                </pic:pic>
              </a:graphicData>
            </a:graphic>
          </wp:anchor>
        </w:drawing>
      </w:r>
    </w:p>
    <w:p>
      <w:pPr>
        <w:sectPr>
          <w:pgSz w:w="11900" w:h="16838" w:orient="portrait"/>
          <w:cols w:equalWidth="0" w:num="1">
            <w:col w:w="10159"/>
          </w:cols>
          <w:pgMar w:left="300" w:top="243" w:right="1440" w:bottom="1440" w:gutter="0" w:footer="0" w:header="0"/>
        </w:sect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color w:val="auto"/>
        </w:rPr>
        <w:t>/s/ George Karfunkel</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George Karfunkel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-101600</wp:posOffset>
            </wp:positionV>
            <wp:extent cx="3371215"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5">
                      <a:extLst>
                        <a:ext uri="{28A0092B-C50C-407E-A947-70E740481C1C}"/>
                      </a:extLst>
                    </a:blip>
                    <a:srcRect/>
                    <a:stretch>
                      <a:fillRect/>
                    </a:stretch>
                  </pic:blipFill>
                  <pic:spPr bwMode="auto">
                    <a:xfrm>
                      <a:off x="0" y="0"/>
                      <a:ext cx="3371215" cy="6350"/>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color w:val="auto"/>
        </w:rPr>
        <w:t>/s/ Michael Karfunkel</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Michael Karfunkel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-101600</wp:posOffset>
            </wp:positionV>
            <wp:extent cx="337121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6">
                      <a:extLst>
                        <a:ext uri="{28A0092B-C50C-407E-A947-70E740481C1C}"/>
                      </a:extLst>
                    </a:blip>
                    <a:srcRect/>
                    <a:stretch>
                      <a:fillRect/>
                    </a:stretch>
                  </pic:blipFill>
                  <pic:spPr bwMode="auto">
                    <a:xfrm>
                      <a:off x="0" y="0"/>
                      <a:ext cx="3371215" cy="635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Cameron Blanks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-101600</wp:posOffset>
            </wp:positionV>
            <wp:extent cx="337121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7">
                      <a:extLst>
                        <a:ext uri="{28A0092B-C50C-407E-A947-70E740481C1C}"/>
                      </a:extLst>
                    </a:blip>
                    <a:srcRect/>
                    <a:stretch>
                      <a:fillRect/>
                    </a:stretch>
                  </pic:blipFill>
                  <pic:spPr bwMode="auto">
                    <a:xfrm>
                      <a:off x="0" y="0"/>
                      <a:ext cx="3371215" cy="635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Timothy J. Sims</w:t>
            </w:r>
          </w:p>
        </w:tc>
        <w:tc>
          <w:tcPr>
            <w:tcW w:w="4300" w:type="dxa"/>
            <w:vAlign w:val="bottom"/>
            <w:tcBorders>
              <w:top w:val="single" w:sz="8" w:color="auto"/>
            </w:tcBorders>
          </w:tcPr>
          <w:p>
            <w:pPr>
              <w:spacing w:after="0"/>
              <w:rPr>
                <w:sz w:val="16"/>
                <w:szCs w:val="16"/>
                <w:color w:val="auto"/>
              </w:rPr>
            </w:pPr>
          </w:p>
        </w:tc>
      </w:tr>
      <w:tr>
        <w:trPr>
          <w:trHeight w:val="321"/>
        </w:trPr>
        <w:tc>
          <w:tcPr>
            <w:tcW w:w="1020" w:type="dxa"/>
            <w:vAlign w:val="bottom"/>
          </w:tcPr>
          <w:p>
            <w:pPr>
              <w:spacing w:after="0"/>
              <w:rPr>
                <w:sz w:val="20"/>
                <w:szCs w:val="20"/>
                <w:color w:val="auto"/>
              </w:rPr>
            </w:pPr>
            <w:r>
              <w:rPr>
                <w:rFonts w:ascii="Arial" w:cs="Arial" w:eastAsia="Arial" w:hAnsi="Arial"/>
                <w:sz w:val="14"/>
                <w:szCs w:val="14"/>
                <w:color w:val="auto"/>
              </w:rPr>
              <w:t>NOTARY:</w:t>
            </w:r>
          </w:p>
        </w:tc>
        <w:tc>
          <w:tcPr>
            <w:tcW w:w="4300" w:type="dxa"/>
            <w:vAlign w:val="bottom"/>
          </w:tcPr>
          <w:p>
            <w:pPr>
              <w:spacing w:after="0"/>
              <w:rPr>
                <w:sz w:val="24"/>
                <w:szCs w:val="24"/>
                <w:color w:val="auto"/>
              </w:rPr>
            </w:pPr>
          </w:p>
        </w:tc>
      </w:tr>
      <w:tr>
        <w:trPr>
          <w:trHeight w:val="240"/>
        </w:trPr>
        <w:tc>
          <w:tcPr>
            <w:tcW w:w="1020" w:type="dxa"/>
            <w:vAlign w:val="bottom"/>
          </w:tcPr>
          <w:p>
            <w:pPr>
              <w:spacing w:after="0"/>
              <w:rPr>
                <w:sz w:val="20"/>
                <w:szCs w:val="20"/>
                <w:color w:val="auto"/>
              </w:rPr>
            </w:pPr>
            <w:r>
              <w:rPr>
                <w:rFonts w:ascii="Arial" w:cs="Arial" w:eastAsia="Arial" w:hAnsi="Arial"/>
                <w:sz w:val="14"/>
                <w:szCs w:val="14"/>
                <w:color w:val="auto"/>
              </w:rPr>
              <w:t>State of NY</w:t>
            </w:r>
          </w:p>
        </w:tc>
        <w:tc>
          <w:tcPr>
            <w:tcW w:w="4300" w:type="dxa"/>
            <w:vAlign w:val="bottom"/>
          </w:tcPr>
          <w:p>
            <w:pPr>
              <w:jc w:val="right"/>
              <w:ind w:right="4091"/>
              <w:spacing w:after="0"/>
              <w:rPr>
                <w:sz w:val="20"/>
                <w:szCs w:val="20"/>
                <w:color w:val="auto"/>
              </w:rPr>
            </w:pPr>
            <w:r>
              <w:rPr>
                <w:rFonts w:ascii="Arial" w:cs="Arial" w:eastAsia="Arial" w:hAnsi="Arial"/>
                <w:sz w:val="14"/>
                <w:szCs w:val="14"/>
                <w:color w:val="auto"/>
              </w:rPr>
              <w:t>)</w:t>
            </w:r>
          </w:p>
        </w:tc>
      </w:tr>
      <w:tr>
        <w:trPr>
          <w:trHeight w:val="166"/>
        </w:trPr>
        <w:tc>
          <w:tcPr>
            <w:tcW w:w="1020" w:type="dxa"/>
            <w:vAlign w:val="bottom"/>
          </w:tcPr>
          <w:p>
            <w:pPr>
              <w:spacing w:after="0"/>
              <w:rPr>
                <w:sz w:val="14"/>
                <w:szCs w:val="14"/>
                <w:color w:val="auto"/>
              </w:rPr>
            </w:pPr>
          </w:p>
        </w:tc>
        <w:tc>
          <w:tcPr>
            <w:tcW w:w="4300" w:type="dxa"/>
            <w:vAlign w:val="bottom"/>
          </w:tcPr>
          <w:p>
            <w:pPr>
              <w:jc w:val="right"/>
              <w:ind w:right="3751"/>
              <w:spacing w:after="0"/>
              <w:rPr>
                <w:sz w:val="20"/>
                <w:szCs w:val="20"/>
                <w:color w:val="auto"/>
              </w:rPr>
            </w:pPr>
            <w:r>
              <w:rPr>
                <w:rFonts w:ascii="Arial" w:cs="Arial" w:eastAsia="Arial" w:hAnsi="Arial"/>
                <w:sz w:val="14"/>
                <w:szCs w:val="14"/>
                <w:color w:val="auto"/>
              </w:rPr>
              <w:t>)  ss.:</w:t>
            </w:r>
          </w:p>
        </w:tc>
      </w:tr>
      <w:tr>
        <w:trPr>
          <w:trHeight w:val="175"/>
        </w:trPr>
        <w:tc>
          <w:tcPr>
            <w:tcW w:w="1020" w:type="dxa"/>
            <w:vAlign w:val="bottom"/>
          </w:tcPr>
          <w:p>
            <w:pPr>
              <w:spacing w:after="0"/>
              <w:rPr>
                <w:sz w:val="20"/>
                <w:szCs w:val="20"/>
                <w:color w:val="auto"/>
              </w:rPr>
            </w:pPr>
            <w:r>
              <w:rPr>
                <w:rFonts w:ascii="Arial" w:cs="Arial" w:eastAsia="Arial" w:hAnsi="Arial"/>
                <w:sz w:val="14"/>
                <w:szCs w:val="14"/>
                <w:color w:val="auto"/>
              </w:rPr>
              <w:t>County of Kings</w:t>
            </w:r>
          </w:p>
        </w:tc>
        <w:tc>
          <w:tcPr>
            <w:tcW w:w="4300" w:type="dxa"/>
            <w:vAlign w:val="bottom"/>
          </w:tcPr>
          <w:p>
            <w:pPr>
              <w:jc w:val="right"/>
              <w:ind w:right="4111"/>
              <w:spacing w:after="0"/>
              <w:rPr>
                <w:sz w:val="20"/>
                <w:szCs w:val="20"/>
                <w:color w:val="auto"/>
              </w:rPr>
            </w:pPr>
            <w:r>
              <w:rPr>
                <w:rFonts w:ascii="Arial" w:cs="Arial" w:eastAsia="Arial" w:hAnsi="Arial"/>
                <w:sz w:val="14"/>
                <w:szCs w:val="14"/>
                <w:color w:val="auto"/>
              </w:rPr>
              <w:t>)</w:t>
            </w:r>
          </w:p>
        </w:tc>
      </w:tr>
    </w:tbl>
    <w:p>
      <w:pPr>
        <w:spacing w:after="0" w:line="157" w:lineRule="exact"/>
        <w:rPr>
          <w:sz w:val="20"/>
          <w:szCs w:val="20"/>
          <w:color w:val="auto"/>
        </w:rPr>
      </w:pPr>
    </w:p>
    <w:p>
      <w:pPr>
        <w:jc w:val="right"/>
        <w:ind w:right="1360"/>
        <w:spacing w:after="0"/>
        <w:rPr>
          <w:sz w:val="20"/>
          <w:szCs w:val="20"/>
          <w:color w:val="auto"/>
        </w:rPr>
      </w:pPr>
      <w:r>
        <w:rPr>
          <w:rFonts w:ascii="Arial" w:cs="Arial" w:eastAsia="Arial" w:hAnsi="Arial"/>
          <w:sz w:val="13"/>
          <w:szCs w:val="13"/>
          <w:color w:val="auto"/>
        </w:rPr>
        <w:t>On this 28</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day of March, 2008 personally appeared before me</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George Karfunkel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86448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8">
                      <a:extLst>
                        <a:ext uri="{28A0092B-C50C-407E-A947-70E740481C1C}"/>
                      </a:extLst>
                    </a:blip>
                    <a:srcRect/>
                    <a:stretch>
                      <a:fillRect/>
                    </a:stretch>
                  </pic:blipFill>
                  <pic:spPr bwMode="auto">
                    <a:xfrm>
                      <a:off x="0" y="0"/>
                      <a:ext cx="2864485" cy="6350"/>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Michael Karfunkel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86448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9">
                      <a:extLst>
                        <a:ext uri="{28A0092B-C50C-407E-A947-70E740481C1C}"/>
                      </a:extLst>
                    </a:blip>
                    <a:srcRect/>
                    <a:stretch>
                      <a:fillRect/>
                    </a:stretch>
                  </pic:blipFill>
                  <pic:spPr bwMode="auto">
                    <a:xfrm>
                      <a:off x="0" y="0"/>
                      <a:ext cx="286448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Paul J. McCullagh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-101600</wp:posOffset>
            </wp:positionV>
            <wp:extent cx="3430905"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0">
                      <a:extLst>
                        <a:ext uri="{28A0092B-C50C-407E-A947-70E740481C1C}"/>
                      </a:extLst>
                    </a:blip>
                    <a:srcRect/>
                    <a:stretch>
                      <a:fillRect/>
                    </a:stretch>
                  </pic:blipFill>
                  <pic:spPr bwMode="auto">
                    <a:xfrm>
                      <a:off x="0" y="0"/>
                      <a:ext cx="3430905" cy="635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2"/>
          <w:szCs w:val="12"/>
          <w:color w:val="auto"/>
        </w:rPr>
        <w:t>Joseph John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-86995</wp:posOffset>
            </wp:positionV>
            <wp:extent cx="343090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1">
                      <a:extLst>
                        <a:ext uri="{28A0092B-C50C-407E-A947-70E740481C1C}"/>
                      </a:extLst>
                    </a:blip>
                    <a:srcRect/>
                    <a:stretch>
                      <a:fillRect/>
                    </a:stretch>
                  </pic:blipFill>
                  <pic:spPr bwMode="auto">
                    <a:xfrm>
                      <a:off x="0" y="0"/>
                      <a:ext cx="3430905" cy="635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color w:val="auto"/>
        </w:rPr>
        <w:t>Jay F. Krehbiel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-101600</wp:posOffset>
            </wp:positionV>
            <wp:extent cx="3430905"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2">
                      <a:extLst>
                        <a:ext uri="{28A0092B-C50C-407E-A947-70E740481C1C}"/>
                      </a:extLst>
                    </a:blip>
                    <a:srcRect/>
                    <a:stretch>
                      <a:fillRect/>
                    </a:stretch>
                  </pic:blipFill>
                  <pic:spPr bwMode="auto">
                    <a:xfrm>
                      <a:off x="0" y="0"/>
                      <a:ext cx="3430905" cy="6350"/>
                    </a:xfrm>
                    <a:prstGeom prst="rect">
                      <a:avLst/>
                    </a:prstGeom>
                    <a:noFill/>
                  </pic:spPr>
                </pic:pic>
              </a:graphicData>
            </a:graphic>
          </wp:anchor>
        </w:drawing>
      </w:r>
    </w:p>
    <w:p>
      <w:pPr>
        <w:spacing w:after="0" w:line="3260" w:lineRule="exact"/>
        <w:rPr>
          <w:sz w:val="20"/>
          <w:szCs w:val="20"/>
          <w:color w:val="auto"/>
        </w:rPr>
      </w:pPr>
    </w:p>
    <w:p>
      <w:pPr>
        <w:sectPr>
          <w:pgSz w:w="11900" w:h="16838" w:orient="portrait"/>
          <w:cols w:equalWidth="0" w:num="2">
            <w:col w:w="5320" w:space="660"/>
            <w:col w:w="4179"/>
          </w:cols>
          <w:pgMar w:left="300" w:top="243" w:right="1440" w:bottom="1440" w:gutter="0" w:footer="0" w:header="0"/>
          <w:type w:val="continuous"/>
        </w:sectPr>
      </w:pPr>
    </w:p>
    <w:p>
      <w:pPr>
        <w:spacing w:after="0"/>
        <w:rPr>
          <w:sz w:val="20"/>
          <w:szCs w:val="20"/>
          <w:color w:val="auto"/>
        </w:rPr>
      </w:pPr>
      <w:r>
        <w:rPr>
          <w:rFonts w:ascii="Arial" w:cs="Arial" w:eastAsia="Arial" w:hAnsi="Arial"/>
          <w:sz w:val="12"/>
          <w:szCs w:val="12"/>
          <w:color w:val="auto"/>
        </w:rPr>
        <w:t>to me known to be the persons described in and who executed the foregoing certificate, and severally acknowledged that they executed the same.</w:t>
      </w:r>
    </w:p>
    <w:p>
      <w:pPr>
        <w:spacing w:after="0" w:line="194"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/s/ Anthony J. Foti</w:t>
      </w:r>
    </w:p>
    <w:p>
      <w:pPr>
        <w:spacing w:after="0" w:line="14"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Anthony J. Foti</w:t>
      </w:r>
    </w:p>
    <w:p>
      <w:pPr>
        <w:spacing w:after="0" w:line="5"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Notary Public, State of New York</w:t>
      </w:r>
    </w:p>
    <w:p>
      <w:pPr>
        <w:spacing w:after="0" w:line="5"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No. 01FO6022425</w:t>
      </w:r>
    </w:p>
    <w:p>
      <w:pPr>
        <w:spacing w:after="0" w:line="5"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Qualified in Kings County</w:t>
      </w:r>
    </w:p>
    <w:p>
      <w:pPr>
        <w:spacing w:after="0" w:line="5"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Commission Expires March 29, 2011</w:t>
      </w:r>
    </w:p>
    <w:p>
      <w:pPr>
        <w:sectPr>
          <w:pgSz w:w="11900" w:h="16838" w:orient="portrait"/>
          <w:cols w:equalWidth="0" w:num="1">
            <w:col w:w="10159"/>
          </w:cols>
          <w:pgMar w:left="300" w:top="243" w:right="1440"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5660" w:type="dxa"/>
            <w:vAlign w:val="bottom"/>
            <w:gridSpan w:val="3"/>
          </w:tcPr>
          <w:p>
            <w:pPr>
              <w:spacing w:after="0"/>
              <w:rPr>
                <w:sz w:val="20"/>
                <w:szCs w:val="20"/>
                <w:color w:val="auto"/>
              </w:rPr>
            </w:pPr>
            <w:r>
              <w:rPr>
                <w:rFonts w:ascii="Arial" w:cs="Arial" w:eastAsia="Arial" w:hAnsi="Arial"/>
                <w:sz w:val="14"/>
                <w:szCs w:val="14"/>
                <w:color w:val="auto"/>
                <w:w w:val="90"/>
              </w:rPr>
              <w:t>IN WITNESS WHEREOF, We have made, signed, and acknowledged this certificate in duplicate this</w:t>
            </w: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80" w:type="dxa"/>
            <w:vAlign w:val="bottom"/>
          </w:tcPr>
          <w:p>
            <w:pPr>
              <w:ind w:left="40"/>
              <w:spacing w:after="0"/>
              <w:rPr>
                <w:sz w:val="20"/>
                <w:szCs w:val="20"/>
                <w:color w:val="auto"/>
              </w:rPr>
            </w:pPr>
            <w:r>
              <w:rPr>
                <w:rFonts w:ascii="Arial" w:cs="Arial" w:eastAsia="Arial" w:hAnsi="Arial"/>
                <w:sz w:val="14"/>
                <w:szCs w:val="14"/>
                <w:color w:val="auto"/>
              </w:rPr>
              <w:t>day of March 2008.</w:t>
            </w:r>
          </w:p>
        </w:tc>
      </w:tr>
      <w:tr>
        <w:trPr>
          <w:trHeight w:val="528"/>
        </w:trPr>
        <w:tc>
          <w:tcPr>
            <w:tcW w:w="15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0" w:type="dxa"/>
            <w:vAlign w:val="bottom"/>
            <w:gridSpan w:val="2"/>
          </w:tcPr>
          <w:p>
            <w:pPr>
              <w:ind w:left="100"/>
              <w:spacing w:after="0"/>
              <w:rPr>
                <w:sz w:val="20"/>
                <w:szCs w:val="20"/>
                <w:color w:val="auto"/>
              </w:rPr>
            </w:pPr>
            <w:r>
              <w:rPr>
                <w:rFonts w:ascii="Arial" w:cs="Arial" w:eastAsia="Arial" w:hAnsi="Arial"/>
                <w:sz w:val="14"/>
                <w:szCs w:val="14"/>
                <w:color w:val="auto"/>
              </w:rPr>
              <w:t>/s/ Paul J. McCullagh</w:t>
            </w:r>
          </w:p>
        </w:tc>
      </w:tr>
      <w:tr>
        <w:trPr>
          <w:trHeight w:val="53"/>
        </w:trPr>
        <w:tc>
          <w:tcPr>
            <w:tcW w:w="1520" w:type="dxa"/>
            <w:vAlign w:val="bottom"/>
            <w:tcBorders>
              <w:bottom w:val="single" w:sz="8" w:color="auto"/>
            </w:tcBorders>
          </w:tcPr>
          <w:p>
            <w:pPr>
              <w:spacing w:after="0"/>
              <w:rPr>
                <w:sz w:val="4"/>
                <w:szCs w:val="4"/>
                <w:color w:val="auto"/>
              </w:rPr>
            </w:pPr>
          </w:p>
        </w:tc>
        <w:tc>
          <w:tcPr>
            <w:tcW w:w="380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tcPr>
          <w:p>
            <w:pPr>
              <w:spacing w:after="0"/>
              <w:rPr>
                <w:sz w:val="4"/>
                <w:szCs w:val="4"/>
                <w:color w:val="auto"/>
              </w:rPr>
            </w:pPr>
          </w:p>
        </w:tc>
      </w:tr>
      <w:tr>
        <w:trPr>
          <w:trHeight w:val="166"/>
        </w:trPr>
        <w:tc>
          <w:tcPr>
            <w:tcW w:w="1520" w:type="dxa"/>
            <w:vAlign w:val="bottom"/>
          </w:tcPr>
          <w:p>
            <w:pPr>
              <w:spacing w:after="0"/>
              <w:rPr>
                <w:sz w:val="20"/>
                <w:szCs w:val="20"/>
                <w:color w:val="auto"/>
              </w:rPr>
            </w:pPr>
            <w:r>
              <w:rPr>
                <w:rFonts w:ascii="Arial" w:cs="Arial" w:eastAsia="Arial" w:hAnsi="Arial"/>
                <w:sz w:val="14"/>
                <w:szCs w:val="14"/>
                <w:color w:val="auto"/>
              </w:rPr>
              <w:t>George Karfunkel</w:t>
            </w:r>
          </w:p>
        </w:tc>
        <w:tc>
          <w:tcPr>
            <w:tcW w:w="3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0" w:type="dxa"/>
            <w:vAlign w:val="bottom"/>
            <w:gridSpan w:val="2"/>
          </w:tcPr>
          <w:p>
            <w:pPr>
              <w:ind w:left="100"/>
              <w:spacing w:after="0"/>
              <w:rPr>
                <w:sz w:val="20"/>
                <w:szCs w:val="20"/>
                <w:color w:val="auto"/>
              </w:rPr>
            </w:pPr>
            <w:r>
              <w:rPr>
                <w:rFonts w:ascii="Arial" w:cs="Arial" w:eastAsia="Arial" w:hAnsi="Arial"/>
                <w:sz w:val="14"/>
                <w:szCs w:val="14"/>
                <w:color w:val="auto"/>
              </w:rPr>
              <w:t>Paul J. McCullagh</w:t>
            </w:r>
          </w:p>
        </w:tc>
      </w:tr>
      <w:tr>
        <w:trPr>
          <w:trHeight w:val="561"/>
        </w:trPr>
        <w:tc>
          <w:tcPr>
            <w:tcW w:w="1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166"/>
        </w:trPr>
        <w:tc>
          <w:tcPr>
            <w:tcW w:w="1520" w:type="dxa"/>
            <w:vAlign w:val="bottom"/>
          </w:tcPr>
          <w:p>
            <w:pPr>
              <w:spacing w:after="0"/>
              <w:rPr>
                <w:sz w:val="20"/>
                <w:szCs w:val="20"/>
                <w:color w:val="auto"/>
              </w:rPr>
            </w:pPr>
            <w:r>
              <w:rPr>
                <w:rFonts w:ascii="Arial" w:cs="Arial" w:eastAsia="Arial" w:hAnsi="Arial"/>
                <w:sz w:val="14"/>
                <w:szCs w:val="14"/>
                <w:color w:val="auto"/>
              </w:rPr>
              <w:t>Michael Karfunkel</w:t>
            </w:r>
          </w:p>
        </w:tc>
        <w:tc>
          <w:tcPr>
            <w:tcW w:w="3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0" w:type="dxa"/>
            <w:vAlign w:val="bottom"/>
            <w:gridSpan w:val="2"/>
          </w:tcPr>
          <w:p>
            <w:pPr>
              <w:ind w:left="100"/>
              <w:spacing w:after="0"/>
              <w:rPr>
                <w:sz w:val="20"/>
                <w:szCs w:val="20"/>
                <w:color w:val="auto"/>
              </w:rPr>
            </w:pPr>
            <w:r>
              <w:rPr>
                <w:rFonts w:ascii="Arial" w:cs="Arial" w:eastAsia="Arial" w:hAnsi="Arial"/>
                <w:sz w:val="14"/>
                <w:szCs w:val="14"/>
                <w:color w:val="auto"/>
              </w:rPr>
              <w:t>Joseph John O’Brien</w:t>
            </w:r>
          </w:p>
        </w:tc>
      </w:tr>
      <w:tr>
        <w:trPr>
          <w:trHeight w:val="508"/>
        </w:trPr>
        <w:tc>
          <w:tcPr>
            <w:tcW w:w="1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Cameron Blanks</w:t>
            </w:r>
          </w:p>
        </w:tc>
        <w:tc>
          <w:tcPr>
            <w:tcW w:w="38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/s/ Jay F. Krehbiel</w:t>
            </w:r>
          </w:p>
        </w:tc>
      </w:tr>
      <w:tr>
        <w:trPr>
          <w:trHeight w:val="166"/>
        </w:trPr>
        <w:tc>
          <w:tcPr>
            <w:tcW w:w="1520" w:type="dxa"/>
            <w:vAlign w:val="bottom"/>
          </w:tcPr>
          <w:p>
            <w:pPr>
              <w:spacing w:after="0"/>
              <w:rPr>
                <w:sz w:val="20"/>
                <w:szCs w:val="20"/>
                <w:color w:val="auto"/>
              </w:rPr>
            </w:pPr>
            <w:r>
              <w:rPr>
                <w:rFonts w:ascii="Arial" w:cs="Arial" w:eastAsia="Arial" w:hAnsi="Arial"/>
                <w:sz w:val="14"/>
                <w:szCs w:val="14"/>
                <w:color w:val="auto"/>
              </w:rPr>
              <w:t>Cameron Blanks</w:t>
            </w:r>
          </w:p>
        </w:tc>
        <w:tc>
          <w:tcPr>
            <w:tcW w:w="3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0" w:type="dxa"/>
            <w:vAlign w:val="bottom"/>
            <w:gridSpan w:val="2"/>
          </w:tcPr>
          <w:p>
            <w:pPr>
              <w:ind w:left="100"/>
              <w:spacing w:after="0"/>
              <w:rPr>
                <w:sz w:val="20"/>
                <w:szCs w:val="20"/>
                <w:color w:val="auto"/>
              </w:rPr>
            </w:pPr>
            <w:r>
              <w:rPr>
                <w:rFonts w:ascii="Arial" w:cs="Arial" w:eastAsia="Arial" w:hAnsi="Arial"/>
                <w:sz w:val="14"/>
                <w:szCs w:val="14"/>
                <w:color w:val="auto"/>
              </w:rPr>
              <w:t>Jay F. Krehbiel</w:t>
            </w:r>
          </w:p>
        </w:tc>
      </w:tr>
      <w:tr>
        <w:trPr>
          <w:trHeight w:val="508"/>
        </w:trPr>
        <w:tc>
          <w:tcPr>
            <w:tcW w:w="1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Timothy J. Sims</w:t>
            </w:r>
          </w:p>
        </w:tc>
        <w:tc>
          <w:tcPr>
            <w:tcW w:w="38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166"/>
        </w:trPr>
        <w:tc>
          <w:tcPr>
            <w:tcW w:w="1520" w:type="dxa"/>
            <w:vAlign w:val="bottom"/>
          </w:tcPr>
          <w:p>
            <w:pPr>
              <w:spacing w:after="0"/>
              <w:rPr>
                <w:sz w:val="20"/>
                <w:szCs w:val="20"/>
                <w:color w:val="auto"/>
              </w:rPr>
            </w:pPr>
            <w:r>
              <w:rPr>
                <w:rFonts w:ascii="Arial" w:cs="Arial" w:eastAsia="Arial" w:hAnsi="Arial"/>
                <w:sz w:val="14"/>
                <w:szCs w:val="14"/>
                <w:color w:val="auto"/>
              </w:rPr>
              <w:t>Timothy J. Sims</w:t>
            </w:r>
          </w:p>
        </w:tc>
        <w:tc>
          <w:tcPr>
            <w:tcW w:w="3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80" w:type="dxa"/>
            <w:vAlign w:val="bottom"/>
          </w:tcPr>
          <w:p>
            <w:pPr>
              <w:spacing w:after="0"/>
              <w:rPr>
                <w:sz w:val="14"/>
                <w:szCs w:val="14"/>
                <w:color w:val="auto"/>
              </w:rPr>
            </w:pPr>
          </w:p>
        </w:tc>
      </w:tr>
      <w:tr>
        <w:trPr>
          <w:trHeight w:val="321"/>
        </w:trPr>
        <w:tc>
          <w:tcPr>
            <w:tcW w:w="1520" w:type="dxa"/>
            <w:vAlign w:val="bottom"/>
          </w:tcPr>
          <w:p>
            <w:pPr>
              <w:spacing w:after="0"/>
              <w:rPr>
                <w:sz w:val="20"/>
                <w:szCs w:val="20"/>
                <w:color w:val="auto"/>
              </w:rPr>
            </w:pPr>
            <w:r>
              <w:rPr>
                <w:rFonts w:ascii="Arial" w:cs="Arial" w:eastAsia="Arial" w:hAnsi="Arial"/>
                <w:sz w:val="14"/>
                <w:szCs w:val="14"/>
                <w:color w:val="auto"/>
              </w:rPr>
              <w:t>NOTARY:</w:t>
            </w:r>
          </w:p>
        </w:tc>
        <w:tc>
          <w:tcPr>
            <w:tcW w:w="3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40"/>
        </w:trPr>
        <w:tc>
          <w:tcPr>
            <w:tcW w:w="1520" w:type="dxa"/>
            <w:vAlign w:val="bottom"/>
          </w:tcPr>
          <w:p>
            <w:pPr>
              <w:spacing w:after="0"/>
              <w:rPr>
                <w:sz w:val="20"/>
                <w:szCs w:val="20"/>
                <w:color w:val="auto"/>
              </w:rPr>
            </w:pPr>
            <w:r>
              <w:rPr>
                <w:rFonts w:ascii="Arial" w:cs="Arial" w:eastAsia="Arial" w:hAnsi="Arial"/>
                <w:sz w:val="14"/>
                <w:szCs w:val="14"/>
                <w:color w:val="auto"/>
                <w:w w:val="91"/>
              </w:rPr>
              <w:t>State of New South Wales</w:t>
            </w:r>
          </w:p>
        </w:tc>
        <w:tc>
          <w:tcPr>
            <w:tcW w:w="3800" w:type="dxa"/>
            <w:vAlign w:val="bottom"/>
          </w:tcPr>
          <w:p>
            <w:pPr>
              <w:jc w:val="right"/>
              <w:ind w:right="3611"/>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166"/>
        </w:trPr>
        <w:tc>
          <w:tcPr>
            <w:tcW w:w="1520" w:type="dxa"/>
            <w:vAlign w:val="bottom"/>
          </w:tcPr>
          <w:p>
            <w:pPr>
              <w:spacing w:after="0"/>
              <w:rPr>
                <w:sz w:val="14"/>
                <w:szCs w:val="14"/>
                <w:color w:val="auto"/>
              </w:rPr>
            </w:pPr>
          </w:p>
        </w:tc>
        <w:tc>
          <w:tcPr>
            <w:tcW w:w="4360" w:type="dxa"/>
            <w:vAlign w:val="bottom"/>
            <w:gridSpan w:val="3"/>
          </w:tcPr>
          <w:p>
            <w:pPr>
              <w:ind w:left="100"/>
              <w:spacing w:after="0"/>
              <w:rPr>
                <w:sz w:val="20"/>
                <w:szCs w:val="20"/>
                <w:color w:val="auto"/>
              </w:rPr>
            </w:pPr>
            <w:r>
              <w:rPr>
                <w:rFonts w:ascii="Arial" w:cs="Arial" w:eastAsia="Arial" w:hAnsi="Arial"/>
                <w:sz w:val="14"/>
                <w:szCs w:val="14"/>
                <w:color w:val="auto"/>
              </w:rPr>
              <w:t>)  ss.:</w:t>
            </w:r>
          </w:p>
        </w:tc>
        <w:tc>
          <w:tcPr>
            <w:tcW w:w="320" w:type="dxa"/>
            <w:vAlign w:val="bottom"/>
          </w:tcPr>
          <w:p>
            <w:pPr>
              <w:spacing w:after="0"/>
              <w:rPr>
                <w:sz w:val="14"/>
                <w:szCs w:val="14"/>
                <w:color w:val="auto"/>
              </w:rPr>
            </w:pPr>
          </w:p>
        </w:tc>
        <w:tc>
          <w:tcPr>
            <w:tcW w:w="5080" w:type="dxa"/>
            <w:vAlign w:val="bottom"/>
          </w:tcPr>
          <w:p>
            <w:pPr>
              <w:spacing w:after="0"/>
              <w:rPr>
                <w:sz w:val="14"/>
                <w:szCs w:val="14"/>
                <w:color w:val="auto"/>
              </w:rPr>
            </w:pPr>
          </w:p>
        </w:tc>
      </w:tr>
      <w:tr>
        <w:trPr>
          <w:trHeight w:val="175"/>
        </w:trPr>
        <w:tc>
          <w:tcPr>
            <w:tcW w:w="1520" w:type="dxa"/>
            <w:vAlign w:val="bottom"/>
          </w:tcPr>
          <w:p>
            <w:pPr>
              <w:spacing w:after="0"/>
              <w:rPr>
                <w:sz w:val="20"/>
                <w:szCs w:val="20"/>
                <w:color w:val="auto"/>
              </w:rPr>
            </w:pPr>
            <w:r>
              <w:rPr>
                <w:rFonts w:ascii="Arial" w:cs="Arial" w:eastAsia="Arial" w:hAnsi="Arial"/>
                <w:sz w:val="14"/>
                <w:szCs w:val="14"/>
                <w:color w:val="auto"/>
              </w:rPr>
              <w:t>County of Australia</w:t>
            </w:r>
          </w:p>
        </w:tc>
        <w:tc>
          <w:tcPr>
            <w:tcW w:w="3800" w:type="dxa"/>
            <w:vAlign w:val="bottom"/>
          </w:tcPr>
          <w:p>
            <w:pPr>
              <w:jc w:val="right"/>
              <w:ind w:right="3611"/>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80" w:type="dxa"/>
            <w:vAlign w:val="bottom"/>
          </w:tcPr>
          <w:p>
            <w:pPr>
              <w:spacing w:after="0"/>
              <w:rPr>
                <w:sz w:val="15"/>
                <w:szCs w:val="15"/>
                <w:color w:val="auto"/>
              </w:rPr>
            </w:pPr>
          </w:p>
        </w:tc>
      </w:tr>
      <w:tr>
        <w:trPr>
          <w:trHeight w:val="332"/>
        </w:trPr>
        <w:tc>
          <w:tcPr>
            <w:tcW w:w="5880" w:type="dxa"/>
            <w:vAlign w:val="bottom"/>
            <w:gridSpan w:val="4"/>
          </w:tcPr>
          <w:p>
            <w:pPr>
              <w:ind w:left="460"/>
              <w:spacing w:after="0"/>
              <w:rPr>
                <w:sz w:val="20"/>
                <w:szCs w:val="20"/>
                <w:color w:val="auto"/>
              </w:rPr>
            </w:pPr>
            <w:r>
              <w:rPr>
                <w:rFonts w:ascii="Arial" w:cs="Arial" w:eastAsia="Arial" w:hAnsi="Arial"/>
                <w:sz w:val="14"/>
                <w:szCs w:val="14"/>
                <w:color w:val="auto"/>
              </w:rPr>
              <w:t>On this 27th day of March, 2008 personally appeared before me</w:t>
            </w:r>
          </w:p>
        </w:tc>
        <w:tc>
          <w:tcPr>
            <w:tcW w:w="32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519"/>
        </w:trPr>
        <w:tc>
          <w:tcPr>
            <w:tcW w:w="1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Cameron R. Blanks</w:t>
            </w:r>
          </w:p>
        </w:tc>
        <w:tc>
          <w:tcPr>
            <w:tcW w:w="38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Paul J. McCullagh</w:t>
            </w:r>
          </w:p>
        </w:tc>
      </w:tr>
      <w:tr>
        <w:trPr>
          <w:trHeight w:val="675"/>
        </w:trPr>
        <w:tc>
          <w:tcPr>
            <w:tcW w:w="1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Timothy J. Sims</w:t>
            </w:r>
          </w:p>
        </w:tc>
        <w:tc>
          <w:tcPr>
            <w:tcW w:w="38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Jay F. Krehbiel</w:t>
            </w:r>
          </w:p>
        </w:tc>
      </w:tr>
    </w:tbl>
    <w:p>
      <w:pPr>
        <w:spacing w:after="0" w:line="3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3">
                      <a:extLst>
                        <a:ext uri="{28A0092B-C50C-407E-A947-70E740481C1C}"/>
                      </a:extLst>
                    </a:blip>
                    <a:srcRect/>
                    <a:stretch>
                      <a:fillRect/>
                    </a:stretch>
                  </pic:blipFill>
                  <pic:spPr bwMode="auto">
                    <a:xfrm>
                      <a:off x="0" y="0"/>
                      <a:ext cx="7202805" cy="3238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to me known to be the persons described in and who executed the foregoing certificate, and severally acknowledged that they executed the same.</w:t>
      </w:r>
    </w:p>
    <w:p>
      <w:pPr>
        <w:spacing w:after="0" w:line="357" w:lineRule="exact"/>
        <w:rPr>
          <w:sz w:val="20"/>
          <w:szCs w:val="20"/>
          <w:color w:val="auto"/>
        </w:rPr>
      </w:pPr>
    </w:p>
    <w:p>
      <w:pPr>
        <w:ind w:left="6780"/>
        <w:spacing w:after="0"/>
        <w:rPr>
          <w:sz w:val="20"/>
          <w:szCs w:val="20"/>
          <w:color w:val="auto"/>
        </w:rPr>
      </w:pPr>
      <w:r>
        <w:rPr>
          <w:rFonts w:ascii="Arial" w:cs="Arial" w:eastAsia="Arial" w:hAnsi="Arial"/>
          <w:sz w:val="14"/>
          <w:szCs w:val="14"/>
          <w:color w:val="auto"/>
        </w:rPr>
        <w:t>/s/ Brendan Anthony Bateman</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4"/>
          <w:szCs w:val="14"/>
          <w:color w:val="auto"/>
        </w:rPr>
        <w:t>Brendan Anthony Bateman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-101600</wp:posOffset>
            </wp:positionV>
            <wp:extent cx="2864485"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4">
                      <a:extLst>
                        <a:ext uri="{28A0092B-C50C-407E-A947-70E740481C1C}"/>
                      </a:extLst>
                    </a:blip>
                    <a:srcRect/>
                    <a:stretch>
                      <a:fillRect/>
                    </a:stretch>
                  </pic:blipFill>
                  <pic:spPr bwMode="auto">
                    <a:xfrm>
                      <a:off x="0" y="0"/>
                      <a:ext cx="2864485" cy="6350"/>
                    </a:xfrm>
                    <a:prstGeom prst="rect">
                      <a:avLst/>
                    </a:prstGeom>
                    <a:noFill/>
                  </pic:spPr>
                </pic:pic>
              </a:graphicData>
            </a:graphic>
          </wp:anchor>
        </w:drawing>
      </w:r>
    </w:p>
    <w:p>
      <w:pPr>
        <w:sectPr>
          <w:pgSz w:w="11900" w:h="16838" w:orient="portrait"/>
          <w:cols w:equalWidth="0" w:num="1">
            <w:col w:w="11280"/>
          </w:cols>
          <w:pgMar w:left="300" w:top="227" w:right="3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1"/>
        </w:trPr>
        <w:tc>
          <w:tcPr>
            <w:tcW w:w="5880" w:type="dxa"/>
            <w:vAlign w:val="bottom"/>
            <w:gridSpan w:val="3"/>
          </w:tcPr>
          <w:p>
            <w:pPr>
              <w:spacing w:after="0"/>
              <w:rPr>
                <w:sz w:val="20"/>
                <w:szCs w:val="20"/>
                <w:color w:val="auto"/>
              </w:rPr>
            </w:pPr>
            <w:r>
              <w:rPr>
                <w:rFonts w:ascii="Arial" w:cs="Arial" w:eastAsia="Arial" w:hAnsi="Arial"/>
                <w:sz w:val="14"/>
                <w:szCs w:val="14"/>
                <w:color w:val="auto"/>
                <w:w w:val="94"/>
              </w:rPr>
              <w:t>IN WITNESS WHEREOF, We have made, signed, and acknowledged this certificate in duplicate this</w:t>
            </w:r>
          </w:p>
        </w:tc>
        <w:tc>
          <w:tcPr>
            <w:tcW w:w="320" w:type="dxa"/>
            <w:vAlign w:val="bottom"/>
          </w:tcPr>
          <w:p>
            <w:pPr>
              <w:spacing w:after="0"/>
              <w:rPr>
                <w:sz w:val="14"/>
                <w:szCs w:val="14"/>
                <w:color w:val="auto"/>
              </w:rPr>
            </w:pPr>
          </w:p>
        </w:tc>
        <w:tc>
          <w:tcPr>
            <w:tcW w:w="5080" w:type="dxa"/>
            <w:vAlign w:val="bottom"/>
          </w:tcPr>
          <w:p>
            <w:pPr>
              <w:ind w:left="40"/>
              <w:spacing w:after="0"/>
              <w:rPr>
                <w:sz w:val="20"/>
                <w:szCs w:val="20"/>
                <w:color w:val="auto"/>
              </w:rPr>
            </w:pPr>
            <w:r>
              <w:rPr>
                <w:rFonts w:ascii="Arial" w:cs="Arial" w:eastAsia="Arial" w:hAnsi="Arial"/>
                <w:sz w:val="14"/>
                <w:szCs w:val="14"/>
                <w:color w:val="auto"/>
              </w:rPr>
              <w:t>day of March 2008.</w:t>
            </w:r>
          </w:p>
        </w:tc>
        <w:tc>
          <w:tcPr>
            <w:tcW w:w="0" w:type="dxa"/>
            <w:vAlign w:val="bottom"/>
          </w:tcPr>
          <w:p>
            <w:pPr>
              <w:spacing w:after="0"/>
              <w:rPr>
                <w:sz w:val="1"/>
                <w:szCs w:val="1"/>
                <w:color w:val="auto"/>
              </w:rPr>
            </w:pPr>
          </w:p>
        </w:tc>
      </w:tr>
      <w:tr>
        <w:trPr>
          <w:trHeight w:val="581"/>
        </w:trPr>
        <w:tc>
          <w:tcPr>
            <w:tcW w:w="5320" w:type="dxa"/>
            <w:vAlign w:val="bottom"/>
            <w:tcBorders>
              <w:bottom w:val="single" w:sz="8" w:color="auto"/>
            </w:tcBorders>
          </w:tcPr>
          <w:p>
            <w:pPr>
              <w:spacing w:after="0"/>
              <w:rPr>
                <w:sz w:val="24"/>
                <w:szCs w:val="24"/>
                <w:color w:val="auto"/>
              </w:rPr>
            </w:pPr>
          </w:p>
        </w:tc>
        <w:tc>
          <w:tcPr>
            <w:tcW w:w="340" w:type="dxa"/>
            <w:vAlign w:val="bottom"/>
            <w:vMerge w:val="restart"/>
          </w:tcPr>
          <w:p>
            <w:pPr>
              <w:spacing w:after="0"/>
              <w:rPr>
                <w:sz w:val="24"/>
                <w:szCs w:val="24"/>
                <w:color w:val="auto"/>
              </w:rPr>
            </w:pPr>
          </w:p>
        </w:tc>
        <w:tc>
          <w:tcPr>
            <w:tcW w:w="220" w:type="dxa"/>
            <w:vAlign w:val="bottom"/>
            <w:tcBorders>
              <w:top w:val="single" w:sz="8" w:color="auto"/>
              <w:bottom w:val="single" w:sz="8" w:color="auto"/>
            </w:tcBorders>
            <w:vMerge w:val="restart"/>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320" w:type="dxa"/>
            <w:vAlign w:val="bottom"/>
          </w:tcPr>
          <w:p>
            <w:pPr>
              <w:spacing w:after="0"/>
              <w:rPr>
                <w:sz w:val="20"/>
                <w:szCs w:val="20"/>
                <w:color w:val="auto"/>
              </w:rPr>
            </w:pPr>
            <w:r>
              <w:rPr>
                <w:rFonts w:ascii="Arial" w:cs="Arial" w:eastAsia="Arial" w:hAnsi="Arial"/>
                <w:sz w:val="14"/>
                <w:szCs w:val="14"/>
                <w:color w:val="auto"/>
              </w:rPr>
              <w:t>George Karfunkel</w:t>
            </w:r>
          </w:p>
        </w:tc>
        <w:tc>
          <w:tcPr>
            <w:tcW w:w="3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400" w:type="dxa"/>
            <w:vAlign w:val="bottom"/>
            <w:gridSpan w:val="2"/>
          </w:tcPr>
          <w:p>
            <w:pPr>
              <w:ind w:left="100"/>
              <w:spacing w:after="0"/>
              <w:rPr>
                <w:sz w:val="20"/>
                <w:szCs w:val="20"/>
                <w:color w:val="auto"/>
              </w:rPr>
            </w:pPr>
            <w:r>
              <w:rPr>
                <w:rFonts w:ascii="Arial" w:cs="Arial" w:eastAsia="Arial" w:hAnsi="Arial"/>
                <w:sz w:val="14"/>
                <w:szCs w:val="14"/>
                <w:color w:val="auto"/>
              </w:rPr>
              <w:t>Paul J. McCullagh</w:t>
            </w:r>
          </w:p>
        </w:tc>
        <w:tc>
          <w:tcPr>
            <w:tcW w:w="0" w:type="dxa"/>
            <w:vAlign w:val="bottom"/>
          </w:tcPr>
          <w:p>
            <w:pPr>
              <w:spacing w:after="0"/>
              <w:rPr>
                <w:sz w:val="1"/>
                <w:szCs w:val="1"/>
                <w:color w:val="auto"/>
              </w:rPr>
            </w:pPr>
          </w:p>
        </w:tc>
      </w:tr>
      <w:tr>
        <w:trPr>
          <w:trHeight w:val="508"/>
        </w:trPr>
        <w:tc>
          <w:tcPr>
            <w:tcW w:w="5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0" w:type="dxa"/>
            <w:vAlign w:val="bottom"/>
            <w:gridSpan w:val="2"/>
          </w:tcPr>
          <w:p>
            <w:pPr>
              <w:ind w:left="100"/>
              <w:spacing w:after="0"/>
              <w:rPr>
                <w:sz w:val="20"/>
                <w:szCs w:val="20"/>
                <w:color w:val="auto"/>
              </w:rPr>
            </w:pPr>
            <w:r>
              <w:rPr>
                <w:rFonts w:ascii="Arial" w:cs="Arial" w:eastAsia="Arial" w:hAnsi="Arial"/>
                <w:sz w:val="14"/>
                <w:szCs w:val="14"/>
                <w:color w:val="auto"/>
              </w:rPr>
              <w:t>/s/ Joseph John O’Brien</w:t>
            </w:r>
          </w:p>
        </w:tc>
        <w:tc>
          <w:tcPr>
            <w:tcW w:w="0" w:type="dxa"/>
            <w:vAlign w:val="bottom"/>
          </w:tcPr>
          <w:p>
            <w:pPr>
              <w:spacing w:after="0"/>
              <w:rPr>
                <w:sz w:val="1"/>
                <w:szCs w:val="1"/>
                <w:color w:val="auto"/>
              </w:rPr>
            </w:pPr>
          </w:p>
        </w:tc>
      </w:tr>
      <w:tr>
        <w:trPr>
          <w:trHeight w:val="53"/>
        </w:trPr>
        <w:tc>
          <w:tcPr>
            <w:tcW w:w="5320" w:type="dxa"/>
            <w:vAlign w:val="bottom"/>
            <w:tcBorders>
              <w:bottom w:val="single" w:sz="8" w:color="auto"/>
            </w:tcBorders>
          </w:tcPr>
          <w:p>
            <w:pPr>
              <w:spacing w:after="0"/>
              <w:rPr>
                <w:sz w:val="4"/>
                <w:szCs w:val="4"/>
                <w:color w:val="auto"/>
              </w:rPr>
            </w:pPr>
          </w:p>
        </w:tc>
        <w:tc>
          <w:tcPr>
            <w:tcW w:w="340" w:type="dxa"/>
            <w:vAlign w:val="bottom"/>
            <w:vMerge w:val="restart"/>
          </w:tcPr>
          <w:p>
            <w:pPr>
              <w:spacing w:after="0"/>
              <w:rPr>
                <w:sz w:val="4"/>
                <w:szCs w:val="4"/>
                <w:color w:val="auto"/>
              </w:rPr>
            </w:pPr>
          </w:p>
        </w:tc>
        <w:tc>
          <w:tcPr>
            <w:tcW w:w="220" w:type="dxa"/>
            <w:vAlign w:val="bottom"/>
            <w:vMerge w:val="restart"/>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5320" w:type="dxa"/>
            <w:vAlign w:val="bottom"/>
          </w:tcPr>
          <w:p>
            <w:pPr>
              <w:spacing w:after="0"/>
              <w:rPr>
                <w:sz w:val="20"/>
                <w:szCs w:val="20"/>
                <w:color w:val="auto"/>
              </w:rPr>
            </w:pPr>
            <w:r>
              <w:rPr>
                <w:rFonts w:ascii="Arial" w:cs="Arial" w:eastAsia="Arial" w:hAnsi="Arial"/>
                <w:sz w:val="14"/>
                <w:szCs w:val="14"/>
                <w:color w:val="auto"/>
              </w:rPr>
              <w:t>Michael Karfunkel</w:t>
            </w:r>
          </w:p>
        </w:tc>
        <w:tc>
          <w:tcPr>
            <w:tcW w:w="3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400" w:type="dxa"/>
            <w:vAlign w:val="bottom"/>
            <w:gridSpan w:val="2"/>
          </w:tcPr>
          <w:p>
            <w:pPr>
              <w:ind w:left="100"/>
              <w:spacing w:after="0"/>
              <w:rPr>
                <w:sz w:val="20"/>
                <w:szCs w:val="20"/>
                <w:color w:val="auto"/>
              </w:rPr>
            </w:pPr>
            <w:r>
              <w:rPr>
                <w:rFonts w:ascii="Arial" w:cs="Arial" w:eastAsia="Arial" w:hAnsi="Arial"/>
                <w:sz w:val="14"/>
                <w:szCs w:val="14"/>
                <w:color w:val="auto"/>
              </w:rPr>
              <w:t>Joseph John O’Brien</w:t>
            </w:r>
          </w:p>
        </w:tc>
        <w:tc>
          <w:tcPr>
            <w:tcW w:w="0" w:type="dxa"/>
            <w:vAlign w:val="bottom"/>
          </w:tcPr>
          <w:p>
            <w:pPr>
              <w:spacing w:after="0"/>
              <w:rPr>
                <w:sz w:val="1"/>
                <w:szCs w:val="1"/>
                <w:color w:val="auto"/>
              </w:rPr>
            </w:pPr>
          </w:p>
        </w:tc>
      </w:tr>
      <w:tr>
        <w:trPr>
          <w:trHeight w:val="561"/>
        </w:trPr>
        <w:tc>
          <w:tcPr>
            <w:tcW w:w="5320" w:type="dxa"/>
            <w:vAlign w:val="bottom"/>
            <w:tcBorders>
              <w:bottom w:val="single" w:sz="8" w:color="auto"/>
            </w:tcBorders>
          </w:tcPr>
          <w:p>
            <w:pPr>
              <w:spacing w:after="0"/>
              <w:rPr>
                <w:sz w:val="24"/>
                <w:szCs w:val="24"/>
                <w:color w:val="auto"/>
              </w:rPr>
            </w:pPr>
          </w:p>
        </w:tc>
        <w:tc>
          <w:tcPr>
            <w:tcW w:w="340" w:type="dxa"/>
            <w:vAlign w:val="bottom"/>
            <w:vMerge w:val="restart"/>
          </w:tcPr>
          <w:p>
            <w:pPr>
              <w:spacing w:after="0"/>
              <w:rPr>
                <w:sz w:val="24"/>
                <w:szCs w:val="24"/>
                <w:color w:val="auto"/>
              </w:rPr>
            </w:pPr>
          </w:p>
        </w:tc>
        <w:tc>
          <w:tcPr>
            <w:tcW w:w="220" w:type="dxa"/>
            <w:vAlign w:val="bottom"/>
            <w:vMerge w:val="restart"/>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320" w:type="dxa"/>
            <w:vAlign w:val="bottom"/>
          </w:tcPr>
          <w:p>
            <w:pPr>
              <w:spacing w:after="0"/>
              <w:rPr>
                <w:sz w:val="20"/>
                <w:szCs w:val="20"/>
                <w:color w:val="auto"/>
              </w:rPr>
            </w:pPr>
            <w:r>
              <w:rPr>
                <w:rFonts w:ascii="Arial" w:cs="Arial" w:eastAsia="Arial" w:hAnsi="Arial"/>
                <w:sz w:val="14"/>
                <w:szCs w:val="14"/>
                <w:color w:val="auto"/>
              </w:rPr>
              <w:t>Cameron Blanks</w:t>
            </w:r>
          </w:p>
        </w:tc>
        <w:tc>
          <w:tcPr>
            <w:tcW w:w="3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400" w:type="dxa"/>
            <w:vAlign w:val="bottom"/>
            <w:gridSpan w:val="2"/>
          </w:tcPr>
          <w:p>
            <w:pPr>
              <w:ind w:left="100"/>
              <w:spacing w:after="0"/>
              <w:rPr>
                <w:sz w:val="20"/>
                <w:szCs w:val="20"/>
                <w:color w:val="auto"/>
              </w:rPr>
            </w:pPr>
            <w:r>
              <w:rPr>
                <w:rFonts w:ascii="Arial" w:cs="Arial" w:eastAsia="Arial" w:hAnsi="Arial"/>
                <w:sz w:val="14"/>
                <w:szCs w:val="14"/>
                <w:color w:val="auto"/>
              </w:rPr>
              <w:t>Jay F. Krehbiel</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5">
                      <a:extLst>
                        <a:ext uri="{28A0092B-C50C-407E-A947-70E740481C1C}"/>
                      </a:extLst>
                    </a:blip>
                    <a:srcRect/>
                    <a:stretch>
                      <a:fillRect/>
                    </a:stretch>
                  </pic:blipFill>
                  <pic:spPr bwMode="auto">
                    <a:xfrm>
                      <a:off x="0" y="0"/>
                      <a:ext cx="7202805" cy="32385"/>
                    </a:xfrm>
                    <a:prstGeom prst="rect">
                      <a:avLst/>
                    </a:prstGeom>
                    <a:noFill/>
                  </pic:spPr>
                </pic:pic>
              </a:graphicData>
            </a:graphic>
          </wp:anchor>
        </w:drawing>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w w:val="98"/>
              </w:rPr>
              <w:t>Timothy J. Sims</w:t>
            </w:r>
          </w:p>
        </w:tc>
        <w:tc>
          <w:tcPr>
            <w:tcW w:w="13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440" w:type="dxa"/>
            <w:vAlign w:val="bottom"/>
            <w:tcBorders>
              <w:top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333"/>
        </w:trPr>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ind w:left="140"/>
              <w:spacing w:after="0"/>
              <w:rPr>
                <w:sz w:val="20"/>
                <w:szCs w:val="20"/>
                <w:color w:val="auto"/>
              </w:rPr>
            </w:pPr>
            <w:r>
              <w:rPr>
                <w:rFonts w:ascii="Arial" w:cs="Arial" w:eastAsia="Arial" w:hAnsi="Arial"/>
                <w:sz w:val="14"/>
                <w:szCs w:val="14"/>
                <w:color w:val="auto"/>
              </w:rPr>
              <w:t>NOTARY:</w:t>
            </w:r>
          </w:p>
        </w:tc>
        <w:tc>
          <w:tcPr>
            <w:tcW w:w="540" w:type="dxa"/>
            <w:vAlign w:val="bottom"/>
          </w:tcPr>
          <w:p>
            <w:pPr>
              <w:spacing w:after="0"/>
              <w:rPr>
                <w:sz w:val="24"/>
                <w:szCs w:val="24"/>
                <w:color w:val="auto"/>
              </w:rPr>
            </w:pPr>
          </w:p>
        </w:tc>
        <w:tc>
          <w:tcPr>
            <w:tcW w:w="3240" w:type="dxa"/>
            <w:vAlign w:val="bottom"/>
            <w:gridSpan w:val="2"/>
          </w:tcPr>
          <w:p>
            <w:pPr>
              <w:ind w:left="280"/>
              <w:spacing w:after="0"/>
              <w:rPr>
                <w:sz w:val="20"/>
                <w:szCs w:val="20"/>
                <w:color w:val="auto"/>
              </w:rPr>
            </w:pPr>
            <w:r>
              <w:rPr>
                <w:rFonts w:ascii="Arial" w:cs="Arial" w:eastAsia="Arial" w:hAnsi="Arial"/>
                <w:sz w:val="14"/>
                <w:szCs w:val="14"/>
                <w:color w:val="auto"/>
              </w:rPr>
              <w:t>Kingdom of Thailand</w:t>
            </w:r>
          </w:p>
        </w:tc>
        <w:tc>
          <w:tcPr>
            <w:tcW w:w="104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r>
      <w:tr>
        <w:trPr>
          <w:trHeight w:val="166"/>
        </w:trPr>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40" w:type="dxa"/>
            <w:vAlign w:val="bottom"/>
            <w:gridSpan w:val="2"/>
          </w:tcPr>
          <w:p>
            <w:pPr>
              <w:ind w:left="280"/>
              <w:spacing w:after="0"/>
              <w:rPr>
                <w:sz w:val="20"/>
                <w:szCs w:val="20"/>
                <w:color w:val="auto"/>
              </w:rPr>
            </w:pPr>
            <w:r>
              <w:rPr>
                <w:rFonts w:ascii="Arial" w:cs="Arial" w:eastAsia="Arial" w:hAnsi="Arial"/>
                <w:sz w:val="14"/>
                <w:szCs w:val="14"/>
                <w:color w:val="auto"/>
              </w:rPr>
              <w:t>Bangkok Metropolis</w:t>
            </w:r>
          </w:p>
        </w:tc>
        <w:tc>
          <w:tcPr>
            <w:tcW w:w="104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420" w:type="dxa"/>
            <w:vAlign w:val="bottom"/>
          </w:tcPr>
          <w:p>
            <w:pPr>
              <w:ind w:left="300"/>
              <w:spacing w:after="0"/>
              <w:rPr>
                <w:sz w:val="20"/>
                <w:szCs w:val="20"/>
                <w:color w:val="auto"/>
              </w:rPr>
            </w:pPr>
            <w:r>
              <w:rPr>
                <w:rFonts w:ascii="Arial" w:cs="Arial" w:eastAsia="Arial" w:hAnsi="Arial"/>
                <w:sz w:val="14"/>
                <w:szCs w:val="14"/>
                <w:color w:val="auto"/>
                <w:w w:val="71"/>
              </w:rPr>
              <w:t>ss</w:t>
            </w:r>
          </w:p>
        </w:tc>
      </w:tr>
      <w:tr>
        <w:trPr>
          <w:trHeight w:val="166"/>
        </w:trPr>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40" w:type="dxa"/>
            <w:vAlign w:val="bottom"/>
            <w:gridSpan w:val="2"/>
          </w:tcPr>
          <w:p>
            <w:pPr>
              <w:ind w:left="280"/>
              <w:spacing w:after="0"/>
              <w:rPr>
                <w:sz w:val="20"/>
                <w:szCs w:val="20"/>
                <w:color w:val="auto"/>
              </w:rPr>
            </w:pPr>
            <w:r>
              <w:rPr>
                <w:rFonts w:ascii="Arial" w:cs="Arial" w:eastAsia="Arial" w:hAnsi="Arial"/>
                <w:sz w:val="14"/>
                <w:szCs w:val="14"/>
                <w:color w:val="auto"/>
              </w:rPr>
              <w:t>Embassy of the United States of America</w:t>
            </w:r>
          </w:p>
        </w:tc>
        <w:tc>
          <w:tcPr>
            <w:tcW w:w="104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ind w:left="140"/>
              <w:spacing w:after="0"/>
              <w:rPr>
                <w:sz w:val="20"/>
                <w:szCs w:val="20"/>
                <w:color w:val="auto"/>
              </w:rPr>
            </w:pPr>
            <w:r>
              <w:rPr>
                <w:rFonts w:ascii="Arial" w:cs="Arial" w:eastAsia="Arial" w:hAnsi="Arial"/>
                <w:sz w:val="14"/>
                <w:szCs w:val="14"/>
                <w:color w:val="auto"/>
              </w:rPr>
              <w:t>State of</w:t>
            </w:r>
          </w:p>
        </w:tc>
        <w:tc>
          <w:tcPr>
            <w:tcW w:w="5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r>
      <w:tr>
        <w:trPr>
          <w:trHeight w:val="175"/>
        </w:trPr>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ind w:left="140"/>
              <w:spacing w:after="0"/>
              <w:rPr>
                <w:sz w:val="20"/>
                <w:szCs w:val="20"/>
                <w:color w:val="auto"/>
              </w:rPr>
            </w:pPr>
            <w:r>
              <w:rPr>
                <w:rFonts w:ascii="Arial" w:cs="Arial" w:eastAsia="Arial" w:hAnsi="Arial"/>
                <w:sz w:val="14"/>
                <w:szCs w:val="14"/>
                <w:color w:val="auto"/>
              </w:rPr>
              <w:t>County of</w:t>
            </w:r>
          </w:p>
        </w:tc>
        <w:tc>
          <w:tcPr>
            <w:tcW w:w="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r>
      <w:tr>
        <w:trPr>
          <w:trHeight w:val="302"/>
        </w:trPr>
        <w:tc>
          <w:tcPr>
            <w:tcW w:w="440" w:type="dxa"/>
            <w:vAlign w:val="bottom"/>
          </w:tcPr>
          <w:p>
            <w:pPr>
              <w:spacing w:after="0"/>
              <w:rPr>
                <w:sz w:val="20"/>
                <w:szCs w:val="20"/>
                <w:color w:val="auto"/>
              </w:rPr>
            </w:pPr>
            <w:r>
              <w:rPr>
                <w:rFonts w:ascii="Arial" w:cs="Arial" w:eastAsia="Arial" w:hAnsi="Arial"/>
                <w:sz w:val="14"/>
                <w:szCs w:val="14"/>
                <w:color w:val="auto"/>
                <w:w w:val="94"/>
              </w:rPr>
              <w:t>On this</w:t>
            </w:r>
          </w:p>
        </w:tc>
        <w:tc>
          <w:tcPr>
            <w:tcW w:w="560" w:type="dxa"/>
            <w:vAlign w:val="bottom"/>
            <w:tcBorders>
              <w:bottom w:val="single" w:sz="8" w:color="auto"/>
            </w:tcBorders>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4"/>
                <w:szCs w:val="14"/>
                <w:color w:val="auto"/>
                <w:w w:val="98"/>
              </w:rPr>
              <w:t>day of   Mar 27 2008,</w:t>
            </w:r>
          </w:p>
        </w:tc>
        <w:tc>
          <w:tcPr>
            <w:tcW w:w="540" w:type="dxa"/>
            <w:vAlign w:val="bottom"/>
            <w:tcBorders>
              <w:bottom w:val="single" w:sz="8" w:color="auto"/>
            </w:tcBorders>
          </w:tcPr>
          <w:p>
            <w:pPr>
              <w:spacing w:after="0"/>
              <w:rPr>
                <w:sz w:val="24"/>
                <w:szCs w:val="24"/>
                <w:color w:val="auto"/>
              </w:rPr>
            </w:pPr>
          </w:p>
        </w:tc>
        <w:tc>
          <w:tcPr>
            <w:tcW w:w="3240" w:type="dxa"/>
            <w:vAlign w:val="bottom"/>
            <w:gridSpan w:val="2"/>
          </w:tcPr>
          <w:p>
            <w:pPr>
              <w:ind w:left="40"/>
              <w:spacing w:after="0"/>
              <w:rPr>
                <w:sz w:val="20"/>
                <w:szCs w:val="20"/>
                <w:color w:val="auto"/>
              </w:rPr>
            </w:pPr>
            <w:r>
              <w:rPr>
                <w:rFonts w:ascii="Arial" w:cs="Arial" w:eastAsia="Arial" w:hAnsi="Arial"/>
                <w:sz w:val="14"/>
                <w:szCs w:val="14"/>
                <w:color w:val="auto"/>
              </w:rPr>
              <w:t>personally appeared before me</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197"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tab/>
        <w:t>Joseph John O’Brien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444500</wp:posOffset>
            </wp:positionV>
            <wp:extent cx="716407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6">
                      <a:extLst>
                        <a:ext uri="{28A0092B-C50C-407E-A947-70E740481C1C}"/>
                      </a:extLst>
                    </a:blip>
                    <a:srcRect/>
                    <a:stretch>
                      <a:fillRect/>
                    </a:stretch>
                  </pic:blipFill>
                  <pic:spPr bwMode="auto">
                    <a:xfrm>
                      <a:off x="0" y="0"/>
                      <a:ext cx="716407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233680</wp:posOffset>
            </wp:positionV>
            <wp:extent cx="716407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7">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to be the persons described in and who executed the foregoing certificate, and severally acknowledged that they executed the same.</w:t>
      </w: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color w:val="auto"/>
        </w:rPr>
        <w:t>/s/ Chamnannuch Scherer</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Chamnannuch Scherer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-101600</wp:posOffset>
            </wp:positionV>
            <wp:extent cx="2864485"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8">
                      <a:extLst>
                        <a:ext uri="{28A0092B-C50C-407E-A947-70E740481C1C}"/>
                      </a:extLst>
                    </a:blip>
                    <a:srcRect/>
                    <a:stretch>
                      <a:fillRect/>
                    </a:stretch>
                  </pic:blipFill>
                  <pic:spPr bwMode="auto">
                    <a:xfrm>
                      <a:off x="0" y="0"/>
                      <a:ext cx="2864485" cy="635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Consular Associate of the United States of America</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Indefinite</w:t>
      </w:r>
    </w:p>
    <w:p>
      <w:pPr>
        <w:sectPr>
          <w:pgSz w:w="11900" w:h="16838" w:orient="portrait"/>
          <w:cols w:equalWidth="0" w:num="1">
            <w:col w:w="11280"/>
          </w:cols>
          <w:pgMar w:left="300" w:top="227" w:right="319" w:bottom="1440" w:gutter="0" w:footer="0" w:header="0"/>
        </w:sectPr>
      </w:pPr>
    </w:p>
    <w:bookmarkStart w:id="94" w:name="page95"/>
    <w:bookmarkEnd w:id="94"/>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EXHIBIT 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2372360</wp:posOffset>
            </wp:positionH>
            <wp:positionV relativeFrom="paragraph">
              <wp:posOffset>130810</wp:posOffset>
            </wp:positionV>
            <wp:extent cx="2423160" cy="7308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0">
                      <a:extLst>
                        <a:ext uri="{28A0092B-C50C-407E-A947-70E740481C1C}"/>
                      </a:extLst>
                    </a:blip>
                    <a:srcRect/>
                    <a:stretch>
                      <a:fillRect/>
                    </a:stretch>
                  </pic:blipFill>
                  <pic:spPr bwMode="auto">
                    <a:xfrm>
                      <a:off x="0" y="0"/>
                      <a:ext cx="2423160" cy="730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40"/>
        <w:spacing w:after="0" w:line="268" w:lineRule="auto"/>
        <w:rPr>
          <w:sz w:val="20"/>
          <w:szCs w:val="20"/>
          <w:color w:val="auto"/>
        </w:rPr>
      </w:pPr>
      <w:r>
        <w:rPr>
          <w:rFonts w:ascii="Arial" w:cs="Arial" w:eastAsia="Arial" w:hAnsi="Arial"/>
          <w:sz w:val="14"/>
          <w:szCs w:val="14"/>
          <w:b w:val="1"/>
          <w:bCs w:val="1"/>
          <w:i w:val="1"/>
          <w:iCs w:val="1"/>
          <w:color w:val="auto"/>
        </w:rPr>
        <w:t xml:space="preserve">Whereas, </w:t>
      </w:r>
      <w:r>
        <w:rPr>
          <w:rFonts w:ascii="Arial" w:cs="Arial" w:eastAsia="Arial" w:hAnsi="Arial"/>
          <w:sz w:val="14"/>
          <w:szCs w:val="14"/>
          <w:i w:val="1"/>
          <w:iCs w:val="1"/>
          <w:color w:val="auto"/>
        </w:rPr>
        <w:t>the Articles of Organization of</w:t>
      </w:r>
      <w:r>
        <w:rPr>
          <w:rFonts w:ascii="Arial" w:cs="Arial" w:eastAsia="Arial" w:hAnsi="Arial"/>
          <w:sz w:val="14"/>
          <w:szCs w:val="14"/>
          <w:b w:val="1"/>
          <w:bCs w:val="1"/>
          <w:i w:val="1"/>
          <w:iCs w:val="1"/>
          <w:color w:val="auto"/>
        </w:rPr>
        <w:t xml:space="preserve"> AMERICAN STOCK TRANSFER &amp; TRUST COMPANY, LLC, </w:t>
      </w:r>
      <w:r>
        <w:rPr>
          <w:rFonts w:ascii="Arial" w:cs="Arial" w:eastAsia="Arial" w:hAnsi="Arial"/>
          <w:sz w:val="14"/>
          <w:szCs w:val="14"/>
          <w:i w:val="1"/>
          <w:iCs w:val="1"/>
          <w:color w:val="auto"/>
        </w:rPr>
        <w:t>of New York, New York, have heretofore been duly approved and said</w:t>
      </w:r>
      <w:r>
        <w:rPr>
          <w:rFonts w:ascii="Arial" w:cs="Arial" w:eastAsia="Arial" w:hAnsi="Arial"/>
          <w:sz w:val="14"/>
          <w:szCs w:val="14"/>
          <w:b w:val="1"/>
          <w:bCs w:val="1"/>
          <w:i w:val="1"/>
          <w:iCs w:val="1"/>
          <w:color w:val="auto"/>
        </w:rPr>
        <w:t xml:space="preserve"> AMERICAN STOCK TRANSFER &amp; TRUST COMPANY, LLC </w:t>
      </w:r>
      <w:r>
        <w:rPr>
          <w:rFonts w:ascii="Arial" w:cs="Arial" w:eastAsia="Arial" w:hAnsi="Arial"/>
          <w:sz w:val="14"/>
          <w:szCs w:val="14"/>
          <w:i w:val="1"/>
          <w:iCs w:val="1"/>
          <w:color w:val="auto"/>
        </w:rPr>
        <w:t>has complied with the provisions of Chapter 2 of the Consolidated Laws,</w:t>
      </w:r>
    </w:p>
    <w:p>
      <w:pPr>
        <w:spacing w:after="0" w:line="221"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i w:val="1"/>
          <w:iCs w:val="1"/>
          <w:color w:val="auto"/>
        </w:rPr>
        <w:t xml:space="preserve">Now Therefore I, David S. Fredsall, as Deputy Superintendent of Banks of the State of New York, do hereby authorize the said </w:t>
      </w:r>
      <w:r>
        <w:rPr>
          <w:rFonts w:ascii="Arial" w:cs="Arial" w:eastAsia="Arial" w:hAnsi="Arial"/>
          <w:sz w:val="14"/>
          <w:szCs w:val="14"/>
          <w:b w:val="1"/>
          <w:bCs w:val="1"/>
          <w:i w:val="1"/>
          <w:iCs w:val="1"/>
          <w:color w:val="auto"/>
        </w:rPr>
        <w:t>AMERICAN STOCK TRANSFER &amp; TRUST COMPANY, LLC</w:t>
      </w:r>
      <w:r>
        <w:rPr>
          <w:rFonts w:ascii="Arial" w:cs="Arial" w:eastAsia="Arial" w:hAnsi="Arial"/>
          <w:sz w:val="14"/>
          <w:szCs w:val="14"/>
          <w:i w:val="1"/>
          <w:iCs w:val="1"/>
          <w:color w:val="auto"/>
        </w:rPr>
        <w:t xml:space="preserve"> to transact the business of a Limited Liability Trust Company, at 59 Maiden Lane, Borough of Manhattan, City of New York within this State.</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In Witness Whereof, </w:t>
      </w:r>
      <w:r>
        <w:rPr>
          <w:rFonts w:ascii="Arial" w:cs="Arial" w:eastAsia="Arial" w:hAnsi="Arial"/>
          <w:sz w:val="14"/>
          <w:szCs w:val="14"/>
          <w:i w:val="1"/>
          <w:iCs w:val="1"/>
          <w:color w:val="auto"/>
        </w:rPr>
        <w:t>I have hereunto set my hand and affixed the official seal of the Banking Department, this 30</w:t>
      </w:r>
      <w:r>
        <w:rPr>
          <w:rFonts w:ascii="Arial" w:cs="Arial" w:eastAsia="Arial" w:hAnsi="Arial"/>
          <w:sz w:val="20"/>
          <w:szCs w:val="20"/>
          <w:i w:val="1"/>
          <w:iCs w:val="1"/>
          <w:color w:val="auto"/>
          <w:vertAlign w:val="superscript"/>
        </w:rPr>
        <w:t>th</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day of May in the year two thousand and eight.</w:t>
      </w:r>
    </w:p>
    <w:p>
      <w:pPr>
        <w:spacing w:after="0" w:line="288" w:lineRule="exact"/>
        <w:rPr>
          <w:sz w:val="20"/>
          <w:szCs w:val="20"/>
          <w:color w:val="auto"/>
        </w:rPr>
      </w:pPr>
    </w:p>
    <w:p>
      <w:pPr>
        <w:ind w:left="6780"/>
        <w:spacing w:after="0"/>
        <w:rPr>
          <w:sz w:val="20"/>
          <w:szCs w:val="20"/>
          <w:color w:val="auto"/>
        </w:rPr>
      </w:pPr>
      <w:r>
        <w:rPr>
          <w:rFonts w:ascii="Arial" w:cs="Arial" w:eastAsia="Arial" w:hAnsi="Arial"/>
          <w:sz w:val="14"/>
          <w:szCs w:val="14"/>
          <w:color w:val="auto"/>
        </w:rPr>
        <w:t>/s/ David S. Fredsall</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4"/>
          <w:szCs w:val="14"/>
          <w:i w:val="1"/>
          <w:iCs w:val="1"/>
          <w:color w:val="auto"/>
        </w:rPr>
        <w:t>Deputy Superintendent of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-101600</wp:posOffset>
            </wp:positionV>
            <wp:extent cx="2864485"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1">
                      <a:extLst>
                        <a:ext uri="{28A0092B-C50C-407E-A947-70E740481C1C}"/>
                      </a:extLst>
                    </a:blip>
                    <a:srcRect/>
                    <a:stretch>
                      <a:fillRect/>
                    </a:stretch>
                  </pic:blipFill>
                  <pic:spPr bwMode="auto">
                    <a:xfrm>
                      <a:off x="0" y="0"/>
                      <a:ext cx="2864485" cy="6350"/>
                    </a:xfrm>
                    <a:prstGeom prst="rect">
                      <a:avLst/>
                    </a:prstGeom>
                    <a:noFill/>
                  </pic:spPr>
                </pic:pic>
              </a:graphicData>
            </a:graphic>
          </wp:anchor>
        </w:drawing>
      </w:r>
    </w:p>
    <w:p>
      <w:pPr>
        <w:sectPr>
          <w:pgSz w:w="11900" w:h="16838" w:orient="portrait"/>
          <w:cols w:equalWidth="0" w:num="1">
            <w:col w:w="11280"/>
          </w:cols>
          <w:pgMar w:left="300" w:top="239" w:right="31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FIFTH AMENDED AND RESTATED</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LIMITED LIABILITY TRUST COMPANY AGREEMENT</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OF</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AMERICAN STOCK TRANSFER &amp; TRUST COMPANY, LLC</w:t>
      </w:r>
    </w:p>
    <w:p>
      <w:pPr>
        <w:spacing w:after="0" w:line="175" w:lineRule="exact"/>
        <w:rPr>
          <w:sz w:val="20"/>
          <w:szCs w:val="20"/>
          <w:color w:val="auto"/>
        </w:rPr>
      </w:pPr>
    </w:p>
    <w:p>
      <w:pPr>
        <w:ind w:firstLine="1015"/>
        <w:spacing w:after="0" w:line="286" w:lineRule="auto"/>
        <w:rPr>
          <w:sz w:val="20"/>
          <w:szCs w:val="20"/>
          <w:color w:val="auto"/>
        </w:rPr>
      </w:pPr>
      <w:r>
        <w:rPr>
          <w:rFonts w:ascii="Arial" w:cs="Arial" w:eastAsia="Arial" w:hAnsi="Arial"/>
          <w:sz w:val="13"/>
          <w:szCs w:val="13"/>
          <w:color w:val="auto"/>
        </w:rPr>
        <w:t>THIS FIFTH AMENDED AND RESTATED LIMITED LIABILITY TRUST COMPANY AGREEMENT (as amended, amended and restated, supplemented or modified from time to time, the “</w:t>
      </w:r>
      <w:r>
        <w:rPr>
          <w:rFonts w:ascii="Arial" w:cs="Arial" w:eastAsia="Arial" w:hAnsi="Arial"/>
          <w:sz w:val="13"/>
          <w:szCs w:val="13"/>
          <w:u w:val="single" w:color="auto"/>
          <w:color w:val="auto"/>
        </w:rPr>
        <w:t>Agreement</w:t>
      </w:r>
      <w:r>
        <w:rPr>
          <w:rFonts w:ascii="Arial" w:cs="Arial" w:eastAsia="Arial" w:hAnsi="Arial"/>
          <w:sz w:val="13"/>
          <w:szCs w:val="13"/>
          <w:color w:val="auto"/>
        </w:rPr>
        <w:t>”) of American Stock Transfer &amp; Trust Company, LLC (the “</w:t>
      </w:r>
      <w:r>
        <w:rPr>
          <w:rFonts w:ascii="Arial" w:cs="Arial" w:eastAsia="Arial" w:hAnsi="Arial"/>
          <w:sz w:val="13"/>
          <w:szCs w:val="13"/>
          <w:u w:val="single" w:color="auto"/>
          <w:color w:val="auto"/>
        </w:rPr>
        <w:t>Company</w:t>
      </w:r>
      <w:r>
        <w:rPr>
          <w:rFonts w:ascii="Arial" w:cs="Arial" w:eastAsia="Arial" w:hAnsi="Arial"/>
          <w:sz w:val="13"/>
          <w:szCs w:val="13"/>
          <w:color w:val="auto"/>
        </w:rPr>
        <w:t>”) dated as of this 10th day of December, 2021, by Armor Holding II LLC, as the sole member of the Company (the “</w:t>
      </w:r>
      <w:r>
        <w:rPr>
          <w:rFonts w:ascii="Arial" w:cs="Arial" w:eastAsia="Arial" w:hAnsi="Arial"/>
          <w:sz w:val="13"/>
          <w:szCs w:val="13"/>
          <w:u w:val="single" w:color="auto"/>
          <w:color w:val="auto"/>
        </w:rPr>
        <w:t>Member</w:t>
      </w:r>
      <w:r>
        <w:rPr>
          <w:rFonts w:ascii="Arial" w:cs="Arial" w:eastAsia="Arial" w:hAnsi="Arial"/>
          <w:sz w:val="13"/>
          <w:szCs w:val="13"/>
          <w:color w:val="auto"/>
        </w:rPr>
        <w:t>”) amends and restates the Fourth Amended and Restated Limited Liability Trust Company Agreement of the Company dated as of September 2, 2020 in its entirety.</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RECITAL</w:t>
      </w:r>
    </w:p>
    <w:p>
      <w:pPr>
        <w:spacing w:after="0" w:line="175" w:lineRule="exact"/>
        <w:rPr>
          <w:sz w:val="20"/>
          <w:szCs w:val="20"/>
          <w:color w:val="auto"/>
        </w:rPr>
      </w:pPr>
    </w:p>
    <w:p>
      <w:pPr>
        <w:ind w:right="300" w:firstLine="1015"/>
        <w:spacing w:after="0" w:line="257" w:lineRule="auto"/>
        <w:rPr>
          <w:sz w:val="20"/>
          <w:szCs w:val="20"/>
          <w:color w:val="auto"/>
        </w:rPr>
      </w:pPr>
      <w:r>
        <w:rPr>
          <w:rFonts w:ascii="Arial" w:cs="Arial" w:eastAsia="Arial" w:hAnsi="Arial"/>
          <w:sz w:val="14"/>
          <w:szCs w:val="14"/>
          <w:color w:val="auto"/>
        </w:rPr>
        <w:t>The Member converted the Company into a limited liability trust company under the laws of the State of New York and now desires to amend and restate the written agreement governing the affairs of the Company in accordance with the provisions of the Limited Liability Company Law of the State of New York and any successor statute, as amended from time to time (the “</w:t>
      </w:r>
      <w:r>
        <w:rPr>
          <w:rFonts w:ascii="Arial" w:cs="Arial" w:eastAsia="Arial" w:hAnsi="Arial"/>
          <w:sz w:val="14"/>
          <w:szCs w:val="14"/>
          <w:u w:val="single" w:color="auto"/>
          <w:color w:val="auto"/>
        </w:rPr>
        <w:t>Act</w:t>
      </w:r>
      <w:r>
        <w:rPr>
          <w:rFonts w:ascii="Arial" w:cs="Arial" w:eastAsia="Arial" w:hAnsi="Arial"/>
          <w:sz w:val="14"/>
          <w:szCs w:val="14"/>
          <w:color w:val="auto"/>
        </w:rPr>
        <w:t>”) and the Banking Law of the State of New York and any successor statute, as amended from time to time (the “</w:t>
      </w:r>
      <w:r>
        <w:rPr>
          <w:rFonts w:ascii="Arial" w:cs="Arial" w:eastAsia="Arial" w:hAnsi="Arial"/>
          <w:sz w:val="14"/>
          <w:szCs w:val="14"/>
          <w:u w:val="single" w:color="auto"/>
          <w:color w:val="auto"/>
        </w:rPr>
        <w:t>Banking Law</w:t>
      </w:r>
      <w:r>
        <w:rPr>
          <w:rFonts w:ascii="Arial" w:cs="Arial" w:eastAsia="Arial" w:hAnsi="Arial"/>
          <w:sz w:val="14"/>
          <w:szCs w:val="14"/>
          <w:color w:val="auto"/>
        </w:rPr>
        <w:t>”).</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1</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Limited Liability Trust Company</w:t>
      </w:r>
    </w:p>
    <w:p>
      <w:pPr>
        <w:spacing w:after="0" w:line="162" w:lineRule="exact"/>
        <w:rPr>
          <w:sz w:val="20"/>
          <w:szCs w:val="20"/>
          <w:color w:val="auto"/>
        </w:rPr>
      </w:pPr>
    </w:p>
    <w:p>
      <w:pPr>
        <w:jc w:val="both"/>
        <w:ind w:right="120" w:firstLine="1015"/>
        <w:spacing w:after="0" w:line="320" w:lineRule="auto"/>
        <w:rPr>
          <w:sz w:val="20"/>
          <w:szCs w:val="20"/>
          <w:color w:val="auto"/>
        </w:rPr>
      </w:pPr>
      <w:r>
        <w:rPr>
          <w:rFonts w:ascii="Arial" w:cs="Arial" w:eastAsia="Arial" w:hAnsi="Arial"/>
          <w:sz w:val="12"/>
          <w:szCs w:val="12"/>
          <w:color w:val="auto"/>
        </w:rPr>
        <w:t xml:space="preserve">a. </w:t>
      </w:r>
      <w:r>
        <w:rPr>
          <w:rFonts w:ascii="Arial" w:cs="Arial" w:eastAsia="Arial" w:hAnsi="Arial"/>
          <w:sz w:val="12"/>
          <w:szCs w:val="12"/>
          <w:i w:val="1"/>
          <w:iCs w:val="1"/>
          <w:u w:val="single" w:color="auto"/>
          <w:color w:val="auto"/>
        </w:rPr>
        <w:t>Formation</w:t>
      </w:r>
      <w:r>
        <w:rPr>
          <w:rFonts w:ascii="Arial" w:cs="Arial" w:eastAsia="Arial" w:hAnsi="Arial"/>
          <w:sz w:val="12"/>
          <w:szCs w:val="12"/>
          <w:color w:val="auto"/>
        </w:rPr>
        <w:t>. The Member previously converted the Company into a limited liability trust company pursuant to the Act and the Banking Law; such conversion of the Company from a New York trust company into a New York limited liability trust company was approved by the New York Banking Board on April 17, 2008 in conformity with Section 102-a(3) of the Banking Law. The conversion to a limited liability trust company became effective on May 30, 2008, when the New York State Banking Department issued an Authorization Certificate for the converted entity.</w:t>
      </w:r>
    </w:p>
    <w:p>
      <w:pPr>
        <w:spacing w:after="0" w:line="112" w:lineRule="exact"/>
        <w:rPr>
          <w:sz w:val="20"/>
          <w:szCs w:val="20"/>
          <w:color w:val="auto"/>
        </w:rPr>
      </w:pPr>
    </w:p>
    <w:p>
      <w:pPr>
        <w:ind w:right="160" w:firstLine="1015"/>
        <w:spacing w:after="0" w:line="307" w:lineRule="auto"/>
        <w:rPr>
          <w:sz w:val="20"/>
          <w:szCs w:val="20"/>
          <w:color w:val="auto"/>
        </w:rPr>
      </w:pPr>
      <w:r>
        <w:rPr>
          <w:rFonts w:ascii="Arial" w:cs="Arial" w:eastAsia="Arial" w:hAnsi="Arial"/>
          <w:sz w:val="13"/>
          <w:szCs w:val="13"/>
          <w:color w:val="auto"/>
        </w:rPr>
        <w:t xml:space="preserve">b. </w:t>
      </w:r>
      <w:r>
        <w:rPr>
          <w:rFonts w:ascii="Arial" w:cs="Arial" w:eastAsia="Arial" w:hAnsi="Arial"/>
          <w:sz w:val="13"/>
          <w:szCs w:val="13"/>
          <w:i w:val="1"/>
          <w:iCs w:val="1"/>
          <w:u w:val="single" w:color="auto"/>
          <w:color w:val="auto"/>
        </w:rPr>
        <w:t>Name</w:t>
      </w:r>
      <w:r>
        <w:rPr>
          <w:rFonts w:ascii="Arial" w:cs="Arial" w:eastAsia="Arial" w:hAnsi="Arial"/>
          <w:sz w:val="13"/>
          <w:szCs w:val="13"/>
          <w:color w:val="auto"/>
        </w:rPr>
        <w:t>. The name of the Company shall be “American Stock Transfer &amp; Trust Company, LLC” and its business shall be carried on in such name with such variations and changes as the Board (as hereinafter defined) shall determine or deem necessary to comply with requirements of the jurisdictions in which the Company’s operations are conducted.</w:t>
      </w:r>
    </w:p>
    <w:p>
      <w:pPr>
        <w:spacing w:after="0" w:line="11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 xml:space="preserve">c. </w:t>
      </w:r>
      <w:r>
        <w:rPr>
          <w:rFonts w:ascii="Arial" w:cs="Arial" w:eastAsia="Arial" w:hAnsi="Arial"/>
          <w:sz w:val="14"/>
          <w:szCs w:val="14"/>
          <w:i w:val="1"/>
          <w:iCs w:val="1"/>
          <w:u w:val="single" w:color="auto"/>
          <w:color w:val="auto"/>
        </w:rPr>
        <w:t>Business Purpose</w:t>
      </w:r>
      <w:r>
        <w:rPr>
          <w:rFonts w:ascii="Arial" w:cs="Arial" w:eastAsia="Arial" w:hAnsi="Arial"/>
          <w:sz w:val="14"/>
          <w:szCs w:val="14"/>
          <w:u w:val="single" w:color="auto"/>
          <w:color w:val="auto"/>
        </w:rPr>
        <w:t>;</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Powers</w:t>
      </w:r>
      <w:r>
        <w:rPr>
          <w:rFonts w:ascii="Arial" w:cs="Arial" w:eastAsia="Arial" w:hAnsi="Arial"/>
          <w:sz w:val="14"/>
          <w:szCs w:val="14"/>
          <w:color w:val="auto"/>
        </w:rPr>
        <w:t>. The purposes for which the Company is formed are:</w:t>
      </w:r>
    </w:p>
    <w:p>
      <w:pPr>
        <w:spacing w:after="0" w:line="88" w:lineRule="exact"/>
        <w:rPr>
          <w:sz w:val="20"/>
          <w:szCs w:val="20"/>
          <w:color w:val="auto"/>
        </w:rPr>
      </w:pPr>
    </w:p>
    <w:p>
      <w:pPr>
        <w:jc w:val="both"/>
        <w:ind w:firstLine="1018"/>
        <w:spacing w:after="0" w:line="257" w:lineRule="auto"/>
        <w:tabs>
          <w:tab w:leader="none" w:pos="11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to exercise the powers conferred by Section 100 of the Banking Law, including corporate trust powers; personal trust powers; pension trust powers for tax-qualified pension trusts and retirement plans; and common or collective trust powers; provided, however, that the Company shall neither accept deposits nor make loans except for deposits and loans arising directly from the exercise of its fiduciary powers as specified in this Section 1(c); and</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80"/>
          </w:cols>
          <w:pgMar w:left="300" w:top="239" w:right="319" w:bottom="1440" w:gutter="0" w:footer="0" w:header="0"/>
        </w:sectPr>
      </w:pPr>
    </w:p>
    <w:bookmarkStart w:id="96" w:name="page97"/>
    <w:bookmarkEnd w:id="96"/>
    <w:p>
      <w:pPr>
        <w:ind w:left="10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(ii) in furtherance of the foregoing, to engage in any lawful act or activity for which limited liability trust companies may be formed under the Banking Law.</w:t>
      </w:r>
    </w:p>
    <w:p>
      <w:pPr>
        <w:spacing w:after="0" w:line="171" w:lineRule="exact"/>
        <w:rPr>
          <w:sz w:val="20"/>
          <w:szCs w:val="20"/>
          <w:color w:val="auto"/>
        </w:rPr>
      </w:pPr>
    </w:p>
    <w:p>
      <w:pPr>
        <w:ind w:firstLine="1015"/>
        <w:spacing w:after="0" w:line="353" w:lineRule="auto"/>
        <w:rPr>
          <w:sz w:val="20"/>
          <w:szCs w:val="20"/>
          <w:color w:val="auto"/>
        </w:rPr>
      </w:pPr>
      <w:r>
        <w:rPr>
          <w:rFonts w:ascii="Arial" w:cs="Arial" w:eastAsia="Arial" w:hAnsi="Arial"/>
          <w:sz w:val="12"/>
          <w:szCs w:val="12"/>
          <w:color w:val="auto"/>
        </w:rPr>
        <w:t xml:space="preserve">d. </w:t>
      </w:r>
      <w:r>
        <w:rPr>
          <w:rFonts w:ascii="Arial" w:cs="Arial" w:eastAsia="Arial" w:hAnsi="Arial"/>
          <w:sz w:val="12"/>
          <w:szCs w:val="12"/>
          <w:i w:val="1"/>
          <w:iCs w:val="1"/>
          <w:u w:val="single" w:color="auto"/>
          <w:color w:val="auto"/>
        </w:rPr>
        <w:t>Registered Office and Agent</w:t>
      </w:r>
      <w:r>
        <w:rPr>
          <w:rFonts w:ascii="Arial" w:cs="Arial" w:eastAsia="Arial" w:hAnsi="Arial"/>
          <w:sz w:val="12"/>
          <w:szCs w:val="12"/>
          <w:color w:val="auto"/>
        </w:rPr>
        <w:t>. The Secretary of State is designated as agent of the limited liability company upon whom process against it may be served. The post office address within or without this state to which the Secretary of State shall mail a copy of any process against the limited liability company served upon him or her is 6201 15th Avenue, Brooklyn, New York 11219.</w:t>
      </w:r>
    </w:p>
    <w:p>
      <w:pPr>
        <w:spacing w:after="0" w:line="9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 xml:space="preserve">e. </w:t>
      </w:r>
      <w:r>
        <w:rPr>
          <w:rFonts w:ascii="Arial" w:cs="Arial" w:eastAsia="Arial" w:hAnsi="Arial"/>
          <w:sz w:val="14"/>
          <w:szCs w:val="14"/>
          <w:i w:val="1"/>
          <w:iCs w:val="1"/>
          <w:u w:val="single" w:color="auto"/>
          <w:color w:val="auto"/>
        </w:rPr>
        <w:t>Term</w:t>
      </w:r>
      <w:r>
        <w:rPr>
          <w:rFonts w:ascii="Arial" w:cs="Arial" w:eastAsia="Arial" w:hAnsi="Arial"/>
          <w:sz w:val="14"/>
          <w:szCs w:val="14"/>
          <w:color w:val="auto"/>
        </w:rPr>
        <w:t>. Subject to the provisions of Article 6 below, the Company shall continue until December 31, 2040, unless the Members agree to extend such date.</w:t>
      </w:r>
    </w:p>
    <w:p>
      <w:pPr>
        <w:spacing w:after="0" w:line="333" w:lineRule="exact"/>
        <w:rPr>
          <w:sz w:val="20"/>
          <w:szCs w:val="20"/>
          <w:color w:val="auto"/>
        </w:rPr>
      </w:pPr>
    </w:p>
    <w:tbl>
      <w:tblPr>
        <w:tblLayout w:type="fixed"/>
        <w:tblInd w:w="560" w:type="dxa"/>
        <w:tblCellMar>
          <w:top w:w="0" w:type="dxa"/>
          <w:left w:w="0" w:type="dxa"/>
          <w:bottom w:w="0" w:type="dxa"/>
          <w:right w:w="0" w:type="dxa"/>
        </w:tblCellMar>
      </w:tblPr>
      <w:tr>
        <w:trPr>
          <w:trHeight w:val="170"/>
        </w:trPr>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5700" w:type="dxa"/>
            <w:vAlign w:val="bottom"/>
            <w:gridSpan w:val="2"/>
          </w:tcPr>
          <w:p>
            <w:pPr>
              <w:ind w:left="260"/>
              <w:spacing w:after="0"/>
              <w:rPr>
                <w:sz w:val="20"/>
                <w:szCs w:val="20"/>
                <w:color w:val="auto"/>
              </w:rPr>
            </w:pPr>
            <w:r>
              <w:rPr>
                <w:rFonts w:ascii="Arial" w:cs="Arial" w:eastAsia="Arial" w:hAnsi="Arial"/>
                <w:sz w:val="14"/>
                <w:szCs w:val="14"/>
                <w:b w:val="1"/>
                <w:bCs w:val="1"/>
                <w:color w:val="auto"/>
              </w:rPr>
              <w:t>ARTICLE 2</w:t>
            </w:r>
          </w:p>
        </w:tc>
      </w:tr>
      <w:tr>
        <w:trPr>
          <w:trHeight w:val="175"/>
        </w:trPr>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5700" w:type="dxa"/>
            <w:vAlign w:val="bottom"/>
            <w:gridSpan w:val="2"/>
          </w:tcPr>
          <w:p>
            <w:pPr>
              <w:ind w:left="260"/>
              <w:spacing w:after="0"/>
              <w:rPr>
                <w:sz w:val="20"/>
                <w:szCs w:val="20"/>
                <w:color w:val="auto"/>
              </w:rPr>
            </w:pPr>
            <w:r>
              <w:rPr>
                <w:rFonts w:ascii="Arial" w:cs="Arial" w:eastAsia="Arial" w:hAnsi="Arial"/>
                <w:sz w:val="14"/>
                <w:szCs w:val="14"/>
                <w:color w:val="auto"/>
              </w:rPr>
              <w:t>The Member</w:t>
            </w:r>
          </w:p>
        </w:tc>
      </w:tr>
      <w:tr>
        <w:trPr>
          <w:trHeight w:val="302"/>
        </w:trPr>
        <w:tc>
          <w:tcPr>
            <w:tcW w:w="280" w:type="dxa"/>
            <w:vAlign w:val="bottom"/>
          </w:tcPr>
          <w:p>
            <w:pPr>
              <w:spacing w:after="0"/>
              <w:rPr>
                <w:sz w:val="24"/>
                <w:szCs w:val="24"/>
                <w:color w:val="auto"/>
              </w:rPr>
            </w:pPr>
          </w:p>
        </w:tc>
        <w:tc>
          <w:tcPr>
            <w:tcW w:w="4180" w:type="dxa"/>
            <w:vAlign w:val="bottom"/>
            <w:gridSpan w:val="3"/>
          </w:tcPr>
          <w:p>
            <w:pPr>
              <w:ind w:left="180"/>
              <w:spacing w:after="0"/>
              <w:rPr>
                <w:sz w:val="20"/>
                <w:szCs w:val="20"/>
                <w:color w:val="auto"/>
              </w:rPr>
            </w:pPr>
            <w:r>
              <w:rPr>
                <w:rFonts w:ascii="Arial" w:cs="Arial" w:eastAsia="Arial" w:hAnsi="Arial"/>
                <w:sz w:val="14"/>
                <w:szCs w:val="14"/>
                <w:color w:val="auto"/>
                <w:w w:val="93"/>
              </w:rPr>
              <w:t xml:space="preserve">a. </w:t>
            </w:r>
            <w:r>
              <w:rPr>
                <w:rFonts w:ascii="Arial" w:cs="Arial" w:eastAsia="Arial" w:hAnsi="Arial"/>
                <w:sz w:val="14"/>
                <w:szCs w:val="14"/>
                <w:i w:val="1"/>
                <w:iCs w:val="1"/>
                <w:color w:val="auto"/>
                <w:w w:val="93"/>
              </w:rPr>
              <w:t>The Member</w:t>
            </w:r>
            <w:r>
              <w:rPr>
                <w:rFonts w:ascii="Arial" w:cs="Arial" w:eastAsia="Arial" w:hAnsi="Arial"/>
                <w:sz w:val="14"/>
                <w:szCs w:val="14"/>
                <w:color w:val="auto"/>
                <w:w w:val="93"/>
              </w:rPr>
              <w:t>. The name and address of the Member is as follows:</w:t>
            </w:r>
          </w:p>
        </w:tc>
        <w:tc>
          <w:tcPr>
            <w:tcW w:w="84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332"/>
        </w:trPr>
        <w:tc>
          <w:tcPr>
            <w:tcW w:w="280" w:type="dxa"/>
            <w:vAlign w:val="bottom"/>
            <w:tcBorders>
              <w:bottom w:val="single" w:sz="8" w:color="auto"/>
            </w:tcBorders>
          </w:tcPr>
          <w:p>
            <w:pPr>
              <w:spacing w:after="0"/>
              <w:rPr>
                <w:sz w:val="20"/>
                <w:szCs w:val="20"/>
                <w:color w:val="auto"/>
              </w:rPr>
            </w:pPr>
            <w:r>
              <w:rPr>
                <w:rFonts w:ascii="Arial" w:cs="Arial" w:eastAsia="Arial" w:hAnsi="Arial"/>
                <w:sz w:val="11"/>
                <w:szCs w:val="11"/>
                <w:color w:val="auto"/>
                <w:w w:val="88"/>
              </w:rPr>
              <w:t>Name</w:t>
            </w:r>
          </w:p>
        </w:tc>
        <w:tc>
          <w:tcPr>
            <w:tcW w:w="3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160" w:type="dxa"/>
            <w:vAlign w:val="bottom"/>
          </w:tcPr>
          <w:p>
            <w:pPr>
              <w:spacing w:after="0"/>
              <w:rPr>
                <w:sz w:val="24"/>
                <w:szCs w:val="24"/>
                <w:color w:val="auto"/>
              </w:rPr>
            </w:pPr>
          </w:p>
        </w:tc>
        <w:tc>
          <w:tcPr>
            <w:tcW w:w="5700" w:type="dxa"/>
            <w:vAlign w:val="bottom"/>
            <w:gridSpan w:val="2"/>
          </w:tcPr>
          <w:p>
            <w:pPr>
              <w:ind w:left="840"/>
              <w:spacing w:after="0"/>
              <w:rPr>
                <w:sz w:val="20"/>
                <w:szCs w:val="20"/>
                <w:color w:val="auto"/>
              </w:rPr>
            </w:pPr>
            <w:r>
              <w:rPr>
                <w:rFonts w:ascii="Arial" w:cs="Arial" w:eastAsia="Arial" w:hAnsi="Arial"/>
                <w:sz w:val="11"/>
                <w:szCs w:val="11"/>
                <w:color w:val="auto"/>
              </w:rPr>
              <w:t>Address</w:t>
            </w:r>
          </w:p>
        </w:tc>
      </w:tr>
      <w:tr>
        <w:trPr>
          <w:trHeight w:val="136"/>
        </w:trPr>
        <w:tc>
          <w:tcPr>
            <w:tcW w:w="4460" w:type="dxa"/>
            <w:vAlign w:val="bottom"/>
            <w:gridSpan w:val="4"/>
          </w:tcPr>
          <w:p>
            <w:pPr>
              <w:spacing w:after="0" w:line="136" w:lineRule="exact"/>
              <w:rPr>
                <w:sz w:val="20"/>
                <w:szCs w:val="20"/>
                <w:color w:val="auto"/>
              </w:rPr>
            </w:pPr>
            <w:r>
              <w:rPr>
                <w:rFonts w:ascii="Arial" w:cs="Arial" w:eastAsia="Arial" w:hAnsi="Arial"/>
                <w:sz w:val="14"/>
                <w:szCs w:val="14"/>
                <w:color w:val="auto"/>
              </w:rPr>
              <w:t>Armor Holding II LLC</w:t>
            </w:r>
          </w:p>
        </w:tc>
        <w:tc>
          <w:tcPr>
            <w:tcW w:w="840" w:type="dxa"/>
            <w:vAlign w:val="bottom"/>
          </w:tcPr>
          <w:p>
            <w:pPr>
              <w:spacing w:after="0"/>
              <w:rPr>
                <w:sz w:val="11"/>
                <w:szCs w:val="11"/>
                <w:color w:val="auto"/>
              </w:rPr>
            </w:pPr>
          </w:p>
        </w:tc>
        <w:tc>
          <w:tcPr>
            <w:tcW w:w="4860" w:type="dxa"/>
            <w:vAlign w:val="bottom"/>
            <w:tcBorders>
              <w:top w:val="single" w:sz="8" w:color="auto"/>
            </w:tcBorders>
          </w:tcPr>
          <w:p>
            <w:pPr>
              <w:spacing w:after="0" w:line="136" w:lineRule="exact"/>
              <w:rPr>
                <w:sz w:val="20"/>
                <w:szCs w:val="20"/>
                <w:color w:val="auto"/>
              </w:rPr>
            </w:pPr>
            <w:r>
              <w:rPr>
                <w:rFonts w:ascii="Arial" w:cs="Arial" w:eastAsia="Arial" w:hAnsi="Arial"/>
                <w:sz w:val="11"/>
                <w:szCs w:val="11"/>
                <w:color w:val="auto"/>
              </w:rPr>
              <w:t>48 Wall Street, 22</w:t>
            </w:r>
            <w:r>
              <w:rPr>
                <w:rFonts w:ascii="Arial" w:cs="Arial" w:eastAsia="Arial" w:hAnsi="Arial"/>
                <w:sz w:val="15"/>
                <w:szCs w:val="15"/>
                <w:color w:val="auto"/>
                <w:vertAlign w:val="superscript"/>
              </w:rPr>
              <w:t>nd</w:t>
            </w:r>
            <w:r>
              <w:rPr>
                <w:rFonts w:ascii="Arial" w:cs="Arial" w:eastAsia="Arial" w:hAnsi="Arial"/>
                <w:sz w:val="11"/>
                <w:szCs w:val="11"/>
                <w:color w:val="auto"/>
              </w:rPr>
              <w:t xml:space="preserve"> Floor</w:t>
            </w:r>
          </w:p>
        </w:tc>
      </w:tr>
      <w:tr>
        <w:trPr>
          <w:trHeight w:val="175"/>
        </w:trPr>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5700" w:type="dxa"/>
            <w:vAlign w:val="bottom"/>
            <w:gridSpan w:val="2"/>
          </w:tcPr>
          <w:p>
            <w:pPr>
              <w:ind w:left="840"/>
              <w:spacing w:after="0"/>
              <w:rPr>
                <w:sz w:val="20"/>
                <w:szCs w:val="20"/>
                <w:color w:val="auto"/>
              </w:rPr>
            </w:pPr>
            <w:r>
              <w:rPr>
                <w:rFonts w:ascii="Arial" w:cs="Arial" w:eastAsia="Arial" w:hAnsi="Arial"/>
                <w:sz w:val="14"/>
                <w:szCs w:val="14"/>
                <w:color w:val="auto"/>
              </w:rPr>
              <w:t>New York, NY 10005</w:t>
            </w:r>
          </w:p>
        </w:tc>
      </w:tr>
    </w:tbl>
    <w:p>
      <w:pPr>
        <w:spacing w:after="0" w:line="157" w:lineRule="exact"/>
        <w:rPr>
          <w:sz w:val="20"/>
          <w:szCs w:val="20"/>
          <w:color w:val="auto"/>
        </w:rPr>
      </w:pPr>
    </w:p>
    <w:p>
      <w:pPr>
        <w:ind w:right="180" w:firstLine="1015"/>
        <w:spacing w:after="0" w:line="257" w:lineRule="auto"/>
        <w:rPr>
          <w:sz w:val="20"/>
          <w:szCs w:val="20"/>
          <w:color w:val="auto"/>
        </w:rPr>
      </w:pPr>
      <w:r>
        <w:rPr>
          <w:rFonts w:ascii="Arial" w:cs="Arial" w:eastAsia="Arial" w:hAnsi="Arial"/>
          <w:sz w:val="14"/>
          <w:szCs w:val="14"/>
          <w:color w:val="auto"/>
        </w:rPr>
        <w:t xml:space="preserve">b. </w:t>
      </w:r>
      <w:r>
        <w:rPr>
          <w:rFonts w:ascii="Arial" w:cs="Arial" w:eastAsia="Arial" w:hAnsi="Arial"/>
          <w:sz w:val="14"/>
          <w:szCs w:val="14"/>
          <w:i w:val="1"/>
          <w:iCs w:val="1"/>
          <w:u w:val="single" w:color="auto"/>
          <w:color w:val="auto"/>
        </w:rPr>
        <w:t>Actions by the Member; Meetings</w:t>
      </w:r>
      <w:r>
        <w:rPr>
          <w:rFonts w:ascii="Arial" w:cs="Arial" w:eastAsia="Arial" w:hAnsi="Arial"/>
          <w:sz w:val="14"/>
          <w:szCs w:val="14"/>
          <w:color w:val="auto"/>
        </w:rPr>
        <w:t>. All actions taken by the Member must be duly authorized by the board of managers of the Member (the “</w:t>
      </w:r>
      <w:r>
        <w:rPr>
          <w:rFonts w:ascii="Arial" w:cs="Arial" w:eastAsia="Arial" w:hAnsi="Arial"/>
          <w:sz w:val="14"/>
          <w:szCs w:val="14"/>
          <w:u w:val="single" w:color="auto"/>
          <w:color w:val="auto"/>
        </w:rPr>
        <w:t>Member’s Board</w:t>
      </w:r>
      <w:r>
        <w:rPr>
          <w:rFonts w:ascii="Arial" w:cs="Arial" w:eastAsia="Arial" w:hAnsi="Arial"/>
          <w:sz w:val="14"/>
          <w:szCs w:val="14"/>
          <w:color w:val="auto"/>
        </w:rPr>
        <w:t>”). Subject to the foregoing sentence, the Member may approve a matter or take any action at a meeting or without a meeting by the written consent of the Member. Meetings of the Member may be called at any time by the Member.</w:t>
      </w:r>
    </w:p>
    <w:p>
      <w:pPr>
        <w:spacing w:after="0" w:line="146" w:lineRule="exact"/>
        <w:rPr>
          <w:sz w:val="20"/>
          <w:szCs w:val="20"/>
          <w:color w:val="auto"/>
        </w:rPr>
      </w:pPr>
    </w:p>
    <w:p>
      <w:pPr>
        <w:ind w:right="120" w:firstLine="1015"/>
        <w:spacing w:after="0" w:line="353" w:lineRule="auto"/>
        <w:rPr>
          <w:sz w:val="20"/>
          <w:szCs w:val="20"/>
          <w:color w:val="auto"/>
        </w:rPr>
      </w:pPr>
      <w:r>
        <w:rPr>
          <w:rFonts w:ascii="Arial" w:cs="Arial" w:eastAsia="Arial" w:hAnsi="Arial"/>
          <w:sz w:val="12"/>
          <w:szCs w:val="12"/>
          <w:color w:val="auto"/>
        </w:rPr>
        <w:t xml:space="preserve">c. </w:t>
      </w:r>
      <w:r>
        <w:rPr>
          <w:rFonts w:ascii="Arial" w:cs="Arial" w:eastAsia="Arial" w:hAnsi="Arial"/>
          <w:sz w:val="12"/>
          <w:szCs w:val="12"/>
          <w:i w:val="1"/>
          <w:iCs w:val="1"/>
          <w:u w:val="single" w:color="auto"/>
          <w:color w:val="auto"/>
        </w:rPr>
        <w:t>Liability of the Member</w:t>
      </w:r>
      <w:r>
        <w:rPr>
          <w:rFonts w:ascii="Arial" w:cs="Arial" w:eastAsia="Arial" w:hAnsi="Arial"/>
          <w:sz w:val="12"/>
          <w:szCs w:val="12"/>
          <w:color w:val="auto"/>
        </w:rPr>
        <w:t>. All debts, obligations and liabilities of the Company, whether arising in contract, tort or otherwise, shall be solely the debts, obligations and liabilities of the Company, and the Member shall not be obligated personally for any such debt, obligation or liability of the Company solely by reason of being a member, except as otherwise provided for by law.</w:t>
      </w:r>
    </w:p>
    <w:p>
      <w:pPr>
        <w:spacing w:after="0" w:line="92" w:lineRule="exact"/>
        <w:rPr>
          <w:sz w:val="20"/>
          <w:szCs w:val="20"/>
          <w:color w:val="auto"/>
        </w:rPr>
      </w:pPr>
    </w:p>
    <w:p>
      <w:pPr>
        <w:ind w:right="120" w:firstLine="1015"/>
        <w:spacing w:after="0" w:line="268" w:lineRule="auto"/>
        <w:rPr>
          <w:sz w:val="20"/>
          <w:szCs w:val="20"/>
          <w:color w:val="auto"/>
        </w:rPr>
      </w:pPr>
      <w:r>
        <w:rPr>
          <w:rFonts w:ascii="Arial" w:cs="Arial" w:eastAsia="Arial" w:hAnsi="Arial"/>
          <w:sz w:val="14"/>
          <w:szCs w:val="14"/>
          <w:color w:val="auto"/>
        </w:rPr>
        <w:t xml:space="preserve">d. </w:t>
      </w:r>
      <w:r>
        <w:rPr>
          <w:rFonts w:ascii="Arial" w:cs="Arial" w:eastAsia="Arial" w:hAnsi="Arial"/>
          <w:sz w:val="14"/>
          <w:szCs w:val="14"/>
          <w:i w:val="1"/>
          <w:iCs w:val="1"/>
          <w:u w:val="single" w:color="auto"/>
          <w:color w:val="auto"/>
        </w:rPr>
        <w:t>Power to Bind the Company</w:t>
      </w:r>
      <w:r>
        <w:rPr>
          <w:rFonts w:ascii="Arial" w:cs="Arial" w:eastAsia="Arial" w:hAnsi="Arial"/>
          <w:sz w:val="14"/>
          <w:szCs w:val="14"/>
          <w:color w:val="auto"/>
        </w:rPr>
        <w:t>. Except as required by the Act or the Banking Law, the Member (acting in its capacity as such) shall have no authority to bind the Company to any third party with respect to any matter.</w:t>
      </w:r>
    </w:p>
    <w:p>
      <w:pPr>
        <w:spacing w:after="0" w:line="13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 xml:space="preserve">e. </w:t>
      </w:r>
      <w:r>
        <w:rPr>
          <w:rFonts w:ascii="Arial" w:cs="Arial" w:eastAsia="Arial" w:hAnsi="Arial"/>
          <w:sz w:val="14"/>
          <w:szCs w:val="14"/>
          <w:i w:val="1"/>
          <w:iCs w:val="1"/>
          <w:u w:val="single" w:color="auto"/>
          <w:color w:val="auto"/>
        </w:rPr>
        <w:t>Admission of Members</w:t>
      </w:r>
      <w:r>
        <w:rPr>
          <w:rFonts w:ascii="Arial" w:cs="Arial" w:eastAsia="Arial" w:hAnsi="Arial"/>
          <w:sz w:val="14"/>
          <w:szCs w:val="14"/>
          <w:i w:val="1"/>
          <w:iCs w:val="1"/>
          <w:color w:val="auto"/>
        </w:rPr>
        <w:t>.</w:t>
      </w:r>
      <w:r>
        <w:rPr>
          <w:rFonts w:ascii="Arial" w:cs="Arial" w:eastAsia="Arial" w:hAnsi="Arial"/>
          <w:sz w:val="14"/>
          <w:szCs w:val="14"/>
          <w:color w:val="auto"/>
        </w:rPr>
        <w:t xml:space="preserve"> New members shall be admitted only upon the prior written approval of the Member.</w:t>
      </w:r>
    </w:p>
    <w:p>
      <w:pPr>
        <w:spacing w:after="0" w:line="171" w:lineRule="exact"/>
        <w:rPr>
          <w:sz w:val="20"/>
          <w:szCs w:val="20"/>
          <w:color w:val="auto"/>
        </w:rPr>
      </w:pPr>
    </w:p>
    <w:p>
      <w:pPr>
        <w:ind w:right="360" w:firstLine="1015"/>
        <w:spacing w:after="0" w:line="254" w:lineRule="auto"/>
        <w:rPr>
          <w:sz w:val="20"/>
          <w:szCs w:val="20"/>
          <w:color w:val="auto"/>
        </w:rPr>
      </w:pPr>
      <w:r>
        <w:rPr>
          <w:rFonts w:ascii="Arial" w:cs="Arial" w:eastAsia="Arial" w:hAnsi="Arial"/>
          <w:sz w:val="14"/>
          <w:szCs w:val="14"/>
          <w:color w:val="auto"/>
        </w:rPr>
        <w:t xml:space="preserve">f. </w:t>
      </w:r>
      <w:r>
        <w:rPr>
          <w:rFonts w:ascii="Arial" w:cs="Arial" w:eastAsia="Arial" w:hAnsi="Arial"/>
          <w:sz w:val="14"/>
          <w:szCs w:val="14"/>
          <w:i w:val="1"/>
          <w:iCs w:val="1"/>
          <w:u w:val="single" w:color="auto"/>
          <w:color w:val="auto"/>
        </w:rPr>
        <w:t>Engagement of Third Parties</w:t>
      </w:r>
      <w:r>
        <w:rPr>
          <w:rFonts w:ascii="Arial" w:cs="Arial" w:eastAsia="Arial" w:hAnsi="Arial"/>
          <w:sz w:val="14"/>
          <w:szCs w:val="14"/>
          <w:color w:val="auto"/>
        </w:rPr>
        <w:t>. The Company, may, from time to time, employ any Person or engage third parties to render services to the Company on such terms and for such compensation as the Member may reasonably determine, including, attorneys, investment consultants, brokers or finders, independent auditors and printers. Such employees and third parties may be affiliates of any Member. Persons retained, engaged or employed by the Company may also be engaged, retained or employed by and act on behalf of one or more Member or any of their respective affiliates.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80"/>
          </w:cols>
          <w:pgMar w:left="300" w:top="243" w:right="31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ARTICLE 3</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The Board</w:t>
      </w:r>
    </w:p>
    <w:p>
      <w:pPr>
        <w:spacing w:after="0" w:line="16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 xml:space="preserve">a. </w:t>
      </w:r>
      <w:r>
        <w:rPr>
          <w:rFonts w:ascii="Arial" w:cs="Arial" w:eastAsia="Arial" w:hAnsi="Arial"/>
          <w:sz w:val="14"/>
          <w:szCs w:val="14"/>
          <w:i w:val="1"/>
          <w:iCs w:val="1"/>
          <w:u w:val="single" w:color="auto"/>
          <w:color w:val="auto"/>
        </w:rPr>
        <w:t>Management By Board of Managers</w:t>
      </w:r>
      <w:r>
        <w:rPr>
          <w:rFonts w:ascii="Arial" w:cs="Arial" w:eastAsia="Arial" w:hAnsi="Arial"/>
          <w:sz w:val="14"/>
          <w:szCs w:val="14"/>
          <w:color w:val="auto"/>
        </w:rPr>
        <w:t>.</w:t>
      </w:r>
    </w:p>
    <w:p>
      <w:pPr>
        <w:spacing w:after="0" w:line="171" w:lineRule="exact"/>
        <w:rPr>
          <w:sz w:val="20"/>
          <w:szCs w:val="20"/>
          <w:color w:val="auto"/>
        </w:rPr>
      </w:pPr>
    </w:p>
    <w:p>
      <w:pPr>
        <w:ind w:firstLine="1018"/>
        <w:spacing w:after="0" w:line="293" w:lineRule="auto"/>
        <w:tabs>
          <w:tab w:leader="none" w:pos="1180" w:val="left"/>
        </w:tabs>
        <w:numPr>
          <w:ilvl w:val="1"/>
          <w:numId w:val="66"/>
        </w:numPr>
        <w:rPr>
          <w:rFonts w:ascii="Arial" w:cs="Arial" w:eastAsia="Arial" w:hAnsi="Arial"/>
          <w:sz w:val="12"/>
          <w:szCs w:val="12"/>
          <w:color w:val="auto"/>
        </w:rPr>
      </w:pPr>
      <w:r>
        <w:rPr>
          <w:rFonts w:ascii="Arial" w:cs="Arial" w:eastAsia="Arial" w:hAnsi="Arial"/>
          <w:sz w:val="12"/>
          <w:szCs w:val="12"/>
          <w:color w:val="auto"/>
        </w:rPr>
        <w:t>Subject to such matters which are expressly reserved hereunder, under the Act, under the Banking Law to the Member for decision, the business and affairs of the Company shall be managed by a board of managers (the “</w:t>
      </w:r>
      <w:r>
        <w:rPr>
          <w:rFonts w:ascii="Arial" w:cs="Arial" w:eastAsia="Arial" w:hAnsi="Arial"/>
          <w:sz w:val="12"/>
          <w:szCs w:val="12"/>
          <w:u w:val="single" w:color="auto"/>
          <w:color w:val="auto"/>
        </w:rPr>
        <w:t>Board</w:t>
      </w:r>
      <w:r>
        <w:rPr>
          <w:rFonts w:ascii="Arial" w:cs="Arial" w:eastAsia="Arial" w:hAnsi="Arial"/>
          <w:sz w:val="12"/>
          <w:szCs w:val="12"/>
          <w:color w:val="auto"/>
        </w:rPr>
        <w:t>”), which shall be responsible for policy setting, approving the overall direction of the Company and making all decisions affecting the business and affairs of the Company. In accordance with Section 7002 of the Banking Law, the Board shall consist of seven (7) to fifteen (15) individuals (the “</w:t>
      </w:r>
      <w:r>
        <w:rPr>
          <w:rFonts w:ascii="Arial" w:cs="Arial" w:eastAsia="Arial" w:hAnsi="Arial"/>
          <w:sz w:val="12"/>
          <w:szCs w:val="12"/>
          <w:u w:val="single" w:color="auto"/>
          <w:color w:val="auto"/>
        </w:rPr>
        <w:t>Managers</w:t>
      </w:r>
      <w:r>
        <w:rPr>
          <w:rFonts w:ascii="Arial" w:cs="Arial" w:eastAsia="Arial" w:hAnsi="Arial"/>
          <w:sz w:val="12"/>
          <w:szCs w:val="12"/>
          <w:color w:val="auto"/>
        </w:rPr>
        <w:t>”); provided, that there shall be no fewer than three</w:t>
      </w:r>
    </w:p>
    <w:p>
      <w:pPr>
        <w:spacing w:after="0" w:line="1" w:lineRule="exact"/>
        <w:rPr>
          <w:rFonts w:ascii="Arial" w:cs="Arial" w:eastAsia="Arial" w:hAnsi="Arial"/>
          <w:sz w:val="12"/>
          <w:szCs w:val="12"/>
          <w:color w:val="auto"/>
        </w:rPr>
      </w:pPr>
    </w:p>
    <w:p>
      <w:pPr>
        <w:ind w:left="200" w:hanging="197"/>
        <w:spacing w:after="0"/>
        <w:tabs>
          <w:tab w:leader="none" w:pos="2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independent Managers at all times. Such Managers shall be determined from time to time by resolution of the Member.</w:t>
      </w:r>
    </w:p>
    <w:p>
      <w:pPr>
        <w:spacing w:after="0" w:line="161" w:lineRule="exact"/>
        <w:rPr>
          <w:rFonts w:ascii="Arial" w:cs="Arial" w:eastAsia="Arial" w:hAnsi="Arial"/>
          <w:sz w:val="14"/>
          <w:szCs w:val="14"/>
          <w:color w:val="auto"/>
        </w:rPr>
      </w:pPr>
    </w:p>
    <w:p>
      <w:pPr>
        <w:ind w:right="20" w:firstLine="1018"/>
        <w:spacing w:after="0" w:line="257" w:lineRule="auto"/>
        <w:tabs>
          <w:tab w:leader="none" w:pos="1219" w:val="left"/>
        </w:tabs>
        <w:numPr>
          <w:ilvl w:val="1"/>
          <w:numId w:val="67"/>
        </w:numPr>
        <w:rPr>
          <w:rFonts w:ascii="Arial" w:cs="Arial" w:eastAsia="Arial" w:hAnsi="Arial"/>
          <w:sz w:val="14"/>
          <w:szCs w:val="14"/>
          <w:color w:val="auto"/>
        </w:rPr>
      </w:pPr>
      <w:r>
        <w:rPr>
          <w:rFonts w:ascii="Arial" w:cs="Arial" w:eastAsia="Arial" w:hAnsi="Arial"/>
          <w:sz w:val="14"/>
          <w:szCs w:val="14"/>
          <w:color w:val="auto"/>
        </w:rPr>
        <w:t>Each Manager shall be elected by the Member and shall serve until his or her successor has been duly elected and qualified, or until his or her earlier removal, resignation, death or disability. The Member may remove any Manager from the Board or from any other capacity with the Company at any time, with or without cause. A Manager may resign at any time upon written notice to the Member.</w:t>
      </w:r>
    </w:p>
    <w:p>
      <w:pPr>
        <w:spacing w:after="0" w:line="146" w:lineRule="exact"/>
        <w:rPr>
          <w:rFonts w:ascii="Arial" w:cs="Arial" w:eastAsia="Arial" w:hAnsi="Arial"/>
          <w:sz w:val="14"/>
          <w:szCs w:val="14"/>
          <w:color w:val="auto"/>
        </w:rPr>
      </w:pPr>
    </w:p>
    <w:p>
      <w:pPr>
        <w:ind w:right="40" w:firstLine="1018"/>
        <w:spacing w:after="0" w:line="307" w:lineRule="auto"/>
        <w:tabs>
          <w:tab w:leader="none" w:pos="1257" w:val="left"/>
        </w:tabs>
        <w:numPr>
          <w:ilvl w:val="1"/>
          <w:numId w:val="67"/>
        </w:numPr>
        <w:rPr>
          <w:rFonts w:ascii="Arial" w:cs="Arial" w:eastAsia="Arial" w:hAnsi="Arial"/>
          <w:sz w:val="13"/>
          <w:szCs w:val="13"/>
          <w:color w:val="auto"/>
        </w:rPr>
      </w:pPr>
      <w:r>
        <w:rPr>
          <w:rFonts w:ascii="Arial" w:cs="Arial" w:eastAsia="Arial" w:hAnsi="Arial"/>
          <w:sz w:val="13"/>
          <w:szCs w:val="13"/>
          <w:color w:val="auto"/>
        </w:rPr>
        <w:t>Any vacancy occurring on the Board as a result of the resignation, removal, death or disability of a Manager or an increase in the size of the Board shall be filled by the Member. A Manager chosen to fill a vacancy resulting from the resignation, removal, death or disability of a Manager shall serve the unexpired term of his or her predecessor in office.</w:t>
      </w:r>
    </w:p>
    <w:p>
      <w:pPr>
        <w:spacing w:after="0" w:line="11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 xml:space="preserve">b. </w:t>
      </w:r>
      <w:r>
        <w:rPr>
          <w:rFonts w:ascii="Arial" w:cs="Arial" w:eastAsia="Arial" w:hAnsi="Arial"/>
          <w:sz w:val="14"/>
          <w:szCs w:val="14"/>
          <w:i w:val="1"/>
          <w:iCs w:val="1"/>
          <w:u w:val="single" w:color="auto"/>
          <w:color w:val="auto"/>
        </w:rPr>
        <w:t>Action By the Board</w:t>
      </w:r>
      <w:r>
        <w:rPr>
          <w:rFonts w:ascii="Arial" w:cs="Arial" w:eastAsia="Arial" w:hAnsi="Arial"/>
          <w:sz w:val="14"/>
          <w:szCs w:val="14"/>
          <w:color w:val="auto"/>
        </w:rPr>
        <w:t>.</w:t>
      </w:r>
    </w:p>
    <w:p>
      <w:pPr>
        <w:spacing w:after="0" w:line="171" w:lineRule="exact"/>
        <w:rPr>
          <w:sz w:val="20"/>
          <w:szCs w:val="20"/>
          <w:color w:val="auto"/>
        </w:rPr>
      </w:pPr>
    </w:p>
    <w:p>
      <w:pPr>
        <w:ind w:left="1180" w:hanging="162"/>
        <w:spacing w:after="0"/>
        <w:tabs>
          <w:tab w:leader="none" w:pos="1180" w:val="left"/>
        </w:tabs>
        <w:numPr>
          <w:ilvl w:val="1"/>
          <w:numId w:val="68"/>
        </w:numPr>
        <w:rPr>
          <w:rFonts w:ascii="Arial" w:cs="Arial" w:eastAsia="Arial" w:hAnsi="Arial"/>
          <w:sz w:val="13"/>
          <w:szCs w:val="13"/>
          <w:color w:val="auto"/>
        </w:rPr>
      </w:pPr>
      <w:r>
        <w:rPr>
          <w:rFonts w:ascii="Arial" w:cs="Arial" w:eastAsia="Arial" w:hAnsi="Arial"/>
          <w:sz w:val="13"/>
          <w:szCs w:val="13"/>
          <w:color w:val="auto"/>
        </w:rPr>
        <w:t>In accordance with Section 7010 of the Banking Law, a regular meeting of the Board shall be held at least ten (10) times a year; provided, however, that during any three</w:t>
      </w:r>
    </w:p>
    <w:p>
      <w:pPr>
        <w:spacing w:after="0" w:line="25" w:lineRule="exact"/>
        <w:rPr>
          <w:rFonts w:ascii="Arial" w:cs="Arial" w:eastAsia="Arial" w:hAnsi="Arial"/>
          <w:sz w:val="13"/>
          <w:szCs w:val="13"/>
          <w:color w:val="auto"/>
        </w:rPr>
      </w:pPr>
    </w:p>
    <w:p>
      <w:pPr>
        <w:ind w:right="320" w:firstLine="3"/>
        <w:spacing w:after="0" w:line="337" w:lineRule="auto"/>
        <w:tabs>
          <w:tab w:leader="none" w:pos="196" w:val="left"/>
        </w:tabs>
        <w:numPr>
          <w:ilvl w:val="0"/>
          <w:numId w:val="69"/>
        </w:numPr>
        <w:rPr>
          <w:rFonts w:ascii="Arial" w:cs="Arial" w:eastAsia="Arial" w:hAnsi="Arial"/>
          <w:sz w:val="12"/>
          <w:szCs w:val="12"/>
          <w:color w:val="auto"/>
        </w:rPr>
      </w:pPr>
      <w:r>
        <w:rPr>
          <w:rFonts w:ascii="Arial" w:cs="Arial" w:eastAsia="Arial" w:hAnsi="Arial"/>
          <w:sz w:val="12"/>
          <w:szCs w:val="12"/>
          <w:color w:val="auto"/>
        </w:rPr>
        <w:t>consecutive months, the Board shall meet at least twice. Each Manager may call a meeting of the Board upon two (2) days prior written notice to each Manager. The presence of a majority of the Managers then in office shall constitute a quorum at any meeting of the Board. All actions of the Board shall require the affirmative vote of a majority of the Managers then in office.</w:t>
      </w:r>
    </w:p>
    <w:p>
      <w:pPr>
        <w:spacing w:after="0" w:line="100" w:lineRule="exact"/>
        <w:rPr>
          <w:rFonts w:ascii="Arial" w:cs="Arial" w:eastAsia="Arial" w:hAnsi="Arial"/>
          <w:sz w:val="12"/>
          <w:szCs w:val="12"/>
          <w:color w:val="auto"/>
        </w:rPr>
      </w:pPr>
    </w:p>
    <w:p>
      <w:pPr>
        <w:ind w:firstLine="1018"/>
        <w:spacing w:after="0" w:line="353" w:lineRule="auto"/>
        <w:tabs>
          <w:tab w:leader="none" w:pos="1219" w:val="left"/>
        </w:tabs>
        <w:numPr>
          <w:ilvl w:val="1"/>
          <w:numId w:val="69"/>
        </w:numPr>
        <w:rPr>
          <w:rFonts w:ascii="Arial" w:cs="Arial" w:eastAsia="Arial" w:hAnsi="Arial"/>
          <w:sz w:val="12"/>
          <w:szCs w:val="12"/>
          <w:color w:val="auto"/>
        </w:rPr>
      </w:pPr>
      <w:r>
        <w:rPr>
          <w:rFonts w:ascii="Arial" w:cs="Arial" w:eastAsia="Arial" w:hAnsi="Arial"/>
          <w:sz w:val="12"/>
          <w:szCs w:val="12"/>
          <w:color w:val="auto"/>
        </w:rPr>
        <w:t>Meetings of the Board may be conducted in person or by conference telephone facilities. Any action required or permitted to be taken at any meeting of the Board may be taken without a meeting if such number of Managers sufficient to approve such action pursuant to the terms of this Agreement consent thereto in writing. Notice of any meeting may be waived by any Manager.</w:t>
      </w:r>
    </w:p>
    <w:p>
      <w:pPr>
        <w:spacing w:after="0" w:line="92" w:lineRule="exact"/>
        <w:rPr>
          <w:sz w:val="20"/>
          <w:szCs w:val="20"/>
          <w:color w:val="auto"/>
        </w:rPr>
      </w:pPr>
    </w:p>
    <w:p>
      <w:pPr>
        <w:ind w:right="240" w:firstLine="1015"/>
        <w:spacing w:after="0" w:line="268" w:lineRule="auto"/>
        <w:rPr>
          <w:sz w:val="20"/>
          <w:szCs w:val="20"/>
          <w:color w:val="auto"/>
        </w:rPr>
      </w:pPr>
      <w:r>
        <w:rPr>
          <w:rFonts w:ascii="Arial" w:cs="Arial" w:eastAsia="Arial" w:hAnsi="Arial"/>
          <w:sz w:val="14"/>
          <w:szCs w:val="14"/>
          <w:color w:val="auto"/>
        </w:rPr>
        <w:t xml:space="preserve">c. </w:t>
      </w:r>
      <w:r>
        <w:rPr>
          <w:rFonts w:ascii="Arial" w:cs="Arial" w:eastAsia="Arial" w:hAnsi="Arial"/>
          <w:sz w:val="14"/>
          <w:szCs w:val="14"/>
          <w:i w:val="1"/>
          <w:iCs w:val="1"/>
          <w:u w:val="single" w:color="auto"/>
          <w:color w:val="auto"/>
        </w:rPr>
        <w:t>Power to Bind Company</w:t>
      </w:r>
      <w:r>
        <w:rPr>
          <w:rFonts w:ascii="Arial" w:cs="Arial" w:eastAsia="Arial" w:hAnsi="Arial"/>
          <w:sz w:val="14"/>
          <w:szCs w:val="14"/>
          <w:color w:val="auto"/>
        </w:rPr>
        <w:t>. None of the Managers (acting in their capacity as such) shall have authority to bind the Company to any third party with respect to any matter unless the Board shall have approved such matter and authorized such Manager(s) to bind the Company with respect thereto.</w:t>
      </w:r>
    </w:p>
    <w:p>
      <w:pPr>
        <w:spacing w:after="0" w:line="13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 xml:space="preserve">d. </w:t>
      </w:r>
      <w:r>
        <w:rPr>
          <w:rFonts w:ascii="Arial" w:cs="Arial" w:eastAsia="Arial" w:hAnsi="Arial"/>
          <w:sz w:val="14"/>
          <w:szCs w:val="14"/>
          <w:i w:val="1"/>
          <w:iCs w:val="1"/>
          <w:u w:val="single" w:color="auto"/>
          <w:color w:val="auto"/>
        </w:rPr>
        <w:t>Officers and Related Persons</w:t>
      </w:r>
      <w:r>
        <w:rPr>
          <w:rFonts w:ascii="Arial" w:cs="Arial" w:eastAsia="Arial" w:hAnsi="Arial"/>
          <w:sz w:val="14"/>
          <w:szCs w:val="14"/>
          <w:color w:val="auto"/>
        </w:rPr>
        <w:t>.</w:t>
      </w:r>
    </w:p>
    <w:p>
      <w:pPr>
        <w:spacing w:after="0" w:line="171" w:lineRule="exact"/>
        <w:rPr>
          <w:sz w:val="20"/>
          <w:szCs w:val="20"/>
          <w:color w:val="auto"/>
        </w:rPr>
      </w:pPr>
    </w:p>
    <w:p>
      <w:pPr>
        <w:ind w:right="40" w:firstLine="1018"/>
        <w:spacing w:after="0" w:line="257" w:lineRule="auto"/>
        <w:tabs>
          <w:tab w:leader="none" w:pos="11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Board shall have the authority to appoint and terminate officers of the Company and retain and terminate employees, agents and consultants of the Company. The Board, to the extent permitted by applicable law and as provided in any resolution of the Board, may, from time to time in its sole and absolute discretion and without limitation, delegate such duties or any or all of its authority,</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00" w:top="239" w:right="359" w:bottom="1440" w:gutter="0" w:footer="0" w:header="0"/>
        </w:sectPr>
      </w:pPr>
    </w:p>
    <w:bookmarkStart w:id="98" w:name="page99"/>
    <w:bookmarkEnd w:id="98"/>
    <w:p>
      <w:pPr>
        <w:jc w:val="both"/>
        <w:ind w:right="60"/>
        <w:spacing w:after="0" w:line="26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rights and/or obligations, to any one or more officers, employees, agents, consultants or other duly authorized representatives of the Company as the Board deems appropriate, including the power, acting individually or jointly, to represent and bind the Company in all matters in accordance with the scope of their respective duties.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4</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Capital Structure and Contributions</w:t>
      </w:r>
    </w:p>
    <w:p>
      <w:pPr>
        <w:spacing w:after="0" w:line="162" w:lineRule="exact"/>
        <w:rPr>
          <w:sz w:val="20"/>
          <w:szCs w:val="20"/>
          <w:color w:val="auto"/>
        </w:rPr>
      </w:pPr>
    </w:p>
    <w:p>
      <w:pPr>
        <w:jc w:val="both"/>
        <w:ind w:right="40" w:firstLine="1015"/>
        <w:spacing w:after="0" w:line="257" w:lineRule="auto"/>
        <w:rPr>
          <w:sz w:val="20"/>
          <w:szCs w:val="20"/>
          <w:color w:val="auto"/>
        </w:rPr>
      </w:pPr>
      <w:r>
        <w:rPr>
          <w:rFonts w:ascii="Arial" w:cs="Arial" w:eastAsia="Arial" w:hAnsi="Arial"/>
          <w:sz w:val="14"/>
          <w:szCs w:val="14"/>
          <w:color w:val="auto"/>
        </w:rPr>
        <w:t xml:space="preserve">a. </w:t>
      </w:r>
      <w:r>
        <w:rPr>
          <w:rFonts w:ascii="Arial" w:cs="Arial" w:eastAsia="Arial" w:hAnsi="Arial"/>
          <w:sz w:val="14"/>
          <w:szCs w:val="14"/>
          <w:i w:val="1"/>
          <w:iCs w:val="1"/>
          <w:u w:val="single" w:color="auto"/>
          <w:color w:val="auto"/>
        </w:rPr>
        <w:t>Capital Structure</w:t>
      </w:r>
      <w:r>
        <w:rPr>
          <w:rFonts w:ascii="Arial" w:cs="Arial" w:eastAsia="Arial" w:hAnsi="Arial"/>
          <w:sz w:val="14"/>
          <w:szCs w:val="14"/>
          <w:color w:val="auto"/>
        </w:rPr>
        <w:t>. The capital structure of the Company shall consist of one class of common interests, par value $1.00 (the “</w:t>
      </w:r>
      <w:r>
        <w:rPr>
          <w:rFonts w:ascii="Arial" w:cs="Arial" w:eastAsia="Arial" w:hAnsi="Arial"/>
          <w:sz w:val="14"/>
          <w:szCs w:val="14"/>
          <w:u w:val="single" w:color="auto"/>
          <w:color w:val="auto"/>
        </w:rPr>
        <w:t>Common Interests</w:t>
      </w:r>
      <w:r>
        <w:rPr>
          <w:rFonts w:ascii="Arial" w:cs="Arial" w:eastAsia="Arial" w:hAnsi="Arial"/>
          <w:sz w:val="14"/>
          <w:szCs w:val="14"/>
          <w:color w:val="auto"/>
        </w:rPr>
        <w:t>”). Each Common Interest shall entitle its holder to one vote per Common Interest on each matter on which the Member shall be entitled to vote. All Common Interests shall be identical with each other in every respect. The Company shall be authorized to issue 5,000,000 Common Interests. The Member shall own all of the Common Interests issued and outstanding.</w:t>
      </w:r>
    </w:p>
    <w:p>
      <w:pPr>
        <w:spacing w:after="0" w:line="146" w:lineRule="exact"/>
        <w:rPr>
          <w:sz w:val="20"/>
          <w:szCs w:val="20"/>
          <w:color w:val="auto"/>
        </w:rPr>
      </w:pPr>
    </w:p>
    <w:p>
      <w:pPr>
        <w:ind w:right="300" w:firstLine="1015"/>
        <w:spacing w:after="0" w:line="353" w:lineRule="auto"/>
        <w:rPr>
          <w:sz w:val="20"/>
          <w:szCs w:val="20"/>
          <w:color w:val="auto"/>
        </w:rPr>
      </w:pPr>
      <w:r>
        <w:rPr>
          <w:rFonts w:ascii="Arial" w:cs="Arial" w:eastAsia="Arial" w:hAnsi="Arial"/>
          <w:sz w:val="12"/>
          <w:szCs w:val="12"/>
          <w:color w:val="auto"/>
        </w:rPr>
        <w:t xml:space="preserve">b. </w:t>
      </w:r>
      <w:r>
        <w:rPr>
          <w:rFonts w:ascii="Arial" w:cs="Arial" w:eastAsia="Arial" w:hAnsi="Arial"/>
          <w:sz w:val="12"/>
          <w:szCs w:val="12"/>
          <w:i w:val="1"/>
          <w:iCs w:val="1"/>
          <w:u w:val="single" w:color="auto"/>
          <w:color w:val="auto"/>
        </w:rPr>
        <w:t>Capital Contributions</w:t>
      </w:r>
      <w:r>
        <w:rPr>
          <w:rFonts w:ascii="Arial" w:cs="Arial" w:eastAsia="Arial" w:hAnsi="Arial"/>
          <w:sz w:val="12"/>
          <w:szCs w:val="12"/>
          <w:color w:val="auto"/>
        </w:rPr>
        <w:t>. From time to time, the Board may determine that the Company requires capital and may request the Member to make capital contribution(s) in an amount determined by the Board. A capital account shall be maintained for the Member, to which contributions and profits shall be credited and against which distributions and losses shall be charged.</w:t>
      </w:r>
    </w:p>
    <w:p>
      <w:pPr>
        <w:spacing w:after="0" w:line="92" w:lineRule="exact"/>
        <w:rPr>
          <w:sz w:val="20"/>
          <w:szCs w:val="20"/>
          <w:color w:val="auto"/>
        </w:rPr>
      </w:pPr>
    </w:p>
    <w:p>
      <w:pPr>
        <w:ind w:right="160" w:firstLine="1015"/>
        <w:spacing w:after="0" w:line="353" w:lineRule="auto"/>
        <w:rPr>
          <w:sz w:val="20"/>
          <w:szCs w:val="20"/>
          <w:color w:val="auto"/>
        </w:rPr>
      </w:pPr>
      <w:r>
        <w:rPr>
          <w:rFonts w:ascii="Arial" w:cs="Arial" w:eastAsia="Arial" w:hAnsi="Arial"/>
          <w:sz w:val="12"/>
          <w:szCs w:val="12"/>
          <w:color w:val="auto"/>
        </w:rPr>
        <w:t xml:space="preserve">c. </w:t>
      </w:r>
      <w:r>
        <w:rPr>
          <w:rFonts w:ascii="Arial" w:cs="Arial" w:eastAsia="Arial" w:hAnsi="Arial"/>
          <w:sz w:val="12"/>
          <w:szCs w:val="12"/>
          <w:i w:val="1"/>
          <w:iCs w:val="1"/>
          <w:u w:val="single" w:color="auto"/>
          <w:color w:val="auto"/>
        </w:rPr>
        <w:t>Right to Issue Certificates</w:t>
      </w:r>
      <w:r>
        <w:rPr>
          <w:rFonts w:ascii="Arial" w:cs="Arial" w:eastAsia="Arial" w:hAnsi="Arial"/>
          <w:sz w:val="12"/>
          <w:szCs w:val="12"/>
          <w:color w:val="auto"/>
        </w:rPr>
        <w:t>. The ownership of a Common Interest by a Member shall be evidenced by a certificate (a “</w:t>
      </w:r>
      <w:r>
        <w:rPr>
          <w:rFonts w:ascii="Arial" w:cs="Arial" w:eastAsia="Arial" w:hAnsi="Arial"/>
          <w:sz w:val="12"/>
          <w:szCs w:val="12"/>
          <w:u w:val="single" w:color="auto"/>
          <w:color w:val="auto"/>
        </w:rPr>
        <w:t>Certificate</w:t>
      </w:r>
      <w:r>
        <w:rPr>
          <w:rFonts w:ascii="Arial" w:cs="Arial" w:eastAsia="Arial" w:hAnsi="Arial"/>
          <w:sz w:val="12"/>
          <w:szCs w:val="12"/>
          <w:color w:val="auto"/>
        </w:rPr>
        <w:t>”) issued by the Company. All Common Interests in the Company shall be securities governed by Article 8 of the Uniform Commercial Code as in effect from time to time in any jurisdiction, including without limitation the State of New York.</w:t>
      </w:r>
    </w:p>
    <w:p>
      <w:pPr>
        <w:spacing w:after="0" w:line="92" w:lineRule="exact"/>
        <w:rPr>
          <w:sz w:val="20"/>
          <w:szCs w:val="20"/>
          <w:color w:val="auto"/>
        </w:rPr>
      </w:pPr>
    </w:p>
    <w:p>
      <w:pPr>
        <w:ind w:firstLine="1015"/>
        <w:spacing w:after="0" w:line="257" w:lineRule="auto"/>
        <w:rPr>
          <w:sz w:val="20"/>
          <w:szCs w:val="20"/>
          <w:color w:val="auto"/>
        </w:rPr>
      </w:pPr>
      <w:r>
        <w:rPr>
          <w:rFonts w:ascii="Arial" w:cs="Arial" w:eastAsia="Arial" w:hAnsi="Arial"/>
          <w:sz w:val="14"/>
          <w:szCs w:val="14"/>
          <w:color w:val="auto"/>
        </w:rPr>
        <w:t xml:space="preserve">d. </w:t>
      </w:r>
      <w:r>
        <w:rPr>
          <w:rFonts w:ascii="Arial" w:cs="Arial" w:eastAsia="Arial" w:hAnsi="Arial"/>
          <w:sz w:val="14"/>
          <w:szCs w:val="14"/>
          <w:i w:val="1"/>
          <w:iCs w:val="1"/>
          <w:u w:val="single" w:color="auto"/>
          <w:color w:val="auto"/>
        </w:rPr>
        <w:t>Form of Certificates</w:t>
      </w:r>
      <w:r>
        <w:rPr>
          <w:rFonts w:ascii="Arial" w:cs="Arial" w:eastAsia="Arial" w:hAnsi="Arial"/>
          <w:sz w:val="14"/>
          <w:szCs w:val="14"/>
          <w:color w:val="auto"/>
        </w:rPr>
        <w:t>. Certificates attesting to the ownership of Common Interests in the Company shall be in substantially the form set forth in Exhibit A hereto and shall state that the Company is a limited liability trust company formed under the laws of the State of New York, the name of the Member to whom such Certificate is issued and that the Certificate represents limited liability trust company interests within the meaning of the Act and the Banking Law. Each Certificate shall bear the following legend:</w:t>
      </w:r>
    </w:p>
    <w:p>
      <w:pPr>
        <w:spacing w:after="0" w:line="64" w:lineRule="exact"/>
        <w:rPr>
          <w:sz w:val="20"/>
          <w:szCs w:val="20"/>
          <w:color w:val="auto"/>
        </w:rPr>
      </w:pPr>
    </w:p>
    <w:p>
      <w:pPr>
        <w:ind w:left="1020" w:right="40"/>
        <w:spacing w:after="0" w:line="251" w:lineRule="auto"/>
        <w:rPr>
          <w:sz w:val="20"/>
          <w:szCs w:val="20"/>
          <w:color w:val="auto"/>
        </w:rPr>
      </w:pPr>
      <w:r>
        <w:rPr>
          <w:rFonts w:ascii="Arial" w:cs="Arial" w:eastAsia="Arial" w:hAnsi="Arial"/>
          <w:sz w:val="14"/>
          <w:szCs w:val="14"/>
          <w:color w:val="auto"/>
        </w:rPr>
        <w:t>“THIS CERTIFICATE EVIDENCES COMMON INTERESTS IN THE AMERICAN STOCK TRANSFER &amp; TRUST COMPANY, LLC (THE “COMPANY”) AND SHALL BE A SECURITY FOR PURPOSES OF ARTICLE 8 OF THE UNIFORM COMMERCIAL CODE. THE COMMON INTERESTS REPRESENTED BY THIS CERTIFICATE ARE SUBJECT TO THE PROVISIONS OF THE FIFTH AMENDED AND RESTATED LIMITED LIABILITY TRUST COMPANY AGREEMENT OF THE COMPANY DATED AS OF DECEMBER 10, 2021 (AS MAY BE AMENDED, RESTATED, AMENDED AND RESTATED OR OTHERWISE MODIFIED FROM TIME TO TIME, THE “LLTC AGREEMENT”). A COPY OF THE LLTC AGREEMENT WILL BE FURNISHED TO THE RECORD HOLDER OF THIS CERTIFICATE WITHOUT CHARGE UPON WRITTEN REQUEST TO THE COMPANY AT ITS PRINCIPAL PLACE OF BUSINESS.”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60"/>
          </w:cols>
          <w:pgMar w:left="300" w:top="243" w:right="339" w:bottom="1440" w:gutter="0" w:footer="0" w:header="0"/>
        </w:sectPr>
      </w:pPr>
    </w:p>
    <w:bookmarkStart w:id="99" w:name="page100"/>
    <w:bookmarkEnd w:id="99"/>
    <w:p>
      <w:pPr>
        <w:ind w:right="20" w:firstLine="1015"/>
        <w:spacing w:after="0" w:line="26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 xml:space="preserve">e. </w:t>
      </w:r>
      <w:r>
        <w:rPr>
          <w:rFonts w:ascii="Arial" w:cs="Arial" w:eastAsia="Arial" w:hAnsi="Arial"/>
          <w:sz w:val="14"/>
          <w:szCs w:val="14"/>
          <w:i w:val="1"/>
          <w:iCs w:val="1"/>
          <w:u w:val="single" w:color="auto"/>
          <w:color w:val="auto"/>
        </w:rPr>
        <w:t>Execution</w:t>
      </w:r>
      <w:r>
        <w:rPr>
          <w:rFonts w:ascii="Arial" w:cs="Arial" w:eastAsia="Arial" w:hAnsi="Arial"/>
          <w:sz w:val="14"/>
          <w:szCs w:val="14"/>
          <w:color w:val="auto"/>
        </w:rPr>
        <w:t>. Each Certificate shall be signed by the Chief Executive Officer, the President, the Secretary, an Assistant Secretary or other authorized officer or person of the Company by either manual or facsimile signature.</w:t>
      </w:r>
    </w:p>
    <w:p>
      <w:pPr>
        <w:spacing w:after="0" w:line="138" w:lineRule="exact"/>
        <w:rPr>
          <w:sz w:val="20"/>
          <w:szCs w:val="20"/>
          <w:color w:val="auto"/>
        </w:rPr>
      </w:pPr>
    </w:p>
    <w:p>
      <w:pPr>
        <w:ind w:right="240" w:firstLine="1015"/>
        <w:spacing w:after="0" w:line="268" w:lineRule="auto"/>
        <w:rPr>
          <w:sz w:val="20"/>
          <w:szCs w:val="20"/>
          <w:color w:val="auto"/>
        </w:rPr>
      </w:pPr>
      <w:r>
        <w:rPr>
          <w:rFonts w:ascii="Arial" w:cs="Arial" w:eastAsia="Arial" w:hAnsi="Arial"/>
          <w:sz w:val="14"/>
          <w:szCs w:val="14"/>
          <w:color w:val="auto"/>
        </w:rPr>
        <w:t xml:space="preserve">f. </w:t>
      </w:r>
      <w:r>
        <w:rPr>
          <w:rFonts w:ascii="Arial" w:cs="Arial" w:eastAsia="Arial" w:hAnsi="Arial"/>
          <w:sz w:val="14"/>
          <w:szCs w:val="14"/>
          <w:i w:val="1"/>
          <w:iCs w:val="1"/>
          <w:u w:val="single" w:color="auto"/>
          <w:color w:val="auto"/>
        </w:rPr>
        <w:t>Registrar</w:t>
      </w:r>
      <w:r>
        <w:rPr>
          <w:rFonts w:ascii="Arial" w:cs="Arial" w:eastAsia="Arial" w:hAnsi="Arial"/>
          <w:sz w:val="14"/>
          <w:szCs w:val="14"/>
          <w:color w:val="auto"/>
        </w:rPr>
        <w:t>. The Company shall maintain an office where Certificates may be presented for registration of transfer or for exchange. Unless otherwise designated, the Secretary of the Company shall act as registrar and shall keep a register of the Certificates and of their transfer and exchange.</w:t>
      </w:r>
    </w:p>
    <w:p>
      <w:pPr>
        <w:spacing w:after="0" w:line="13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 xml:space="preserve">g. </w:t>
      </w:r>
      <w:r>
        <w:rPr>
          <w:rFonts w:ascii="Arial" w:cs="Arial" w:eastAsia="Arial" w:hAnsi="Arial"/>
          <w:sz w:val="14"/>
          <w:szCs w:val="14"/>
          <w:i w:val="1"/>
          <w:iCs w:val="1"/>
          <w:u w:val="single" w:color="auto"/>
          <w:color w:val="auto"/>
        </w:rPr>
        <w:t>Issuance</w:t>
      </w:r>
      <w:r>
        <w:rPr>
          <w:rFonts w:ascii="Arial" w:cs="Arial" w:eastAsia="Arial" w:hAnsi="Arial"/>
          <w:sz w:val="14"/>
          <w:szCs w:val="14"/>
          <w:color w:val="auto"/>
        </w:rPr>
        <w:t>. The Certificates of the Company shall be numbered and registered in the interest register or transfer books of the Company as they are issued.</w:t>
      </w:r>
    </w:p>
    <w:p>
      <w:pPr>
        <w:spacing w:after="0" w:line="171" w:lineRule="exact"/>
        <w:rPr>
          <w:sz w:val="20"/>
          <w:szCs w:val="20"/>
          <w:color w:val="auto"/>
        </w:rPr>
      </w:pPr>
    </w:p>
    <w:p>
      <w:pPr>
        <w:ind w:right="400" w:firstLine="1015"/>
        <w:spacing w:after="0" w:line="268" w:lineRule="auto"/>
        <w:rPr>
          <w:sz w:val="20"/>
          <w:szCs w:val="20"/>
          <w:color w:val="auto"/>
        </w:rPr>
      </w:pPr>
      <w:r>
        <w:rPr>
          <w:rFonts w:ascii="Arial" w:cs="Arial" w:eastAsia="Arial" w:hAnsi="Arial"/>
          <w:sz w:val="14"/>
          <w:szCs w:val="14"/>
          <w:color w:val="auto"/>
        </w:rPr>
        <w:t xml:space="preserve">h. </w:t>
      </w:r>
      <w:r>
        <w:rPr>
          <w:rFonts w:ascii="Arial" w:cs="Arial" w:eastAsia="Arial" w:hAnsi="Arial"/>
          <w:sz w:val="14"/>
          <w:szCs w:val="14"/>
          <w:i w:val="1"/>
          <w:iCs w:val="1"/>
          <w:u w:val="single" w:color="auto"/>
          <w:color w:val="auto"/>
        </w:rPr>
        <w:t>Common Interest Holder Lists</w:t>
      </w:r>
      <w:r>
        <w:rPr>
          <w:rFonts w:ascii="Arial" w:cs="Arial" w:eastAsia="Arial" w:hAnsi="Arial"/>
          <w:sz w:val="14"/>
          <w:szCs w:val="14"/>
          <w:color w:val="auto"/>
        </w:rPr>
        <w:t>. The Company shall preserve in as current a form as is reasonably practicable the most recent list available to it of the names and addresses of all holders of Common Interests.</w:t>
      </w:r>
    </w:p>
    <w:p>
      <w:pPr>
        <w:spacing w:after="0" w:line="138" w:lineRule="exact"/>
        <w:rPr>
          <w:sz w:val="20"/>
          <w:szCs w:val="20"/>
          <w:color w:val="auto"/>
        </w:rPr>
      </w:pPr>
    </w:p>
    <w:p>
      <w:pPr>
        <w:ind w:firstLine="1015"/>
        <w:spacing w:after="0" w:line="251" w:lineRule="auto"/>
        <w:rPr>
          <w:sz w:val="20"/>
          <w:szCs w:val="20"/>
          <w:color w:val="auto"/>
        </w:rPr>
      </w:pPr>
      <w:r>
        <w:rPr>
          <w:rFonts w:ascii="Arial" w:cs="Arial" w:eastAsia="Arial" w:hAnsi="Arial"/>
          <w:sz w:val="14"/>
          <w:szCs w:val="14"/>
          <w:color w:val="auto"/>
        </w:rPr>
        <w:t xml:space="preserve">i. </w:t>
      </w:r>
      <w:r>
        <w:rPr>
          <w:rFonts w:ascii="Arial" w:cs="Arial" w:eastAsia="Arial" w:hAnsi="Arial"/>
          <w:sz w:val="14"/>
          <w:szCs w:val="14"/>
          <w:i w:val="1"/>
          <w:iCs w:val="1"/>
          <w:u w:val="single" w:color="auto"/>
          <w:color w:val="auto"/>
        </w:rPr>
        <w:t>Transfer and Exchange</w:t>
      </w:r>
      <w:r>
        <w:rPr>
          <w:rFonts w:ascii="Arial" w:cs="Arial" w:eastAsia="Arial" w:hAnsi="Arial"/>
          <w:sz w:val="14"/>
          <w:szCs w:val="14"/>
          <w:color w:val="auto"/>
        </w:rPr>
        <w:t>. When Certificates are presented to the Company with a request to register a transfer, the Company shall register the transfer or make the exchange on the register or transfer books of the Company; provided, that any Certificates presented or surrendered for registration of transfer or exchange shall be duly endorsed or accompanied by a written instrument of transfer in form satisfactory to the Company duly executed by the holder thereof or his attorney duly authorized in writing. Notwithstanding the foregoing, the Company shall not be required to register the transfer, or exchange, any Certificate if as a result the transfer of the Common Interest at issue would cause the Company or the Member to violate the Securities Act, the Exchange Act, the Investment Company Act, or the laws, rules, regulations, orders and other directives of any government or governmental or regulatory body thereof, whether federal, state or local, or otherwise violate the terms of this Agreement.</w:t>
      </w:r>
    </w:p>
    <w:p>
      <w:pPr>
        <w:spacing w:after="0" w:line="151" w:lineRule="exact"/>
        <w:rPr>
          <w:sz w:val="20"/>
          <w:szCs w:val="20"/>
          <w:color w:val="auto"/>
        </w:rPr>
      </w:pPr>
    </w:p>
    <w:p>
      <w:pPr>
        <w:ind w:right="40" w:firstLine="1015"/>
        <w:spacing w:after="0" w:line="286" w:lineRule="auto"/>
        <w:rPr>
          <w:sz w:val="20"/>
          <w:szCs w:val="20"/>
          <w:color w:val="auto"/>
        </w:rPr>
      </w:pPr>
      <w:r>
        <w:rPr>
          <w:rFonts w:ascii="Arial" w:cs="Arial" w:eastAsia="Arial" w:hAnsi="Arial"/>
          <w:sz w:val="13"/>
          <w:szCs w:val="13"/>
          <w:color w:val="auto"/>
        </w:rPr>
        <w:t xml:space="preserve">j. </w:t>
      </w:r>
      <w:r>
        <w:rPr>
          <w:rFonts w:ascii="Arial" w:cs="Arial" w:eastAsia="Arial" w:hAnsi="Arial"/>
          <w:sz w:val="13"/>
          <w:szCs w:val="13"/>
          <w:i w:val="1"/>
          <w:iCs w:val="1"/>
          <w:u w:val="single" w:color="auto"/>
          <w:color w:val="auto"/>
        </w:rPr>
        <w:t>Record Holder</w:t>
      </w:r>
      <w:r>
        <w:rPr>
          <w:rFonts w:ascii="Arial" w:cs="Arial" w:eastAsia="Arial" w:hAnsi="Arial"/>
          <w:sz w:val="13"/>
          <w:szCs w:val="13"/>
          <w:color w:val="auto"/>
        </w:rPr>
        <w:t>. Except to the extent that the Company shall have received written notice of an assignment of Common Interests and such assignment complies with the requirements of Section 7(a) of this Agreement, the Company shall be entitled to treat the individual or entity in whose name any Certificates issued by the Company stand on the books of the Company as the absolute owner thereof, and shall not be bound to recognize any equitable or other claim to, or interest in, such Common Interests on the part of any other individual or entity.</w:t>
      </w:r>
    </w:p>
    <w:p>
      <w:pPr>
        <w:spacing w:after="0" w:line="129" w:lineRule="exact"/>
        <w:rPr>
          <w:sz w:val="20"/>
          <w:szCs w:val="20"/>
          <w:color w:val="auto"/>
        </w:rPr>
      </w:pPr>
    </w:p>
    <w:p>
      <w:pPr>
        <w:ind w:right="60" w:firstLine="1015"/>
        <w:spacing w:after="0" w:line="252" w:lineRule="auto"/>
        <w:rPr>
          <w:sz w:val="20"/>
          <w:szCs w:val="20"/>
          <w:color w:val="auto"/>
        </w:rPr>
      </w:pPr>
      <w:r>
        <w:rPr>
          <w:rFonts w:ascii="Arial" w:cs="Arial" w:eastAsia="Arial" w:hAnsi="Arial"/>
          <w:sz w:val="14"/>
          <w:szCs w:val="14"/>
          <w:color w:val="auto"/>
        </w:rPr>
        <w:t xml:space="preserve">k. </w:t>
      </w:r>
      <w:r>
        <w:rPr>
          <w:rFonts w:ascii="Arial" w:cs="Arial" w:eastAsia="Arial" w:hAnsi="Arial"/>
          <w:sz w:val="14"/>
          <w:szCs w:val="14"/>
          <w:i w:val="1"/>
          <w:iCs w:val="1"/>
          <w:u w:val="single" w:color="auto"/>
          <w:color w:val="auto"/>
        </w:rPr>
        <w:t>Replacement Certificates</w:t>
      </w:r>
      <w:r>
        <w:rPr>
          <w:rFonts w:ascii="Arial" w:cs="Arial" w:eastAsia="Arial" w:hAnsi="Arial"/>
          <w:sz w:val="14"/>
          <w:szCs w:val="14"/>
          <w:color w:val="auto"/>
        </w:rPr>
        <w:t>. If any mutilated Certificate is surrendered to the Company, or the Company receives evidence to its satisfaction of the destruction, loss or theft of any Certificate, the Company shall issue a replacement Certificate if the requirements of Section 8-405 of the Uniform Commercial Code are met. If required by the Company, an indemnity and/or the deposit of a bond in such form and in such sum, and with such surety or sureties as the Company may direct, must be supplied by the holder of such lost, destroyed or stolen Certificate that is sufficient in the judgment of the Company to protect the Company from any loss that it may suffer if a Certificate is replaced. The Company may charge for its expenses incurred in connection with replacing a Certificate.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80"/>
          </w:cols>
          <w:pgMar w:left="300" w:top="243" w:right="319" w:bottom="1440" w:gutter="0" w:footer="0" w:header="0"/>
        </w:sectPr>
      </w:pPr>
    </w:p>
    <w:bookmarkStart w:id="100" w:name="page101"/>
    <w:bookmarkEnd w:id="100"/>
    <w:p>
      <w:pPr>
        <w:jc w:val="center"/>
        <w:ind w:right="-9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ARTICLE 5</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Profits, Losses and Distributions</w:t>
      </w:r>
    </w:p>
    <w:p>
      <w:pPr>
        <w:spacing w:after="0" w:line="162" w:lineRule="exact"/>
        <w:rPr>
          <w:sz w:val="20"/>
          <w:szCs w:val="20"/>
          <w:color w:val="auto"/>
        </w:rPr>
      </w:pPr>
    </w:p>
    <w:p>
      <w:pPr>
        <w:ind w:right="520" w:firstLine="1015"/>
        <w:spacing w:after="0" w:line="268" w:lineRule="auto"/>
        <w:rPr>
          <w:sz w:val="20"/>
          <w:szCs w:val="20"/>
          <w:color w:val="auto"/>
        </w:rPr>
      </w:pPr>
      <w:r>
        <w:rPr>
          <w:rFonts w:ascii="Arial" w:cs="Arial" w:eastAsia="Arial" w:hAnsi="Arial"/>
          <w:sz w:val="14"/>
          <w:szCs w:val="14"/>
          <w:color w:val="auto"/>
        </w:rPr>
        <w:t xml:space="preserve">a. </w:t>
      </w:r>
      <w:r>
        <w:rPr>
          <w:rFonts w:ascii="Arial" w:cs="Arial" w:eastAsia="Arial" w:hAnsi="Arial"/>
          <w:sz w:val="14"/>
          <w:szCs w:val="14"/>
          <w:i w:val="1"/>
          <w:iCs w:val="1"/>
          <w:u w:val="single" w:color="auto"/>
          <w:color w:val="auto"/>
        </w:rPr>
        <w:t>Profits and Losses</w:t>
      </w:r>
      <w:r>
        <w:rPr>
          <w:rFonts w:ascii="Arial" w:cs="Arial" w:eastAsia="Arial" w:hAnsi="Arial"/>
          <w:sz w:val="14"/>
          <w:szCs w:val="14"/>
          <w:color w:val="auto"/>
        </w:rPr>
        <w:t>. For financial accounting and tax purposes, the Company’s net profits or net losses shall be determined on an annual basis in accordance with the manner determined by the Board. In each year, profits and losses shall be allocated entirely to the Member.</w:t>
      </w:r>
    </w:p>
    <w:p>
      <w:pPr>
        <w:spacing w:after="0" w:line="138" w:lineRule="exact"/>
        <w:rPr>
          <w:sz w:val="20"/>
          <w:szCs w:val="20"/>
          <w:color w:val="auto"/>
        </w:rPr>
      </w:pPr>
    </w:p>
    <w:p>
      <w:pPr>
        <w:ind w:right="60" w:firstLine="1015"/>
        <w:spacing w:after="0" w:line="257" w:lineRule="auto"/>
        <w:rPr>
          <w:sz w:val="20"/>
          <w:szCs w:val="20"/>
          <w:color w:val="auto"/>
        </w:rPr>
      </w:pPr>
      <w:r>
        <w:rPr>
          <w:rFonts w:ascii="Arial" w:cs="Arial" w:eastAsia="Arial" w:hAnsi="Arial"/>
          <w:sz w:val="14"/>
          <w:szCs w:val="14"/>
          <w:color w:val="auto"/>
        </w:rPr>
        <w:t xml:space="preserve">b. </w:t>
      </w:r>
      <w:r>
        <w:rPr>
          <w:rFonts w:ascii="Arial" w:cs="Arial" w:eastAsia="Arial" w:hAnsi="Arial"/>
          <w:sz w:val="14"/>
          <w:szCs w:val="14"/>
          <w:i w:val="1"/>
          <w:iCs w:val="1"/>
          <w:u w:val="single" w:color="auto"/>
          <w:color w:val="auto"/>
        </w:rPr>
        <w:t>Distributions</w:t>
      </w:r>
      <w:r>
        <w:rPr>
          <w:rFonts w:ascii="Arial" w:cs="Arial" w:eastAsia="Arial" w:hAnsi="Arial"/>
          <w:sz w:val="14"/>
          <w:szCs w:val="14"/>
          <w:color w:val="auto"/>
        </w:rPr>
        <w:t>. The Board shall determine profits available for distribution and the amount, if any, to be distributed to the Member, and shall authorize and distribute on the Common Interests, the determined amount when, as and if declared by the Board. The distributions of the Company shall be allocated entirely to the Member, provided, however, such distributions are in accordance with the Banking Law.</w:t>
      </w: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ARTICLE 6</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Events of Dissolution</w:t>
      </w:r>
    </w:p>
    <w:p>
      <w:pPr>
        <w:spacing w:after="0" w:line="16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The Company shall be dissolved and its affairs wound up only upon the occurrence of any of the following events (each, an “</w:t>
      </w:r>
      <w:r>
        <w:rPr>
          <w:rFonts w:ascii="Arial" w:cs="Arial" w:eastAsia="Arial" w:hAnsi="Arial"/>
          <w:sz w:val="14"/>
          <w:szCs w:val="14"/>
          <w:u w:val="single" w:color="auto"/>
          <w:color w:val="auto"/>
        </w:rPr>
        <w:t>Event of Dissolution</w:t>
      </w:r>
      <w:r>
        <w:rPr>
          <w:rFonts w:ascii="Arial" w:cs="Arial" w:eastAsia="Arial" w:hAnsi="Arial"/>
          <w:sz w:val="14"/>
          <w:szCs w:val="14"/>
          <w:color w:val="auto"/>
        </w:rPr>
        <w:t>”):</w:t>
      </w:r>
    </w:p>
    <w:p>
      <w:pPr>
        <w:spacing w:after="0" w:line="8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 The Board votes for dissolution; or</w:t>
      </w:r>
    </w:p>
    <w:p>
      <w:pPr>
        <w:spacing w:after="0" w:line="17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b. A dissolution of the Company under Section 102-a(2) of the Banking Law or Section 701 of the Act.</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ARTICLE 7</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Transfer of Interests in the Company</w:t>
      </w:r>
    </w:p>
    <w:p>
      <w:pPr>
        <w:spacing w:after="0" w:line="162" w:lineRule="exact"/>
        <w:rPr>
          <w:sz w:val="20"/>
          <w:szCs w:val="20"/>
          <w:color w:val="auto"/>
        </w:rPr>
      </w:pPr>
    </w:p>
    <w:p>
      <w:pPr>
        <w:ind w:right="280" w:firstLine="1015"/>
        <w:spacing w:after="0" w:line="353" w:lineRule="auto"/>
        <w:rPr>
          <w:sz w:val="20"/>
          <w:szCs w:val="20"/>
          <w:color w:val="auto"/>
        </w:rPr>
      </w:pPr>
      <w:r>
        <w:rPr>
          <w:rFonts w:ascii="Arial" w:cs="Arial" w:eastAsia="Arial" w:hAnsi="Arial"/>
          <w:sz w:val="12"/>
          <w:szCs w:val="12"/>
          <w:color w:val="auto"/>
        </w:rPr>
        <w:t>The Member may sell, assign, transfer, convey, gift, exchange or otherwise dispose of any or all of its Common Interests and, upon receipt by the Company of a written agreement executed by the person or entity to whom such Common Interests are to be transferred agreeing to be bound by the terms of this Agreement, such person shall be admitted as a member.</w:t>
      </w: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ARTICLE 8</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Exculpation and Indemnification</w:t>
      </w:r>
    </w:p>
    <w:p>
      <w:pPr>
        <w:spacing w:after="0" w:line="162" w:lineRule="exact"/>
        <w:rPr>
          <w:sz w:val="20"/>
          <w:szCs w:val="20"/>
          <w:color w:val="auto"/>
        </w:rPr>
      </w:pPr>
    </w:p>
    <w:p>
      <w:pPr>
        <w:ind w:firstLine="1015"/>
        <w:spacing w:after="0" w:line="250" w:lineRule="auto"/>
        <w:rPr>
          <w:sz w:val="20"/>
          <w:szCs w:val="20"/>
          <w:color w:val="auto"/>
        </w:rPr>
      </w:pPr>
      <w:r>
        <w:rPr>
          <w:rFonts w:ascii="Arial" w:cs="Arial" w:eastAsia="Arial" w:hAnsi="Arial"/>
          <w:sz w:val="14"/>
          <w:szCs w:val="14"/>
          <w:color w:val="auto"/>
        </w:rPr>
        <w:t xml:space="preserve">a. </w:t>
      </w:r>
      <w:r>
        <w:rPr>
          <w:rFonts w:ascii="Arial" w:cs="Arial" w:eastAsia="Arial" w:hAnsi="Arial"/>
          <w:sz w:val="14"/>
          <w:szCs w:val="14"/>
          <w:i w:val="1"/>
          <w:iCs w:val="1"/>
          <w:u w:val="single" w:color="auto"/>
          <w:color w:val="auto"/>
        </w:rPr>
        <w:t>Exculpation</w:t>
      </w:r>
      <w:r>
        <w:rPr>
          <w:rFonts w:ascii="Arial" w:cs="Arial" w:eastAsia="Arial" w:hAnsi="Arial"/>
          <w:sz w:val="14"/>
          <w:szCs w:val="14"/>
          <w:color w:val="auto"/>
        </w:rPr>
        <w:t>. The Member shall not have any liability for the obligations or liabilities of the Company except to the extent provided in the Act or Banking Law. Notwithstanding any other provisions of this Agreement, whether express or implied, or any obligation or duty at law or in equity, none of the Member, Managers, or any officers, directors, stockholders, partners, employees, affiliates, representatives or agents of any of the foregoing, nor any officer, employee, representative or agent of the Company (individually, a “</w:t>
      </w:r>
      <w:r>
        <w:rPr>
          <w:rFonts w:ascii="Arial" w:cs="Arial" w:eastAsia="Arial" w:hAnsi="Arial"/>
          <w:sz w:val="14"/>
          <w:szCs w:val="14"/>
          <w:u w:val="single" w:color="auto"/>
          <w:color w:val="auto"/>
        </w:rPr>
        <w:t>Covered Person</w:t>
      </w:r>
      <w:r>
        <w:rPr>
          <w:rFonts w:ascii="Arial" w:cs="Arial" w:eastAsia="Arial" w:hAnsi="Arial"/>
          <w:sz w:val="14"/>
          <w:szCs w:val="14"/>
          <w:color w:val="auto"/>
        </w:rPr>
        <w:t>” and, collectively, the “</w:t>
      </w:r>
      <w:r>
        <w:rPr>
          <w:rFonts w:ascii="Arial" w:cs="Arial" w:eastAsia="Arial" w:hAnsi="Arial"/>
          <w:sz w:val="14"/>
          <w:szCs w:val="14"/>
          <w:u w:val="single" w:color="auto"/>
          <w:color w:val="auto"/>
        </w:rPr>
        <w:t>Covered Persons</w:t>
      </w:r>
      <w:r>
        <w:rPr>
          <w:rFonts w:ascii="Arial" w:cs="Arial" w:eastAsia="Arial" w:hAnsi="Arial"/>
          <w:sz w:val="14"/>
          <w:szCs w:val="14"/>
          <w:color w:val="auto"/>
        </w:rPr>
        <w:t>”) shall be liable to the Company or any other person for any act or omission (in relation to the Company, its property or the conduct of its business or affairs, this Agreement, any related document or any transaction or investment contemplated hereby or thereby) taken or omitted by a Covered Person in the reasonable belief that such act or omission is in or is not contrary to the best interests of the Company and is within the scope of authority granted to such Covered Person by the Agreement, provided such act or omission does not constitute fraud, willful misconduct, bad faith, or gross negligence.</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180"/>
          </w:cols>
          <w:pgMar w:left="300" w:top="239" w:right="419" w:bottom="1440" w:gutter="0" w:footer="0" w:header="0"/>
        </w:sectPr>
      </w:pPr>
    </w:p>
    <w:bookmarkStart w:id="101" w:name="page102"/>
    <w:bookmarkEnd w:id="101"/>
    <w:p>
      <w:pPr>
        <w:ind w:firstLine="1015"/>
        <w:spacing w:after="0" w:line="27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 xml:space="preserve">b. </w:t>
      </w:r>
      <w:r>
        <w:rPr>
          <w:rFonts w:ascii="Arial" w:cs="Arial" w:eastAsia="Arial" w:hAnsi="Arial"/>
          <w:sz w:val="13"/>
          <w:szCs w:val="13"/>
          <w:i w:val="1"/>
          <w:iCs w:val="1"/>
          <w:u w:val="single" w:color="auto"/>
          <w:color w:val="auto"/>
        </w:rPr>
        <w:t>Indemnification</w:t>
      </w:r>
      <w:r>
        <w:rPr>
          <w:rFonts w:ascii="Arial" w:cs="Arial" w:eastAsia="Arial" w:hAnsi="Arial"/>
          <w:sz w:val="13"/>
          <w:szCs w:val="13"/>
          <w:color w:val="auto"/>
        </w:rPr>
        <w:t>. To the fullest extent permitted by law, the Company shall indemnify and hold harmless each Covered Person from and against any and all losses, claims, demands, liabilities, expenses, judgments, fines, settlements and other amounts arising from any and all claims, demands, actions, suits or proceedings, civil, criminal, administrative or investigative (“</w:t>
      </w:r>
      <w:r>
        <w:rPr>
          <w:rFonts w:ascii="Arial" w:cs="Arial" w:eastAsia="Arial" w:hAnsi="Arial"/>
          <w:sz w:val="13"/>
          <w:szCs w:val="13"/>
          <w:u w:val="single" w:color="auto"/>
          <w:color w:val="auto"/>
        </w:rPr>
        <w:t>Claims</w:t>
      </w:r>
      <w:r>
        <w:rPr>
          <w:rFonts w:ascii="Arial" w:cs="Arial" w:eastAsia="Arial" w:hAnsi="Arial"/>
          <w:sz w:val="13"/>
          <w:szCs w:val="13"/>
          <w:color w:val="auto"/>
        </w:rPr>
        <w:t>”), in which the Covered Person may be involved, or threatened to be involved, as a party or otherwise, by reason of its management of the affairs of the Company or which relates to or arises out of the Company or its property, business or affairs. A Covered Person shall not be entitled to indemnification under this Section 8 with respect to (i) any Claim with respect to which such Covered Person has engaged in fraud, willful misconduct, bad faith or gross negligence or (ii) any Claim initiated by such Covered Person unless such Claim (or part thereof) (A) was brought to enforce such Covered Person’s rights to indemnification hereunder or (B) was authorized or consented to by the Board. Expenses incurred by a Covered Person in defending any Claim shall be paid by the Company in advance of the final disposition of such Claim upon receipt by the Company of an undertaking by or on behalf of such Covered Person to repay such amount if it shall be ultimately determined that such Covered Person is not entitled to be indemnified by the Company as authorized by this Article 8.</w:t>
      </w:r>
    </w:p>
    <w:p>
      <w:pPr>
        <w:spacing w:after="0" w:line="138"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 xml:space="preserve">c. </w:t>
      </w:r>
      <w:r>
        <w:rPr>
          <w:rFonts w:ascii="Arial" w:cs="Arial" w:eastAsia="Arial" w:hAnsi="Arial"/>
          <w:sz w:val="12"/>
          <w:szCs w:val="12"/>
          <w:i w:val="1"/>
          <w:iCs w:val="1"/>
          <w:u w:val="single" w:color="auto"/>
          <w:color w:val="auto"/>
        </w:rPr>
        <w:t>Insurance</w:t>
      </w:r>
      <w:r>
        <w:rPr>
          <w:rFonts w:ascii="Arial" w:cs="Arial" w:eastAsia="Arial" w:hAnsi="Arial"/>
          <w:sz w:val="12"/>
          <w:szCs w:val="12"/>
          <w:color w:val="auto"/>
        </w:rPr>
        <w:t>. The Board in its discretion shall have the power to cause the Company to purchase and maintain insurance in accordance with, and subject to, the Act and Banking Law.</w:t>
      </w:r>
    </w:p>
    <w:p>
      <w:pPr>
        <w:spacing w:after="0" w:line="194" w:lineRule="exact"/>
        <w:rPr>
          <w:sz w:val="20"/>
          <w:szCs w:val="20"/>
          <w:color w:val="auto"/>
        </w:rPr>
      </w:pPr>
    </w:p>
    <w:p>
      <w:pPr>
        <w:ind w:right="40" w:firstLine="1015"/>
        <w:spacing w:after="0" w:line="257" w:lineRule="auto"/>
        <w:rPr>
          <w:sz w:val="20"/>
          <w:szCs w:val="20"/>
          <w:color w:val="auto"/>
        </w:rPr>
      </w:pPr>
      <w:r>
        <w:rPr>
          <w:rFonts w:ascii="Arial" w:cs="Arial" w:eastAsia="Arial" w:hAnsi="Arial"/>
          <w:sz w:val="14"/>
          <w:szCs w:val="14"/>
          <w:color w:val="auto"/>
        </w:rPr>
        <w:t xml:space="preserve">d. </w:t>
      </w:r>
      <w:r>
        <w:rPr>
          <w:rFonts w:ascii="Arial" w:cs="Arial" w:eastAsia="Arial" w:hAnsi="Arial"/>
          <w:sz w:val="14"/>
          <w:szCs w:val="14"/>
          <w:i w:val="1"/>
          <w:iCs w:val="1"/>
          <w:u w:val="single" w:color="auto"/>
          <w:color w:val="auto"/>
        </w:rPr>
        <w:t>Amendments</w:t>
      </w:r>
      <w:r>
        <w:rPr>
          <w:rFonts w:ascii="Arial" w:cs="Arial" w:eastAsia="Arial" w:hAnsi="Arial"/>
          <w:sz w:val="14"/>
          <w:szCs w:val="14"/>
          <w:color w:val="auto"/>
        </w:rPr>
        <w:t>. Any repeal or modification of this Article 8 by the Member shall not adversely affect any rights of such Covered Person pursuant to this Article 8, including the right to indemnification and to the advancement of expenses of a Covered Person existing at the time of such repeal or modification with respect to any acts or omissions occurring prior to such repeal or modification.</w:t>
      </w:r>
    </w:p>
    <w:p>
      <w:pPr>
        <w:spacing w:after="0" w:line="308"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ARTICLE 9</w:t>
      </w:r>
    </w:p>
    <w:p>
      <w:pPr>
        <w:spacing w:after="0" w:line="18"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Miscellaneous</w:t>
      </w:r>
    </w:p>
    <w:p>
      <w:pPr>
        <w:spacing w:after="0" w:line="162" w:lineRule="exact"/>
        <w:rPr>
          <w:sz w:val="20"/>
          <w:szCs w:val="20"/>
          <w:color w:val="auto"/>
        </w:rPr>
      </w:pPr>
    </w:p>
    <w:p>
      <w:pPr>
        <w:ind w:right="220" w:firstLine="1015"/>
        <w:spacing w:after="0" w:line="257" w:lineRule="auto"/>
        <w:rPr>
          <w:sz w:val="20"/>
          <w:szCs w:val="20"/>
          <w:color w:val="auto"/>
        </w:rPr>
      </w:pPr>
      <w:r>
        <w:rPr>
          <w:rFonts w:ascii="Arial" w:cs="Arial" w:eastAsia="Arial" w:hAnsi="Arial"/>
          <w:sz w:val="14"/>
          <w:szCs w:val="14"/>
          <w:color w:val="auto"/>
        </w:rPr>
        <w:t xml:space="preserve">a. </w:t>
      </w:r>
      <w:r>
        <w:rPr>
          <w:rFonts w:ascii="Arial" w:cs="Arial" w:eastAsia="Arial" w:hAnsi="Arial"/>
          <w:sz w:val="14"/>
          <w:szCs w:val="14"/>
          <w:i w:val="1"/>
          <w:iCs w:val="1"/>
          <w:u w:val="single" w:color="auto"/>
          <w:color w:val="auto"/>
        </w:rPr>
        <w:t>Tax Treatment</w:t>
      </w:r>
      <w:r>
        <w:rPr>
          <w:rFonts w:ascii="Arial" w:cs="Arial" w:eastAsia="Arial" w:hAnsi="Arial"/>
          <w:sz w:val="14"/>
          <w:szCs w:val="14"/>
          <w:color w:val="auto"/>
        </w:rPr>
        <w:t>. Unless otherwise determined by the Member, the Company shall be a disregarded entity for U.S. federal income tax purposes (as well as for any analogous state or local tax purposes), and the Member and the Company shall timely make any and all necessary elections and filings for the Company to be treated as a disregarded entity for U.S. federal income tax purposes (as well as for any analogous state or local tax purposes).</w:t>
      </w:r>
    </w:p>
    <w:p>
      <w:pPr>
        <w:spacing w:after="0" w:line="146" w:lineRule="exact"/>
        <w:rPr>
          <w:sz w:val="20"/>
          <w:szCs w:val="20"/>
          <w:color w:val="auto"/>
        </w:rPr>
      </w:pPr>
    </w:p>
    <w:p>
      <w:pPr>
        <w:ind w:right="180" w:firstLine="1015"/>
        <w:spacing w:after="0" w:line="268" w:lineRule="auto"/>
        <w:rPr>
          <w:sz w:val="20"/>
          <w:szCs w:val="20"/>
          <w:color w:val="auto"/>
        </w:rPr>
      </w:pPr>
      <w:r>
        <w:rPr>
          <w:rFonts w:ascii="Arial" w:cs="Arial" w:eastAsia="Arial" w:hAnsi="Arial"/>
          <w:sz w:val="14"/>
          <w:szCs w:val="14"/>
          <w:color w:val="auto"/>
        </w:rPr>
        <w:t xml:space="preserve">b. </w:t>
      </w:r>
      <w:r>
        <w:rPr>
          <w:rFonts w:ascii="Arial" w:cs="Arial" w:eastAsia="Arial" w:hAnsi="Arial"/>
          <w:sz w:val="14"/>
          <w:szCs w:val="14"/>
          <w:i w:val="1"/>
          <w:iCs w:val="1"/>
          <w:u w:val="single" w:color="auto"/>
          <w:color w:val="auto"/>
        </w:rPr>
        <w:t>Amendments</w:t>
      </w:r>
      <w:r>
        <w:rPr>
          <w:rFonts w:ascii="Arial" w:cs="Arial" w:eastAsia="Arial" w:hAnsi="Arial"/>
          <w:sz w:val="14"/>
          <w:szCs w:val="14"/>
          <w:color w:val="auto"/>
        </w:rPr>
        <w:t>. Amendments to this Agreement and to the Certificate of Formation shall be approved in writing by the Member. An amendment shall become effective as of the date specified in the approval of the Member or if none is specified as of the date of such approval or as otherwise provided in the Act.</w:t>
      </w:r>
    </w:p>
    <w:p>
      <w:pPr>
        <w:spacing w:after="0" w:line="138" w:lineRule="exact"/>
        <w:rPr>
          <w:sz w:val="20"/>
          <w:szCs w:val="20"/>
          <w:color w:val="auto"/>
        </w:rPr>
      </w:pPr>
    </w:p>
    <w:p>
      <w:pPr>
        <w:ind w:right="200" w:firstLine="1015"/>
        <w:spacing w:after="0" w:line="254" w:lineRule="auto"/>
        <w:rPr>
          <w:sz w:val="20"/>
          <w:szCs w:val="20"/>
          <w:color w:val="auto"/>
        </w:rPr>
      </w:pPr>
      <w:r>
        <w:rPr>
          <w:rFonts w:ascii="Arial" w:cs="Arial" w:eastAsia="Arial" w:hAnsi="Arial"/>
          <w:sz w:val="14"/>
          <w:szCs w:val="14"/>
          <w:color w:val="auto"/>
        </w:rPr>
        <w:t xml:space="preserve">c. </w:t>
      </w:r>
      <w:r>
        <w:rPr>
          <w:rFonts w:ascii="Arial" w:cs="Arial" w:eastAsia="Arial" w:hAnsi="Arial"/>
          <w:sz w:val="14"/>
          <w:szCs w:val="14"/>
          <w:i w:val="1"/>
          <w:iCs w:val="1"/>
          <w:u w:val="single" w:color="auto"/>
          <w:color w:val="auto"/>
        </w:rPr>
        <w:t>Severability</w:t>
      </w:r>
      <w:r>
        <w:rPr>
          <w:rFonts w:ascii="Arial" w:cs="Arial" w:eastAsia="Arial" w:hAnsi="Arial"/>
          <w:sz w:val="14"/>
          <w:szCs w:val="14"/>
          <w:color w:val="auto"/>
        </w:rPr>
        <w:t>. If any provision of this Agreement is held to be invalid or unenforceable for any reason, such provision shall be ineffective to the extent of such invalidity or unenforceability; provided, however, that the remaining provisions will continue in full force without being impaired or invalidated in any way unless such invalid or unenforceable provision or clause shall be so significant as to materially affect the expectations of the Member regarding this Agreement. Otherwise, any invalid or unenforceable provision shall be replaced by the Member with a valid provision which most closely approximates the intent and economic effect of the invalid or unenforceable provision.</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00" w:top="243" w:right="359" w:bottom="1440" w:gutter="0" w:footer="0" w:header="0"/>
        </w:sectPr>
      </w:pPr>
    </w:p>
    <w:bookmarkStart w:id="102" w:name="page103"/>
    <w:bookmarkEnd w:id="102"/>
    <w:p>
      <w:pPr>
        <w:ind w:left="10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 xml:space="preserve">d. </w:t>
      </w:r>
      <w:r>
        <w:rPr>
          <w:rFonts w:ascii="Arial" w:cs="Arial" w:eastAsia="Arial" w:hAnsi="Arial"/>
          <w:sz w:val="12"/>
          <w:szCs w:val="12"/>
          <w:i w:val="1"/>
          <w:iCs w:val="1"/>
          <w:u w:val="single" w:color="auto"/>
          <w:color w:val="auto"/>
        </w:rPr>
        <w:t>Governing Law</w:t>
      </w:r>
      <w:r>
        <w:rPr>
          <w:rFonts w:ascii="Arial" w:cs="Arial" w:eastAsia="Arial" w:hAnsi="Arial"/>
          <w:sz w:val="12"/>
          <w:szCs w:val="12"/>
          <w:color w:val="auto"/>
        </w:rPr>
        <w:t>. This Agreement shall be governed by and construed in accordance with the laws of the State of New York without regard to the principles of conflicts of laws thereof.</w:t>
      </w:r>
    </w:p>
    <w:p>
      <w:pPr>
        <w:spacing w:after="0" w:line="194"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 xml:space="preserve">e. </w:t>
      </w:r>
      <w:r>
        <w:rPr>
          <w:rFonts w:ascii="Arial" w:cs="Arial" w:eastAsia="Arial" w:hAnsi="Arial"/>
          <w:sz w:val="12"/>
          <w:szCs w:val="12"/>
          <w:i w:val="1"/>
          <w:iCs w:val="1"/>
          <w:u w:val="single" w:color="auto"/>
          <w:color w:val="auto"/>
        </w:rPr>
        <w:t>Limited Liability Trust Company</w:t>
      </w:r>
      <w:r>
        <w:rPr>
          <w:rFonts w:ascii="Arial" w:cs="Arial" w:eastAsia="Arial" w:hAnsi="Arial"/>
          <w:sz w:val="12"/>
          <w:szCs w:val="12"/>
          <w:color w:val="auto"/>
        </w:rPr>
        <w:t>. The Member intends to form a limited liability trust company and does not intend to form a partnership under the laws of the State of New York or</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any other laws.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FOLLOWS]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80"/>
          </w:cols>
          <w:pgMar w:left="300" w:top="243" w:right="31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IN WITNESS WHEREOF, the undersigned has duly executed this Agreement as of the date first written above.</w:t>
      </w:r>
    </w:p>
    <w:p>
      <w:pPr>
        <w:spacing w:after="0" w:line="188" w:lineRule="exact"/>
        <w:rPr>
          <w:sz w:val="20"/>
          <w:szCs w:val="20"/>
          <w:color w:val="auto"/>
        </w:rPr>
      </w:pPr>
    </w:p>
    <w:p>
      <w:pPr>
        <w:ind w:left="5760"/>
        <w:spacing w:after="0"/>
        <w:rPr>
          <w:sz w:val="20"/>
          <w:szCs w:val="20"/>
          <w:color w:val="auto"/>
        </w:rPr>
      </w:pPr>
      <w:r>
        <w:rPr>
          <w:rFonts w:ascii="Arial" w:cs="Arial" w:eastAsia="Arial" w:hAnsi="Arial"/>
          <w:sz w:val="13"/>
          <w:szCs w:val="13"/>
          <w:b w:val="1"/>
          <w:bCs w:val="1"/>
          <w:color w:val="auto"/>
        </w:rPr>
        <w:t>ARMOR HOLDING II LLC</w:t>
      </w:r>
      <w:r>
        <w:rPr>
          <w:rFonts w:ascii="Arial" w:cs="Arial" w:eastAsia="Arial" w:hAnsi="Arial"/>
          <w:sz w:val="13"/>
          <w:szCs w:val="13"/>
          <w:color w:val="auto"/>
        </w:rPr>
        <w:t>, as sole member</w:t>
      </w:r>
    </w:p>
    <w:p>
      <w:pPr>
        <w:spacing w:after="0" w:line="186" w:lineRule="exact"/>
        <w:rPr>
          <w:sz w:val="20"/>
          <w:szCs w:val="20"/>
          <w:color w:val="auto"/>
        </w:rPr>
      </w:pPr>
    </w:p>
    <w:p>
      <w:pPr>
        <w:ind w:left="5760"/>
        <w:spacing w:after="0"/>
        <w:tabs>
          <w:tab w:leader="none" w:pos="6100" w:val="left"/>
        </w:tabs>
        <w:rPr>
          <w:sz w:val="20"/>
          <w:szCs w:val="20"/>
          <w:color w:val="auto"/>
        </w:rPr>
      </w:pPr>
      <w:r>
        <w:rPr>
          <w:rFonts w:ascii="Arial" w:cs="Arial" w:eastAsia="Arial" w:hAnsi="Arial"/>
          <w:sz w:val="14"/>
          <w:szCs w:val="14"/>
          <w:color w:val="auto"/>
        </w:rPr>
        <w:t>By:</w:t>
        <w:tab/>
        <w:t>/s/ Martin G. Flanigan</w:t>
      </w:r>
    </w:p>
    <w:p>
      <w:pPr>
        <w:spacing w:after="0" w:line="15" w:lineRule="exact"/>
        <w:rPr>
          <w:sz w:val="20"/>
          <w:szCs w:val="20"/>
          <w:color w:val="auto"/>
        </w:rPr>
      </w:pPr>
    </w:p>
    <w:p>
      <w:pPr>
        <w:ind w:left="6120"/>
        <w:spacing w:after="0"/>
        <w:rPr>
          <w:sz w:val="20"/>
          <w:szCs w:val="20"/>
          <w:color w:val="auto"/>
        </w:rPr>
      </w:pPr>
      <w:r>
        <w:rPr>
          <w:rFonts w:ascii="Arial" w:cs="Arial" w:eastAsia="Arial" w:hAnsi="Arial"/>
          <w:sz w:val="14"/>
          <w:szCs w:val="14"/>
          <w:color w:val="auto"/>
        </w:rPr>
        <w:t>Name: Martin G. Flanigan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-101600</wp:posOffset>
            </wp:positionV>
            <wp:extent cx="2660015"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1">
                      <a:extLst>
                        <a:ext uri="{28A0092B-C50C-407E-A947-70E740481C1C}"/>
                      </a:extLst>
                    </a:blip>
                    <a:srcRect/>
                    <a:stretch>
                      <a:fillRect/>
                    </a:stretch>
                  </pic:blipFill>
                  <pic:spPr bwMode="auto">
                    <a:xfrm>
                      <a:off x="0" y="0"/>
                      <a:ext cx="2660015" cy="6350"/>
                    </a:xfrm>
                    <a:prstGeom prst="rect">
                      <a:avLst/>
                    </a:prstGeom>
                    <a:noFill/>
                  </pic:spPr>
                </pic:pic>
              </a:graphicData>
            </a:graphic>
          </wp:anchor>
        </w:drawing>
      </w:r>
    </w:p>
    <w:p>
      <w:pPr>
        <w:ind w:left="6120"/>
        <w:spacing w:after="0"/>
        <w:rPr>
          <w:sz w:val="20"/>
          <w:szCs w:val="20"/>
          <w:color w:val="auto"/>
        </w:rPr>
      </w:pPr>
      <w:r>
        <w:rPr>
          <w:rFonts w:ascii="Arial" w:cs="Arial" w:eastAsia="Arial" w:hAnsi="Arial"/>
          <w:sz w:val="14"/>
          <w:szCs w:val="14"/>
          <w:color w:val="auto"/>
        </w:rPr>
        <w:t>Title: Authorized Signatory</w:t>
      </w:r>
    </w:p>
    <w:p>
      <w:pPr>
        <w:sectPr>
          <w:pgSz w:w="11900" w:h="16838" w:orient="portrait"/>
          <w:cols w:equalWidth="0" w:num="1">
            <w:col w:w="9139"/>
          </w:cols>
          <w:pgMar w:left="1320" w:top="243" w:right="1440" w:bottom="1440" w:gutter="0" w:footer="0" w:header="0"/>
        </w:sectPr>
      </w:pPr>
    </w:p>
    <w:bookmarkStart w:id="104" w:name="page105"/>
    <w:bookmarkEnd w:id="104"/>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EXHIBIT 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CERTIFICATE]</w:t>
      </w:r>
    </w:p>
    <w:p>
      <w:pPr>
        <w:spacing w:after="0" w:line="196" w:lineRule="exact"/>
        <w:rPr>
          <w:sz w:val="20"/>
          <w:szCs w:val="20"/>
          <w:color w:val="auto"/>
        </w:rPr>
      </w:pPr>
    </w:p>
    <w:p>
      <w:pPr>
        <w:spacing w:after="0"/>
        <w:tabs>
          <w:tab w:leader="none" w:pos="10100" w:val="left"/>
        </w:tabs>
        <w:rPr>
          <w:sz w:val="20"/>
          <w:szCs w:val="20"/>
          <w:color w:val="auto"/>
        </w:rPr>
      </w:pPr>
      <w:r>
        <w:rPr>
          <w:rFonts w:ascii="Arial" w:cs="Arial" w:eastAsia="Arial" w:hAnsi="Arial"/>
          <w:sz w:val="14"/>
          <w:szCs w:val="14"/>
          <w:color w:val="auto"/>
        </w:rPr>
        <w:t>Number [*]</w:t>
      </w:r>
      <w:r>
        <w:rPr>
          <w:sz w:val="20"/>
          <w:szCs w:val="20"/>
          <w:color w:val="auto"/>
        </w:rPr>
        <w:tab/>
      </w:r>
      <w:r>
        <w:rPr>
          <w:rFonts w:ascii="Arial" w:cs="Arial" w:eastAsia="Arial" w:hAnsi="Arial"/>
          <w:sz w:val="13"/>
          <w:szCs w:val="13"/>
          <w:color w:val="auto"/>
        </w:rPr>
        <w:t>Common Interest [*]</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AMERICAN STOCK TRANSFER &amp; TRUST COMPANY, LLC</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 limited liability trust company formed under the laws of the State of New York</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Limited Liability Trust Company Common Interest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[Legend]</w:t>
      </w:r>
    </w:p>
    <w:p>
      <w:pPr>
        <w:spacing w:after="0" w:line="171" w:lineRule="exact"/>
        <w:rPr>
          <w:sz w:val="20"/>
          <w:szCs w:val="20"/>
          <w:color w:val="auto"/>
        </w:rPr>
      </w:pPr>
    </w:p>
    <w:p>
      <w:pPr>
        <w:ind w:right="60"/>
        <w:spacing w:after="0" w:line="276" w:lineRule="auto"/>
        <w:rPr>
          <w:sz w:val="20"/>
          <w:szCs w:val="20"/>
          <w:color w:val="auto"/>
        </w:rPr>
      </w:pPr>
      <w:r>
        <w:rPr>
          <w:rFonts w:ascii="Arial" w:cs="Arial" w:eastAsia="Arial" w:hAnsi="Arial"/>
          <w:sz w:val="13"/>
          <w:szCs w:val="13"/>
          <w:color w:val="auto"/>
        </w:rPr>
        <w:t>THIS CERTIFICATE EVIDENCES COMMON INTERESTS IN THE AMERICAN STOCK TRANSFER &amp; TRUST COMPANY, LLC (THE “COMPANY”) AND SHALL BE A SECURITY FOR PURPOSES OF ARTICLE 8 OF THE UNIFORM COMMERCIAL CODE. THE COMMON INTERESTS REPRESENTED BY THIS CERTIFICATE ARE SUBJECT TO THE PROVISIONS OF THE FIFTH AMENDED AND RESTATED LIMITED LIABILITY TRUST COMPANY AGREEMENT OF THE COMPANY DATED AS OF DECEMBER 10, 2021 (AS MAY BE AMENDED, RESTATED, AMENDED AND RESTATED OR OTHERWISE MODIFIED FROM TIME TO TIME, THE “LLTC AGREEMENT”). A COPY OF THE LLTC AGREEMENT WILL BE FURNISHED TO THE RECORD HOLDER OF THIS CERTIFICATE WITHOUT CHARGE UPON WRITTEN REQUEST TO THE COMPANY AT ITS PRINCIPAL PLACE OF BUSINESS.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This Certifies that _________________________________ is the owner of _______ fully paid and non-assessable Common Interests of the above-named Company and is entitled to the full benefits and</w:t>
      </w:r>
    </w:p>
    <w:p>
      <w:pPr>
        <w:spacing w:after="0" w:line="37"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auto"/>
        </w:rPr>
        <w:t>privileges of such Common Interest, subject to the duties and obligations, as more fully set forth in the LLTC Agreement. This Certificate is transferable on the books of the Company by the holder hereof in person or by duly authorized attorney upon surrender of this Certificate properly endorsed.</w:t>
      </w:r>
    </w:p>
    <w:p>
      <w:pPr>
        <w:spacing w:after="0" w:line="144" w:lineRule="exact"/>
        <w:rPr>
          <w:sz w:val="20"/>
          <w:szCs w:val="20"/>
          <w:color w:val="auto"/>
        </w:rPr>
      </w:pPr>
    </w:p>
    <w:p>
      <w:pPr>
        <w:ind w:right="620" w:firstLine="2031"/>
        <w:spacing w:after="0" w:line="274" w:lineRule="auto"/>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the said Limited Liability Company has caused this Certificate, and the Common Interest it represents, to be signed by its duly</w:t>
      </w:r>
      <w:r>
        <w:rPr>
          <w:rFonts w:ascii="Arial" w:cs="Arial" w:eastAsia="Arial" w:hAnsi="Arial"/>
          <w:sz w:val="14"/>
          <w:szCs w:val="14"/>
          <w:b w:val="1"/>
          <w:bCs w:val="1"/>
          <w:color w:val="auto"/>
        </w:rPr>
        <w:t xml:space="preserve"> </w:t>
      </w:r>
      <w:r>
        <w:rPr>
          <w:rFonts w:ascii="Arial" w:cs="Arial" w:eastAsia="Arial" w:hAnsi="Arial"/>
          <w:sz w:val="14"/>
          <w:szCs w:val="14"/>
          <w:color w:val="auto"/>
        </w:rPr>
        <w:t>authorized officer this ___ day of ______, 20__.</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By: _______________________________________</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ectPr>
          <w:pgSz w:w="11900" w:h="16838" w:orient="portrait"/>
          <w:cols w:equalWidth="0" w:num="1">
            <w:col w:w="11280"/>
          </w:cols>
          <w:pgMar w:left="300" w:top="243" w:right="3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EXHIBIT T-1.6</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December 15, 2022</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Washington, DC 20549</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Gentlemen:</w:t>
      </w:r>
    </w:p>
    <w:p>
      <w:pPr>
        <w:spacing w:after="0" w:line="88" w:lineRule="exact"/>
        <w:rPr>
          <w:sz w:val="20"/>
          <w:szCs w:val="20"/>
          <w:color w:val="auto"/>
        </w:rPr>
      </w:pPr>
    </w:p>
    <w:p>
      <w:pPr>
        <w:ind w:right="240"/>
        <w:spacing w:after="0" w:line="307" w:lineRule="auto"/>
        <w:rPr>
          <w:sz w:val="20"/>
          <w:szCs w:val="20"/>
          <w:color w:val="auto"/>
        </w:rPr>
      </w:pPr>
      <w:r>
        <w:rPr>
          <w:rFonts w:ascii="Arial" w:cs="Arial" w:eastAsia="Arial" w:hAnsi="Arial"/>
          <w:sz w:val="13"/>
          <w:szCs w:val="13"/>
          <w:color w:val="auto"/>
        </w:rPr>
        <w:t>Pursuant to the provisions of Section 321 (b) of the Trust Indenture Act of 1939, and subject to the limitations therein contained, American Stock Transfer &amp; Trust Company, LLC hereby consents that reports of examinations of said corporation by Federal, State, Territorial or District authorities may be furnished by such authorities to you upon request therefor.</w:t>
      </w:r>
    </w:p>
    <w:p>
      <w:pPr>
        <w:spacing w:after="0" w:line="136" w:lineRule="exact"/>
        <w:rPr>
          <w:sz w:val="20"/>
          <w:szCs w:val="20"/>
          <w:color w:val="auto"/>
        </w:rPr>
      </w:pPr>
    </w:p>
    <w:p>
      <w:pPr>
        <w:ind w:left="6780"/>
        <w:spacing w:after="0"/>
        <w:rPr>
          <w:sz w:val="20"/>
          <w:szCs w:val="20"/>
          <w:color w:val="auto"/>
        </w:rPr>
      </w:pPr>
      <w:r>
        <w:rPr>
          <w:rFonts w:ascii="Arial" w:cs="Arial" w:eastAsia="Arial" w:hAnsi="Arial"/>
          <w:sz w:val="14"/>
          <w:szCs w:val="14"/>
          <w:color w:val="auto"/>
        </w:rPr>
        <w:t>Very truly yours,</w:t>
      </w:r>
    </w:p>
    <w:p>
      <w:pPr>
        <w:spacing w:after="0" w:line="171" w:lineRule="exact"/>
        <w:rPr>
          <w:sz w:val="20"/>
          <w:szCs w:val="20"/>
          <w:color w:val="auto"/>
        </w:rPr>
      </w:pPr>
    </w:p>
    <w:p>
      <w:pPr>
        <w:ind w:left="6780"/>
        <w:spacing w:after="0"/>
        <w:rPr>
          <w:sz w:val="20"/>
          <w:szCs w:val="20"/>
          <w:color w:val="auto"/>
        </w:rPr>
      </w:pPr>
      <w:r>
        <w:rPr>
          <w:rFonts w:ascii="Arial" w:cs="Arial" w:eastAsia="Arial" w:hAnsi="Arial"/>
          <w:sz w:val="14"/>
          <w:szCs w:val="14"/>
          <w:color w:val="auto"/>
        </w:rPr>
        <w:t>AMERICAN STOCK TRANSFER</w:t>
      </w:r>
    </w:p>
    <w:p>
      <w:pPr>
        <w:spacing w:after="0" w:line="14" w:lineRule="exact"/>
        <w:rPr>
          <w:sz w:val="20"/>
          <w:szCs w:val="20"/>
          <w:color w:val="auto"/>
        </w:rPr>
      </w:pPr>
    </w:p>
    <w:p>
      <w:pPr>
        <w:ind w:left="6780"/>
        <w:spacing w:after="0"/>
        <w:rPr>
          <w:sz w:val="20"/>
          <w:szCs w:val="20"/>
          <w:color w:val="auto"/>
        </w:rPr>
      </w:pPr>
      <w:r>
        <w:rPr>
          <w:rFonts w:ascii="Arial" w:cs="Arial" w:eastAsia="Arial" w:hAnsi="Arial"/>
          <w:sz w:val="14"/>
          <w:szCs w:val="14"/>
          <w:color w:val="auto"/>
        </w:rPr>
        <w:t>&amp; TRUST COMPANY, LLC</w:t>
      </w:r>
    </w:p>
    <w:p>
      <w:pPr>
        <w:spacing w:after="0" w:line="172" w:lineRule="exact"/>
        <w:rPr>
          <w:sz w:val="20"/>
          <w:szCs w:val="20"/>
          <w:color w:val="auto"/>
        </w:rPr>
      </w:pPr>
    </w:p>
    <w:p>
      <w:pPr>
        <w:ind w:left="6780"/>
        <w:spacing w:after="0"/>
        <w:tabs>
          <w:tab w:leader="none" w:pos="7120" w:val="left"/>
        </w:tabs>
        <w:rPr>
          <w:sz w:val="20"/>
          <w:szCs w:val="20"/>
          <w:color w:val="auto"/>
        </w:rPr>
      </w:pPr>
      <w:r>
        <w:rPr>
          <w:rFonts w:ascii="Arial" w:cs="Arial" w:eastAsia="Arial" w:hAnsi="Arial"/>
          <w:sz w:val="14"/>
          <w:szCs w:val="14"/>
          <w:color w:val="auto"/>
        </w:rPr>
        <w:t>By:</w:t>
        <w:tab/>
        <w:t>/s/ Paul H. Kim</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4"/>
          <w:szCs w:val="14"/>
          <w:color w:val="auto"/>
        </w:rPr>
        <w:t>Name: Paul H.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-101600</wp:posOffset>
            </wp:positionV>
            <wp:extent cx="2660015"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4">
                      <a:extLst>
                        <a:ext uri="{28A0092B-C50C-407E-A947-70E740481C1C}"/>
                      </a:extLst>
                    </a:blip>
                    <a:srcRect/>
                    <a:stretch>
                      <a:fillRect/>
                    </a:stretch>
                  </pic:blipFill>
                  <pic:spPr bwMode="auto">
                    <a:xfrm>
                      <a:off x="0" y="0"/>
                      <a:ext cx="2660015" cy="6350"/>
                    </a:xfrm>
                    <a:prstGeom prst="rect">
                      <a:avLst/>
                    </a:prstGeom>
                    <a:noFill/>
                  </pic:spPr>
                </pic:pic>
              </a:graphicData>
            </a:graphic>
          </wp:anchor>
        </w:drawing>
      </w:r>
    </w:p>
    <w:p>
      <w:pPr>
        <w:ind w:left="7140"/>
        <w:spacing w:after="0"/>
        <w:rPr>
          <w:sz w:val="20"/>
          <w:szCs w:val="20"/>
          <w:color w:val="auto"/>
        </w:rPr>
      </w:pPr>
      <w:r>
        <w:rPr>
          <w:rFonts w:ascii="Arial" w:cs="Arial" w:eastAsia="Arial" w:hAnsi="Arial"/>
          <w:sz w:val="14"/>
          <w:szCs w:val="14"/>
          <w:color w:val="auto"/>
        </w:rPr>
        <w:t>Title: Assistant General Counsel</w:t>
      </w:r>
    </w:p>
    <w:p>
      <w:pPr>
        <w:sectPr>
          <w:pgSz w:w="11900" w:h="16838" w:orient="portrait"/>
          <w:cols w:equalWidth="0" w:num="1">
            <w:col w:w="11280"/>
          </w:cols>
          <w:pgMar w:left="300" w:top="239" w:right="319" w:bottom="1440" w:gutter="0" w:footer="0" w:header="0"/>
        </w:sectPr>
      </w:pPr>
    </w:p>
    <w:bookmarkStart w:id="106" w:name="page107"/>
    <w:bookmarkEnd w:id="106"/>
    <w:p>
      <w:pPr>
        <w:ind w:left="92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EXHIBIT 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130810</wp:posOffset>
            </wp:positionV>
            <wp:extent cx="4490720" cy="57943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6">
                      <a:extLst>
                        <a:ext uri="{28A0092B-C50C-407E-A947-70E740481C1C}"/>
                      </a:extLst>
                    </a:blip>
                    <a:srcRect/>
                    <a:stretch>
                      <a:fillRect/>
                    </a:stretch>
                  </pic:blipFill>
                  <pic:spPr bwMode="auto">
                    <a:xfrm>
                      <a:off x="0" y="0"/>
                      <a:ext cx="4490720" cy="5794375"/>
                    </a:xfrm>
                    <a:prstGeom prst="rect">
                      <a:avLst/>
                    </a:prstGeom>
                    <a:noFill/>
                  </pic:spPr>
                </pic:pic>
              </a:graphicData>
            </a:graphic>
          </wp:anchor>
        </w:drawing>
      </w:r>
    </w:p>
    <w:p>
      <w:pPr>
        <w:sectPr>
          <w:pgSz w:w="11900" w:h="16838" w:orient="portrait"/>
          <w:cols w:equalWidth="0" w:num="1">
            <w:col w:w="10140"/>
          </w:cols>
          <w:pgMar w:left="1440" w:top="239" w:right="319" w:bottom="1440"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58667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7">
                      <a:extLst>
                        <a:ext uri="{28A0092B-C50C-407E-A947-70E740481C1C}"/>
                      </a:extLst>
                    </a:blip>
                    <a:srcRect/>
                    <a:stretch>
                      <a:fillRect/>
                    </a:stretch>
                  </pic:blipFill>
                  <pic:spPr bwMode="auto">
                    <a:xfrm>
                      <a:off x="0" y="0"/>
                      <a:ext cx="7202805" cy="586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right"/>
        <w:ind w:right="279"/>
        <w:spacing w:after="0"/>
        <w:rPr>
          <w:sz w:val="20"/>
          <w:szCs w:val="20"/>
          <w:color w:val="auto"/>
        </w:rPr>
      </w:pPr>
      <w:r>
        <w:rPr>
          <w:rFonts w:ascii="Arial" w:cs="Arial" w:eastAsia="Arial" w:hAnsi="Arial"/>
          <w:sz w:val="14"/>
          <w:szCs w:val="14"/>
          <w:b w:val="1"/>
          <w:bCs w:val="1"/>
          <w:color w:val="auto"/>
        </w:rPr>
        <w:t>Exhibit (l)(1)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473710</wp:posOffset>
            </wp:positionV>
            <wp:extent cx="537337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8">
                      <a:extLst>
                        <a:ext uri="{28A0092B-C50C-407E-A947-70E740481C1C}"/>
                      </a:extLst>
                    </a:blip>
                    <a:srcRect/>
                    <a:stretch>
                      <a:fillRect/>
                    </a:stretch>
                  </pic:blipFill>
                  <pic:spPr bwMode="auto">
                    <a:xfrm>
                      <a:off x="0" y="0"/>
                      <a:ext cx="5373370" cy="6350"/>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130810</wp:posOffset>
            </wp:positionV>
            <wp:extent cx="1158875" cy="296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9">
                      <a:extLst>
                        <a:ext uri="{28A0092B-C50C-407E-A947-70E740481C1C}"/>
                      </a:extLst>
                    </a:blip>
                    <a:srcRect/>
                    <a:stretch>
                      <a:fillRect/>
                    </a:stretch>
                  </pic:blipFill>
                  <pic:spPr bwMode="auto">
                    <a:xfrm>
                      <a:off x="0" y="0"/>
                      <a:ext cx="1158875" cy="296545"/>
                    </a:xfrm>
                    <a:prstGeom prst="rect">
                      <a:avLst/>
                    </a:prstGeom>
                    <a:noFill/>
                  </pic:spPr>
                </pic:pic>
              </a:graphicData>
            </a:graphic>
          </wp:anchor>
        </w:drawing>
        <w:drawing>
          <wp:anchor simplePos="0" relativeHeight="251657728" behindDoc="1" locked="0" layoutInCell="0" allowOverlap="1">
            <wp:simplePos x="0" y="0"/>
            <wp:positionH relativeFrom="column">
              <wp:posOffset>3775075</wp:posOffset>
            </wp:positionH>
            <wp:positionV relativeFrom="paragraph">
              <wp:posOffset>203200</wp:posOffset>
            </wp:positionV>
            <wp:extent cx="1771015" cy="2241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0">
                      <a:extLst>
                        <a:ext uri="{28A0092B-C50C-407E-A947-70E740481C1C}"/>
                      </a:extLst>
                    </a:blip>
                    <a:srcRect/>
                    <a:stretch>
                      <a:fillRect/>
                    </a:stretch>
                  </pic:blipFill>
                  <pic:spPr bwMode="auto">
                    <a:xfrm>
                      <a:off x="0" y="0"/>
                      <a:ext cx="1771015" cy="224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December 15, 2022</w:t>
      </w:r>
    </w:p>
    <w:p>
      <w:pPr>
        <w:spacing w:after="0" w:line="25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PennantPark Floating Rate Capital Ltd.</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1691 Michigan Avenue</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Miami, Florida 33139</w:t>
      </w:r>
    </w:p>
    <w:p>
      <w:pPr>
        <w:spacing w:after="0" w:line="162" w:lineRule="exact"/>
        <w:rPr>
          <w:sz w:val="20"/>
          <w:szCs w:val="20"/>
          <w:color w:val="auto"/>
        </w:rPr>
      </w:pPr>
    </w:p>
    <w:p>
      <w:pPr>
        <w:ind w:left="620"/>
        <w:spacing w:after="0"/>
        <w:tabs>
          <w:tab w:leader="none" w:pos="920" w:val="left"/>
        </w:tabs>
        <w:rPr>
          <w:sz w:val="20"/>
          <w:szCs w:val="20"/>
          <w:color w:val="auto"/>
        </w:rPr>
      </w:pPr>
      <w:r>
        <w:rPr>
          <w:rFonts w:ascii="Arial" w:cs="Arial" w:eastAsia="Arial" w:hAnsi="Arial"/>
          <w:sz w:val="14"/>
          <w:szCs w:val="14"/>
          <w:color w:val="auto"/>
        </w:rPr>
        <w:t>Re:</w:t>
      </w:r>
      <w:r>
        <w:rPr>
          <w:sz w:val="20"/>
          <w:szCs w:val="20"/>
          <w:color w:val="auto"/>
        </w:rPr>
        <w:tab/>
      </w:r>
      <w:r>
        <w:rPr>
          <w:rFonts w:ascii="Arial" w:cs="Arial" w:eastAsia="Arial" w:hAnsi="Arial"/>
          <w:sz w:val="12"/>
          <w:szCs w:val="12"/>
          <w:u w:val="single" w:color="auto"/>
          <w:color w:val="auto"/>
        </w:rPr>
        <w:t>Registration Statement on Form N-2</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Ladies and Gentlemen:</w:t>
      </w:r>
    </w:p>
    <w:p>
      <w:pPr>
        <w:spacing w:after="0" w:line="171" w:lineRule="exact"/>
        <w:rPr>
          <w:sz w:val="20"/>
          <w:szCs w:val="20"/>
          <w:color w:val="auto"/>
        </w:rPr>
      </w:pPr>
    </w:p>
    <w:p>
      <w:pPr>
        <w:ind w:left="280" w:right="299" w:firstLine="338"/>
        <w:spacing w:after="0" w:line="272" w:lineRule="auto"/>
        <w:rPr>
          <w:sz w:val="20"/>
          <w:szCs w:val="20"/>
          <w:color w:val="auto"/>
        </w:rPr>
      </w:pPr>
      <w:r>
        <w:rPr>
          <w:rFonts w:ascii="Arial" w:cs="Arial" w:eastAsia="Arial" w:hAnsi="Arial"/>
          <w:sz w:val="13"/>
          <w:szCs w:val="13"/>
          <w:color w:val="auto"/>
        </w:rPr>
        <w:t>We have served as Maryland counsel to PennantPark Floating Rate Capital Ltd., a Maryland corporation (the “Company”) and a business development company under the Investment Company Act of 1940, as amended (the “1940 Act”), in connection with certain matters of Maryland law arising out of the registration of the following securities of the Company having an aggregate initial offering price of up to $500,000,000 (collectively, the “Securities”): (i) shares (“Common Shares”) of common stock, $.001 par value per share (“Common Stock”); (ii) shares (“Preferred Shares”) of preferred stock, $.001 par value per share (“Preferred Stock”); (iii) warrants (“Warrants”); (iv) subscription rights (“Subscription Rights”); and (v) debt securities (“Debt Securities”), covered by the above-referenced Registration Statement, and all amendments thereto (the “Registration Statement”), to be filed by the Company with the United States Securities and Exchange Commission (the “Commission”) under the Securities Act of 1933, as amended (the “1933 Act”), on or about the date hereof.</w:t>
      </w:r>
    </w:p>
    <w:p>
      <w:pPr>
        <w:spacing w:after="0" w:line="138" w:lineRule="exact"/>
        <w:rPr>
          <w:sz w:val="20"/>
          <w:szCs w:val="20"/>
          <w:color w:val="auto"/>
        </w:rPr>
      </w:pPr>
    </w:p>
    <w:p>
      <w:pPr>
        <w:ind w:left="280" w:right="419" w:firstLine="338"/>
        <w:spacing w:after="0" w:line="307" w:lineRule="auto"/>
        <w:rPr>
          <w:sz w:val="20"/>
          <w:szCs w:val="20"/>
          <w:color w:val="auto"/>
        </w:rPr>
      </w:pPr>
      <w:r>
        <w:rPr>
          <w:rFonts w:ascii="Arial" w:cs="Arial" w:eastAsia="Arial" w:hAnsi="Arial"/>
          <w:sz w:val="13"/>
          <w:szCs w:val="13"/>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32" w:lineRule="exact"/>
        <w:rPr>
          <w:sz w:val="20"/>
          <w:szCs w:val="20"/>
          <w:color w:val="auto"/>
        </w:rPr>
      </w:pPr>
    </w:p>
    <w:p>
      <w:pPr>
        <w:ind w:left="280" w:right="339" w:firstLine="332"/>
        <w:spacing w:after="0" w:line="268" w:lineRule="auto"/>
        <w:tabs>
          <w:tab w:leader="none" w:pos="858"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Registration Statement and the related form of prospectus included therein, in the form transmitted to the Commission for filing pursuant to the 1933 Act;</w:t>
      </w:r>
    </w:p>
    <w:p>
      <w:pPr>
        <w:spacing w:after="0" w:line="55" w:lineRule="exact"/>
        <w:rPr>
          <w:rFonts w:ascii="Arial" w:cs="Arial" w:eastAsia="Arial" w:hAnsi="Arial"/>
          <w:sz w:val="14"/>
          <w:szCs w:val="14"/>
          <w:color w:val="auto"/>
        </w:rPr>
      </w:pPr>
    </w:p>
    <w:p>
      <w:pPr>
        <w:ind w:left="860" w:hanging="248"/>
        <w:spacing w:after="0"/>
        <w:tabs>
          <w:tab w:leader="none" w:pos="8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charter of the Company (the “Charter”), certified by the State Department of Assessments and Taxation of Maryland (the “SDAT”);</w:t>
      </w:r>
    </w:p>
    <w:p>
      <w:pPr>
        <w:spacing w:after="0" w:line="99" w:lineRule="exact"/>
        <w:rPr>
          <w:rFonts w:ascii="Arial" w:cs="Arial" w:eastAsia="Arial" w:hAnsi="Arial"/>
          <w:sz w:val="13"/>
          <w:szCs w:val="13"/>
          <w:color w:val="auto"/>
        </w:rPr>
      </w:pPr>
    </w:p>
    <w:p>
      <w:pPr>
        <w:ind w:left="860" w:hanging="248"/>
        <w:spacing w:after="0"/>
        <w:tabs>
          <w:tab w:leader="none" w:pos="8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Amended and Restated Bylaws of the Company (the “Bylaws”), certified as of the date hereof by an officer of the Company;</w:t>
      </w:r>
    </w:p>
    <w:p>
      <w:pPr>
        <w:spacing w:after="0" w:line="99" w:lineRule="exact"/>
        <w:rPr>
          <w:rFonts w:ascii="Arial" w:cs="Arial" w:eastAsia="Arial" w:hAnsi="Arial"/>
          <w:sz w:val="13"/>
          <w:szCs w:val="13"/>
          <w:color w:val="auto"/>
        </w:rPr>
      </w:pPr>
    </w:p>
    <w:p>
      <w:pPr>
        <w:ind w:left="840" w:hanging="228"/>
        <w:spacing w:after="0"/>
        <w:tabs>
          <w:tab w:leader="none" w:pos="8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 certificate of the SDAT as to the good standing of the Company, dated as of a recent date;</w:t>
      </w:r>
    </w:p>
    <w:p>
      <w:pPr>
        <w:sectPr>
          <w:pgSz w:w="11900" w:h="16838" w:orient="portrait"/>
          <w:cols w:equalWidth="0" w:num="1">
            <w:col w:w="9019"/>
          </w:cols>
          <w:pgMar w:left="1440" w:top="125" w:right="1440" w:bottom="1440" w:gutter="0" w:footer="0" w:header="0"/>
        </w:sectPr>
      </w:pPr>
    </w:p>
    <w:bookmarkStart w:id="109" w:name="page110"/>
    <w:bookmarkEnd w:id="109"/>
    <w:p>
      <w:pPr>
        <w:ind w:left="28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1">
                      <a:extLst>
                        <a:ext uri="{28A0092B-C50C-407E-A947-70E740481C1C}"/>
                      </a:extLst>
                    </a:blip>
                    <a:srcRect/>
                    <a:stretch>
                      <a:fillRect/>
                    </a:stretch>
                  </pic:blipFill>
                  <pic:spPr bwMode="auto">
                    <a:xfrm>
                      <a:off x="0" y="0"/>
                      <a:ext cx="7202805" cy="32385"/>
                    </a:xfrm>
                    <a:prstGeom prst="rect">
                      <a:avLst/>
                    </a:prstGeom>
                    <a:noFill/>
                  </pic:spPr>
                </pic:pic>
              </a:graphicData>
            </a:graphic>
          </wp:anchor>
        </w:drawing>
        <w:drawing>
          <wp:anchor simplePos="0" relativeHeight="251657728" behindDoc="1" locked="0" layoutInCell="0" allowOverlap="1">
            <wp:simplePos x="0" y="0"/>
            <wp:positionH relativeFrom="page">
              <wp:posOffset>1087755</wp:posOffset>
            </wp:positionH>
            <wp:positionV relativeFrom="page">
              <wp:posOffset>523240</wp:posOffset>
            </wp:positionV>
            <wp:extent cx="537337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2">
                      <a:extLst>
                        <a:ext uri="{28A0092B-C50C-407E-A947-70E740481C1C}"/>
                      </a:extLst>
                    </a:blip>
                    <a:srcRect/>
                    <a:stretch>
                      <a:fillRect/>
                    </a:stretch>
                  </pic:blipFill>
                  <pic:spPr bwMode="auto">
                    <a:xfrm>
                      <a:off x="0" y="0"/>
                      <a:ext cx="5373370" cy="6350"/>
                    </a:xfrm>
                    <a:prstGeom prst="rect">
                      <a:avLst/>
                    </a:prstGeom>
                    <a:noFill/>
                  </pic:spPr>
                </pic:pic>
              </a:graphicData>
            </a:graphic>
          </wp:anchor>
        </w:drawing>
        <w:drawing>
          <wp:anchor simplePos="0" relativeHeight="251657728" behindDoc="1" locked="0" layoutInCell="0" allowOverlap="1">
            <wp:simplePos x="0" y="0"/>
            <wp:positionH relativeFrom="page">
              <wp:posOffset>1087755</wp:posOffset>
            </wp:positionH>
            <wp:positionV relativeFrom="page">
              <wp:posOffset>161290</wp:posOffset>
            </wp:positionV>
            <wp:extent cx="1158875" cy="296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1158875" cy="296545"/>
                    </a:xfrm>
                    <a:prstGeom prst="rect">
                      <a:avLst/>
                    </a:prstGeom>
                    <a:noFill/>
                  </pic:spPr>
                </pic:pic>
              </a:graphicData>
            </a:graphic>
          </wp:anchor>
        </w:drawing>
        <w:t>PennantPark Floating Rate Capital Ltd.</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December 15, 2022</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Page 2</w:t>
      </w:r>
    </w:p>
    <w:p>
      <w:pPr>
        <w:spacing w:after="0" w:line="182" w:lineRule="exact"/>
        <w:rPr>
          <w:sz w:val="20"/>
          <w:szCs w:val="20"/>
          <w:color w:val="auto"/>
        </w:rPr>
      </w:pPr>
    </w:p>
    <w:p>
      <w:pPr>
        <w:ind w:left="280" w:right="379" w:firstLine="332"/>
        <w:spacing w:after="0" w:line="268" w:lineRule="auto"/>
        <w:tabs>
          <w:tab w:leader="none" w:pos="8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Resolutions (the “Resolutions”) adopted by the Board of Directors (the “Board of Directors”) of the Company relating to the registration and issuance of the Securities, certified as of the date hereof by an officer of the Company;</w:t>
      </w:r>
    </w:p>
    <w:p>
      <w:pPr>
        <w:spacing w:after="0" w:line="55" w:lineRule="exact"/>
        <w:rPr>
          <w:rFonts w:ascii="Arial" w:cs="Arial" w:eastAsia="Arial" w:hAnsi="Arial"/>
          <w:sz w:val="14"/>
          <w:szCs w:val="14"/>
          <w:color w:val="auto"/>
        </w:rPr>
      </w:pPr>
    </w:p>
    <w:p>
      <w:pPr>
        <w:ind w:left="840" w:hanging="228"/>
        <w:spacing w:after="0"/>
        <w:tabs>
          <w:tab w:leader="none" w:pos="8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 certificate executed by an officer of the Company, dated as of the date hereof; and</w:t>
      </w:r>
    </w:p>
    <w:p>
      <w:pPr>
        <w:spacing w:after="0" w:line="87" w:lineRule="exact"/>
        <w:rPr>
          <w:rFonts w:ascii="Arial" w:cs="Arial" w:eastAsia="Arial" w:hAnsi="Arial"/>
          <w:sz w:val="14"/>
          <w:szCs w:val="14"/>
          <w:color w:val="auto"/>
        </w:rPr>
      </w:pPr>
    </w:p>
    <w:p>
      <w:pPr>
        <w:ind w:left="280" w:right="859" w:firstLine="332"/>
        <w:spacing w:after="0" w:line="268" w:lineRule="auto"/>
        <w:tabs>
          <w:tab w:leader="none" w:pos="8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Such other documents and matters as we have deemed necessary or appropriate to express the opinion set forth below, subject to the assumptions, limitations and qualifications stated herein.</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In expressing the opinion set forth below, we have assumed the following:</w:t>
      </w:r>
    </w:p>
    <w:p>
      <w:pPr>
        <w:spacing w:after="0" w:line="88" w:lineRule="exact"/>
        <w:rPr>
          <w:sz w:val="20"/>
          <w:szCs w:val="20"/>
          <w:color w:val="auto"/>
        </w:rPr>
      </w:pPr>
    </w:p>
    <w:p>
      <w:pPr>
        <w:ind w:left="860" w:hanging="248"/>
        <w:spacing w:after="0"/>
        <w:tabs>
          <w:tab w:leader="none" w:pos="860" w:val="left"/>
        </w:tabs>
        <w:numPr>
          <w:ilvl w:val="0"/>
          <w:numId w:val="73"/>
        </w:numPr>
        <w:rPr>
          <w:rFonts w:ascii="Arial" w:cs="Arial" w:eastAsia="Arial" w:hAnsi="Arial"/>
          <w:sz w:val="13"/>
          <w:szCs w:val="13"/>
          <w:color w:val="auto"/>
        </w:rPr>
      </w:pPr>
      <w:r>
        <w:rPr>
          <w:rFonts w:ascii="Arial" w:cs="Arial" w:eastAsia="Arial" w:hAnsi="Arial"/>
          <w:sz w:val="13"/>
          <w:szCs w:val="13"/>
          <w:color w:val="auto"/>
        </w:rPr>
        <w:t>Each individual executing any of the Documents, whether on behalf of such individual or any other person, is legally competent to do so.</w:t>
      </w:r>
    </w:p>
    <w:p>
      <w:pPr>
        <w:spacing w:after="0" w:line="99" w:lineRule="exact"/>
        <w:rPr>
          <w:rFonts w:ascii="Arial" w:cs="Arial" w:eastAsia="Arial" w:hAnsi="Arial"/>
          <w:sz w:val="13"/>
          <w:szCs w:val="13"/>
          <w:color w:val="auto"/>
        </w:rPr>
      </w:pPr>
    </w:p>
    <w:p>
      <w:pPr>
        <w:ind w:left="860" w:hanging="248"/>
        <w:spacing w:after="0"/>
        <w:tabs>
          <w:tab w:leader="none" w:pos="8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Each individual executing any of the Documents on behalf of a party (other than the Company) is duly authorized to do so.</w:t>
      </w:r>
    </w:p>
    <w:p>
      <w:pPr>
        <w:spacing w:after="0" w:line="87" w:lineRule="exact"/>
        <w:rPr>
          <w:rFonts w:ascii="Arial" w:cs="Arial" w:eastAsia="Arial" w:hAnsi="Arial"/>
          <w:sz w:val="14"/>
          <w:szCs w:val="14"/>
          <w:color w:val="auto"/>
        </w:rPr>
      </w:pPr>
    </w:p>
    <w:p>
      <w:pPr>
        <w:ind w:left="280" w:right="759" w:firstLine="332"/>
        <w:spacing w:after="0" w:line="257" w:lineRule="auto"/>
        <w:tabs>
          <w:tab w:leader="none" w:pos="8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63" w:lineRule="exact"/>
        <w:rPr>
          <w:rFonts w:ascii="Arial" w:cs="Arial" w:eastAsia="Arial" w:hAnsi="Arial"/>
          <w:sz w:val="14"/>
          <w:szCs w:val="14"/>
          <w:color w:val="auto"/>
        </w:rPr>
      </w:pPr>
    </w:p>
    <w:p>
      <w:pPr>
        <w:ind w:left="280" w:right="339" w:firstLine="332"/>
        <w:spacing w:after="0" w:line="274" w:lineRule="auto"/>
        <w:tabs>
          <w:tab w:leader="none" w:pos="853" w:val="left"/>
        </w:tabs>
        <w:numPr>
          <w:ilvl w:val="0"/>
          <w:numId w:val="73"/>
        </w:numPr>
        <w:rPr>
          <w:rFonts w:ascii="Arial" w:cs="Arial" w:eastAsia="Arial" w:hAnsi="Arial"/>
          <w:sz w:val="13"/>
          <w:szCs w:val="13"/>
          <w:color w:val="auto"/>
        </w:rPr>
      </w:pPr>
      <w:r>
        <w:rPr>
          <w:rFonts w:ascii="Arial" w:cs="Arial" w:eastAsia="Arial" w:hAnsi="Arial"/>
          <w:sz w:val="13"/>
          <w:szCs w:val="13"/>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54" w:lineRule="exact"/>
        <w:rPr>
          <w:rFonts w:ascii="Arial" w:cs="Arial" w:eastAsia="Arial" w:hAnsi="Arial"/>
          <w:sz w:val="13"/>
          <w:szCs w:val="13"/>
          <w:color w:val="auto"/>
        </w:rPr>
      </w:pPr>
    </w:p>
    <w:p>
      <w:pPr>
        <w:ind w:left="280" w:right="339" w:firstLine="332"/>
        <w:spacing w:after="0" w:line="286" w:lineRule="auto"/>
        <w:tabs>
          <w:tab w:leader="none" w:pos="858"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issuance of, and certain terms of, the Securities to be issued by the Company from time to time will be authorized and approved by the Board of Directors, or a duly authorized committee thereof, in accordance with the Maryland General Corporation Law, the Charter, the Bylaws and the Resolutions prior to the issuance of such Securities (such approval referred to herein as the “Corporate Proceedings”).</w:t>
      </w:r>
    </w:p>
    <w:p>
      <w:pPr>
        <w:sectPr>
          <w:pgSz w:w="11900" w:h="16838" w:orient="portrait"/>
          <w:cols w:equalWidth="0" w:num="1">
            <w:col w:w="9019"/>
          </w:cols>
          <w:pgMar w:left="1440" w:top="855" w:right="1440" w:bottom="1440" w:gutter="0" w:footer="0" w:header="0"/>
        </w:sectPr>
      </w:pPr>
    </w:p>
    <w:bookmarkStart w:id="110" w:name="page111"/>
    <w:bookmarkEnd w:id="110"/>
    <w:p>
      <w:pPr>
        <w:ind w:left="28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4">
                      <a:extLst>
                        <a:ext uri="{28A0092B-C50C-407E-A947-70E740481C1C}"/>
                      </a:extLst>
                    </a:blip>
                    <a:srcRect/>
                    <a:stretch>
                      <a:fillRect/>
                    </a:stretch>
                  </pic:blipFill>
                  <pic:spPr bwMode="auto">
                    <a:xfrm>
                      <a:off x="0" y="0"/>
                      <a:ext cx="7202805" cy="32385"/>
                    </a:xfrm>
                    <a:prstGeom prst="rect">
                      <a:avLst/>
                    </a:prstGeom>
                    <a:noFill/>
                  </pic:spPr>
                </pic:pic>
              </a:graphicData>
            </a:graphic>
          </wp:anchor>
        </w:drawing>
        <w:drawing>
          <wp:anchor simplePos="0" relativeHeight="251657728" behindDoc="1" locked="0" layoutInCell="0" allowOverlap="1">
            <wp:simplePos x="0" y="0"/>
            <wp:positionH relativeFrom="page">
              <wp:posOffset>1087755</wp:posOffset>
            </wp:positionH>
            <wp:positionV relativeFrom="page">
              <wp:posOffset>523240</wp:posOffset>
            </wp:positionV>
            <wp:extent cx="537337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5">
                      <a:extLst>
                        <a:ext uri="{28A0092B-C50C-407E-A947-70E740481C1C}"/>
                      </a:extLst>
                    </a:blip>
                    <a:srcRect/>
                    <a:stretch>
                      <a:fillRect/>
                    </a:stretch>
                  </pic:blipFill>
                  <pic:spPr bwMode="auto">
                    <a:xfrm>
                      <a:off x="0" y="0"/>
                      <a:ext cx="5373370" cy="6350"/>
                    </a:xfrm>
                    <a:prstGeom prst="rect">
                      <a:avLst/>
                    </a:prstGeom>
                    <a:noFill/>
                  </pic:spPr>
                </pic:pic>
              </a:graphicData>
            </a:graphic>
          </wp:anchor>
        </w:drawing>
        <w:drawing>
          <wp:anchor simplePos="0" relativeHeight="251657728" behindDoc="1" locked="0" layoutInCell="0" allowOverlap="1">
            <wp:simplePos x="0" y="0"/>
            <wp:positionH relativeFrom="page">
              <wp:posOffset>1087755</wp:posOffset>
            </wp:positionH>
            <wp:positionV relativeFrom="page">
              <wp:posOffset>161290</wp:posOffset>
            </wp:positionV>
            <wp:extent cx="1158875" cy="296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1158875" cy="296545"/>
                    </a:xfrm>
                    <a:prstGeom prst="rect">
                      <a:avLst/>
                    </a:prstGeom>
                    <a:noFill/>
                  </pic:spPr>
                </pic:pic>
              </a:graphicData>
            </a:graphic>
          </wp:anchor>
        </w:drawing>
        <w:t>PennantPark Floating Rate Capital Ltd.</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December 15, 2022</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Page 3</w:t>
      </w:r>
    </w:p>
    <w:p>
      <w:pPr>
        <w:spacing w:after="0" w:line="182" w:lineRule="exact"/>
        <w:rPr>
          <w:sz w:val="20"/>
          <w:szCs w:val="20"/>
          <w:color w:val="auto"/>
        </w:rPr>
      </w:pPr>
    </w:p>
    <w:p>
      <w:pPr>
        <w:ind w:left="280" w:right="399" w:firstLine="332"/>
        <w:spacing w:after="0" w:line="286" w:lineRule="auto"/>
        <w:tabs>
          <w:tab w:leader="none" w:pos="860" w:val="left"/>
        </w:tabs>
        <w:numPr>
          <w:ilvl w:val="0"/>
          <w:numId w:val="74"/>
        </w:numPr>
        <w:rPr>
          <w:rFonts w:ascii="Arial" w:cs="Arial" w:eastAsia="Arial" w:hAnsi="Arial"/>
          <w:sz w:val="13"/>
          <w:szCs w:val="13"/>
          <w:color w:val="auto"/>
        </w:rPr>
      </w:pPr>
      <w:r>
        <w:rPr>
          <w:rFonts w:ascii="Arial" w:cs="Arial" w:eastAsia="Arial" w:hAnsi="Arial"/>
          <w:sz w:val="13"/>
          <w:szCs w:val="13"/>
          <w:color w:val="auto"/>
        </w:rPr>
        <w:t>Upon the issuance of any Securities that are Common Shares, including Common Shares that may be issued upon the conversion or exercise of any other Securities convertible into or exercisable into Common Shares, the total number of shares of Common Stock issued and outstanding will not exceed the total number of shares of Common Stock that the Company is then authorized to issue under the Charter.</w:t>
      </w:r>
    </w:p>
    <w:p>
      <w:pPr>
        <w:spacing w:after="0" w:line="46" w:lineRule="exact"/>
        <w:rPr>
          <w:rFonts w:ascii="Arial" w:cs="Arial" w:eastAsia="Arial" w:hAnsi="Arial"/>
          <w:sz w:val="13"/>
          <w:szCs w:val="13"/>
          <w:color w:val="auto"/>
        </w:rPr>
      </w:pPr>
    </w:p>
    <w:p>
      <w:pPr>
        <w:ind w:left="280" w:right="379" w:firstLine="332"/>
        <w:spacing w:after="0" w:line="307" w:lineRule="auto"/>
        <w:tabs>
          <w:tab w:leader="none" w:pos="853" w:val="left"/>
        </w:tabs>
        <w:numPr>
          <w:ilvl w:val="0"/>
          <w:numId w:val="74"/>
        </w:numPr>
        <w:rPr>
          <w:rFonts w:ascii="Arial" w:cs="Arial" w:eastAsia="Arial" w:hAnsi="Arial"/>
          <w:sz w:val="13"/>
          <w:szCs w:val="13"/>
          <w:color w:val="auto"/>
        </w:rPr>
      </w:pPr>
      <w:r>
        <w:rPr>
          <w:rFonts w:ascii="Arial" w:cs="Arial" w:eastAsia="Arial" w:hAnsi="Arial"/>
          <w:sz w:val="13"/>
          <w:szCs w:val="13"/>
          <w:color w:val="auto"/>
        </w:rPr>
        <w:t>Articles Supplementary classifying and designating the number of shares and the terms of any class or series of Preferred Shares to be issued by the Company will be filed with and accepted for record by the SDAT prior to the issuance of such Preferred Shares.</w:t>
      </w:r>
    </w:p>
    <w:p>
      <w:pPr>
        <w:spacing w:after="0" w:line="32" w:lineRule="exact"/>
        <w:rPr>
          <w:rFonts w:ascii="Arial" w:cs="Arial" w:eastAsia="Arial" w:hAnsi="Arial"/>
          <w:sz w:val="13"/>
          <w:szCs w:val="13"/>
          <w:color w:val="auto"/>
        </w:rPr>
      </w:pPr>
    </w:p>
    <w:p>
      <w:pPr>
        <w:ind w:left="280" w:right="299" w:firstLine="332"/>
        <w:spacing w:after="0" w:line="252" w:lineRule="auto"/>
        <w:tabs>
          <w:tab w:leader="none" w:pos="8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Upon the issuance of any Securities that are Preferred Shares, including Preferred Shares which may be issued upon the conversion or exercise of any other Securities convertible into or exercisable for Preferred Shares, the total number of shares of Preferred Stock issued and outstanding, and the total number of issued and outstanding shares of the applicable class or series of Preferred Stock designated pursuant to the Charter, will not exceed the total number of shares of Preferred Stock or the number of shares of such class or series of Preferred Stock that the Company is then authorized to issue under the Charter.</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Based upon the foregoing, and subject to the assumptions, limitations and qualifications stated herein, it is our opinion that:</w:t>
      </w:r>
    </w:p>
    <w:p>
      <w:pPr>
        <w:spacing w:after="0" w:line="88" w:lineRule="exact"/>
        <w:rPr>
          <w:sz w:val="20"/>
          <w:szCs w:val="20"/>
          <w:color w:val="auto"/>
        </w:rPr>
      </w:pPr>
    </w:p>
    <w:p>
      <w:pPr>
        <w:ind w:left="280" w:right="319" w:firstLine="332"/>
        <w:spacing w:after="0" w:line="268" w:lineRule="auto"/>
        <w:tabs>
          <w:tab w:leader="none" w:pos="858"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Company is a corporation duly incorporated and existing under and by virtue of the laws of the State of Maryland and is in good standing with the SDAT.</w:t>
      </w:r>
    </w:p>
    <w:p>
      <w:pPr>
        <w:spacing w:after="0" w:line="55" w:lineRule="exact"/>
        <w:rPr>
          <w:rFonts w:ascii="Arial" w:cs="Arial" w:eastAsia="Arial" w:hAnsi="Arial"/>
          <w:sz w:val="14"/>
          <w:szCs w:val="14"/>
          <w:color w:val="auto"/>
        </w:rPr>
      </w:pPr>
    </w:p>
    <w:p>
      <w:pPr>
        <w:ind w:left="280" w:right="699" w:firstLine="332"/>
        <w:spacing w:after="0" w:line="286" w:lineRule="auto"/>
        <w:tabs>
          <w:tab w:leader="none" w:pos="860" w:val="left"/>
        </w:tabs>
        <w:numPr>
          <w:ilvl w:val="0"/>
          <w:numId w:val="75"/>
        </w:numPr>
        <w:rPr>
          <w:rFonts w:ascii="Arial" w:cs="Arial" w:eastAsia="Arial" w:hAnsi="Arial"/>
          <w:sz w:val="13"/>
          <w:szCs w:val="13"/>
          <w:color w:val="auto"/>
        </w:rPr>
      </w:pPr>
      <w:r>
        <w:rPr>
          <w:rFonts w:ascii="Arial" w:cs="Arial" w:eastAsia="Arial" w:hAnsi="Arial"/>
          <w:sz w:val="13"/>
          <w:szCs w:val="13"/>
          <w:color w:val="auto"/>
        </w:rPr>
        <w:t>Upon the completion of all Corporate Proceedings relating to the Common Shares, the issuance of the Common Shares will be duly authorized and, when and if issued and delivered against payment therefor in accordance with the Registration Statement, the Resolutions and the Corporate Proceedings, the Common Shares will be validly issued, fully paid and nonassessable.</w:t>
      </w:r>
    </w:p>
    <w:p>
      <w:pPr>
        <w:spacing w:after="0" w:line="46" w:lineRule="exact"/>
        <w:rPr>
          <w:rFonts w:ascii="Arial" w:cs="Arial" w:eastAsia="Arial" w:hAnsi="Arial"/>
          <w:sz w:val="13"/>
          <w:szCs w:val="13"/>
          <w:color w:val="auto"/>
        </w:rPr>
      </w:pPr>
    </w:p>
    <w:p>
      <w:pPr>
        <w:ind w:left="280" w:right="699" w:firstLine="332"/>
        <w:spacing w:after="0" w:line="286" w:lineRule="auto"/>
        <w:tabs>
          <w:tab w:leader="none" w:pos="860" w:val="left"/>
        </w:tabs>
        <w:numPr>
          <w:ilvl w:val="0"/>
          <w:numId w:val="75"/>
        </w:numPr>
        <w:rPr>
          <w:rFonts w:ascii="Arial" w:cs="Arial" w:eastAsia="Arial" w:hAnsi="Arial"/>
          <w:sz w:val="13"/>
          <w:szCs w:val="13"/>
          <w:color w:val="auto"/>
        </w:rPr>
      </w:pPr>
      <w:r>
        <w:rPr>
          <w:rFonts w:ascii="Arial" w:cs="Arial" w:eastAsia="Arial" w:hAnsi="Arial"/>
          <w:sz w:val="13"/>
          <w:szCs w:val="13"/>
          <w:color w:val="auto"/>
        </w:rPr>
        <w:t>Upon the completion of all Corporate Proceedings relating to the Preferred Shares, the issuance of the Preferred Shares will be duly authorized and, when and if issued and delivered against payment therefor in accordance with the Registration Statement, the Resolutions and the Corporate Proceedings, the Preferred Shares will be validly issued, fully paid and nonassessable.</w:t>
      </w:r>
    </w:p>
    <w:p>
      <w:pPr>
        <w:spacing w:after="0" w:line="46" w:lineRule="exact"/>
        <w:rPr>
          <w:rFonts w:ascii="Arial" w:cs="Arial" w:eastAsia="Arial" w:hAnsi="Arial"/>
          <w:sz w:val="13"/>
          <w:szCs w:val="13"/>
          <w:color w:val="auto"/>
        </w:rPr>
      </w:pPr>
    </w:p>
    <w:p>
      <w:pPr>
        <w:ind w:left="860" w:hanging="248"/>
        <w:spacing w:after="0"/>
        <w:tabs>
          <w:tab w:leader="none" w:pos="860" w:val="left"/>
        </w:tabs>
        <w:numPr>
          <w:ilvl w:val="0"/>
          <w:numId w:val="75"/>
        </w:numPr>
        <w:rPr>
          <w:rFonts w:ascii="Arial" w:cs="Arial" w:eastAsia="Arial" w:hAnsi="Arial"/>
          <w:sz w:val="13"/>
          <w:szCs w:val="13"/>
          <w:color w:val="auto"/>
        </w:rPr>
      </w:pPr>
      <w:r>
        <w:rPr>
          <w:rFonts w:ascii="Arial" w:cs="Arial" w:eastAsia="Arial" w:hAnsi="Arial"/>
          <w:sz w:val="13"/>
          <w:szCs w:val="13"/>
          <w:color w:val="auto"/>
        </w:rPr>
        <w:t>Upon the completion of all Corporate Proceedings relating to the Warrants, the issuance of the Warrants will be duly authorized.</w:t>
      </w:r>
    </w:p>
    <w:p>
      <w:pPr>
        <w:spacing w:after="0" w:line="99" w:lineRule="exact"/>
        <w:rPr>
          <w:rFonts w:ascii="Arial" w:cs="Arial" w:eastAsia="Arial" w:hAnsi="Arial"/>
          <w:sz w:val="13"/>
          <w:szCs w:val="13"/>
          <w:color w:val="auto"/>
        </w:rPr>
      </w:pPr>
    </w:p>
    <w:p>
      <w:pPr>
        <w:ind w:left="280" w:right="539" w:firstLine="332"/>
        <w:spacing w:after="0" w:line="268" w:lineRule="auto"/>
        <w:tabs>
          <w:tab w:leader="none" w:pos="8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Upon the completion of all Corporate Proceedings relating to the Subscription Rights, the issuance of the Subscription Rights will be duly authorized.</w:t>
      </w:r>
    </w:p>
    <w:p>
      <w:pPr>
        <w:sectPr>
          <w:pgSz w:w="11900" w:h="16838" w:orient="portrait"/>
          <w:cols w:equalWidth="0" w:num="1">
            <w:col w:w="9019"/>
          </w:cols>
          <w:pgMar w:left="1440" w:top="854" w:right="1440" w:bottom="1440" w:gutter="0" w:footer="0" w:header="0"/>
        </w:sectPr>
      </w:pPr>
    </w:p>
    <w:bookmarkStart w:id="111" w:name="page112"/>
    <w:bookmarkEnd w:id="111"/>
    <w:p>
      <w:pPr>
        <w:ind w:left="28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7">
                      <a:extLst>
                        <a:ext uri="{28A0092B-C50C-407E-A947-70E740481C1C}"/>
                      </a:extLst>
                    </a:blip>
                    <a:srcRect/>
                    <a:stretch>
                      <a:fillRect/>
                    </a:stretch>
                  </pic:blipFill>
                  <pic:spPr bwMode="auto">
                    <a:xfrm>
                      <a:off x="0" y="0"/>
                      <a:ext cx="7202805" cy="32385"/>
                    </a:xfrm>
                    <a:prstGeom prst="rect">
                      <a:avLst/>
                    </a:prstGeom>
                    <a:noFill/>
                  </pic:spPr>
                </pic:pic>
              </a:graphicData>
            </a:graphic>
          </wp:anchor>
        </w:drawing>
        <w:drawing>
          <wp:anchor simplePos="0" relativeHeight="251657728" behindDoc="1" locked="0" layoutInCell="0" allowOverlap="1">
            <wp:simplePos x="0" y="0"/>
            <wp:positionH relativeFrom="page">
              <wp:posOffset>1087755</wp:posOffset>
            </wp:positionH>
            <wp:positionV relativeFrom="page">
              <wp:posOffset>523240</wp:posOffset>
            </wp:positionV>
            <wp:extent cx="537337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8">
                      <a:extLst>
                        <a:ext uri="{28A0092B-C50C-407E-A947-70E740481C1C}"/>
                      </a:extLst>
                    </a:blip>
                    <a:srcRect/>
                    <a:stretch>
                      <a:fillRect/>
                    </a:stretch>
                  </pic:blipFill>
                  <pic:spPr bwMode="auto">
                    <a:xfrm>
                      <a:off x="0" y="0"/>
                      <a:ext cx="5373370" cy="6350"/>
                    </a:xfrm>
                    <a:prstGeom prst="rect">
                      <a:avLst/>
                    </a:prstGeom>
                    <a:noFill/>
                  </pic:spPr>
                </pic:pic>
              </a:graphicData>
            </a:graphic>
          </wp:anchor>
        </w:drawing>
        <w:drawing>
          <wp:anchor simplePos="0" relativeHeight="251657728" behindDoc="1" locked="0" layoutInCell="0" allowOverlap="1">
            <wp:simplePos x="0" y="0"/>
            <wp:positionH relativeFrom="page">
              <wp:posOffset>1087755</wp:posOffset>
            </wp:positionH>
            <wp:positionV relativeFrom="page">
              <wp:posOffset>161290</wp:posOffset>
            </wp:positionV>
            <wp:extent cx="1158875" cy="296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1158875" cy="296545"/>
                    </a:xfrm>
                    <a:prstGeom prst="rect">
                      <a:avLst/>
                    </a:prstGeom>
                    <a:noFill/>
                  </pic:spPr>
                </pic:pic>
              </a:graphicData>
            </a:graphic>
          </wp:anchor>
        </w:drawing>
        <w:t>PennantPark Floating Rate Capital Ltd.</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December 15, 2022</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Page 4</w:t>
      </w:r>
    </w:p>
    <w:p>
      <w:pPr>
        <w:spacing w:after="0" w:line="182" w:lineRule="exact"/>
        <w:rPr>
          <w:sz w:val="20"/>
          <w:szCs w:val="20"/>
          <w:color w:val="auto"/>
        </w:rPr>
      </w:pPr>
    </w:p>
    <w:p>
      <w:pPr>
        <w:ind w:left="620"/>
        <w:spacing w:after="0"/>
        <w:tabs>
          <w:tab w:leader="none" w:pos="840" w:val="left"/>
        </w:tabs>
        <w:rPr>
          <w:sz w:val="20"/>
          <w:szCs w:val="20"/>
          <w:color w:val="auto"/>
        </w:rPr>
      </w:pPr>
      <w:r>
        <w:rPr>
          <w:rFonts w:ascii="Arial" w:cs="Arial" w:eastAsia="Arial" w:hAnsi="Arial"/>
          <w:sz w:val="14"/>
          <w:szCs w:val="14"/>
          <w:color w:val="auto"/>
        </w:rPr>
        <w:t>6.</w:t>
      </w:r>
      <w:r>
        <w:rPr>
          <w:sz w:val="20"/>
          <w:szCs w:val="20"/>
          <w:color w:val="auto"/>
        </w:rPr>
        <w:tab/>
      </w:r>
      <w:r>
        <w:rPr>
          <w:rFonts w:ascii="Arial" w:cs="Arial" w:eastAsia="Arial" w:hAnsi="Arial"/>
          <w:sz w:val="12"/>
          <w:szCs w:val="12"/>
          <w:color w:val="auto"/>
        </w:rPr>
        <w:t>Upon the completion of all Corporate Proceedings relating to the Debt Securities, the issuance of the Debt Securities will be duly authorized.</w:t>
      </w:r>
    </w:p>
    <w:p>
      <w:pPr>
        <w:spacing w:after="0" w:line="171" w:lineRule="exact"/>
        <w:rPr>
          <w:sz w:val="20"/>
          <w:szCs w:val="20"/>
          <w:color w:val="auto"/>
        </w:rPr>
      </w:pPr>
    </w:p>
    <w:p>
      <w:pPr>
        <w:ind w:left="280" w:right="479" w:firstLine="338"/>
        <w:spacing w:after="0" w:line="257" w:lineRule="auto"/>
        <w:rPr>
          <w:sz w:val="20"/>
          <w:szCs w:val="20"/>
          <w:color w:val="auto"/>
        </w:rPr>
      </w:pPr>
      <w:r>
        <w:rPr>
          <w:rFonts w:ascii="Arial" w:cs="Arial" w:eastAsia="Arial" w:hAnsi="Arial"/>
          <w:sz w:val="14"/>
          <w:szCs w:val="14"/>
          <w:color w:val="auto"/>
        </w:rPr>
        <w:t>The foregoing opinion is limited to the laws of the State of Maryland and we do not express any opinion herein concerning any other law. We express no opinion as to compliance with, or the applicability of, the 1940 Act and other federal securities laws, or state securities laws, including the securities laws of the State of Maryland.</w:t>
      </w:r>
    </w:p>
    <w:p>
      <w:pPr>
        <w:spacing w:after="0" w:line="146" w:lineRule="exact"/>
        <w:rPr>
          <w:sz w:val="20"/>
          <w:szCs w:val="20"/>
          <w:color w:val="auto"/>
        </w:rPr>
      </w:pPr>
    </w:p>
    <w:p>
      <w:pPr>
        <w:ind w:left="280" w:right="419" w:firstLine="338"/>
        <w:spacing w:after="0" w:line="257" w:lineRule="auto"/>
        <w:rPr>
          <w:sz w:val="20"/>
          <w:szCs w:val="20"/>
          <w:color w:val="auto"/>
        </w:rPr>
      </w:pPr>
      <w:r>
        <w:rPr>
          <w:rFonts w:ascii="Arial" w:cs="Arial" w:eastAsia="Arial" w:hAnsi="Arial"/>
          <w:sz w:val="14"/>
          <w:szCs w:val="14"/>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46" w:lineRule="exact"/>
        <w:rPr>
          <w:sz w:val="20"/>
          <w:szCs w:val="20"/>
          <w:color w:val="auto"/>
        </w:rPr>
      </w:pPr>
    </w:p>
    <w:p>
      <w:pPr>
        <w:jc w:val="both"/>
        <w:ind w:left="280" w:right="459" w:firstLine="338"/>
        <w:spacing w:after="0" w:line="257" w:lineRule="auto"/>
        <w:rPr>
          <w:sz w:val="20"/>
          <w:szCs w:val="20"/>
          <w:color w:val="auto"/>
        </w:rPr>
      </w:pPr>
      <w:r>
        <w:rPr>
          <w:rFonts w:ascii="Arial" w:cs="Arial" w:eastAsia="Arial" w:hAnsi="Arial"/>
          <w:sz w:val="14"/>
          <w:szCs w:val="14"/>
          <w:color w:val="auto"/>
        </w:rPr>
        <w:t>This opinion is being furnished to you for submission to the Commission as an exhibit to the Registration Statement. We hereby consent to the filing of this opinion as an exhibit to the Registration Statement and to the use of the name of our firm therein. In giving this consent, we do not admit that we are within the category of persons whose consent is required by Section 7 of the 1933 Act.</w:t>
      </w:r>
    </w:p>
    <w:p>
      <w:pPr>
        <w:spacing w:after="0" w:line="146" w:lineRule="exact"/>
        <w:rPr>
          <w:sz w:val="20"/>
          <w:szCs w:val="20"/>
          <w:color w:val="auto"/>
        </w:rPr>
      </w:pPr>
    </w:p>
    <w:p>
      <w:pPr>
        <w:ind w:left="5280"/>
        <w:spacing w:after="0"/>
        <w:rPr>
          <w:sz w:val="20"/>
          <w:szCs w:val="20"/>
          <w:color w:val="auto"/>
        </w:rPr>
      </w:pPr>
      <w:r>
        <w:rPr>
          <w:rFonts w:ascii="Arial" w:cs="Arial" w:eastAsia="Arial" w:hAnsi="Arial"/>
          <w:sz w:val="14"/>
          <w:szCs w:val="14"/>
          <w:color w:val="auto"/>
        </w:rPr>
        <w:t>Very truly yours,</w:t>
      </w:r>
    </w:p>
    <w:p>
      <w:pPr>
        <w:spacing w:after="0" w:line="171" w:lineRule="exact"/>
        <w:rPr>
          <w:sz w:val="20"/>
          <w:szCs w:val="20"/>
          <w:color w:val="auto"/>
        </w:rPr>
      </w:pPr>
    </w:p>
    <w:p>
      <w:pPr>
        <w:ind w:left="5280"/>
        <w:spacing w:after="0"/>
        <w:rPr>
          <w:sz w:val="20"/>
          <w:szCs w:val="20"/>
          <w:color w:val="auto"/>
        </w:rPr>
      </w:pPr>
      <w:r>
        <w:rPr>
          <w:rFonts w:ascii="Arial" w:cs="Arial" w:eastAsia="Arial" w:hAnsi="Arial"/>
          <w:sz w:val="14"/>
          <w:szCs w:val="14"/>
          <w:color w:val="auto"/>
        </w:rPr>
        <w:t>/s/ Venable LLP</w:t>
      </w:r>
    </w:p>
    <w:p>
      <w:pPr>
        <w:sectPr>
          <w:pgSz w:w="11900" w:h="16838" w:orient="portrait"/>
          <w:cols w:equalWidth="0" w:num="1">
            <w:col w:w="9019"/>
          </w:cols>
          <w:pgMar w:left="1440" w:top="855" w:right="1440" w:bottom="1440" w:gutter="0" w:footer="0" w:header="0"/>
        </w:sectPr>
      </w:pPr>
    </w:p>
    <w:bookmarkStart w:id="112" w:name="page113"/>
    <w:bookmarkEnd w:id="112"/>
    <w:p>
      <w:pPr>
        <w:jc w:val="right"/>
        <w:spacing w:after="0"/>
        <w:rPr>
          <w:sz w:val="20"/>
          <w:szCs w:val="20"/>
          <w:color w:val="auto"/>
        </w:rPr>
      </w:pPr>
      <w:r>
        <w:rPr>
          <w:rFonts w:ascii="Arial" w:cs="Arial" w:eastAsia="Arial" w:hAnsi="Arial"/>
          <w:sz w:val="14"/>
          <w:szCs w:val="14"/>
          <w:b w:val="1"/>
          <w:bCs w:val="1"/>
          <w:color w:val="auto"/>
        </w:rPr>
        <w:t>Exhibit (l)(2)</w:t>
      </w:r>
    </w:p>
    <w:p>
      <w:pPr>
        <w:spacing w:after="0" w:line="196" w:lineRule="exact"/>
        <w:rPr>
          <w:sz w:val="20"/>
          <w:szCs w:val="20"/>
          <w:color w:val="auto"/>
        </w:rPr>
      </w:pPr>
    </w:p>
    <w:p>
      <w:pPr>
        <w:ind w:left="7680"/>
        <w:spacing w:after="0"/>
        <w:rPr>
          <w:sz w:val="20"/>
          <w:szCs w:val="20"/>
          <w:color w:val="auto"/>
        </w:rPr>
      </w:pPr>
      <w:r>
        <w:rPr>
          <w:rFonts w:ascii="Arial" w:cs="Arial" w:eastAsia="Arial" w:hAnsi="Arial"/>
          <w:sz w:val="14"/>
          <w:szCs w:val="14"/>
          <w:color w:val="auto"/>
        </w:rPr>
        <w:t>Three Bryant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875665" cy="3359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0">
                      <a:extLst>
                        <a:ext uri="{28A0092B-C50C-407E-A947-70E740481C1C}"/>
                      </a:extLst>
                    </a:blip>
                    <a:srcRect/>
                    <a:stretch>
                      <a:fillRect/>
                    </a:stretch>
                  </pic:blipFill>
                  <pic:spPr bwMode="auto">
                    <a:xfrm>
                      <a:off x="0" y="0"/>
                      <a:ext cx="875665" cy="335915"/>
                    </a:xfrm>
                    <a:prstGeom prst="rect">
                      <a:avLst/>
                    </a:prstGeom>
                    <a:noFill/>
                  </pic:spPr>
                </pic:pic>
              </a:graphicData>
            </a:graphic>
          </wp:anchor>
        </w:drawing>
      </w:r>
    </w:p>
    <w:p>
      <w:pPr>
        <w:ind w:left="7680"/>
        <w:spacing w:after="0"/>
        <w:rPr>
          <w:sz w:val="20"/>
          <w:szCs w:val="20"/>
          <w:color w:val="auto"/>
        </w:rPr>
      </w:pPr>
      <w:r>
        <w:rPr>
          <w:rFonts w:ascii="Arial" w:cs="Arial" w:eastAsia="Arial" w:hAnsi="Arial"/>
          <w:sz w:val="14"/>
          <w:szCs w:val="14"/>
          <w:color w:val="auto"/>
        </w:rPr>
        <w:t>1095 Avenue of the Americas</w:t>
      </w:r>
    </w:p>
    <w:p>
      <w:pPr>
        <w:spacing w:after="0" w:line="5" w:lineRule="exact"/>
        <w:rPr>
          <w:sz w:val="20"/>
          <w:szCs w:val="20"/>
          <w:color w:val="auto"/>
        </w:rPr>
      </w:pPr>
    </w:p>
    <w:p>
      <w:pPr>
        <w:ind w:left="7680"/>
        <w:spacing w:after="0"/>
        <w:rPr>
          <w:sz w:val="20"/>
          <w:szCs w:val="20"/>
          <w:color w:val="auto"/>
        </w:rPr>
      </w:pPr>
      <w:r>
        <w:rPr>
          <w:rFonts w:ascii="Arial" w:cs="Arial" w:eastAsia="Arial" w:hAnsi="Arial"/>
          <w:sz w:val="14"/>
          <w:szCs w:val="14"/>
          <w:color w:val="auto"/>
        </w:rPr>
        <w:t>New York, NY 10036-6797</w:t>
      </w:r>
    </w:p>
    <w:p>
      <w:pPr>
        <w:spacing w:after="0" w:line="5" w:lineRule="exact"/>
        <w:rPr>
          <w:sz w:val="20"/>
          <w:szCs w:val="20"/>
          <w:color w:val="auto"/>
        </w:rPr>
      </w:pPr>
    </w:p>
    <w:p>
      <w:pPr>
        <w:ind w:left="7680"/>
        <w:spacing w:after="0"/>
        <w:rPr>
          <w:sz w:val="20"/>
          <w:szCs w:val="20"/>
          <w:color w:val="auto"/>
        </w:rPr>
      </w:pPr>
      <w:r>
        <w:rPr>
          <w:rFonts w:ascii="Arial" w:cs="Arial" w:eastAsia="Arial" w:hAnsi="Arial"/>
          <w:sz w:val="14"/>
          <w:szCs w:val="14"/>
          <w:color w:val="auto"/>
        </w:rPr>
        <w:t>+1 212 698 3500 Main</w:t>
      </w:r>
    </w:p>
    <w:p>
      <w:pPr>
        <w:spacing w:after="0" w:line="5" w:lineRule="exact"/>
        <w:rPr>
          <w:sz w:val="20"/>
          <w:szCs w:val="20"/>
          <w:color w:val="auto"/>
        </w:rPr>
      </w:pPr>
    </w:p>
    <w:p>
      <w:pPr>
        <w:ind w:left="7680"/>
        <w:spacing w:after="0"/>
        <w:rPr>
          <w:sz w:val="20"/>
          <w:szCs w:val="20"/>
          <w:color w:val="auto"/>
        </w:rPr>
      </w:pPr>
      <w:r>
        <w:rPr>
          <w:rFonts w:ascii="Arial" w:cs="Arial" w:eastAsia="Arial" w:hAnsi="Arial"/>
          <w:sz w:val="14"/>
          <w:szCs w:val="14"/>
          <w:color w:val="auto"/>
        </w:rPr>
        <w:t>+1 212 698 3599 Fax</w:t>
      </w:r>
    </w:p>
    <w:p>
      <w:pPr>
        <w:spacing w:after="0" w:line="5" w:lineRule="exact"/>
        <w:rPr>
          <w:sz w:val="20"/>
          <w:szCs w:val="20"/>
          <w:color w:val="auto"/>
        </w:rPr>
      </w:pPr>
    </w:p>
    <w:p>
      <w:pPr>
        <w:ind w:left="7680"/>
        <w:spacing w:after="0"/>
        <w:rPr>
          <w:sz w:val="20"/>
          <w:szCs w:val="20"/>
          <w:color w:val="auto"/>
        </w:rPr>
      </w:pPr>
      <w:r>
        <w:rPr>
          <w:rFonts w:ascii="Arial" w:cs="Arial" w:eastAsia="Arial" w:hAnsi="Arial"/>
          <w:sz w:val="14"/>
          <w:szCs w:val="14"/>
          <w:color w:val="auto"/>
        </w:rPr>
        <w:t>www.dechert.com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4808855</wp:posOffset>
            </wp:positionH>
            <wp:positionV relativeFrom="paragraph">
              <wp:posOffset>3810</wp:posOffset>
            </wp:positionV>
            <wp:extent cx="235712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1">
                      <a:extLst>
                        <a:ext uri="{28A0092B-C50C-407E-A947-70E740481C1C}"/>
                      </a:extLst>
                    </a:blip>
                    <a:srcRect/>
                    <a:stretch>
                      <a:fillRect/>
                    </a:stretch>
                  </pic:blipFill>
                  <pic:spPr bwMode="auto">
                    <a:xfrm>
                      <a:off x="0" y="0"/>
                      <a:ext cx="2357120" cy="635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December 15, 2022</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PennantPark Floating Rate Capital Ltd.</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1691 Michigan Avenue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Miami, Florida 33139</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Re: </w:t>
      </w:r>
      <w:r>
        <w:rPr>
          <w:rFonts w:ascii="Arial" w:cs="Arial" w:eastAsia="Arial" w:hAnsi="Arial"/>
          <w:sz w:val="14"/>
          <w:szCs w:val="14"/>
          <w:u w:val="single" w:color="auto"/>
          <w:color w:val="auto"/>
        </w:rPr>
        <w:t>Registration Statement on Form N-2</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Ladies and Gentlemen:</w:t>
      </w:r>
    </w:p>
    <w:p>
      <w:pPr>
        <w:spacing w:after="0" w:line="88" w:lineRule="exact"/>
        <w:rPr>
          <w:sz w:val="20"/>
          <w:szCs w:val="20"/>
          <w:color w:val="auto"/>
        </w:rPr>
      </w:pPr>
    </w:p>
    <w:p>
      <w:pPr>
        <w:ind w:right="120"/>
        <w:spacing w:after="0" w:line="250" w:lineRule="auto"/>
        <w:rPr>
          <w:sz w:val="20"/>
          <w:szCs w:val="20"/>
          <w:color w:val="auto"/>
        </w:rPr>
      </w:pPr>
      <w:r>
        <w:rPr>
          <w:rFonts w:ascii="Arial" w:cs="Arial" w:eastAsia="Arial" w:hAnsi="Arial"/>
          <w:sz w:val="14"/>
          <w:szCs w:val="14"/>
          <w:color w:val="auto"/>
        </w:rPr>
        <w:t>We have acted as counsel to PennantPark Floating Rate Capital Ltd., a Maryland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in connection with the preparation and filing of a Registration Statement on Form N-2 (as amended, the “</w:t>
      </w:r>
      <w:r>
        <w:rPr>
          <w:rFonts w:ascii="Arial" w:cs="Arial" w:eastAsia="Arial" w:hAnsi="Arial"/>
          <w:sz w:val="14"/>
          <w:szCs w:val="14"/>
          <w:u w:val="single" w:color="auto"/>
          <w:color w:val="auto"/>
        </w:rPr>
        <w:t>Registration Statement</w:t>
      </w:r>
      <w:r>
        <w:rPr>
          <w:rFonts w:ascii="Arial" w:cs="Arial" w:eastAsia="Arial" w:hAnsi="Arial"/>
          <w:sz w:val="14"/>
          <w:szCs w:val="14"/>
          <w:color w:val="auto"/>
        </w:rPr>
        <w:t>”), filed on the date hereof, with the U.S. Securities and Exchange Commission (the “</w:t>
      </w:r>
      <w:r>
        <w:rPr>
          <w:rFonts w:ascii="Arial" w:cs="Arial" w:eastAsia="Arial" w:hAnsi="Arial"/>
          <w:sz w:val="14"/>
          <w:szCs w:val="14"/>
          <w:u w:val="single" w:color="auto"/>
          <w:color w:val="auto"/>
        </w:rPr>
        <w:t>Commission</w:t>
      </w:r>
      <w:r>
        <w:rPr>
          <w:rFonts w:ascii="Arial" w:cs="Arial" w:eastAsia="Arial" w:hAnsi="Arial"/>
          <w:sz w:val="14"/>
          <w:szCs w:val="14"/>
          <w:color w:val="auto"/>
        </w:rPr>
        <w:t>”) under the Securities Act of 1933, as amended (the “</w:t>
      </w:r>
      <w:r>
        <w:rPr>
          <w:rFonts w:ascii="Arial" w:cs="Arial" w:eastAsia="Arial" w:hAnsi="Arial"/>
          <w:sz w:val="14"/>
          <w:szCs w:val="14"/>
          <w:u w:val="single" w:color="auto"/>
          <w:color w:val="auto"/>
        </w:rPr>
        <w:t>Securities</w:t>
      </w:r>
      <w:r>
        <w:rPr>
          <w:rFonts w:ascii="Arial" w:cs="Arial" w:eastAsia="Arial" w:hAnsi="Arial"/>
          <w:sz w:val="14"/>
          <w:szCs w:val="14"/>
          <w:color w:val="auto"/>
        </w:rPr>
        <w:t xml:space="preserve"> </w:t>
      </w:r>
      <w:r>
        <w:rPr>
          <w:rFonts w:ascii="Arial" w:cs="Arial" w:eastAsia="Arial" w:hAnsi="Arial"/>
          <w:sz w:val="14"/>
          <w:szCs w:val="14"/>
          <w:u w:val="single" w:color="auto"/>
          <w:color w:val="auto"/>
        </w:rPr>
        <w:t>Act</w:t>
      </w:r>
      <w:r>
        <w:rPr>
          <w:rFonts w:ascii="Arial" w:cs="Arial" w:eastAsia="Arial" w:hAnsi="Arial"/>
          <w:sz w:val="14"/>
          <w:szCs w:val="14"/>
          <w:color w:val="auto"/>
        </w:rPr>
        <w:t>”), relating to possible offerings from time to time of up to an aggregate of $500,000,000 of the following securities of the Company: (1) shares of common stock, par value $0.001 per share, of the Company (“</w:t>
      </w:r>
      <w:r>
        <w:rPr>
          <w:rFonts w:ascii="Arial" w:cs="Arial" w:eastAsia="Arial" w:hAnsi="Arial"/>
          <w:sz w:val="14"/>
          <w:szCs w:val="14"/>
          <w:u w:val="single" w:color="auto"/>
          <w:color w:val="auto"/>
        </w:rPr>
        <w:t>Common Stock</w:t>
      </w:r>
      <w:r>
        <w:rPr>
          <w:rFonts w:ascii="Arial" w:cs="Arial" w:eastAsia="Arial" w:hAnsi="Arial"/>
          <w:sz w:val="14"/>
          <w:szCs w:val="14"/>
          <w:color w:val="auto"/>
        </w:rPr>
        <w:t>”), (2) shares of preferred stock, par value $0.001 per share, of the Company (“</w:t>
      </w:r>
      <w:r>
        <w:rPr>
          <w:rFonts w:ascii="Arial" w:cs="Arial" w:eastAsia="Arial" w:hAnsi="Arial"/>
          <w:sz w:val="14"/>
          <w:szCs w:val="14"/>
          <w:u w:val="single" w:color="auto"/>
          <w:color w:val="auto"/>
        </w:rPr>
        <w:t>Preferred Stock</w:t>
      </w:r>
      <w:r>
        <w:rPr>
          <w:rFonts w:ascii="Arial" w:cs="Arial" w:eastAsia="Arial" w:hAnsi="Arial"/>
          <w:sz w:val="14"/>
          <w:szCs w:val="14"/>
          <w:color w:val="auto"/>
        </w:rPr>
        <w:t>”), (3) warrants of the Company (“</w:t>
      </w:r>
      <w:r>
        <w:rPr>
          <w:rFonts w:ascii="Arial" w:cs="Arial" w:eastAsia="Arial" w:hAnsi="Arial"/>
          <w:sz w:val="14"/>
          <w:szCs w:val="14"/>
          <w:u w:val="single" w:color="auto"/>
          <w:color w:val="auto"/>
        </w:rPr>
        <w:t>Warrants</w:t>
      </w:r>
      <w:r>
        <w:rPr>
          <w:rFonts w:ascii="Arial" w:cs="Arial" w:eastAsia="Arial" w:hAnsi="Arial"/>
          <w:sz w:val="14"/>
          <w:szCs w:val="14"/>
          <w:color w:val="auto"/>
        </w:rPr>
        <w:t>”) to purchase Common Stock, Preferred Stock or Debt Securities (as defined below), (4) rights to purchase Common Stock (the “</w:t>
      </w:r>
      <w:r>
        <w:rPr>
          <w:rFonts w:ascii="Arial" w:cs="Arial" w:eastAsia="Arial" w:hAnsi="Arial"/>
          <w:sz w:val="14"/>
          <w:szCs w:val="14"/>
          <w:u w:val="single" w:color="auto"/>
          <w:color w:val="auto"/>
        </w:rPr>
        <w:t>Subscription Rights</w:t>
      </w:r>
      <w:r>
        <w:rPr>
          <w:rFonts w:ascii="Arial" w:cs="Arial" w:eastAsia="Arial" w:hAnsi="Arial"/>
          <w:sz w:val="14"/>
          <w:szCs w:val="14"/>
          <w:color w:val="auto"/>
        </w:rPr>
        <w:t>”) and (5) debt securities (“</w:t>
      </w:r>
      <w:r>
        <w:rPr>
          <w:rFonts w:ascii="Arial" w:cs="Arial" w:eastAsia="Arial" w:hAnsi="Arial"/>
          <w:sz w:val="14"/>
          <w:szCs w:val="14"/>
          <w:u w:val="single" w:color="auto"/>
          <w:color w:val="auto"/>
        </w:rPr>
        <w:t>Debt Securities</w:t>
      </w:r>
      <w:r>
        <w:rPr>
          <w:rFonts w:ascii="Arial" w:cs="Arial" w:eastAsia="Arial" w:hAnsi="Arial"/>
          <w:sz w:val="14"/>
          <w:szCs w:val="14"/>
          <w:color w:val="auto"/>
        </w:rPr>
        <w:t>”) to be issued pursuant to an indenture between the Company and American Stock Transfer &amp; Trust Company, LLC, as trustee (the “</w:t>
      </w:r>
      <w:r>
        <w:rPr>
          <w:rFonts w:ascii="Arial" w:cs="Arial" w:eastAsia="Arial" w:hAnsi="Arial"/>
          <w:sz w:val="14"/>
          <w:szCs w:val="14"/>
          <w:u w:val="single" w:color="auto"/>
          <w:color w:val="auto"/>
        </w:rPr>
        <w:t>Trustee</w:t>
      </w:r>
      <w:r>
        <w:rPr>
          <w:rFonts w:ascii="Arial" w:cs="Arial" w:eastAsia="Arial" w:hAnsi="Arial"/>
          <w:sz w:val="14"/>
          <w:szCs w:val="14"/>
          <w:color w:val="auto"/>
        </w:rPr>
        <w:t>”). The Warrants, Subscription Rights and Debt Securities are collectively referred to herein as the “</w:t>
      </w:r>
      <w:r>
        <w:rPr>
          <w:rFonts w:ascii="Arial" w:cs="Arial" w:eastAsia="Arial" w:hAnsi="Arial"/>
          <w:sz w:val="14"/>
          <w:szCs w:val="14"/>
          <w:u w:val="single" w:color="auto"/>
          <w:color w:val="auto"/>
        </w:rPr>
        <w:t>Securities</w:t>
      </w:r>
      <w:r>
        <w:rPr>
          <w:rFonts w:ascii="Arial" w:cs="Arial" w:eastAsia="Arial" w:hAnsi="Arial"/>
          <w:sz w:val="14"/>
          <w:szCs w:val="14"/>
          <w:color w:val="auto"/>
        </w:rPr>
        <w:t>.”</w:t>
      </w:r>
    </w:p>
    <w:p>
      <w:pPr>
        <w:spacing w:after="0" w:line="153" w:lineRule="exact"/>
        <w:rPr>
          <w:sz w:val="20"/>
          <w:szCs w:val="20"/>
          <w:color w:val="auto"/>
        </w:rPr>
      </w:pPr>
    </w:p>
    <w:p>
      <w:pPr>
        <w:ind w:right="160"/>
        <w:spacing w:after="0" w:line="286" w:lineRule="auto"/>
        <w:rPr>
          <w:sz w:val="20"/>
          <w:szCs w:val="20"/>
          <w:color w:val="auto"/>
        </w:rPr>
      </w:pPr>
      <w:r>
        <w:rPr>
          <w:rFonts w:ascii="Arial" w:cs="Arial" w:eastAsia="Arial" w:hAnsi="Arial"/>
          <w:sz w:val="13"/>
          <w:szCs w:val="13"/>
          <w:color w:val="auto"/>
        </w:rPr>
        <w:t>The Registration Statement provides that the Securities may be offered separately or together, in separate series, in amounts, at prices and on terms to be set forth in one or more supplements to the prospectus included in the Registration Statement (each, a “</w:t>
      </w:r>
      <w:r>
        <w:rPr>
          <w:rFonts w:ascii="Arial" w:cs="Arial" w:eastAsia="Arial" w:hAnsi="Arial"/>
          <w:sz w:val="13"/>
          <w:szCs w:val="13"/>
          <w:u w:val="single" w:color="auto"/>
          <w:color w:val="auto"/>
        </w:rPr>
        <w:t>Prospectus Supplement</w:t>
      </w:r>
      <w:r>
        <w:rPr>
          <w:rFonts w:ascii="Arial" w:cs="Arial" w:eastAsia="Arial" w:hAnsi="Arial"/>
          <w:sz w:val="13"/>
          <w:szCs w:val="13"/>
          <w:color w:val="auto"/>
        </w:rPr>
        <w:t>”). This opinion letter is being furnished to the Company in accordance with the requirements of Item 25 of Form N-2 under the Investment Company Act of 1940, as amended, and we express no opinion herein as to any matter other than as to the legality of the Securities.</w:t>
      </w:r>
    </w:p>
    <w:p>
      <w:pPr>
        <w:spacing w:after="0" w:line="129" w:lineRule="exact"/>
        <w:rPr>
          <w:sz w:val="20"/>
          <w:szCs w:val="20"/>
          <w:color w:val="auto"/>
        </w:rPr>
      </w:pPr>
    </w:p>
    <w:p>
      <w:pPr>
        <w:ind w:right="300"/>
        <w:spacing w:after="0" w:line="257" w:lineRule="auto"/>
        <w:rPr>
          <w:sz w:val="20"/>
          <w:szCs w:val="20"/>
          <w:color w:val="auto"/>
        </w:rPr>
      </w:pPr>
      <w:r>
        <w:rPr>
          <w:rFonts w:ascii="Arial" w:cs="Arial" w:eastAsia="Arial" w:hAnsi="Arial"/>
          <w:sz w:val="14"/>
          <w:szCs w:val="14"/>
          <w:color w:val="auto"/>
        </w:rPr>
        <w:t>In rendering the opinions expressed below, we have examined and relied on originals or copies, certified or otherwise identified to our satisfaction, of such documents, corporate records and other instruments and such agreements, certificates and receipts of public officials, certificates of officers or other representatives of the Company and others, and such other documents as we have deemed necessary or appropriate as a basis for the opinions set forth below, including the following documents:</w:t>
      </w:r>
    </w:p>
    <w:p>
      <w:pPr>
        <w:sectPr>
          <w:pgSz w:w="11900" w:h="16838" w:orient="portrait"/>
          <w:cols w:equalWidth="0" w:num="1">
            <w:col w:w="11280"/>
          </w:cols>
          <w:pgMar w:left="300" w:top="125" w:right="319" w:bottom="1440" w:gutter="0" w:footer="0" w:header="0"/>
        </w:sectPr>
      </w:pPr>
    </w:p>
    <w:bookmarkStart w:id="113" w:name="page114"/>
    <w:bookmarkEnd w:id="113"/>
    <w:p>
      <w:pPr>
        <w:ind w:left="96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December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875665" cy="3359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3">
                      <a:extLst>
                        <a:ext uri="{28A0092B-C50C-407E-A947-70E740481C1C}"/>
                      </a:extLst>
                    </a:blip>
                    <a:srcRect/>
                    <a:stretch>
                      <a:fillRect/>
                    </a:stretch>
                  </pic:blipFill>
                  <pic:spPr bwMode="auto">
                    <a:xfrm>
                      <a:off x="0" y="0"/>
                      <a:ext cx="875665" cy="335915"/>
                    </a:xfrm>
                    <a:prstGeom prst="rect">
                      <a:avLst/>
                    </a:prstGeom>
                    <a:noFill/>
                  </pic:spPr>
                </pic:pic>
              </a:graphicData>
            </a:graphic>
          </wp:anchor>
        </w:drawing>
      </w:r>
    </w:p>
    <w:p>
      <w:pPr>
        <w:ind w:left="9600"/>
        <w:spacing w:after="0"/>
        <w:rPr>
          <w:sz w:val="20"/>
          <w:szCs w:val="20"/>
          <w:color w:val="auto"/>
        </w:rPr>
      </w:pPr>
      <w:r>
        <w:rPr>
          <w:rFonts w:ascii="Arial" w:cs="Arial" w:eastAsia="Arial" w:hAnsi="Arial"/>
          <w:sz w:val="14"/>
          <w:szCs w:val="14"/>
          <w:color w:val="auto"/>
        </w:rPr>
        <w:t>Page 2</w:t>
      </w:r>
    </w:p>
    <w:p>
      <w:pPr>
        <w:spacing w:after="0" w:line="307" w:lineRule="exact"/>
        <w:rPr>
          <w:sz w:val="20"/>
          <w:szCs w:val="20"/>
          <w:color w:val="auto"/>
        </w:rPr>
      </w:pPr>
    </w:p>
    <w:p>
      <w:pPr>
        <w:ind w:left="1000" w:hanging="551"/>
        <w:spacing w:after="0"/>
        <w:tabs>
          <w:tab w:leader="none" w:pos="10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Registration Statement;</w:t>
      </w:r>
    </w:p>
    <w:p>
      <w:pPr>
        <w:spacing w:after="0" w:line="98" w:lineRule="exact"/>
        <w:rPr>
          <w:rFonts w:ascii="Arial" w:cs="Arial" w:eastAsia="Arial" w:hAnsi="Arial"/>
          <w:sz w:val="14"/>
          <w:szCs w:val="14"/>
          <w:color w:val="auto"/>
        </w:rPr>
      </w:pPr>
    </w:p>
    <w:p>
      <w:pPr>
        <w:ind w:left="1000" w:hanging="551"/>
        <w:spacing w:after="0"/>
        <w:tabs>
          <w:tab w:leader="none" w:pos="10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form of warrant agreement (as may be amended or supplemented from time to time, the “</w:t>
      </w:r>
      <w:r>
        <w:rPr>
          <w:rFonts w:ascii="Arial" w:cs="Arial" w:eastAsia="Arial" w:hAnsi="Arial"/>
          <w:sz w:val="14"/>
          <w:szCs w:val="14"/>
          <w:u w:val="single" w:color="auto"/>
          <w:color w:val="auto"/>
        </w:rPr>
        <w:t>Warrant Agreement</w:t>
      </w:r>
      <w:r>
        <w:rPr>
          <w:rFonts w:ascii="Arial" w:cs="Arial" w:eastAsia="Arial" w:hAnsi="Arial"/>
          <w:sz w:val="14"/>
          <w:szCs w:val="14"/>
          <w:color w:val="auto"/>
        </w:rPr>
        <w:t>”);</w:t>
      </w:r>
    </w:p>
    <w:p>
      <w:pPr>
        <w:spacing w:after="0" w:line="98" w:lineRule="exact"/>
        <w:rPr>
          <w:rFonts w:ascii="Arial" w:cs="Arial" w:eastAsia="Arial" w:hAnsi="Arial"/>
          <w:sz w:val="14"/>
          <w:szCs w:val="14"/>
          <w:color w:val="auto"/>
        </w:rPr>
      </w:pPr>
    </w:p>
    <w:p>
      <w:pPr>
        <w:ind w:left="1000" w:hanging="551"/>
        <w:spacing w:after="0"/>
        <w:tabs>
          <w:tab w:leader="none" w:pos="10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form of indenture governing the Debt Securities (as may be amended or supplemented from time to time, the “</w:t>
      </w:r>
      <w:r>
        <w:rPr>
          <w:rFonts w:ascii="Arial" w:cs="Arial" w:eastAsia="Arial" w:hAnsi="Arial"/>
          <w:sz w:val="14"/>
          <w:szCs w:val="14"/>
          <w:u w:val="single" w:color="auto"/>
          <w:color w:val="auto"/>
        </w:rPr>
        <w:t>Indenture</w:t>
      </w:r>
      <w:r>
        <w:rPr>
          <w:rFonts w:ascii="Arial" w:cs="Arial" w:eastAsia="Arial" w:hAnsi="Arial"/>
          <w:sz w:val="14"/>
          <w:szCs w:val="14"/>
          <w:color w:val="auto"/>
        </w:rPr>
        <w:t>”);</w:t>
      </w:r>
    </w:p>
    <w:p>
      <w:pPr>
        <w:spacing w:after="0" w:line="98" w:lineRule="exact"/>
        <w:rPr>
          <w:rFonts w:ascii="Arial" w:cs="Arial" w:eastAsia="Arial" w:hAnsi="Arial"/>
          <w:sz w:val="14"/>
          <w:szCs w:val="14"/>
          <w:color w:val="auto"/>
        </w:rPr>
      </w:pPr>
    </w:p>
    <w:p>
      <w:pPr>
        <w:ind w:left="1000" w:hanging="551"/>
        <w:spacing w:after="0"/>
        <w:tabs>
          <w:tab w:leader="none" w:pos="10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 certificate of good standing with respect to the Company issued by the State Department of Assessments and Taxation of Maryland as of a recent date; and</w:t>
      </w:r>
    </w:p>
    <w:p>
      <w:pPr>
        <w:spacing w:after="0" w:line="98" w:lineRule="exact"/>
        <w:rPr>
          <w:rFonts w:ascii="Arial" w:cs="Arial" w:eastAsia="Arial" w:hAnsi="Arial"/>
          <w:sz w:val="14"/>
          <w:szCs w:val="14"/>
          <w:color w:val="auto"/>
        </w:rPr>
      </w:pPr>
    </w:p>
    <w:p>
      <w:pPr>
        <w:ind w:left="1000" w:right="220" w:hanging="551"/>
        <w:spacing w:after="0" w:line="268" w:lineRule="auto"/>
        <w:tabs>
          <w:tab w:leader="none" w:pos="10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resolutions of the board of directors of the Company (the “</w:t>
      </w:r>
      <w:r>
        <w:rPr>
          <w:rFonts w:ascii="Arial" w:cs="Arial" w:eastAsia="Arial" w:hAnsi="Arial"/>
          <w:sz w:val="14"/>
          <w:szCs w:val="14"/>
          <w:u w:val="single" w:color="auto"/>
          <w:color w:val="auto"/>
        </w:rPr>
        <w:t>Board of Directors</w:t>
      </w:r>
      <w:r>
        <w:rPr>
          <w:rFonts w:ascii="Arial" w:cs="Arial" w:eastAsia="Arial" w:hAnsi="Arial"/>
          <w:sz w:val="14"/>
          <w:szCs w:val="14"/>
          <w:color w:val="auto"/>
        </w:rPr>
        <w:t>”), relating to, among other things, the authorization and approval of the preparation and filing of the Registration Statement.</w:t>
      </w:r>
    </w:p>
    <w:p>
      <w:pPr>
        <w:spacing w:after="0" w:line="138"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As to the facts upon which this opinion is based, we have relied upon certificates of public officials and certificates and written statements of agents, officers, directors and representatives of the Company without having independently verified such factual matters.</w:t>
      </w:r>
    </w:p>
    <w:p>
      <w:pPr>
        <w:spacing w:after="0" w:line="138"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In our examination, we have assumed the genuineness of all signatures, the authenticity of all documents submitted to us as original documents, the conformity to original documents of all documents submitted to us as copies, the legal capacity of natural persons who are signatories to the documents examined by us and the legal power and authority of all persons signing on behalf of the parties to such documents.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On the basis of the foregoing and subject to the assumptions, qualifications and limitations set forth in this letter, we are of the opinion that:</w:t>
      </w:r>
    </w:p>
    <w:p>
      <w:pPr>
        <w:spacing w:after="0" w:line="98" w:lineRule="exact"/>
        <w:rPr>
          <w:sz w:val="20"/>
          <w:szCs w:val="20"/>
          <w:color w:val="auto"/>
        </w:rPr>
      </w:pPr>
    </w:p>
    <w:p>
      <w:pPr>
        <w:ind w:left="1000" w:hanging="551"/>
        <w:spacing w:after="0" w:line="254" w:lineRule="auto"/>
        <w:tabs>
          <w:tab w:leader="none" w:pos="10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Warrants, when (a) duly authorized, executed, authenticated, issued and sold in accordance with the Registration Statement and applicable Prospectus Supplement and the provisions of the Warrant Agreement and (b) delivered to the purchaser or purchasers thereof against receipt by the Company of such lawful consideration therefor as the Board of Directors (or a duly authorized committee thereof or a duly authorized officer of the Company) may lawfully determine, will be valid and binding obligations of the Company enforceable against the Company in accordance with their respective terms.</w:t>
      </w:r>
    </w:p>
    <w:p>
      <w:pPr>
        <w:sectPr>
          <w:pgSz w:w="11900" w:h="16838" w:orient="portrait"/>
          <w:cols w:equalWidth="0" w:num="1">
            <w:col w:w="11280"/>
          </w:cols>
          <w:pgMar w:left="300" w:top="243" w:right="319" w:bottom="1440" w:gutter="0" w:footer="0" w:header="0"/>
        </w:sectPr>
      </w:pPr>
    </w:p>
    <w:bookmarkStart w:id="114" w:name="page115"/>
    <w:bookmarkEnd w:id="114"/>
    <w:p>
      <w:pPr>
        <w:ind w:left="96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December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875665" cy="3359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5">
                      <a:extLst>
                        <a:ext uri="{28A0092B-C50C-407E-A947-70E740481C1C}"/>
                      </a:extLst>
                    </a:blip>
                    <a:srcRect/>
                    <a:stretch>
                      <a:fillRect/>
                    </a:stretch>
                  </pic:blipFill>
                  <pic:spPr bwMode="auto">
                    <a:xfrm>
                      <a:off x="0" y="0"/>
                      <a:ext cx="875665" cy="335915"/>
                    </a:xfrm>
                    <a:prstGeom prst="rect">
                      <a:avLst/>
                    </a:prstGeom>
                    <a:noFill/>
                  </pic:spPr>
                </pic:pic>
              </a:graphicData>
            </a:graphic>
          </wp:anchor>
        </w:drawing>
      </w:r>
    </w:p>
    <w:p>
      <w:pPr>
        <w:ind w:left="9600"/>
        <w:spacing w:after="0"/>
        <w:rPr>
          <w:sz w:val="20"/>
          <w:szCs w:val="20"/>
          <w:color w:val="auto"/>
        </w:rPr>
      </w:pPr>
      <w:r>
        <w:rPr>
          <w:rFonts w:ascii="Arial" w:cs="Arial" w:eastAsia="Arial" w:hAnsi="Arial"/>
          <w:sz w:val="14"/>
          <w:szCs w:val="14"/>
          <w:color w:val="auto"/>
        </w:rPr>
        <w:t>Page 3</w:t>
      </w:r>
    </w:p>
    <w:p>
      <w:pPr>
        <w:spacing w:after="0" w:line="307" w:lineRule="exact"/>
        <w:rPr>
          <w:sz w:val="20"/>
          <w:szCs w:val="20"/>
          <w:color w:val="auto"/>
        </w:rPr>
      </w:pPr>
    </w:p>
    <w:p>
      <w:pPr>
        <w:ind w:left="1000" w:right="140" w:hanging="551"/>
        <w:spacing w:after="0" w:line="257" w:lineRule="auto"/>
        <w:tabs>
          <w:tab w:leader="none" w:pos="10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Subscription Rights, when duly authorized by the Company and issued in accordance with the Registration Statement and applicable Prospectus Supplement and the provisions of an applicable subscription certificate and any applicable, valid and binding subscription agreement, will be valid and binding obligations of the Company enforceable against the Company in accordance with their respective terms.</w:t>
      </w:r>
    </w:p>
    <w:p>
      <w:pPr>
        <w:spacing w:after="0" w:line="73" w:lineRule="exact"/>
        <w:rPr>
          <w:rFonts w:ascii="Arial" w:cs="Arial" w:eastAsia="Arial" w:hAnsi="Arial"/>
          <w:sz w:val="14"/>
          <w:szCs w:val="14"/>
          <w:color w:val="auto"/>
        </w:rPr>
      </w:pPr>
    </w:p>
    <w:p>
      <w:pPr>
        <w:ind w:left="1000" w:right="40" w:hanging="551"/>
        <w:spacing w:after="0" w:line="276" w:lineRule="auto"/>
        <w:tabs>
          <w:tab w:leader="none" w:pos="10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Debt Securities, when (a) duly authorized and executed by the Company and authenticated by the Trustee in accordance with the provisions of the Indenture and (x) issued and sold in accordance with the Registration Statement and applicable Prospectus Supplement or (y) issued upon exchange or conversion of Preferred Stock or upon exercise of Warrants as contemplated by the Registration Statement and applicable Prospectus Supplement and (b) delivered to the purchaser or purchasers thereof against receipt by the Company of such lawful consideration therefor as the Board of Directors (or a duly authorized committee thereof or a duly authorized officer of the Company) may lawfully determine, will be valid and binding obligations of the Company enforceable against the Company in accordance with their respective terms.</w:t>
      </w:r>
    </w:p>
    <w:p>
      <w:pPr>
        <w:spacing w:after="0" w:line="136" w:lineRule="exact"/>
        <w:rPr>
          <w:sz w:val="20"/>
          <w:szCs w:val="20"/>
          <w:color w:val="auto"/>
        </w:rPr>
      </w:pPr>
    </w:p>
    <w:p>
      <w:pPr>
        <w:ind w:right="420"/>
        <w:spacing w:after="0" w:line="268" w:lineRule="auto"/>
        <w:rPr>
          <w:sz w:val="20"/>
          <w:szCs w:val="20"/>
          <w:color w:val="auto"/>
        </w:rPr>
      </w:pPr>
      <w:r>
        <w:rPr>
          <w:rFonts w:ascii="Arial" w:cs="Arial" w:eastAsia="Arial" w:hAnsi="Arial"/>
          <w:sz w:val="14"/>
          <w:szCs w:val="14"/>
          <w:color w:val="auto"/>
        </w:rPr>
        <w:t>The opinions set forth herein are subject to the following assumptions, qualifications, limitations and exceptions being true and correct at or before the time of the delivery of any Securities offered pursuant to the Registration Statement and appropriate Prospectus Supplement:</w:t>
      </w:r>
    </w:p>
    <w:p>
      <w:pPr>
        <w:spacing w:after="0" w:line="66" w:lineRule="exact"/>
        <w:rPr>
          <w:sz w:val="20"/>
          <w:szCs w:val="20"/>
          <w:color w:val="auto"/>
        </w:rPr>
      </w:pPr>
    </w:p>
    <w:p>
      <w:pPr>
        <w:ind w:left="1000" w:hanging="551"/>
        <w:spacing w:after="0"/>
        <w:tabs>
          <w:tab w:leader="none" w:pos="10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Company is duly incorporated and validly existing in good standing under the laws of the State of Maryland;</w:t>
      </w:r>
    </w:p>
    <w:p>
      <w:pPr>
        <w:spacing w:after="0" w:line="98" w:lineRule="exact"/>
        <w:rPr>
          <w:rFonts w:ascii="Arial" w:cs="Arial" w:eastAsia="Arial" w:hAnsi="Arial"/>
          <w:sz w:val="14"/>
          <w:szCs w:val="14"/>
          <w:color w:val="auto"/>
        </w:rPr>
      </w:pPr>
    </w:p>
    <w:p>
      <w:pPr>
        <w:ind w:left="1000" w:hanging="551"/>
        <w:spacing w:after="0"/>
        <w:tabs>
          <w:tab w:leader="none" w:pos="1000"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the Board of Directors, including any appropriate committee appointed thereby, and/or appropriate officers of the Company shall have duly (x) established the terms of the Securities and</w:t>
      </w:r>
    </w:p>
    <w:p>
      <w:pPr>
        <w:spacing w:after="0" w:line="37" w:lineRule="exact"/>
        <w:rPr>
          <w:rFonts w:ascii="Arial" w:cs="Arial" w:eastAsia="Arial" w:hAnsi="Arial"/>
          <w:sz w:val="12"/>
          <w:szCs w:val="12"/>
          <w:color w:val="auto"/>
        </w:rPr>
      </w:pPr>
    </w:p>
    <w:p>
      <w:pPr>
        <w:ind w:left="1000"/>
        <w:spacing w:after="0"/>
        <w:rPr>
          <w:rFonts w:ascii="Arial" w:cs="Arial" w:eastAsia="Arial" w:hAnsi="Arial"/>
          <w:sz w:val="12"/>
          <w:szCs w:val="12"/>
          <w:color w:val="auto"/>
        </w:rPr>
      </w:pPr>
      <w:r>
        <w:rPr>
          <w:rFonts w:ascii="Arial" w:cs="Arial" w:eastAsia="Arial" w:hAnsi="Arial"/>
          <w:sz w:val="14"/>
          <w:szCs w:val="14"/>
          <w:color w:val="auto"/>
        </w:rPr>
        <w:t>(y) authorized and taken any other necessary corporate or other action to approve the creation, if applicable, issuance and sale of the Securities and related matters;</w:t>
      </w:r>
    </w:p>
    <w:p>
      <w:pPr>
        <w:spacing w:after="0" w:line="88" w:lineRule="exact"/>
        <w:rPr>
          <w:rFonts w:ascii="Arial" w:cs="Arial" w:eastAsia="Arial" w:hAnsi="Arial"/>
          <w:sz w:val="12"/>
          <w:szCs w:val="12"/>
          <w:color w:val="auto"/>
        </w:rPr>
      </w:pPr>
    </w:p>
    <w:p>
      <w:pPr>
        <w:ind w:left="1000" w:right="200" w:hanging="551"/>
        <w:spacing w:after="0" w:line="268" w:lineRule="auto"/>
        <w:tabs>
          <w:tab w:leader="none" w:pos="10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resolutions establishing the definitive terms of and authorizing the Company to register, offer, sell and issue the Securities shall remain in effect and unchanged at all times during which the Securities are offered, sold or issued by the Company;</w:t>
      </w:r>
    </w:p>
    <w:p>
      <w:pPr>
        <w:spacing w:after="0" w:line="65" w:lineRule="exact"/>
        <w:rPr>
          <w:rFonts w:ascii="Arial" w:cs="Arial" w:eastAsia="Arial" w:hAnsi="Arial"/>
          <w:sz w:val="14"/>
          <w:szCs w:val="14"/>
          <w:color w:val="auto"/>
        </w:rPr>
      </w:pPr>
    </w:p>
    <w:p>
      <w:pPr>
        <w:ind w:left="1000" w:right="140" w:hanging="551"/>
        <w:spacing w:after="0" w:line="320" w:lineRule="auto"/>
        <w:tabs>
          <w:tab w:leader="none" w:pos="1000"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the definitive terms of each class and series of the Securities not presently provided for in the Registration Statement or the Articles Incorporation of the Company and the terms of the issuance and sale of the Securities (x) shall have been duly established in accordance with all applicable law and the Articles of Incorporation and Bylaws of the Company, any Indenture, underwriting agreement, Warrant Agreement and subscription agreement and any other relevant agreement relating to the terms and the offer and sale of the</w:t>
      </w:r>
    </w:p>
    <w:p>
      <w:pPr>
        <w:sectPr>
          <w:pgSz w:w="11900" w:h="16838" w:orient="portrait"/>
          <w:cols w:equalWidth="0" w:num="1">
            <w:col w:w="11260"/>
          </w:cols>
          <w:pgMar w:left="300" w:top="243" w:right="339" w:bottom="1440" w:gutter="0" w:footer="0" w:header="0"/>
        </w:sectPr>
      </w:pPr>
    </w:p>
    <w:bookmarkStart w:id="115" w:name="page116"/>
    <w:bookmarkEnd w:id="115"/>
    <w:p>
      <w:pPr>
        <w:ind w:left="9151"/>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December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-94615</wp:posOffset>
            </wp:positionV>
            <wp:extent cx="875665" cy="3359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7">
                      <a:extLst>
                        <a:ext uri="{28A0092B-C50C-407E-A947-70E740481C1C}"/>
                      </a:extLst>
                    </a:blip>
                    <a:srcRect/>
                    <a:stretch>
                      <a:fillRect/>
                    </a:stretch>
                  </pic:blipFill>
                  <pic:spPr bwMode="auto">
                    <a:xfrm>
                      <a:off x="0" y="0"/>
                      <a:ext cx="875665" cy="335915"/>
                    </a:xfrm>
                    <a:prstGeom prst="rect">
                      <a:avLst/>
                    </a:prstGeom>
                    <a:noFill/>
                  </pic:spPr>
                </pic:pic>
              </a:graphicData>
            </a:graphic>
          </wp:anchor>
        </w:drawing>
      </w:r>
    </w:p>
    <w:p>
      <w:pPr>
        <w:ind w:left="9151"/>
        <w:spacing w:after="0"/>
        <w:rPr>
          <w:sz w:val="20"/>
          <w:szCs w:val="20"/>
          <w:color w:val="auto"/>
        </w:rPr>
      </w:pPr>
      <w:r>
        <w:rPr>
          <w:rFonts w:ascii="Arial" w:cs="Arial" w:eastAsia="Arial" w:hAnsi="Arial"/>
          <w:sz w:val="14"/>
          <w:szCs w:val="14"/>
          <w:color w:val="auto"/>
        </w:rPr>
        <w:t>Page 4</w:t>
      </w:r>
    </w:p>
    <w:p>
      <w:pPr>
        <w:spacing w:after="0" w:line="307" w:lineRule="exact"/>
        <w:rPr>
          <w:sz w:val="20"/>
          <w:szCs w:val="20"/>
          <w:color w:val="auto"/>
        </w:rPr>
      </w:pPr>
    </w:p>
    <w:p>
      <w:pPr>
        <w:ind w:left="551" w:right="80"/>
        <w:spacing w:after="0" w:line="252" w:lineRule="auto"/>
        <w:rPr>
          <w:sz w:val="20"/>
          <w:szCs w:val="20"/>
          <w:color w:val="auto"/>
        </w:rPr>
      </w:pPr>
      <w:r>
        <w:rPr>
          <w:rFonts w:ascii="Arial" w:cs="Arial" w:eastAsia="Arial" w:hAnsi="Arial"/>
          <w:sz w:val="14"/>
          <w:szCs w:val="14"/>
          <w:color w:val="auto"/>
        </w:rPr>
        <w:t>Securities (collectively, the “</w:t>
      </w:r>
      <w:r>
        <w:rPr>
          <w:rFonts w:ascii="Arial" w:cs="Arial" w:eastAsia="Arial" w:hAnsi="Arial"/>
          <w:sz w:val="14"/>
          <w:szCs w:val="14"/>
          <w:u w:val="single" w:color="auto"/>
          <w:color w:val="auto"/>
        </w:rPr>
        <w:t>Documents</w:t>
      </w:r>
      <w:r>
        <w:rPr>
          <w:rFonts w:ascii="Arial" w:cs="Arial" w:eastAsia="Arial" w:hAnsi="Arial"/>
          <w:sz w:val="14"/>
          <w:szCs w:val="14"/>
          <w:color w:val="auto"/>
        </w:rPr>
        <w:t>”) and the authorizing resolutions of the Board of Directors, and reflected in appropriate documentation reviewed by us and (y) shall not violate any applicable law or the Documents (subject to the further assumption that such Documents have not been amended from the date hereof in a manner that would affect the validity of any of the opinions rendered herein), or result in a default under or breach of (nor constitute any event which with notice, lapse of time or both would constitute a default under or result in any breach of) any agreement or instrument binding upon the Company and so as to comply with any restriction imposed by any court or governmental body having jurisdiction over the Company;</w:t>
      </w:r>
    </w:p>
    <w:p>
      <w:pPr>
        <w:spacing w:after="0" w:line="78" w:lineRule="exact"/>
        <w:rPr>
          <w:sz w:val="20"/>
          <w:szCs w:val="20"/>
          <w:color w:val="auto"/>
        </w:rPr>
      </w:pPr>
    </w:p>
    <w:p>
      <w:pPr>
        <w:ind w:left="551" w:hanging="551"/>
        <w:spacing w:after="0"/>
        <w:tabs>
          <w:tab w:leader="none" w:pos="551"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interest rate on the Debt Securities shall not be higher than the maximum lawful rate permitted from time to time under applicable law;</w:t>
      </w:r>
    </w:p>
    <w:p>
      <w:pPr>
        <w:spacing w:after="0" w:line="98" w:lineRule="exact"/>
        <w:rPr>
          <w:rFonts w:ascii="Arial" w:cs="Arial" w:eastAsia="Arial" w:hAnsi="Arial"/>
          <w:sz w:val="14"/>
          <w:szCs w:val="14"/>
          <w:color w:val="auto"/>
        </w:rPr>
      </w:pPr>
    </w:p>
    <w:p>
      <w:pPr>
        <w:ind w:left="551" w:hanging="551"/>
        <w:spacing w:after="0" w:line="254" w:lineRule="auto"/>
        <w:tabs>
          <w:tab w:leader="none" w:pos="551"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Securities (including any Securities issuable upon exercise, conversion or exchange of other Securities) and any certificates representing the relevant Securities (including any Securities issuable upon exercise, conversion or exchange of other Securities) have been duly authenticated, executed, countersigned, registered and delivered upon payment of the agreed-upon legal consideration therefor and have been duly issued and sold in accordance with any relevant agreement and, if applicable, duly authorized, executed and delivered by the Company and any other appropriate party;</w:t>
      </w:r>
    </w:p>
    <w:p>
      <w:pPr>
        <w:spacing w:after="0" w:line="75" w:lineRule="exact"/>
        <w:rPr>
          <w:rFonts w:ascii="Arial" w:cs="Arial" w:eastAsia="Arial" w:hAnsi="Arial"/>
          <w:sz w:val="14"/>
          <w:szCs w:val="14"/>
          <w:color w:val="auto"/>
        </w:rPr>
      </w:pPr>
    </w:p>
    <w:p>
      <w:pPr>
        <w:ind w:left="551" w:right="220" w:hanging="551"/>
        <w:spacing w:after="0" w:line="268" w:lineRule="auto"/>
        <w:tabs>
          <w:tab w:leader="none" w:pos="551" w:val="left"/>
        </w:tabs>
        <w:numPr>
          <w:ilvl w:val="0"/>
          <w:numId w:val="80"/>
        </w:numPr>
        <w:rPr>
          <w:rFonts w:ascii="Arial" w:cs="Arial" w:eastAsia="Arial" w:hAnsi="Arial"/>
          <w:sz w:val="14"/>
          <w:szCs w:val="14"/>
          <w:color w:val="auto"/>
        </w:rPr>
      </w:pPr>
      <w:r>
        <w:rPr>
          <w:rFonts w:ascii="Arial" w:cs="Arial" w:eastAsia="Arial" w:hAnsi="Arial"/>
          <w:sz w:val="14"/>
          <w:szCs w:val="14"/>
          <w:color w:val="auto"/>
        </w:rPr>
        <w:t>each Indenture, Warrant Agreement and subscription agreement and any other relevant agreement has been duly authorized, executed and delivered by, and will constitute a valid and binding obligation of, each party thereto (other than the Company);</w:t>
      </w:r>
    </w:p>
    <w:p>
      <w:pPr>
        <w:spacing w:after="0" w:line="65" w:lineRule="exact"/>
        <w:rPr>
          <w:rFonts w:ascii="Arial" w:cs="Arial" w:eastAsia="Arial" w:hAnsi="Arial"/>
          <w:sz w:val="14"/>
          <w:szCs w:val="14"/>
          <w:color w:val="auto"/>
        </w:rPr>
      </w:pPr>
    </w:p>
    <w:p>
      <w:pPr>
        <w:ind w:left="551" w:right="280" w:hanging="551"/>
        <w:spacing w:after="0" w:line="268" w:lineRule="auto"/>
        <w:tabs>
          <w:tab w:leader="none" w:pos="551"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Registration Statement, as amended (including all necessary post-effective amendments), and any additional registration statement filed under Rule 462 under the Securities Act, shall be effective under the Securities Act, and such effectiveness shall not have been terminated or rescinded;</w:t>
      </w:r>
    </w:p>
    <w:p>
      <w:pPr>
        <w:spacing w:after="0" w:line="65" w:lineRule="exact"/>
        <w:rPr>
          <w:rFonts w:ascii="Arial" w:cs="Arial" w:eastAsia="Arial" w:hAnsi="Arial"/>
          <w:sz w:val="14"/>
          <w:szCs w:val="14"/>
          <w:color w:val="auto"/>
        </w:rPr>
      </w:pPr>
    </w:p>
    <w:p>
      <w:pPr>
        <w:ind w:left="551" w:right="60" w:hanging="551"/>
        <w:spacing w:after="0" w:line="268" w:lineRule="auto"/>
        <w:tabs>
          <w:tab w:leader="none" w:pos="551" w:val="left"/>
        </w:tabs>
        <w:numPr>
          <w:ilvl w:val="0"/>
          <w:numId w:val="80"/>
        </w:numPr>
        <w:rPr>
          <w:rFonts w:ascii="Arial" w:cs="Arial" w:eastAsia="Arial" w:hAnsi="Arial"/>
          <w:sz w:val="14"/>
          <w:szCs w:val="14"/>
          <w:color w:val="auto"/>
        </w:rPr>
      </w:pPr>
      <w:r>
        <w:rPr>
          <w:rFonts w:ascii="Arial" w:cs="Arial" w:eastAsia="Arial" w:hAnsi="Arial"/>
          <w:sz w:val="14"/>
          <w:szCs w:val="14"/>
          <w:color w:val="auto"/>
        </w:rPr>
        <w:t>an appropriate Prospectus Supplement shall have been prepared, delivered and filed in compliance with the Securities Act and the applicable rules and regulations thereunder describing the Securities offered thereby;</w:t>
      </w:r>
    </w:p>
    <w:p>
      <w:pPr>
        <w:spacing w:after="0" w:line="65" w:lineRule="exact"/>
        <w:rPr>
          <w:rFonts w:ascii="Arial" w:cs="Arial" w:eastAsia="Arial" w:hAnsi="Arial"/>
          <w:sz w:val="14"/>
          <w:szCs w:val="14"/>
          <w:color w:val="auto"/>
        </w:rPr>
      </w:pPr>
    </w:p>
    <w:p>
      <w:pPr>
        <w:ind w:left="551" w:right="420" w:hanging="551"/>
        <w:spacing w:after="0" w:line="307" w:lineRule="auto"/>
        <w:tabs>
          <w:tab w:leader="none" w:pos="551"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Securities shall be issued and sold in compliance with all U.S. federal and state securities laws and solely in the manner stated in the Registration Statement and the applicable Prospectus Supplement and there shall not have occurred any change in law affecting the validity of the opinions rendered herein;</w:t>
      </w:r>
    </w:p>
    <w:p>
      <w:pPr>
        <w:sectPr>
          <w:pgSz w:w="11900" w:h="16838" w:orient="portrait"/>
          <w:cols w:equalWidth="0" w:num="1">
            <w:col w:w="10831"/>
          </w:cols>
          <w:pgMar w:left="749" w:top="243" w:right="319" w:bottom="1440" w:gutter="0" w:footer="0" w:header="0"/>
        </w:sectPr>
      </w:pPr>
    </w:p>
    <w:bookmarkStart w:id="116" w:name="page117"/>
    <w:bookmarkEnd w:id="116"/>
    <w:p>
      <w:pPr>
        <w:ind w:left="96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December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875665" cy="3359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9">
                      <a:extLst>
                        <a:ext uri="{28A0092B-C50C-407E-A947-70E740481C1C}"/>
                      </a:extLst>
                    </a:blip>
                    <a:srcRect/>
                    <a:stretch>
                      <a:fillRect/>
                    </a:stretch>
                  </pic:blipFill>
                  <pic:spPr bwMode="auto">
                    <a:xfrm>
                      <a:off x="0" y="0"/>
                      <a:ext cx="875665" cy="335915"/>
                    </a:xfrm>
                    <a:prstGeom prst="rect">
                      <a:avLst/>
                    </a:prstGeom>
                    <a:noFill/>
                  </pic:spPr>
                </pic:pic>
              </a:graphicData>
            </a:graphic>
          </wp:anchor>
        </w:drawing>
      </w:r>
    </w:p>
    <w:p>
      <w:pPr>
        <w:ind w:left="9600"/>
        <w:spacing w:after="0"/>
        <w:rPr>
          <w:sz w:val="20"/>
          <w:szCs w:val="20"/>
          <w:color w:val="auto"/>
        </w:rPr>
      </w:pPr>
      <w:r>
        <w:rPr>
          <w:rFonts w:ascii="Arial" w:cs="Arial" w:eastAsia="Arial" w:hAnsi="Arial"/>
          <w:sz w:val="14"/>
          <w:szCs w:val="14"/>
          <w:color w:val="auto"/>
        </w:rPr>
        <w:t>Page 5</w:t>
      </w:r>
    </w:p>
    <w:p>
      <w:pPr>
        <w:spacing w:after="0" w:line="307" w:lineRule="exact"/>
        <w:rPr>
          <w:sz w:val="20"/>
          <w:szCs w:val="20"/>
          <w:color w:val="auto"/>
        </w:rPr>
      </w:pPr>
    </w:p>
    <w:p>
      <w:pPr>
        <w:ind w:left="1000" w:right="140" w:hanging="551"/>
        <w:spacing w:after="0" w:line="257" w:lineRule="auto"/>
        <w:tabs>
          <w:tab w:leader="none" w:pos="10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if the Securities will be sold pursuant to a firm commitment underwritten offering, the underwriting agreement with respect to the Securities in the form filed as an exhibit to the Registration Statement or any post-effective amendment thereto, or incorporated by reference therein, has been duly authorized, executed and delivered by the Company and the other parties thereto;</w:t>
      </w:r>
    </w:p>
    <w:p>
      <w:pPr>
        <w:spacing w:after="0" w:line="73" w:lineRule="exact"/>
        <w:rPr>
          <w:rFonts w:ascii="Arial" w:cs="Arial" w:eastAsia="Arial" w:hAnsi="Arial"/>
          <w:sz w:val="14"/>
          <w:szCs w:val="14"/>
          <w:color w:val="auto"/>
        </w:rPr>
      </w:pPr>
    </w:p>
    <w:p>
      <w:pPr>
        <w:ind w:left="1000" w:hanging="551"/>
        <w:spacing w:after="0"/>
        <w:tabs>
          <w:tab w:leader="none" w:pos="10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Indenture shall have been duly qualified under the Trust Indenture Act of 1939, as amended; and</w:t>
      </w:r>
    </w:p>
    <w:p>
      <w:pPr>
        <w:spacing w:after="0" w:line="98" w:lineRule="exact"/>
        <w:rPr>
          <w:rFonts w:ascii="Arial" w:cs="Arial" w:eastAsia="Arial" w:hAnsi="Arial"/>
          <w:sz w:val="14"/>
          <w:szCs w:val="14"/>
          <w:color w:val="auto"/>
        </w:rPr>
      </w:pPr>
    </w:p>
    <w:p>
      <w:pPr>
        <w:ind w:left="1000" w:hanging="551"/>
        <w:spacing w:after="0" w:line="268" w:lineRule="auto"/>
        <w:tabs>
          <w:tab w:leader="none" w:pos="10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 the case of an agreement or instrument pursuant to which any Securities are to be issued, there shall be no terms or provisions contained therein which would affect the validity of any of the opinions rendered herein.</w:t>
      </w:r>
    </w:p>
    <w:p>
      <w:pPr>
        <w:spacing w:after="0" w:line="138" w:lineRule="exact"/>
        <w:rPr>
          <w:sz w:val="20"/>
          <w:szCs w:val="20"/>
          <w:color w:val="auto"/>
        </w:rPr>
      </w:pPr>
    </w:p>
    <w:p>
      <w:pPr>
        <w:ind w:right="20"/>
        <w:spacing w:after="0" w:line="273" w:lineRule="auto"/>
        <w:rPr>
          <w:sz w:val="20"/>
          <w:szCs w:val="20"/>
          <w:color w:val="auto"/>
        </w:rPr>
      </w:pPr>
      <w:r>
        <w:rPr>
          <w:rFonts w:ascii="Arial" w:cs="Arial" w:eastAsia="Arial" w:hAnsi="Arial"/>
          <w:sz w:val="13"/>
          <w:szCs w:val="13"/>
          <w:color w:val="auto"/>
        </w:rPr>
        <w:t>The opinions set forth herein as to enforceability of obligations of the Company are subject to: (i) bankruptcy, insolvency, reorganization, fraudulent conveyance, moratorium or similar laws now or hereinafter in effect affecting the enforcement of creditors’ rights generally, and by general principles of equity (regardless of whether enforcement is sought in a proceeding in equity or at law) and the discretion of the court or other body before which any proceeding may be brought; (ii) the unenforceability under certain circumstances under law or court decisions of provisions providing for the indemnification of, or contribution to, a party with respect to a liability where such indemnification or contribution is contrary to public policy; (iii) provisions of law which may require that a judgment for money damages rendered by a court in the United States be expressed only in U.S. dollars; (iv) requirements that a claim with respect to any Debt Securities denominated other than in U.S. dollars (or a judgment denominated other than in U.S. dollars in respect of such claim) be converted into U.S. dollars at a rate of exchange prevailing on a date determined pursuant to applicable law; and (v) governmental authority to limit, delay or prohibit the making of payments outside the United States or in foreign currency or composite currency.</w:t>
      </w:r>
    </w:p>
    <w:p>
      <w:pPr>
        <w:spacing w:after="0" w:line="137"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We express no opinion as to the validity, legally binding effect or enforceability of any provision in any agreement or instrument that (i) requires or relates to payment of any interest at a rate or in an amount which a court may determine in the circumstances under applicable law to be commercially unreasonable or a penalty or forfeiture or (ii) relates to governing law and submission by the parties to the jurisdiction of one or more particular courts.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The foregoing opinions are limited to the laws of the State of New York.</w:t>
      </w:r>
    </w:p>
    <w:p>
      <w:pPr>
        <w:sectPr>
          <w:pgSz w:w="11900" w:h="16838" w:orient="portrait"/>
          <w:cols w:equalWidth="0" w:num="1">
            <w:col w:w="11240"/>
          </w:cols>
          <w:pgMar w:left="300" w:top="243" w:right="359" w:bottom="1440" w:gutter="0" w:footer="0" w:header="0"/>
        </w:sectPr>
      </w:pPr>
    </w:p>
    <w:bookmarkStart w:id="117" w:name="page118"/>
    <w:bookmarkEnd w:id="117"/>
    <w:p>
      <w:pPr>
        <w:ind w:left="96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December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875665" cy="3359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1">
                      <a:extLst>
                        <a:ext uri="{28A0092B-C50C-407E-A947-70E740481C1C}"/>
                      </a:extLst>
                    </a:blip>
                    <a:srcRect/>
                    <a:stretch>
                      <a:fillRect/>
                    </a:stretch>
                  </pic:blipFill>
                  <pic:spPr bwMode="auto">
                    <a:xfrm>
                      <a:off x="0" y="0"/>
                      <a:ext cx="875665" cy="335915"/>
                    </a:xfrm>
                    <a:prstGeom prst="rect">
                      <a:avLst/>
                    </a:prstGeom>
                    <a:noFill/>
                  </pic:spPr>
                </pic:pic>
              </a:graphicData>
            </a:graphic>
          </wp:anchor>
        </w:drawing>
      </w:r>
    </w:p>
    <w:p>
      <w:pPr>
        <w:ind w:left="9600"/>
        <w:spacing w:after="0"/>
        <w:rPr>
          <w:sz w:val="20"/>
          <w:szCs w:val="20"/>
          <w:color w:val="auto"/>
        </w:rPr>
      </w:pPr>
      <w:r>
        <w:rPr>
          <w:rFonts w:ascii="Arial" w:cs="Arial" w:eastAsia="Arial" w:hAnsi="Arial"/>
          <w:sz w:val="14"/>
          <w:szCs w:val="14"/>
          <w:color w:val="auto"/>
        </w:rPr>
        <w:t>Page 6</w:t>
      </w:r>
    </w:p>
    <w:p>
      <w:pPr>
        <w:spacing w:after="0" w:line="307" w:lineRule="exact"/>
        <w:rPr>
          <w:sz w:val="20"/>
          <w:szCs w:val="20"/>
          <w:color w:val="auto"/>
        </w:rPr>
      </w:pPr>
    </w:p>
    <w:p>
      <w:pPr>
        <w:ind w:right="480"/>
        <w:spacing w:after="0" w:line="268" w:lineRule="auto"/>
        <w:rPr>
          <w:sz w:val="20"/>
          <w:szCs w:val="20"/>
          <w:color w:val="auto"/>
        </w:rPr>
      </w:pPr>
      <w:r>
        <w:rPr>
          <w:rFonts w:ascii="Arial" w:cs="Arial" w:eastAsia="Arial" w:hAnsi="Arial"/>
          <w:sz w:val="14"/>
          <w:szCs w:val="14"/>
          <w:color w:val="auto"/>
        </w:rPr>
        <w:t>This opinion letter has been prepared for your use solely in connection with the Registration Statement. We assume no obligation to advise you of any changes in the foregoing subsequent to the effectiveness of the Registration Statement.</w:t>
      </w:r>
    </w:p>
    <w:p>
      <w:pPr>
        <w:spacing w:after="0" w:line="138"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hereby consent to the filing of this opinion as an exhibit to the Registration Statement and to the reference to this firm under the caption “Legal Matters” in the prospectus which forms a part of the Registration Statement. In giving such consent, we do not thereby admit that we are in the category of persons whose consent is required under Section 7 of the Securities Act or the rules and regulations of the Commission thereunder.</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/s/ Dechert LLP</w:t>
      </w:r>
    </w:p>
    <w:p>
      <w:pPr>
        <w:sectPr>
          <w:pgSz w:w="11900" w:h="16838" w:orient="portrait"/>
          <w:cols w:equalWidth="0" w:num="1">
            <w:col w:w="11180"/>
          </w:cols>
          <w:pgMar w:left="300" w:top="243" w:right="419" w:bottom="1440" w:gutter="0" w:footer="0" w:header="0"/>
        </w:sectPr>
      </w:pPr>
    </w:p>
    <w:bookmarkStart w:id="118" w:name="page119"/>
    <w:bookmarkEnd w:id="118"/>
    <w:p>
      <w:pPr>
        <w:jc w:val="right"/>
        <w:ind w:right="279"/>
        <w:spacing w:after="0"/>
        <w:rPr>
          <w:sz w:val="20"/>
          <w:szCs w:val="20"/>
          <w:color w:val="auto"/>
        </w:rPr>
      </w:pPr>
      <w:r>
        <w:rPr>
          <w:rFonts w:ascii="Arial" w:cs="Arial" w:eastAsia="Arial" w:hAnsi="Arial"/>
          <w:sz w:val="14"/>
          <w:szCs w:val="14"/>
          <w:b w:val="1"/>
          <w:bCs w:val="1"/>
          <w:color w:val="auto"/>
        </w:rPr>
        <w:t>Exhibit (n)(1)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75" w:lineRule="exact"/>
        <w:rPr>
          <w:sz w:val="20"/>
          <w:szCs w:val="20"/>
          <w:color w:val="auto"/>
        </w:rPr>
      </w:pPr>
    </w:p>
    <w:p>
      <w:pPr>
        <w:ind w:left="280" w:right="379"/>
        <w:spacing w:after="0" w:line="304" w:lineRule="auto"/>
        <w:rPr>
          <w:sz w:val="20"/>
          <w:szCs w:val="20"/>
          <w:color w:val="auto"/>
        </w:rPr>
      </w:pPr>
      <w:r>
        <w:rPr>
          <w:rFonts w:ascii="Arial" w:cs="Arial" w:eastAsia="Arial" w:hAnsi="Arial"/>
          <w:sz w:val="12"/>
          <w:szCs w:val="12"/>
          <w:color w:val="auto"/>
        </w:rPr>
        <w:t>We consent to the incorporation by reference in this Registration Statement on Form N-2 and related Prospectus of PennantPark Floating Rate Capital Ltd. of our report dated November 17, 2022, relating to the consolidated financial statements of PennantPark Floating Rate Capital Ltd. and Subsidiaries, appearing in the Annual Report on Form 10-K of PennantPark Floating Rate Capital Ltd. for the year ended September 30, 2022. We also consent to the incorporation by reference in such Registration Statement of our report dated November 17, 2022, relating to the senior securities table appearing in the Annual Report on Form 10-K of PennantPark Floating Rate Capital Ltd. for the year ended September 30, 2022.</w:t>
      </w:r>
    </w:p>
    <w:p>
      <w:pPr>
        <w:spacing w:after="0" w:line="122" w:lineRule="exact"/>
        <w:rPr>
          <w:sz w:val="20"/>
          <w:szCs w:val="20"/>
          <w:color w:val="auto"/>
        </w:rPr>
      </w:pPr>
    </w:p>
    <w:p>
      <w:pPr>
        <w:ind w:left="280" w:right="699"/>
        <w:spacing w:after="0" w:line="268" w:lineRule="auto"/>
        <w:rPr>
          <w:sz w:val="20"/>
          <w:szCs w:val="20"/>
          <w:color w:val="auto"/>
        </w:rPr>
      </w:pPr>
      <w:r>
        <w:rPr>
          <w:rFonts w:ascii="Arial" w:cs="Arial" w:eastAsia="Arial" w:hAnsi="Arial"/>
          <w:sz w:val="14"/>
          <w:szCs w:val="14"/>
          <w:color w:val="auto"/>
        </w:rPr>
        <w:t>We also consent to the reference to our firm under the headings “Senior Securities” and “Independent Registered Public Accounting Firm” in this Registration Statement.</w:t>
      </w:r>
    </w:p>
    <w:p>
      <w:pPr>
        <w:spacing w:after="0" w:line="13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 RSM US LLP</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New York, New York</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December 15, 2022</w:t>
      </w:r>
    </w:p>
    <w:p>
      <w:pPr>
        <w:sectPr>
          <w:pgSz w:w="11900" w:h="16838" w:orient="portrait"/>
          <w:cols w:equalWidth="0" w:num="1">
            <w:col w:w="9019"/>
          </w:cols>
          <w:pgMar w:left="1440" w:top="125" w:right="1440" w:bottom="1440" w:gutter="0" w:footer="0" w:header="0"/>
        </w:sectPr>
      </w:pPr>
    </w:p>
    <w:bookmarkStart w:id="119" w:name="page120"/>
    <w:bookmarkEnd w:id="119"/>
    <w:p>
      <w:pPr>
        <w:jc w:val="right"/>
        <w:ind w:right="279"/>
        <w:spacing w:after="0"/>
        <w:rPr>
          <w:sz w:val="20"/>
          <w:szCs w:val="20"/>
          <w:color w:val="auto"/>
        </w:rPr>
      </w:pPr>
      <w:r>
        <w:rPr>
          <w:rFonts w:ascii="Arial" w:cs="Arial" w:eastAsia="Arial" w:hAnsi="Arial"/>
          <w:sz w:val="14"/>
          <w:szCs w:val="14"/>
          <w:b w:val="1"/>
          <w:bCs w:val="1"/>
          <w:color w:val="auto"/>
        </w:rPr>
        <w:t>Exhibit (n)(2)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Auditor</w:t>
      </w:r>
    </w:p>
    <w:p>
      <w:pPr>
        <w:spacing w:after="0" w:line="175" w:lineRule="exact"/>
        <w:rPr>
          <w:sz w:val="20"/>
          <w:szCs w:val="20"/>
          <w:color w:val="auto"/>
        </w:rPr>
      </w:pPr>
    </w:p>
    <w:p>
      <w:pPr>
        <w:ind w:left="280" w:right="359"/>
        <w:spacing w:after="0" w:line="254" w:lineRule="auto"/>
        <w:rPr>
          <w:sz w:val="20"/>
          <w:szCs w:val="20"/>
          <w:color w:val="auto"/>
        </w:rPr>
      </w:pPr>
      <w:r>
        <w:rPr>
          <w:rFonts w:ascii="Arial" w:cs="Arial" w:eastAsia="Arial" w:hAnsi="Arial"/>
          <w:sz w:val="14"/>
          <w:szCs w:val="14"/>
          <w:color w:val="auto"/>
        </w:rPr>
        <w:t>We consent to the incorporation by reference in this Registration Statement on Form N-2 of PennantPark Floating Rate Capital Ltd. of our reports dated November 17, 2022 and November 17, 2021, relating to the consolidated financial statements of PennantPark Senior Secured Loan Fund I LLC, appearing in Exhibits 99.3 and 99.4 in the Annual Report on Form 10-K of PennantPark Floating Rate Capital Ltd. for the year ended September 30, 2022.</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We also consent to the reference to our firm under the heading “Independent Auditor” in this Registration Statement.</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 RSM US LLP</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New York, New York</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December 15, 2022</w:t>
      </w:r>
    </w:p>
    <w:p>
      <w:pPr>
        <w:sectPr>
          <w:pgSz w:w="11900" w:h="16838" w:orient="portrait"/>
          <w:cols w:equalWidth="0" w:num="1">
            <w:col w:w="9019"/>
          </w:cols>
          <w:pgMar w:left="1440" w:top="125" w:right="1440" w:bottom="1440" w:gutter="0" w:footer="0" w:header="0"/>
        </w:sectPr>
      </w:pPr>
    </w:p>
    <w:bookmarkStart w:id="120" w:name="page121"/>
    <w:bookmarkEnd w:id="120"/>
    <w:p>
      <w:pPr>
        <w:jc w:val="right"/>
        <w:spacing w:after="0"/>
        <w:rPr>
          <w:sz w:val="20"/>
          <w:szCs w:val="20"/>
          <w:color w:val="auto"/>
        </w:rPr>
      </w:pPr>
      <w:r>
        <w:rPr>
          <w:rFonts w:ascii="Arial" w:cs="Arial" w:eastAsia="Arial" w:hAnsi="Arial"/>
          <w:sz w:val="14"/>
          <w:szCs w:val="14"/>
          <w:b w:val="1"/>
          <w:bCs w:val="1"/>
          <w:color w:val="auto"/>
        </w:rPr>
        <w:t>Exhibit (s)(6)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Calculation of Filing Fees Tables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Form N-2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(Form Type)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PennantPark Floating Rate Capital Ltd.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(Exact Name of Registration as Specified in its Charter)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Table 1: Newly Registered Securities</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111"/>
        </w:trPr>
        <w:tc>
          <w:tcPr>
            <w:tcW w:w="1380" w:type="dxa"/>
            <w:vAlign w:val="bottom"/>
            <w:tcBorders>
              <w:top w:val="single" w:sz="8" w:color="auto"/>
              <w:left w:val="single" w:sz="8" w:color="auto"/>
              <w:right w:val="single" w:sz="8" w:color="auto"/>
            </w:tcBorders>
          </w:tcPr>
          <w:p>
            <w:pPr>
              <w:spacing w:after="0"/>
              <w:rPr>
                <w:sz w:val="9"/>
                <w:szCs w:val="9"/>
                <w:color w:val="auto"/>
              </w:rPr>
            </w:pPr>
          </w:p>
        </w:tc>
        <w:tc>
          <w:tcPr>
            <w:tcW w:w="860" w:type="dxa"/>
            <w:vAlign w:val="bottom"/>
            <w:tcBorders>
              <w:top w:val="single" w:sz="8" w:color="auto"/>
              <w:right w:val="single" w:sz="8" w:color="auto"/>
            </w:tcBorders>
          </w:tcPr>
          <w:p>
            <w:pPr>
              <w:spacing w:after="0"/>
              <w:rPr>
                <w:sz w:val="9"/>
                <w:szCs w:val="9"/>
                <w:color w:val="auto"/>
              </w:rPr>
            </w:pPr>
          </w:p>
        </w:tc>
        <w:tc>
          <w:tcPr>
            <w:tcW w:w="860" w:type="dxa"/>
            <w:vAlign w:val="bottom"/>
            <w:tcBorders>
              <w:top w:val="single" w:sz="8" w:color="auto"/>
              <w:right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auto"/>
              <w:right w:val="single" w:sz="8" w:color="auto"/>
            </w:tcBorders>
          </w:tcPr>
          <w:p>
            <w:pPr>
              <w:spacing w:after="0"/>
              <w:rPr>
                <w:sz w:val="9"/>
                <w:szCs w:val="9"/>
                <w:color w:val="auto"/>
              </w:rPr>
            </w:pPr>
          </w:p>
        </w:tc>
        <w:tc>
          <w:tcPr>
            <w:tcW w:w="760" w:type="dxa"/>
            <w:vAlign w:val="bottom"/>
            <w:tcBorders>
              <w:top w:val="single" w:sz="8" w:color="auto"/>
              <w:right w:val="single" w:sz="8" w:color="auto"/>
            </w:tcBorders>
          </w:tcPr>
          <w:p>
            <w:pPr>
              <w:spacing w:after="0"/>
              <w:rPr>
                <w:sz w:val="9"/>
                <w:szCs w:val="9"/>
                <w:color w:val="auto"/>
              </w:rPr>
            </w:pPr>
          </w:p>
        </w:tc>
        <w:tc>
          <w:tcPr>
            <w:tcW w:w="780" w:type="dxa"/>
            <w:vAlign w:val="bottom"/>
            <w:tcBorders>
              <w:top w:val="single" w:sz="8" w:color="auto"/>
              <w:right w:val="single" w:sz="8" w:color="auto"/>
            </w:tcBorders>
          </w:tcPr>
          <w:p>
            <w:pPr>
              <w:spacing w:after="0"/>
              <w:rPr>
                <w:sz w:val="9"/>
                <w:szCs w:val="9"/>
                <w:color w:val="auto"/>
              </w:rPr>
            </w:pPr>
          </w:p>
        </w:tc>
        <w:tc>
          <w:tcPr>
            <w:tcW w:w="1080" w:type="dxa"/>
            <w:vAlign w:val="bottom"/>
            <w:tcBorders>
              <w:top w:val="single" w:sz="8" w:color="auto"/>
              <w:right w:val="single" w:sz="8" w:color="auto"/>
            </w:tcBorders>
          </w:tcPr>
          <w:p>
            <w:pPr>
              <w:spacing w:after="0"/>
              <w:rPr>
                <w:sz w:val="9"/>
                <w:szCs w:val="9"/>
                <w:color w:val="auto"/>
              </w:rPr>
            </w:pPr>
          </w:p>
        </w:tc>
        <w:tc>
          <w:tcPr>
            <w:tcW w:w="880" w:type="dxa"/>
            <w:vAlign w:val="bottom"/>
            <w:tcBorders>
              <w:top w:val="single" w:sz="8" w:color="auto"/>
              <w:right w:val="single" w:sz="8" w:color="auto"/>
            </w:tcBorders>
          </w:tcPr>
          <w:p>
            <w:pPr>
              <w:spacing w:after="0"/>
              <w:rPr>
                <w:sz w:val="9"/>
                <w:szCs w:val="9"/>
                <w:color w:val="auto"/>
              </w:rPr>
            </w:pPr>
          </w:p>
        </w:tc>
        <w:tc>
          <w:tcPr>
            <w:tcW w:w="860" w:type="dxa"/>
            <w:vAlign w:val="bottom"/>
            <w:tcBorders>
              <w:top w:val="single" w:sz="8" w:color="auto"/>
              <w:right w:val="single" w:sz="8" w:color="auto"/>
            </w:tcBorders>
          </w:tcPr>
          <w:p>
            <w:pPr>
              <w:spacing w:after="0"/>
              <w:rPr>
                <w:sz w:val="9"/>
                <w:szCs w:val="9"/>
                <w:color w:val="auto"/>
              </w:rPr>
            </w:pPr>
          </w:p>
        </w:tc>
        <w:tc>
          <w:tcPr>
            <w:tcW w:w="660" w:type="dxa"/>
            <w:vAlign w:val="bottom"/>
            <w:tcBorders>
              <w:top w:val="single" w:sz="8" w:color="auto"/>
              <w:right w:val="single" w:sz="8" w:color="auto"/>
            </w:tcBorders>
          </w:tcPr>
          <w:p>
            <w:pPr>
              <w:spacing w:after="0"/>
              <w:rPr>
                <w:sz w:val="9"/>
                <w:szCs w:val="9"/>
                <w:color w:val="auto"/>
              </w:rPr>
            </w:pPr>
          </w:p>
        </w:tc>
        <w:tc>
          <w:tcPr>
            <w:tcW w:w="860" w:type="dxa"/>
            <w:vAlign w:val="bottom"/>
            <w:tcBorders>
              <w:top w:val="single" w:sz="8" w:color="auto"/>
              <w:right w:val="single" w:sz="8" w:color="auto"/>
            </w:tcBorders>
          </w:tcPr>
          <w:p>
            <w:pPr>
              <w:spacing w:after="0"/>
              <w:rPr>
                <w:sz w:val="9"/>
                <w:szCs w:val="9"/>
                <w:color w:val="auto"/>
              </w:rPr>
            </w:pPr>
          </w:p>
        </w:tc>
        <w:tc>
          <w:tcPr>
            <w:tcW w:w="900" w:type="dxa"/>
            <w:vAlign w:val="bottom"/>
            <w:tcBorders>
              <w:top w:val="single" w:sz="8" w:color="auto"/>
              <w:right w:val="single" w:sz="8" w:color="auto"/>
            </w:tcBorders>
          </w:tcPr>
          <w:p>
            <w:pPr>
              <w:spacing w:after="0"/>
              <w:rPr>
                <w:sz w:val="9"/>
                <w:szCs w:val="9"/>
                <w:color w:val="auto"/>
              </w:rPr>
            </w:pPr>
          </w:p>
        </w:tc>
        <w:tc>
          <w:tcPr>
            <w:tcW w:w="640" w:type="dxa"/>
            <w:vAlign w:val="bottom"/>
            <w:tcBorders>
              <w:top w:val="single" w:sz="8" w:color="auto"/>
              <w:right w:val="single" w:sz="8" w:color="auto"/>
            </w:tcBorders>
          </w:tcPr>
          <w:p>
            <w:pPr>
              <w:jc w:val="center"/>
              <w:spacing w:after="0" w:line="112" w:lineRule="exact"/>
              <w:rPr>
                <w:sz w:val="20"/>
                <w:szCs w:val="20"/>
                <w:color w:val="auto"/>
              </w:rPr>
            </w:pPr>
            <w:r>
              <w:rPr>
                <w:rFonts w:ascii="Arial" w:cs="Arial" w:eastAsia="Arial" w:hAnsi="Arial"/>
                <w:sz w:val="10"/>
                <w:szCs w:val="10"/>
                <w:b w:val="1"/>
                <w:bCs w:val="1"/>
                <w:color w:val="auto"/>
                <w:w w:val="85"/>
              </w:rPr>
              <w:t>Filing Fee</w:t>
            </w:r>
          </w:p>
        </w:tc>
      </w:tr>
      <w:tr>
        <w:trPr>
          <w:trHeight w:val="104"/>
        </w:trPr>
        <w:tc>
          <w:tcPr>
            <w:tcW w:w="1380" w:type="dxa"/>
            <w:vAlign w:val="bottom"/>
            <w:tcBorders>
              <w:left w:val="single" w:sz="8" w:color="auto"/>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4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w w:val="86"/>
              </w:rPr>
              <w:t>Previously</w:t>
            </w:r>
          </w:p>
        </w:tc>
      </w:tr>
      <w:tr>
        <w:trPr>
          <w:trHeight w:val="104"/>
        </w:trPr>
        <w:tc>
          <w:tcPr>
            <w:tcW w:w="1380" w:type="dxa"/>
            <w:vAlign w:val="bottom"/>
            <w:tcBorders>
              <w:left w:val="single" w:sz="8" w:color="auto"/>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4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w w:val="91"/>
              </w:rPr>
              <w:t>Paid in</w:t>
            </w:r>
          </w:p>
        </w:tc>
      </w:tr>
      <w:tr>
        <w:trPr>
          <w:trHeight w:val="104"/>
        </w:trPr>
        <w:tc>
          <w:tcPr>
            <w:tcW w:w="1380" w:type="dxa"/>
            <w:vAlign w:val="bottom"/>
            <w:tcBorders>
              <w:left w:val="single" w:sz="8" w:color="auto"/>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4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w w:val="87"/>
              </w:rPr>
              <w:t>Connection</w:t>
            </w:r>
          </w:p>
        </w:tc>
      </w:tr>
      <w:tr>
        <w:trPr>
          <w:trHeight w:val="107"/>
        </w:trPr>
        <w:tc>
          <w:tcPr>
            <w:tcW w:w="1380" w:type="dxa"/>
            <w:vAlign w:val="bottom"/>
            <w:tcBorders>
              <w:left w:val="single" w:sz="8" w:color="auto"/>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660" w:type="dxa"/>
            <w:vAlign w:val="bottom"/>
          </w:tcPr>
          <w:p>
            <w:pPr>
              <w:jc w:val="center"/>
              <w:ind w:left="109"/>
              <w:spacing w:after="0" w:line="107" w:lineRule="exact"/>
              <w:rPr>
                <w:sz w:val="20"/>
                <w:szCs w:val="20"/>
                <w:color w:val="auto"/>
              </w:rPr>
            </w:pPr>
            <w:r>
              <w:rPr>
                <w:rFonts w:ascii="Arial" w:cs="Arial" w:eastAsia="Arial" w:hAnsi="Arial"/>
                <w:sz w:val="10"/>
                <w:szCs w:val="10"/>
                <w:b w:val="1"/>
                <w:bCs w:val="1"/>
                <w:color w:val="auto"/>
                <w:w w:val="80"/>
              </w:rPr>
              <w:t>Fee</w:t>
            </w:r>
          </w:p>
        </w:tc>
        <w:tc>
          <w:tcPr>
            <w:tcW w:w="10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jc w:val="center"/>
              <w:ind w:left="32"/>
              <w:spacing w:after="0" w:line="107" w:lineRule="exact"/>
              <w:rPr>
                <w:sz w:val="20"/>
                <w:szCs w:val="20"/>
                <w:color w:val="auto"/>
              </w:rPr>
            </w:pPr>
            <w:r>
              <w:rPr>
                <w:rFonts w:ascii="Arial" w:cs="Arial" w:eastAsia="Arial" w:hAnsi="Arial"/>
                <w:sz w:val="10"/>
                <w:szCs w:val="10"/>
                <w:b w:val="1"/>
                <w:bCs w:val="1"/>
                <w:color w:val="auto"/>
                <w:w w:val="82"/>
              </w:rPr>
              <w:t>Proposed</w:t>
            </w:r>
          </w:p>
        </w:tc>
        <w:tc>
          <w:tcPr>
            <w:tcW w:w="108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jc w:val="center"/>
              <w:ind w:left="30"/>
              <w:spacing w:after="0" w:line="107" w:lineRule="exact"/>
              <w:rPr>
                <w:sz w:val="20"/>
                <w:szCs w:val="20"/>
                <w:color w:val="auto"/>
              </w:rPr>
            </w:pPr>
            <w:r>
              <w:rPr>
                <w:rFonts w:ascii="Arial" w:cs="Arial" w:eastAsia="Arial" w:hAnsi="Arial"/>
                <w:sz w:val="10"/>
                <w:szCs w:val="10"/>
                <w:b w:val="1"/>
                <w:bCs w:val="1"/>
                <w:color w:val="auto"/>
                <w:w w:val="99"/>
              </w:rPr>
              <w:t>Carry</w:t>
            </w:r>
          </w:p>
        </w:tc>
        <w:tc>
          <w:tcPr>
            <w:tcW w:w="64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0"/>
                <w:szCs w:val="10"/>
                <w:b w:val="1"/>
                <w:bCs w:val="1"/>
                <w:color w:val="auto"/>
                <w:w w:val="88"/>
              </w:rPr>
              <w:t>with Unsold</w:t>
            </w:r>
          </w:p>
        </w:tc>
      </w:tr>
      <w:tr>
        <w:trPr>
          <w:trHeight w:val="104"/>
        </w:trPr>
        <w:tc>
          <w:tcPr>
            <w:tcW w:w="1380" w:type="dxa"/>
            <w:vAlign w:val="bottom"/>
            <w:tcBorders>
              <w:left w:val="single" w:sz="8" w:color="auto"/>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660" w:type="dxa"/>
            <w:vAlign w:val="bottom"/>
          </w:tcPr>
          <w:p>
            <w:pPr>
              <w:jc w:val="center"/>
              <w:ind w:left="89"/>
              <w:spacing w:after="0" w:line="104" w:lineRule="exact"/>
              <w:rPr>
                <w:sz w:val="20"/>
                <w:szCs w:val="20"/>
                <w:color w:val="auto"/>
              </w:rPr>
            </w:pPr>
            <w:r>
              <w:rPr>
                <w:rFonts w:ascii="Arial" w:cs="Arial" w:eastAsia="Arial" w:hAnsi="Arial"/>
                <w:sz w:val="10"/>
                <w:szCs w:val="10"/>
                <w:b w:val="1"/>
                <w:bCs w:val="1"/>
                <w:color w:val="auto"/>
                <w:w w:val="88"/>
              </w:rPr>
              <w:t>Calculation</w:t>
            </w:r>
          </w:p>
        </w:tc>
        <w:tc>
          <w:tcPr>
            <w:tcW w:w="10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jc w:val="center"/>
              <w:ind w:left="12"/>
              <w:spacing w:after="0" w:line="104" w:lineRule="exact"/>
              <w:rPr>
                <w:sz w:val="20"/>
                <w:szCs w:val="20"/>
                <w:color w:val="auto"/>
              </w:rPr>
            </w:pPr>
            <w:r>
              <w:rPr>
                <w:rFonts w:ascii="Arial" w:cs="Arial" w:eastAsia="Arial" w:hAnsi="Arial"/>
                <w:sz w:val="10"/>
                <w:szCs w:val="10"/>
                <w:b w:val="1"/>
                <w:bCs w:val="1"/>
                <w:color w:val="auto"/>
                <w:w w:val="95"/>
              </w:rPr>
              <w:t>Maximum</w:t>
            </w:r>
          </w:p>
        </w:tc>
        <w:tc>
          <w:tcPr>
            <w:tcW w:w="1080" w:type="dxa"/>
            <w:vAlign w:val="bottom"/>
            <w:tcBorders>
              <w:right w:val="single" w:sz="8" w:color="auto"/>
            </w:tcBorders>
          </w:tcPr>
          <w:p>
            <w:pPr>
              <w:jc w:val="center"/>
              <w:ind w:left="9"/>
              <w:spacing w:after="0" w:line="104" w:lineRule="exact"/>
              <w:rPr>
                <w:sz w:val="20"/>
                <w:szCs w:val="20"/>
                <w:color w:val="auto"/>
              </w:rPr>
            </w:pPr>
            <w:r>
              <w:rPr>
                <w:rFonts w:ascii="Arial" w:cs="Arial" w:eastAsia="Arial" w:hAnsi="Arial"/>
                <w:sz w:val="10"/>
                <w:szCs w:val="10"/>
                <w:b w:val="1"/>
                <w:bCs w:val="1"/>
                <w:color w:val="auto"/>
                <w:w w:val="82"/>
              </w:rPr>
              <w:t>Proposed</w:t>
            </w:r>
          </w:p>
        </w:tc>
        <w:tc>
          <w:tcPr>
            <w:tcW w:w="88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jc w:val="center"/>
              <w:ind w:left="30"/>
              <w:spacing w:after="0" w:line="104" w:lineRule="exact"/>
              <w:rPr>
                <w:sz w:val="20"/>
                <w:szCs w:val="20"/>
                <w:color w:val="auto"/>
              </w:rPr>
            </w:pPr>
            <w:r>
              <w:rPr>
                <w:rFonts w:ascii="Arial" w:cs="Arial" w:eastAsia="Arial" w:hAnsi="Arial"/>
                <w:sz w:val="10"/>
                <w:szCs w:val="10"/>
                <w:b w:val="1"/>
                <w:bCs w:val="1"/>
                <w:color w:val="auto"/>
                <w:w w:val="99"/>
              </w:rPr>
              <w:t>Carry</w:t>
            </w:r>
          </w:p>
        </w:tc>
        <w:tc>
          <w:tcPr>
            <w:tcW w:w="860" w:type="dxa"/>
            <w:vAlign w:val="bottom"/>
            <w:tcBorders>
              <w:right w:val="single" w:sz="8" w:color="auto"/>
            </w:tcBorders>
          </w:tcPr>
          <w:p>
            <w:pPr>
              <w:jc w:val="center"/>
              <w:ind w:left="30"/>
              <w:spacing w:after="0" w:line="104" w:lineRule="exact"/>
              <w:rPr>
                <w:sz w:val="20"/>
                <w:szCs w:val="20"/>
                <w:color w:val="auto"/>
              </w:rPr>
            </w:pPr>
            <w:r>
              <w:rPr>
                <w:rFonts w:ascii="Arial" w:cs="Arial" w:eastAsia="Arial" w:hAnsi="Arial"/>
                <w:sz w:val="10"/>
                <w:szCs w:val="10"/>
                <w:b w:val="1"/>
                <w:bCs w:val="1"/>
                <w:color w:val="auto"/>
                <w:w w:val="99"/>
              </w:rPr>
              <w:t>Carry</w:t>
            </w:r>
          </w:p>
        </w:tc>
        <w:tc>
          <w:tcPr>
            <w:tcW w:w="900" w:type="dxa"/>
            <w:vAlign w:val="bottom"/>
            <w:tcBorders>
              <w:right w:val="single" w:sz="8" w:color="auto"/>
            </w:tcBorders>
          </w:tcPr>
          <w:p>
            <w:pPr>
              <w:jc w:val="center"/>
              <w:ind w:left="30"/>
              <w:spacing w:after="0" w:line="104" w:lineRule="exact"/>
              <w:rPr>
                <w:sz w:val="20"/>
                <w:szCs w:val="20"/>
                <w:color w:val="auto"/>
              </w:rPr>
            </w:pPr>
            <w:r>
              <w:rPr>
                <w:rFonts w:ascii="Arial" w:cs="Arial" w:eastAsia="Arial" w:hAnsi="Arial"/>
                <w:sz w:val="10"/>
                <w:szCs w:val="10"/>
                <w:b w:val="1"/>
                <w:bCs w:val="1"/>
                <w:color w:val="auto"/>
                <w:w w:val="96"/>
              </w:rPr>
              <w:t>Forward</w:t>
            </w:r>
          </w:p>
        </w:tc>
        <w:tc>
          <w:tcPr>
            <w:tcW w:w="64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w w:val="83"/>
              </w:rPr>
              <w:t>Securities</w:t>
            </w:r>
          </w:p>
        </w:tc>
      </w:tr>
      <w:tr>
        <w:trPr>
          <w:trHeight w:val="104"/>
        </w:trPr>
        <w:tc>
          <w:tcPr>
            <w:tcW w:w="1380" w:type="dxa"/>
            <w:vAlign w:val="bottom"/>
            <w:tcBorders>
              <w:left w:val="single" w:sz="8" w:color="auto"/>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w w:val="86"/>
              </w:rPr>
              <w:t>Security</w:t>
            </w:r>
          </w:p>
        </w:tc>
        <w:tc>
          <w:tcPr>
            <w:tcW w:w="660" w:type="dxa"/>
            <w:vAlign w:val="bottom"/>
          </w:tcPr>
          <w:p>
            <w:pPr>
              <w:jc w:val="center"/>
              <w:ind w:left="109"/>
              <w:spacing w:after="0" w:line="104" w:lineRule="exact"/>
              <w:rPr>
                <w:sz w:val="20"/>
                <w:szCs w:val="20"/>
                <w:color w:val="auto"/>
              </w:rPr>
            </w:pPr>
            <w:r>
              <w:rPr>
                <w:rFonts w:ascii="Arial" w:cs="Arial" w:eastAsia="Arial" w:hAnsi="Arial"/>
                <w:sz w:val="10"/>
                <w:szCs w:val="10"/>
                <w:b w:val="1"/>
                <w:bCs w:val="1"/>
                <w:color w:val="auto"/>
                <w:w w:val="97"/>
              </w:rPr>
              <w:t>or Carry</w:t>
            </w:r>
          </w:p>
        </w:tc>
        <w:tc>
          <w:tcPr>
            <w:tcW w:w="10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jc w:val="center"/>
              <w:ind w:left="10"/>
              <w:spacing w:after="0" w:line="104" w:lineRule="exact"/>
              <w:rPr>
                <w:sz w:val="20"/>
                <w:szCs w:val="20"/>
                <w:color w:val="auto"/>
              </w:rPr>
            </w:pPr>
            <w:r>
              <w:rPr>
                <w:rFonts w:ascii="Arial" w:cs="Arial" w:eastAsia="Arial" w:hAnsi="Arial"/>
                <w:sz w:val="10"/>
                <w:szCs w:val="10"/>
                <w:b w:val="1"/>
                <w:bCs w:val="1"/>
                <w:color w:val="auto"/>
                <w:w w:val="89"/>
              </w:rPr>
              <w:t>Amount</w:t>
            </w:r>
          </w:p>
        </w:tc>
        <w:tc>
          <w:tcPr>
            <w:tcW w:w="780" w:type="dxa"/>
            <w:vAlign w:val="bottom"/>
            <w:tcBorders>
              <w:right w:val="single" w:sz="8" w:color="auto"/>
            </w:tcBorders>
          </w:tcPr>
          <w:p>
            <w:pPr>
              <w:jc w:val="center"/>
              <w:ind w:left="12"/>
              <w:spacing w:after="0" w:line="104" w:lineRule="exact"/>
              <w:rPr>
                <w:sz w:val="20"/>
                <w:szCs w:val="20"/>
                <w:color w:val="auto"/>
              </w:rPr>
            </w:pPr>
            <w:r>
              <w:rPr>
                <w:rFonts w:ascii="Arial" w:cs="Arial" w:eastAsia="Arial" w:hAnsi="Arial"/>
                <w:sz w:val="10"/>
                <w:szCs w:val="10"/>
                <w:b w:val="1"/>
                <w:bCs w:val="1"/>
                <w:color w:val="auto"/>
                <w:w w:val="92"/>
              </w:rPr>
              <w:t>Offering</w:t>
            </w:r>
          </w:p>
        </w:tc>
        <w:tc>
          <w:tcPr>
            <w:tcW w:w="1080" w:type="dxa"/>
            <w:vAlign w:val="bottom"/>
            <w:tcBorders>
              <w:right w:val="single" w:sz="8" w:color="auto"/>
            </w:tcBorders>
          </w:tcPr>
          <w:p>
            <w:pPr>
              <w:jc w:val="center"/>
              <w:ind w:left="9"/>
              <w:spacing w:after="0" w:line="104" w:lineRule="exact"/>
              <w:rPr>
                <w:sz w:val="20"/>
                <w:szCs w:val="20"/>
                <w:color w:val="auto"/>
              </w:rPr>
            </w:pPr>
            <w:r>
              <w:rPr>
                <w:rFonts w:ascii="Arial" w:cs="Arial" w:eastAsia="Arial" w:hAnsi="Arial"/>
                <w:sz w:val="10"/>
                <w:szCs w:val="10"/>
                <w:b w:val="1"/>
                <w:bCs w:val="1"/>
                <w:color w:val="auto"/>
                <w:w w:val="90"/>
              </w:rPr>
              <w:t>Maximum</w:t>
            </w:r>
          </w:p>
        </w:tc>
        <w:tc>
          <w:tcPr>
            <w:tcW w:w="88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jc w:val="center"/>
              <w:ind w:left="7"/>
              <w:spacing w:after="0" w:line="104" w:lineRule="exact"/>
              <w:rPr>
                <w:sz w:val="20"/>
                <w:szCs w:val="20"/>
                <w:color w:val="auto"/>
              </w:rPr>
            </w:pPr>
            <w:r>
              <w:rPr>
                <w:rFonts w:ascii="Arial" w:cs="Arial" w:eastAsia="Arial" w:hAnsi="Arial"/>
                <w:sz w:val="10"/>
                <w:szCs w:val="10"/>
                <w:b w:val="1"/>
                <w:bCs w:val="1"/>
                <w:color w:val="auto"/>
                <w:w w:val="87"/>
              </w:rPr>
              <w:t>Amount of</w:t>
            </w:r>
          </w:p>
        </w:tc>
        <w:tc>
          <w:tcPr>
            <w:tcW w:w="660" w:type="dxa"/>
            <w:vAlign w:val="bottom"/>
            <w:tcBorders>
              <w:right w:val="single" w:sz="8" w:color="auto"/>
            </w:tcBorders>
          </w:tcPr>
          <w:p>
            <w:pPr>
              <w:jc w:val="center"/>
              <w:ind w:left="10"/>
              <w:spacing w:after="0" w:line="104" w:lineRule="exact"/>
              <w:rPr>
                <w:sz w:val="20"/>
                <w:szCs w:val="20"/>
                <w:color w:val="auto"/>
              </w:rPr>
            </w:pPr>
            <w:r>
              <w:rPr>
                <w:rFonts w:ascii="Arial" w:cs="Arial" w:eastAsia="Arial" w:hAnsi="Arial"/>
                <w:sz w:val="10"/>
                <w:szCs w:val="10"/>
                <w:b w:val="1"/>
                <w:bCs w:val="1"/>
                <w:color w:val="auto"/>
                <w:w w:val="91"/>
              </w:rPr>
              <w:t>Forward</w:t>
            </w:r>
          </w:p>
        </w:tc>
        <w:tc>
          <w:tcPr>
            <w:tcW w:w="860" w:type="dxa"/>
            <w:vAlign w:val="bottom"/>
            <w:tcBorders>
              <w:right w:val="single" w:sz="8" w:color="auto"/>
            </w:tcBorders>
          </w:tcPr>
          <w:p>
            <w:pPr>
              <w:jc w:val="center"/>
              <w:ind w:left="10"/>
              <w:spacing w:after="0" w:line="104" w:lineRule="exact"/>
              <w:rPr>
                <w:sz w:val="20"/>
                <w:szCs w:val="20"/>
                <w:color w:val="auto"/>
              </w:rPr>
            </w:pPr>
            <w:r>
              <w:rPr>
                <w:rFonts w:ascii="Arial" w:cs="Arial" w:eastAsia="Arial" w:hAnsi="Arial"/>
                <w:sz w:val="10"/>
                <w:szCs w:val="10"/>
                <w:b w:val="1"/>
                <w:bCs w:val="1"/>
                <w:color w:val="auto"/>
                <w:w w:val="91"/>
              </w:rPr>
              <w:t>Forward</w:t>
            </w:r>
          </w:p>
        </w:tc>
        <w:tc>
          <w:tcPr>
            <w:tcW w:w="900" w:type="dxa"/>
            <w:vAlign w:val="bottom"/>
            <w:tcBorders>
              <w:right w:val="single" w:sz="8" w:color="auto"/>
            </w:tcBorders>
          </w:tcPr>
          <w:p>
            <w:pPr>
              <w:jc w:val="center"/>
              <w:ind w:left="30"/>
              <w:spacing w:after="0" w:line="104" w:lineRule="exact"/>
              <w:rPr>
                <w:sz w:val="20"/>
                <w:szCs w:val="20"/>
                <w:color w:val="auto"/>
              </w:rPr>
            </w:pPr>
            <w:r>
              <w:rPr>
                <w:rFonts w:ascii="Arial" w:cs="Arial" w:eastAsia="Arial" w:hAnsi="Arial"/>
                <w:sz w:val="10"/>
                <w:szCs w:val="10"/>
                <w:b w:val="1"/>
                <w:bCs w:val="1"/>
                <w:color w:val="auto"/>
                <w:w w:val="99"/>
              </w:rPr>
              <w:t>Initial</w:t>
            </w:r>
          </w:p>
        </w:tc>
        <w:tc>
          <w:tcPr>
            <w:tcW w:w="64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w w:val="83"/>
              </w:rPr>
              <w:t>to be</w:t>
            </w:r>
          </w:p>
        </w:tc>
      </w:tr>
      <w:tr>
        <w:trPr>
          <w:trHeight w:val="104"/>
        </w:trPr>
        <w:tc>
          <w:tcPr>
            <w:tcW w:w="1380" w:type="dxa"/>
            <w:vAlign w:val="bottom"/>
            <w:tcBorders>
              <w:left w:val="single" w:sz="8" w:color="auto"/>
              <w:right w:val="single" w:sz="8" w:color="auto"/>
            </w:tcBorders>
          </w:tcPr>
          <w:p>
            <w:pPr>
              <w:spacing w:after="0"/>
              <w:rPr>
                <w:sz w:val="9"/>
                <w:szCs w:val="9"/>
                <w:color w:val="auto"/>
              </w:rPr>
            </w:pPr>
          </w:p>
        </w:tc>
        <w:tc>
          <w:tcPr>
            <w:tcW w:w="86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w w:val="86"/>
              </w:rPr>
              <w:t>Security</w:t>
            </w:r>
          </w:p>
        </w:tc>
        <w:tc>
          <w:tcPr>
            <w:tcW w:w="86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w w:val="82"/>
              </w:rPr>
              <w:t>Class</w:t>
            </w:r>
          </w:p>
        </w:tc>
        <w:tc>
          <w:tcPr>
            <w:tcW w:w="660" w:type="dxa"/>
            <w:vAlign w:val="bottom"/>
          </w:tcPr>
          <w:p>
            <w:pPr>
              <w:jc w:val="center"/>
              <w:ind w:left="109"/>
              <w:spacing w:after="0" w:line="104" w:lineRule="exact"/>
              <w:rPr>
                <w:sz w:val="20"/>
                <w:szCs w:val="20"/>
                <w:color w:val="auto"/>
              </w:rPr>
            </w:pPr>
            <w:r>
              <w:rPr>
                <w:rFonts w:ascii="Arial" w:cs="Arial" w:eastAsia="Arial" w:hAnsi="Arial"/>
                <w:sz w:val="10"/>
                <w:szCs w:val="10"/>
                <w:b w:val="1"/>
                <w:bCs w:val="1"/>
                <w:color w:val="auto"/>
                <w:w w:val="96"/>
              </w:rPr>
              <w:t>Forward</w:t>
            </w:r>
          </w:p>
        </w:tc>
        <w:tc>
          <w:tcPr>
            <w:tcW w:w="10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jc w:val="center"/>
              <w:ind w:left="30"/>
              <w:spacing w:after="0" w:line="104" w:lineRule="exact"/>
              <w:rPr>
                <w:sz w:val="20"/>
                <w:szCs w:val="20"/>
                <w:color w:val="auto"/>
              </w:rPr>
            </w:pPr>
            <w:r>
              <w:rPr>
                <w:rFonts w:ascii="Arial" w:cs="Arial" w:eastAsia="Arial" w:hAnsi="Arial"/>
                <w:sz w:val="10"/>
                <w:szCs w:val="10"/>
                <w:b w:val="1"/>
                <w:bCs w:val="1"/>
                <w:color w:val="auto"/>
                <w:w w:val="86"/>
              </w:rPr>
              <w:t>Being</w:t>
            </w:r>
          </w:p>
        </w:tc>
        <w:tc>
          <w:tcPr>
            <w:tcW w:w="780" w:type="dxa"/>
            <w:vAlign w:val="bottom"/>
            <w:tcBorders>
              <w:right w:val="single" w:sz="8" w:color="auto"/>
            </w:tcBorders>
          </w:tcPr>
          <w:p>
            <w:pPr>
              <w:jc w:val="center"/>
              <w:ind w:left="32"/>
              <w:spacing w:after="0" w:line="104" w:lineRule="exact"/>
              <w:rPr>
                <w:sz w:val="20"/>
                <w:szCs w:val="20"/>
                <w:color w:val="auto"/>
              </w:rPr>
            </w:pPr>
            <w:r>
              <w:rPr>
                <w:rFonts w:ascii="Arial" w:cs="Arial" w:eastAsia="Arial" w:hAnsi="Arial"/>
                <w:sz w:val="10"/>
                <w:szCs w:val="10"/>
                <w:b w:val="1"/>
                <w:bCs w:val="1"/>
                <w:color w:val="auto"/>
                <w:w w:val="87"/>
              </w:rPr>
              <w:t>Price Per</w:t>
            </w:r>
          </w:p>
        </w:tc>
        <w:tc>
          <w:tcPr>
            <w:tcW w:w="1080" w:type="dxa"/>
            <w:vAlign w:val="bottom"/>
            <w:tcBorders>
              <w:right w:val="single" w:sz="8" w:color="auto"/>
            </w:tcBorders>
          </w:tcPr>
          <w:p>
            <w:pPr>
              <w:jc w:val="center"/>
              <w:ind w:left="9"/>
              <w:spacing w:after="0" w:line="104" w:lineRule="exact"/>
              <w:rPr>
                <w:sz w:val="20"/>
                <w:szCs w:val="20"/>
                <w:color w:val="auto"/>
              </w:rPr>
            </w:pPr>
            <w:r>
              <w:rPr>
                <w:rFonts w:ascii="Arial" w:cs="Arial" w:eastAsia="Arial" w:hAnsi="Arial"/>
                <w:sz w:val="10"/>
                <w:szCs w:val="10"/>
                <w:b w:val="1"/>
                <w:bCs w:val="1"/>
                <w:color w:val="auto"/>
                <w:w w:val="84"/>
              </w:rPr>
              <w:t>Aggregate</w:t>
            </w:r>
          </w:p>
        </w:tc>
        <w:tc>
          <w:tcPr>
            <w:tcW w:w="880" w:type="dxa"/>
            <w:vAlign w:val="bottom"/>
            <w:tcBorders>
              <w:right w:val="single" w:sz="8" w:color="auto"/>
            </w:tcBorders>
          </w:tcPr>
          <w:p>
            <w:pPr>
              <w:jc w:val="center"/>
              <w:ind w:left="9"/>
              <w:spacing w:after="0" w:line="104" w:lineRule="exact"/>
              <w:rPr>
                <w:sz w:val="20"/>
                <w:szCs w:val="20"/>
                <w:color w:val="auto"/>
              </w:rPr>
            </w:pPr>
            <w:r>
              <w:rPr>
                <w:rFonts w:ascii="Arial" w:cs="Arial" w:eastAsia="Arial" w:hAnsi="Arial"/>
                <w:sz w:val="10"/>
                <w:szCs w:val="10"/>
                <w:b w:val="1"/>
                <w:bCs w:val="1"/>
                <w:color w:val="auto"/>
                <w:w w:val="80"/>
              </w:rPr>
              <w:t>Fee</w:t>
            </w:r>
          </w:p>
        </w:tc>
        <w:tc>
          <w:tcPr>
            <w:tcW w:w="860" w:type="dxa"/>
            <w:vAlign w:val="bottom"/>
            <w:tcBorders>
              <w:right w:val="single" w:sz="8" w:color="auto"/>
            </w:tcBorders>
          </w:tcPr>
          <w:p>
            <w:pPr>
              <w:jc w:val="center"/>
              <w:ind w:left="7"/>
              <w:spacing w:after="0" w:line="104" w:lineRule="exact"/>
              <w:rPr>
                <w:sz w:val="20"/>
                <w:szCs w:val="20"/>
                <w:color w:val="auto"/>
              </w:rPr>
            </w:pPr>
            <w:r>
              <w:rPr>
                <w:rFonts w:ascii="Arial" w:cs="Arial" w:eastAsia="Arial" w:hAnsi="Arial"/>
                <w:sz w:val="10"/>
                <w:szCs w:val="10"/>
                <w:b w:val="1"/>
                <w:bCs w:val="1"/>
                <w:color w:val="auto"/>
                <w:w w:val="89"/>
              </w:rPr>
              <w:t>Registration</w:t>
            </w:r>
          </w:p>
        </w:tc>
        <w:tc>
          <w:tcPr>
            <w:tcW w:w="660" w:type="dxa"/>
            <w:vAlign w:val="bottom"/>
            <w:tcBorders>
              <w:right w:val="single" w:sz="8" w:color="auto"/>
            </w:tcBorders>
          </w:tcPr>
          <w:p>
            <w:pPr>
              <w:jc w:val="center"/>
              <w:ind w:left="10"/>
              <w:spacing w:after="0" w:line="104" w:lineRule="exact"/>
              <w:rPr>
                <w:sz w:val="20"/>
                <w:szCs w:val="20"/>
                <w:color w:val="auto"/>
              </w:rPr>
            </w:pPr>
            <w:r>
              <w:rPr>
                <w:rFonts w:ascii="Arial" w:cs="Arial" w:eastAsia="Arial" w:hAnsi="Arial"/>
                <w:sz w:val="10"/>
                <w:szCs w:val="10"/>
                <w:b w:val="1"/>
                <w:bCs w:val="1"/>
                <w:color w:val="auto"/>
                <w:w w:val="95"/>
              </w:rPr>
              <w:t>Form</w:t>
            </w:r>
          </w:p>
        </w:tc>
        <w:tc>
          <w:tcPr>
            <w:tcW w:w="860" w:type="dxa"/>
            <w:vAlign w:val="bottom"/>
            <w:tcBorders>
              <w:right w:val="single" w:sz="8" w:color="auto"/>
            </w:tcBorders>
          </w:tcPr>
          <w:p>
            <w:pPr>
              <w:jc w:val="center"/>
              <w:ind w:left="10"/>
              <w:spacing w:after="0" w:line="104" w:lineRule="exact"/>
              <w:rPr>
                <w:sz w:val="20"/>
                <w:szCs w:val="20"/>
                <w:color w:val="auto"/>
              </w:rPr>
            </w:pPr>
            <w:r>
              <w:rPr>
                <w:rFonts w:ascii="Arial" w:cs="Arial" w:eastAsia="Arial" w:hAnsi="Arial"/>
                <w:sz w:val="10"/>
                <w:szCs w:val="10"/>
                <w:b w:val="1"/>
                <w:bCs w:val="1"/>
                <w:color w:val="auto"/>
                <w:w w:val="92"/>
              </w:rPr>
              <w:t>File</w:t>
            </w:r>
          </w:p>
        </w:tc>
        <w:tc>
          <w:tcPr>
            <w:tcW w:w="900" w:type="dxa"/>
            <w:vAlign w:val="bottom"/>
            <w:tcBorders>
              <w:right w:val="single" w:sz="8" w:color="auto"/>
            </w:tcBorders>
          </w:tcPr>
          <w:p>
            <w:pPr>
              <w:jc w:val="center"/>
              <w:ind w:left="30"/>
              <w:spacing w:after="0" w:line="104" w:lineRule="exact"/>
              <w:rPr>
                <w:sz w:val="20"/>
                <w:szCs w:val="20"/>
                <w:color w:val="auto"/>
              </w:rPr>
            </w:pPr>
            <w:r>
              <w:rPr>
                <w:rFonts w:ascii="Arial" w:cs="Arial" w:eastAsia="Arial" w:hAnsi="Arial"/>
                <w:sz w:val="10"/>
                <w:szCs w:val="10"/>
                <w:b w:val="1"/>
                <w:bCs w:val="1"/>
                <w:color w:val="auto"/>
                <w:w w:val="91"/>
              </w:rPr>
              <w:t>Effective</w:t>
            </w:r>
          </w:p>
        </w:tc>
        <w:tc>
          <w:tcPr>
            <w:tcW w:w="64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w w:val="91"/>
              </w:rPr>
              <w:t>Carried</w:t>
            </w:r>
          </w:p>
        </w:tc>
      </w:tr>
      <w:tr>
        <w:trPr>
          <w:trHeight w:val="135"/>
        </w:trPr>
        <w:tc>
          <w:tcPr>
            <w:tcW w:w="1380" w:type="dxa"/>
            <w:vAlign w:val="bottom"/>
            <w:tcBorders>
              <w:left w:val="single" w:sz="8" w:color="auto"/>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0"/>
                <w:szCs w:val="10"/>
                <w:b w:val="1"/>
                <w:bCs w:val="1"/>
                <w:color w:val="auto"/>
                <w:w w:val="85"/>
              </w:rPr>
              <w:t>Type</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Title</w:t>
            </w:r>
          </w:p>
        </w:tc>
        <w:tc>
          <w:tcPr>
            <w:tcW w:w="660" w:type="dxa"/>
            <w:vAlign w:val="bottom"/>
            <w:tcBorders>
              <w:bottom w:val="single" w:sz="8" w:color="auto"/>
            </w:tcBorders>
          </w:tcPr>
          <w:p>
            <w:pPr>
              <w:jc w:val="center"/>
              <w:ind w:left="109"/>
              <w:spacing w:after="0"/>
              <w:rPr>
                <w:sz w:val="20"/>
                <w:szCs w:val="20"/>
                <w:color w:val="auto"/>
              </w:rPr>
            </w:pPr>
            <w:r>
              <w:rPr>
                <w:rFonts w:ascii="Arial" w:cs="Arial" w:eastAsia="Arial" w:hAnsi="Arial"/>
                <w:sz w:val="10"/>
                <w:szCs w:val="10"/>
                <w:b w:val="1"/>
                <w:bCs w:val="1"/>
                <w:color w:val="auto"/>
                <w:w w:val="82"/>
              </w:rPr>
              <w:t>Rule</w:t>
            </w:r>
          </w:p>
        </w:tc>
        <w:tc>
          <w:tcPr>
            <w:tcW w:w="1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0"/>
                <w:szCs w:val="10"/>
                <w:b w:val="1"/>
                <w:bCs w:val="1"/>
                <w:color w:val="auto"/>
                <w:w w:val="85"/>
              </w:rPr>
              <w:t>Registered</w:t>
            </w:r>
          </w:p>
        </w:tc>
        <w:tc>
          <w:tcPr>
            <w:tcW w:w="780" w:type="dxa"/>
            <w:vAlign w:val="bottom"/>
            <w:tcBorders>
              <w:bottom w:val="single" w:sz="8" w:color="auto"/>
              <w:right w:val="single" w:sz="8" w:color="auto"/>
            </w:tcBorders>
          </w:tcPr>
          <w:p>
            <w:pPr>
              <w:jc w:val="center"/>
              <w:ind w:left="32"/>
              <w:spacing w:after="0"/>
              <w:rPr>
                <w:sz w:val="20"/>
                <w:szCs w:val="20"/>
                <w:color w:val="auto"/>
              </w:rPr>
            </w:pPr>
            <w:r>
              <w:rPr>
                <w:rFonts w:ascii="Arial" w:cs="Arial" w:eastAsia="Arial" w:hAnsi="Arial"/>
                <w:sz w:val="10"/>
                <w:szCs w:val="10"/>
                <w:b w:val="1"/>
                <w:bCs w:val="1"/>
                <w:color w:val="auto"/>
                <w:w w:val="92"/>
              </w:rPr>
              <w:t>Unit</w:t>
            </w:r>
          </w:p>
        </w:tc>
        <w:tc>
          <w:tcPr>
            <w:tcW w:w="1080" w:type="dxa"/>
            <w:vAlign w:val="bottom"/>
            <w:tcBorders>
              <w:bottom w:val="single" w:sz="8" w:color="auto"/>
              <w:right w:val="single" w:sz="8" w:color="auto"/>
            </w:tcBorders>
          </w:tcPr>
          <w:p>
            <w:pPr>
              <w:jc w:val="center"/>
              <w:ind w:left="9"/>
              <w:spacing w:after="0" w:line="135" w:lineRule="exact"/>
              <w:rPr>
                <w:sz w:val="20"/>
                <w:szCs w:val="20"/>
                <w:color w:val="auto"/>
              </w:rPr>
            </w:pPr>
            <w:r>
              <w:rPr>
                <w:rFonts w:ascii="Arial" w:cs="Arial" w:eastAsia="Arial" w:hAnsi="Arial"/>
                <w:sz w:val="10"/>
                <w:szCs w:val="10"/>
                <w:b w:val="1"/>
                <w:bCs w:val="1"/>
                <w:color w:val="auto"/>
                <w:w w:val="85"/>
              </w:rPr>
              <w:t>Offering Price</w:t>
            </w:r>
            <w:r>
              <w:rPr>
                <w:rFonts w:ascii="Arial" w:cs="Arial" w:eastAsia="Arial" w:hAnsi="Arial"/>
                <w:sz w:val="14"/>
                <w:szCs w:val="14"/>
                <w:b w:val="1"/>
                <w:bCs w:val="1"/>
                <w:color w:val="auto"/>
                <w:w w:val="85"/>
                <w:vertAlign w:val="superscript"/>
              </w:rPr>
              <w:t>(1)</w:t>
            </w:r>
          </w:p>
        </w:tc>
        <w:tc>
          <w:tcPr>
            <w:tcW w:w="88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0"/>
                <w:szCs w:val="10"/>
                <w:b w:val="1"/>
                <w:bCs w:val="1"/>
                <w:color w:val="auto"/>
                <w:w w:val="82"/>
              </w:rPr>
              <w:t>Rate</w:t>
            </w:r>
          </w:p>
        </w:tc>
        <w:tc>
          <w:tcPr>
            <w:tcW w:w="860" w:type="dxa"/>
            <w:vAlign w:val="bottom"/>
            <w:tcBorders>
              <w:bottom w:val="single" w:sz="8" w:color="auto"/>
              <w:right w:val="single" w:sz="8" w:color="auto"/>
            </w:tcBorders>
          </w:tcPr>
          <w:p>
            <w:pPr>
              <w:jc w:val="center"/>
              <w:ind w:left="7"/>
              <w:spacing w:after="0" w:line="135" w:lineRule="exact"/>
              <w:rPr>
                <w:sz w:val="20"/>
                <w:szCs w:val="20"/>
                <w:color w:val="auto"/>
              </w:rPr>
            </w:pPr>
            <w:r>
              <w:rPr>
                <w:rFonts w:ascii="Arial" w:cs="Arial" w:eastAsia="Arial" w:hAnsi="Arial"/>
                <w:sz w:val="10"/>
                <w:szCs w:val="10"/>
                <w:b w:val="1"/>
                <w:bCs w:val="1"/>
                <w:color w:val="auto"/>
                <w:w w:val="83"/>
              </w:rPr>
              <w:t>Fee</w:t>
            </w:r>
            <w:r>
              <w:rPr>
                <w:rFonts w:ascii="Arial" w:cs="Arial" w:eastAsia="Arial" w:hAnsi="Arial"/>
                <w:sz w:val="14"/>
                <w:szCs w:val="14"/>
                <w:b w:val="1"/>
                <w:bCs w:val="1"/>
                <w:color w:val="auto"/>
                <w:w w:val="83"/>
                <w:vertAlign w:val="superscript"/>
              </w:rPr>
              <w:t>(1)</w:t>
            </w:r>
          </w:p>
        </w:tc>
        <w:tc>
          <w:tcPr>
            <w:tcW w:w="66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0"/>
                <w:szCs w:val="10"/>
                <w:b w:val="1"/>
                <w:bCs w:val="1"/>
                <w:color w:val="auto"/>
                <w:w w:val="85"/>
              </w:rPr>
              <w:t>Type</w:t>
            </w:r>
          </w:p>
        </w:tc>
        <w:tc>
          <w:tcPr>
            <w:tcW w:w="86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0"/>
                <w:szCs w:val="10"/>
                <w:b w:val="1"/>
                <w:bCs w:val="1"/>
                <w:color w:val="auto"/>
                <w:w w:val="89"/>
              </w:rPr>
              <w:t>Number</w:t>
            </w:r>
          </w:p>
        </w:tc>
        <w:tc>
          <w:tcPr>
            <w:tcW w:w="90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0"/>
                <w:szCs w:val="10"/>
                <w:b w:val="1"/>
                <w:bCs w:val="1"/>
                <w:color w:val="auto"/>
                <w:w w:val="82"/>
              </w:rPr>
              <w:t>Date</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Forward</w:t>
            </w:r>
          </w:p>
        </w:tc>
      </w:tr>
      <w:tr>
        <w:trPr>
          <w:trHeight w:val="102"/>
        </w:trPr>
        <w:tc>
          <w:tcPr>
            <w:tcW w:w="1380" w:type="dxa"/>
            <w:vAlign w:val="bottom"/>
            <w:tcBorders>
              <w:left w:val="single" w:sz="8" w:color="auto"/>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jc w:val="center"/>
              <w:ind w:left="5"/>
              <w:spacing w:after="0" w:line="102" w:lineRule="exact"/>
              <w:rPr>
                <w:sz w:val="20"/>
                <w:szCs w:val="20"/>
                <w:color w:val="auto"/>
              </w:rPr>
            </w:pPr>
            <w:r>
              <w:rPr>
                <w:rFonts w:ascii="Arial" w:cs="Arial" w:eastAsia="Arial" w:hAnsi="Arial"/>
                <w:sz w:val="11"/>
                <w:szCs w:val="11"/>
                <w:color w:val="auto"/>
                <w:w w:val="91"/>
              </w:rPr>
              <w:t>Common Stock,</w:t>
            </w:r>
          </w:p>
        </w:tc>
        <w:tc>
          <w:tcPr>
            <w:tcW w:w="6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r>
      <w:tr>
        <w:trPr>
          <w:trHeight w:val="114"/>
        </w:trPr>
        <w:tc>
          <w:tcPr>
            <w:tcW w:w="1380" w:type="dxa"/>
            <w:vAlign w:val="bottom"/>
            <w:tcBorders>
              <w:left w:val="single" w:sz="8" w:color="auto"/>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jc w:val="center"/>
              <w:ind w:left="5"/>
              <w:spacing w:after="0" w:line="114" w:lineRule="exact"/>
              <w:rPr>
                <w:sz w:val="20"/>
                <w:szCs w:val="20"/>
                <w:color w:val="auto"/>
              </w:rPr>
            </w:pPr>
            <w:r>
              <w:rPr>
                <w:rFonts w:ascii="Arial" w:cs="Arial" w:eastAsia="Arial" w:hAnsi="Arial"/>
                <w:sz w:val="11"/>
                <w:szCs w:val="11"/>
                <w:color w:val="auto"/>
                <w:w w:val="91"/>
              </w:rPr>
              <w:t>$0.001 par</w:t>
            </w:r>
          </w:p>
        </w:tc>
        <w:tc>
          <w:tcPr>
            <w:tcW w:w="6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r>
      <w:tr>
        <w:trPr>
          <w:trHeight w:val="138"/>
        </w:trPr>
        <w:tc>
          <w:tcPr>
            <w:tcW w:w="1380" w:type="dxa"/>
            <w:vAlign w:val="bottom"/>
            <w:tcBorders>
              <w:left w:val="single" w:sz="8" w:color="auto"/>
              <w:bottom w:val="single" w:sz="8" w:color="auto"/>
              <w:right w:val="single" w:sz="8" w:color="auto"/>
            </w:tcBorders>
          </w:tcPr>
          <w:p>
            <w:pPr>
              <w:jc w:val="center"/>
              <w:ind w:left="45"/>
              <w:spacing w:after="0"/>
              <w:rPr>
                <w:sz w:val="20"/>
                <w:szCs w:val="20"/>
                <w:color w:val="auto"/>
              </w:rPr>
            </w:pPr>
            <w:r>
              <w:rPr>
                <w:rFonts w:ascii="Arial" w:cs="Arial" w:eastAsia="Arial" w:hAnsi="Arial"/>
                <w:sz w:val="11"/>
                <w:szCs w:val="11"/>
                <w:color w:val="auto"/>
                <w:w w:val="88"/>
              </w:rPr>
              <w:t>Fees to be Paid</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Equity</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4"/>
              </w:rPr>
              <w:t>value</w:t>
            </w:r>
            <w:r>
              <w:rPr>
                <w:rFonts w:ascii="Arial" w:cs="Arial" w:eastAsia="Arial" w:hAnsi="Arial"/>
                <w:sz w:val="8"/>
                <w:szCs w:val="8"/>
                <w:color w:val="auto"/>
                <w:w w:val="94"/>
              </w:rPr>
              <w:t>(2)</w:t>
            </w: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r>
      <w:tr>
        <w:trPr>
          <w:trHeight w:val="102"/>
        </w:trPr>
        <w:tc>
          <w:tcPr>
            <w:tcW w:w="1380" w:type="dxa"/>
            <w:vAlign w:val="bottom"/>
            <w:tcBorders>
              <w:left w:val="single" w:sz="8" w:color="auto"/>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jc w:val="center"/>
              <w:ind w:left="5"/>
              <w:spacing w:after="0" w:line="102" w:lineRule="exact"/>
              <w:rPr>
                <w:sz w:val="20"/>
                <w:szCs w:val="20"/>
                <w:color w:val="auto"/>
              </w:rPr>
            </w:pPr>
            <w:r>
              <w:rPr>
                <w:rFonts w:ascii="Arial" w:cs="Arial" w:eastAsia="Arial" w:hAnsi="Arial"/>
                <w:sz w:val="11"/>
                <w:szCs w:val="11"/>
                <w:color w:val="auto"/>
                <w:w w:val="90"/>
              </w:rPr>
              <w:t>Preferred Stock,</w:t>
            </w:r>
          </w:p>
        </w:tc>
        <w:tc>
          <w:tcPr>
            <w:tcW w:w="6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r>
      <w:tr>
        <w:trPr>
          <w:trHeight w:val="114"/>
        </w:trPr>
        <w:tc>
          <w:tcPr>
            <w:tcW w:w="1380" w:type="dxa"/>
            <w:vAlign w:val="bottom"/>
            <w:tcBorders>
              <w:left w:val="single" w:sz="8" w:color="auto"/>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jc w:val="center"/>
              <w:ind w:left="5"/>
              <w:spacing w:after="0" w:line="114" w:lineRule="exact"/>
              <w:rPr>
                <w:sz w:val="20"/>
                <w:szCs w:val="20"/>
                <w:color w:val="auto"/>
              </w:rPr>
            </w:pPr>
            <w:r>
              <w:rPr>
                <w:rFonts w:ascii="Arial" w:cs="Arial" w:eastAsia="Arial" w:hAnsi="Arial"/>
                <w:sz w:val="11"/>
                <w:szCs w:val="11"/>
                <w:color w:val="auto"/>
                <w:w w:val="91"/>
              </w:rPr>
              <w:t>$0.001 par</w:t>
            </w:r>
          </w:p>
        </w:tc>
        <w:tc>
          <w:tcPr>
            <w:tcW w:w="6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r>
      <w:tr>
        <w:trPr>
          <w:trHeight w:val="138"/>
        </w:trPr>
        <w:tc>
          <w:tcPr>
            <w:tcW w:w="1380" w:type="dxa"/>
            <w:vAlign w:val="bottom"/>
            <w:tcBorders>
              <w:left w:val="single" w:sz="8" w:color="auto"/>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Equity</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4"/>
              </w:rPr>
              <w:t>value</w:t>
            </w:r>
            <w:r>
              <w:rPr>
                <w:rFonts w:ascii="Arial" w:cs="Arial" w:eastAsia="Arial" w:hAnsi="Arial"/>
                <w:sz w:val="8"/>
                <w:szCs w:val="8"/>
                <w:color w:val="auto"/>
                <w:w w:val="94"/>
              </w:rPr>
              <w:t>(2)</w:t>
            </w: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r>
      <w:tr>
        <w:trPr>
          <w:trHeight w:val="12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1"/>
                <w:szCs w:val="11"/>
                <w:color w:val="auto"/>
                <w:w w:val="94"/>
              </w:rPr>
              <w:t>Other</w:t>
            </w:r>
          </w:p>
        </w:tc>
        <w:tc>
          <w:tcPr>
            <w:tcW w:w="86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1"/>
                <w:szCs w:val="11"/>
                <w:color w:val="auto"/>
                <w:w w:val="91"/>
              </w:rPr>
              <w:t>Warrants</w:t>
            </w:r>
            <w:r>
              <w:rPr>
                <w:rFonts w:ascii="Arial" w:cs="Arial" w:eastAsia="Arial" w:hAnsi="Arial"/>
                <w:sz w:val="8"/>
                <w:szCs w:val="8"/>
                <w:color w:val="auto"/>
                <w:w w:val="91"/>
              </w:rPr>
              <w:t>(2)</w:t>
            </w: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108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r>
      <w:tr>
        <w:trPr>
          <w:trHeight w:val="102"/>
        </w:trPr>
        <w:tc>
          <w:tcPr>
            <w:tcW w:w="1380" w:type="dxa"/>
            <w:vAlign w:val="bottom"/>
            <w:tcBorders>
              <w:left w:val="single" w:sz="8" w:color="auto"/>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jc w:val="center"/>
              <w:ind w:left="5"/>
              <w:spacing w:after="0" w:line="102" w:lineRule="exact"/>
              <w:rPr>
                <w:sz w:val="20"/>
                <w:szCs w:val="20"/>
                <w:color w:val="auto"/>
              </w:rPr>
            </w:pPr>
            <w:r>
              <w:rPr>
                <w:rFonts w:ascii="Arial" w:cs="Arial" w:eastAsia="Arial" w:hAnsi="Arial"/>
                <w:sz w:val="11"/>
                <w:szCs w:val="11"/>
                <w:color w:val="auto"/>
                <w:w w:val="92"/>
              </w:rPr>
              <w:t>Subscription</w:t>
            </w:r>
          </w:p>
        </w:tc>
        <w:tc>
          <w:tcPr>
            <w:tcW w:w="6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r>
      <w:tr>
        <w:trPr>
          <w:trHeight w:val="138"/>
        </w:trPr>
        <w:tc>
          <w:tcPr>
            <w:tcW w:w="1380" w:type="dxa"/>
            <w:vAlign w:val="bottom"/>
            <w:tcBorders>
              <w:left w:val="single" w:sz="8" w:color="auto"/>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Equity</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2"/>
              </w:rPr>
              <w:t>Rights</w:t>
            </w:r>
            <w:r>
              <w:rPr>
                <w:rFonts w:ascii="Arial" w:cs="Arial" w:eastAsia="Arial" w:hAnsi="Arial"/>
                <w:sz w:val="8"/>
                <w:szCs w:val="8"/>
                <w:color w:val="auto"/>
                <w:w w:val="92"/>
              </w:rPr>
              <w:t>(3)</w:t>
            </w: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r>
      <w:tr>
        <w:trPr>
          <w:trHeight w:val="102"/>
        </w:trPr>
        <w:tc>
          <w:tcPr>
            <w:tcW w:w="1380" w:type="dxa"/>
            <w:vAlign w:val="bottom"/>
            <w:tcBorders>
              <w:left w:val="single" w:sz="8" w:color="auto"/>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color w:val="auto"/>
                <w:w w:val="94"/>
              </w:rPr>
              <w:t>Debt</w:t>
            </w:r>
          </w:p>
        </w:tc>
        <w:tc>
          <w:tcPr>
            <w:tcW w:w="6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r>
      <w:tr>
        <w:trPr>
          <w:trHeight w:val="138"/>
        </w:trPr>
        <w:tc>
          <w:tcPr>
            <w:tcW w:w="1380" w:type="dxa"/>
            <w:vAlign w:val="bottom"/>
            <w:tcBorders>
              <w:left w:val="single" w:sz="8" w:color="auto"/>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4"/>
              </w:rPr>
              <w:t>Debt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2"/>
              </w:rPr>
              <w:t>Securities</w:t>
            </w:r>
            <w:r>
              <w:rPr>
                <w:rFonts w:ascii="Arial" w:cs="Arial" w:eastAsia="Arial" w:hAnsi="Arial"/>
                <w:sz w:val="8"/>
                <w:szCs w:val="8"/>
                <w:color w:val="auto"/>
                <w:w w:val="92"/>
              </w:rPr>
              <w:t>(4)</w:t>
            </w: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r>
      <w:tr>
        <w:trPr>
          <w:trHeight w:val="102"/>
        </w:trPr>
        <w:tc>
          <w:tcPr>
            <w:tcW w:w="1380" w:type="dxa"/>
            <w:vAlign w:val="bottom"/>
            <w:tcBorders>
              <w:left w:val="single" w:sz="8" w:color="auto"/>
              <w:right w:val="single" w:sz="8" w:color="auto"/>
            </w:tcBorders>
          </w:tcPr>
          <w:p>
            <w:pPr>
              <w:spacing w:after="0"/>
              <w:rPr>
                <w:sz w:val="8"/>
                <w:szCs w:val="8"/>
                <w:color w:val="auto"/>
              </w:rPr>
            </w:pPr>
          </w:p>
        </w:tc>
        <w:tc>
          <w:tcPr>
            <w:tcW w:w="86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color w:val="auto"/>
                <w:w w:val="92"/>
              </w:rPr>
              <w:t>Unallocated</w:t>
            </w:r>
          </w:p>
        </w:tc>
        <w:tc>
          <w:tcPr>
            <w:tcW w:w="86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color w:val="auto"/>
                <w:w w:val="92"/>
              </w:rPr>
              <w:t>Unallocated</w:t>
            </w:r>
          </w:p>
        </w:tc>
        <w:tc>
          <w:tcPr>
            <w:tcW w:w="6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r>
      <w:tr>
        <w:trPr>
          <w:trHeight w:val="114"/>
        </w:trPr>
        <w:tc>
          <w:tcPr>
            <w:tcW w:w="1380" w:type="dxa"/>
            <w:vAlign w:val="bottom"/>
            <w:tcBorders>
              <w:left w:val="single" w:sz="8" w:color="auto"/>
              <w:right w:val="single" w:sz="8" w:color="auto"/>
            </w:tcBorders>
          </w:tcPr>
          <w:p>
            <w:pPr>
              <w:spacing w:after="0"/>
              <w:rPr>
                <w:sz w:val="9"/>
                <w:szCs w:val="9"/>
                <w:color w:val="auto"/>
              </w:rPr>
            </w:pPr>
          </w:p>
        </w:tc>
        <w:tc>
          <w:tcPr>
            <w:tcW w:w="86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1"/>
                <w:szCs w:val="11"/>
                <w:color w:val="auto"/>
                <w:w w:val="93"/>
              </w:rPr>
              <w:t>(Universal)</w:t>
            </w:r>
          </w:p>
        </w:tc>
        <w:tc>
          <w:tcPr>
            <w:tcW w:w="86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1"/>
                <w:szCs w:val="11"/>
                <w:color w:val="auto"/>
                <w:w w:val="93"/>
              </w:rPr>
              <w:t>(Universal)</w:t>
            </w:r>
          </w:p>
        </w:tc>
        <w:tc>
          <w:tcPr>
            <w:tcW w:w="6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r>
      <w:tr>
        <w:trPr>
          <w:trHeight w:val="138"/>
        </w:trPr>
        <w:tc>
          <w:tcPr>
            <w:tcW w:w="1380" w:type="dxa"/>
            <w:vAlign w:val="bottom"/>
            <w:tcBorders>
              <w:left w:val="single" w:sz="8" w:color="auto"/>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Shelf</w:t>
            </w:r>
          </w:p>
        </w:tc>
        <w:tc>
          <w:tcPr>
            <w:tcW w:w="86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1"/>
                <w:szCs w:val="11"/>
                <w:color w:val="auto"/>
                <w:w w:val="95"/>
              </w:rPr>
              <w:t>Shelf</w:t>
            </w:r>
          </w:p>
        </w:tc>
        <w:tc>
          <w:tcPr>
            <w:tcW w:w="660" w:type="dxa"/>
            <w:vAlign w:val="bottom"/>
            <w:tcBorders>
              <w:bottom w:val="single" w:sz="8" w:color="auto"/>
            </w:tcBorders>
          </w:tcPr>
          <w:p>
            <w:pPr>
              <w:jc w:val="center"/>
              <w:ind w:left="109"/>
              <w:spacing w:after="0"/>
              <w:rPr>
                <w:sz w:val="20"/>
                <w:szCs w:val="20"/>
                <w:color w:val="auto"/>
              </w:rPr>
            </w:pPr>
            <w:r>
              <w:rPr>
                <w:rFonts w:ascii="Arial" w:cs="Arial" w:eastAsia="Arial" w:hAnsi="Arial"/>
                <w:sz w:val="11"/>
                <w:szCs w:val="11"/>
                <w:color w:val="auto"/>
                <w:w w:val="94"/>
              </w:rPr>
              <w:t>457(o)</w:t>
            </w:r>
          </w:p>
        </w:tc>
        <w:tc>
          <w:tcPr>
            <w:tcW w:w="1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1"/>
                <w:szCs w:val="11"/>
                <w:color w:val="auto"/>
                <w:w w:val="92"/>
              </w:rPr>
              <w:t>$284,600,000</w:t>
            </w:r>
          </w:p>
        </w:tc>
        <w:tc>
          <w:tcPr>
            <w:tcW w:w="880" w:type="dxa"/>
            <w:vAlign w:val="bottom"/>
            <w:tcBorders>
              <w:bottom w:val="single" w:sz="8" w:color="auto"/>
              <w:right w:val="single" w:sz="8" w:color="auto"/>
            </w:tcBorders>
          </w:tcPr>
          <w:p>
            <w:pPr>
              <w:jc w:val="center"/>
              <w:ind w:left="29"/>
              <w:spacing w:after="0"/>
              <w:rPr>
                <w:sz w:val="20"/>
                <w:szCs w:val="20"/>
                <w:color w:val="auto"/>
              </w:rPr>
            </w:pPr>
            <w:r>
              <w:rPr>
                <w:rFonts w:ascii="Arial" w:cs="Arial" w:eastAsia="Arial" w:hAnsi="Arial"/>
                <w:sz w:val="11"/>
                <w:szCs w:val="11"/>
                <w:color w:val="auto"/>
                <w:w w:val="89"/>
              </w:rPr>
              <w:t>0.00011020</w:t>
            </w:r>
          </w:p>
        </w:tc>
        <w:tc>
          <w:tcPr>
            <w:tcW w:w="860" w:type="dxa"/>
            <w:vAlign w:val="bottom"/>
            <w:tcBorders>
              <w:bottom w:val="single" w:sz="8" w:color="auto"/>
              <w:right w:val="single" w:sz="8" w:color="auto"/>
            </w:tcBorders>
          </w:tcPr>
          <w:p>
            <w:pPr>
              <w:jc w:val="center"/>
              <w:ind w:left="27"/>
              <w:spacing w:after="0"/>
              <w:rPr>
                <w:sz w:val="20"/>
                <w:szCs w:val="20"/>
                <w:color w:val="auto"/>
              </w:rPr>
            </w:pPr>
            <w:r>
              <w:rPr>
                <w:rFonts w:ascii="Arial" w:cs="Arial" w:eastAsia="Arial" w:hAnsi="Arial"/>
                <w:sz w:val="11"/>
                <w:szCs w:val="11"/>
                <w:color w:val="auto"/>
                <w:w w:val="90"/>
              </w:rPr>
              <w:t>$31,362.92</w:t>
            </w:r>
          </w:p>
        </w:tc>
        <w:tc>
          <w:tcPr>
            <w:tcW w:w="66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r>
      <w:tr>
        <w:trPr>
          <w:trHeight w:val="125"/>
        </w:trPr>
        <w:tc>
          <w:tcPr>
            <w:tcW w:w="1380" w:type="dxa"/>
            <w:vAlign w:val="bottom"/>
            <w:tcBorders>
              <w:left w:val="single" w:sz="8" w:color="auto"/>
              <w:bottom w:val="single" w:sz="8" w:color="auto"/>
              <w:right w:val="single" w:sz="8" w:color="auto"/>
            </w:tcBorders>
          </w:tcPr>
          <w:p>
            <w:pPr>
              <w:jc w:val="center"/>
              <w:ind w:left="45"/>
              <w:spacing w:after="0" w:line="125" w:lineRule="exact"/>
              <w:rPr>
                <w:sz w:val="20"/>
                <w:szCs w:val="20"/>
                <w:color w:val="auto"/>
              </w:rPr>
            </w:pPr>
            <w:r>
              <w:rPr>
                <w:rFonts w:ascii="Arial" w:cs="Arial" w:eastAsia="Arial" w:hAnsi="Arial"/>
                <w:sz w:val="11"/>
                <w:szCs w:val="11"/>
                <w:color w:val="auto"/>
                <w:w w:val="89"/>
              </w:rPr>
              <w:t>Fees Previously Paid</w:t>
            </w:r>
          </w:p>
        </w:tc>
        <w:tc>
          <w:tcPr>
            <w:tcW w:w="86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108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jc w:val="center"/>
              <w:ind w:left="7"/>
              <w:spacing w:after="0" w:line="125" w:lineRule="exact"/>
              <w:rPr>
                <w:sz w:val="20"/>
                <w:szCs w:val="20"/>
                <w:color w:val="auto"/>
              </w:rPr>
            </w:pPr>
            <w:r>
              <w:rPr>
                <w:rFonts w:ascii="Arial" w:cs="Arial" w:eastAsia="Arial" w:hAnsi="Arial"/>
                <w:sz w:val="11"/>
                <w:szCs w:val="11"/>
                <w:color w:val="auto"/>
                <w:w w:val="97"/>
              </w:rPr>
              <w:t>$0</w:t>
            </w:r>
          </w:p>
        </w:tc>
        <w:tc>
          <w:tcPr>
            <w:tcW w:w="66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r>
      <w:tr>
        <w:trPr>
          <w:trHeight w:val="102"/>
        </w:trPr>
        <w:tc>
          <w:tcPr>
            <w:tcW w:w="1380" w:type="dxa"/>
            <w:vAlign w:val="bottom"/>
            <w:tcBorders>
              <w:left w:val="single" w:sz="8" w:color="auto"/>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jc w:val="center"/>
              <w:ind w:left="5"/>
              <w:spacing w:after="0" w:line="102" w:lineRule="exact"/>
              <w:rPr>
                <w:sz w:val="20"/>
                <w:szCs w:val="20"/>
                <w:color w:val="auto"/>
              </w:rPr>
            </w:pPr>
            <w:r>
              <w:rPr>
                <w:rFonts w:ascii="Arial" w:cs="Arial" w:eastAsia="Arial" w:hAnsi="Arial"/>
                <w:sz w:val="11"/>
                <w:szCs w:val="11"/>
                <w:color w:val="auto"/>
                <w:w w:val="91"/>
              </w:rPr>
              <w:t>Common Stock,</w:t>
            </w:r>
          </w:p>
        </w:tc>
        <w:tc>
          <w:tcPr>
            <w:tcW w:w="6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r>
      <w:tr>
        <w:trPr>
          <w:trHeight w:val="114"/>
        </w:trPr>
        <w:tc>
          <w:tcPr>
            <w:tcW w:w="1380" w:type="dxa"/>
            <w:vAlign w:val="bottom"/>
            <w:tcBorders>
              <w:left w:val="single" w:sz="8" w:color="auto"/>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jc w:val="center"/>
              <w:ind w:left="5"/>
              <w:spacing w:after="0" w:line="114" w:lineRule="exact"/>
              <w:rPr>
                <w:sz w:val="20"/>
                <w:szCs w:val="20"/>
                <w:color w:val="auto"/>
              </w:rPr>
            </w:pPr>
            <w:r>
              <w:rPr>
                <w:rFonts w:ascii="Arial" w:cs="Arial" w:eastAsia="Arial" w:hAnsi="Arial"/>
                <w:sz w:val="11"/>
                <w:szCs w:val="11"/>
                <w:color w:val="auto"/>
                <w:w w:val="91"/>
              </w:rPr>
              <w:t>$0.001 par</w:t>
            </w:r>
          </w:p>
        </w:tc>
        <w:tc>
          <w:tcPr>
            <w:tcW w:w="6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r>
      <w:tr>
        <w:trPr>
          <w:trHeight w:val="138"/>
        </w:trPr>
        <w:tc>
          <w:tcPr>
            <w:tcW w:w="1380" w:type="dxa"/>
            <w:vAlign w:val="bottom"/>
            <w:tcBorders>
              <w:left w:val="single" w:sz="8" w:color="auto"/>
              <w:bottom w:val="single" w:sz="8" w:color="auto"/>
              <w:right w:val="single" w:sz="8" w:color="auto"/>
            </w:tcBorders>
          </w:tcPr>
          <w:p>
            <w:pPr>
              <w:jc w:val="center"/>
              <w:ind w:left="45"/>
              <w:spacing w:after="0"/>
              <w:rPr>
                <w:sz w:val="20"/>
                <w:szCs w:val="20"/>
                <w:color w:val="auto"/>
              </w:rPr>
            </w:pPr>
            <w:r>
              <w:rPr>
                <w:rFonts w:ascii="Arial" w:cs="Arial" w:eastAsia="Arial" w:hAnsi="Arial"/>
                <w:sz w:val="11"/>
                <w:szCs w:val="11"/>
                <w:color w:val="auto"/>
                <w:w w:val="92"/>
              </w:rPr>
              <w:t>Carry Forward Securities</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Equity</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4"/>
              </w:rPr>
              <w:t>value</w:t>
            </w:r>
            <w:r>
              <w:rPr>
                <w:rFonts w:ascii="Arial" w:cs="Arial" w:eastAsia="Arial" w:hAnsi="Arial"/>
                <w:sz w:val="8"/>
                <w:szCs w:val="8"/>
                <w:color w:val="auto"/>
                <w:w w:val="94"/>
              </w:rPr>
              <w:t>(2)</w:t>
            </w: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r>
      <w:tr>
        <w:trPr>
          <w:trHeight w:val="102"/>
        </w:trPr>
        <w:tc>
          <w:tcPr>
            <w:tcW w:w="1380" w:type="dxa"/>
            <w:vAlign w:val="bottom"/>
            <w:tcBorders>
              <w:left w:val="single" w:sz="8" w:color="auto"/>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jc w:val="center"/>
              <w:ind w:left="5"/>
              <w:spacing w:after="0" w:line="102" w:lineRule="exact"/>
              <w:rPr>
                <w:sz w:val="20"/>
                <w:szCs w:val="20"/>
                <w:color w:val="auto"/>
              </w:rPr>
            </w:pPr>
            <w:r>
              <w:rPr>
                <w:rFonts w:ascii="Arial" w:cs="Arial" w:eastAsia="Arial" w:hAnsi="Arial"/>
                <w:sz w:val="11"/>
                <w:szCs w:val="11"/>
                <w:color w:val="auto"/>
                <w:w w:val="90"/>
              </w:rPr>
              <w:t>Preferred Stock,</w:t>
            </w:r>
          </w:p>
        </w:tc>
        <w:tc>
          <w:tcPr>
            <w:tcW w:w="6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r>
      <w:tr>
        <w:trPr>
          <w:trHeight w:val="114"/>
        </w:trPr>
        <w:tc>
          <w:tcPr>
            <w:tcW w:w="1380" w:type="dxa"/>
            <w:vAlign w:val="bottom"/>
            <w:tcBorders>
              <w:left w:val="single" w:sz="8" w:color="auto"/>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jc w:val="center"/>
              <w:ind w:left="5"/>
              <w:spacing w:after="0" w:line="114" w:lineRule="exact"/>
              <w:rPr>
                <w:sz w:val="20"/>
                <w:szCs w:val="20"/>
                <w:color w:val="auto"/>
              </w:rPr>
            </w:pPr>
            <w:r>
              <w:rPr>
                <w:rFonts w:ascii="Arial" w:cs="Arial" w:eastAsia="Arial" w:hAnsi="Arial"/>
                <w:sz w:val="11"/>
                <w:szCs w:val="11"/>
                <w:color w:val="auto"/>
                <w:w w:val="91"/>
              </w:rPr>
              <w:t>$0.001 par</w:t>
            </w:r>
          </w:p>
        </w:tc>
        <w:tc>
          <w:tcPr>
            <w:tcW w:w="6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r>
      <w:tr>
        <w:trPr>
          <w:trHeight w:val="138"/>
        </w:trPr>
        <w:tc>
          <w:tcPr>
            <w:tcW w:w="1380" w:type="dxa"/>
            <w:vAlign w:val="bottom"/>
            <w:tcBorders>
              <w:left w:val="single" w:sz="8" w:color="auto"/>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Equity</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4"/>
              </w:rPr>
              <w:t>value</w:t>
            </w:r>
            <w:r>
              <w:rPr>
                <w:rFonts w:ascii="Arial" w:cs="Arial" w:eastAsia="Arial" w:hAnsi="Arial"/>
                <w:sz w:val="8"/>
                <w:szCs w:val="8"/>
                <w:color w:val="auto"/>
                <w:w w:val="94"/>
              </w:rPr>
              <w:t>(2)</w:t>
            </w: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r>
      <w:tr>
        <w:trPr>
          <w:trHeight w:val="12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1"/>
                <w:szCs w:val="11"/>
                <w:color w:val="auto"/>
                <w:w w:val="94"/>
              </w:rPr>
              <w:t>Other</w:t>
            </w:r>
          </w:p>
        </w:tc>
        <w:tc>
          <w:tcPr>
            <w:tcW w:w="86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1"/>
                <w:szCs w:val="11"/>
                <w:color w:val="auto"/>
                <w:w w:val="91"/>
              </w:rPr>
              <w:t>Warrants</w:t>
            </w:r>
            <w:r>
              <w:rPr>
                <w:rFonts w:ascii="Arial" w:cs="Arial" w:eastAsia="Arial" w:hAnsi="Arial"/>
                <w:sz w:val="8"/>
                <w:szCs w:val="8"/>
                <w:color w:val="auto"/>
                <w:w w:val="91"/>
              </w:rPr>
              <w:t>(2)</w:t>
            </w: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108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r>
      <w:tr>
        <w:trPr>
          <w:trHeight w:val="102"/>
        </w:trPr>
        <w:tc>
          <w:tcPr>
            <w:tcW w:w="1380" w:type="dxa"/>
            <w:vAlign w:val="bottom"/>
            <w:tcBorders>
              <w:left w:val="single" w:sz="8" w:color="auto"/>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jc w:val="center"/>
              <w:ind w:left="5"/>
              <w:spacing w:after="0" w:line="102" w:lineRule="exact"/>
              <w:rPr>
                <w:sz w:val="20"/>
                <w:szCs w:val="20"/>
                <w:color w:val="auto"/>
              </w:rPr>
            </w:pPr>
            <w:r>
              <w:rPr>
                <w:rFonts w:ascii="Arial" w:cs="Arial" w:eastAsia="Arial" w:hAnsi="Arial"/>
                <w:sz w:val="11"/>
                <w:szCs w:val="11"/>
                <w:color w:val="auto"/>
                <w:w w:val="92"/>
              </w:rPr>
              <w:t>Subscription</w:t>
            </w:r>
          </w:p>
        </w:tc>
        <w:tc>
          <w:tcPr>
            <w:tcW w:w="6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r>
      <w:tr>
        <w:trPr>
          <w:trHeight w:val="138"/>
        </w:trPr>
        <w:tc>
          <w:tcPr>
            <w:tcW w:w="1380" w:type="dxa"/>
            <w:vAlign w:val="bottom"/>
            <w:tcBorders>
              <w:left w:val="single" w:sz="8" w:color="auto"/>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Equity</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2"/>
              </w:rPr>
              <w:t>Rights</w:t>
            </w:r>
            <w:r>
              <w:rPr>
                <w:rFonts w:ascii="Arial" w:cs="Arial" w:eastAsia="Arial" w:hAnsi="Arial"/>
                <w:sz w:val="8"/>
                <w:szCs w:val="8"/>
                <w:color w:val="auto"/>
                <w:w w:val="92"/>
              </w:rPr>
              <w:t>(3)</w:t>
            </w: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r>
      <w:tr>
        <w:trPr>
          <w:trHeight w:val="102"/>
        </w:trPr>
        <w:tc>
          <w:tcPr>
            <w:tcW w:w="1380" w:type="dxa"/>
            <w:vAlign w:val="bottom"/>
            <w:tcBorders>
              <w:left w:val="single" w:sz="8" w:color="auto"/>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color w:val="auto"/>
                <w:w w:val="94"/>
              </w:rPr>
              <w:t>Debt</w:t>
            </w:r>
          </w:p>
        </w:tc>
        <w:tc>
          <w:tcPr>
            <w:tcW w:w="6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r>
      <w:tr>
        <w:trPr>
          <w:trHeight w:val="138"/>
        </w:trPr>
        <w:tc>
          <w:tcPr>
            <w:tcW w:w="1380" w:type="dxa"/>
            <w:vAlign w:val="bottom"/>
            <w:tcBorders>
              <w:left w:val="single" w:sz="8" w:color="auto"/>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4"/>
              </w:rPr>
              <w:t>Debt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2"/>
              </w:rPr>
              <w:t>Securities</w:t>
            </w:r>
            <w:r>
              <w:rPr>
                <w:rFonts w:ascii="Arial" w:cs="Arial" w:eastAsia="Arial" w:hAnsi="Arial"/>
                <w:sz w:val="8"/>
                <w:szCs w:val="8"/>
                <w:color w:val="auto"/>
                <w:w w:val="92"/>
              </w:rPr>
              <w:t>(4)</w:t>
            </w: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r>
      <w:tr>
        <w:trPr>
          <w:trHeight w:val="102"/>
        </w:trPr>
        <w:tc>
          <w:tcPr>
            <w:tcW w:w="1380" w:type="dxa"/>
            <w:vAlign w:val="bottom"/>
            <w:tcBorders>
              <w:left w:val="single" w:sz="8" w:color="auto"/>
              <w:right w:val="single" w:sz="8" w:color="auto"/>
            </w:tcBorders>
          </w:tcPr>
          <w:p>
            <w:pPr>
              <w:spacing w:after="0"/>
              <w:rPr>
                <w:sz w:val="8"/>
                <w:szCs w:val="8"/>
                <w:color w:val="auto"/>
              </w:rPr>
            </w:pPr>
          </w:p>
        </w:tc>
        <w:tc>
          <w:tcPr>
            <w:tcW w:w="86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color w:val="auto"/>
                <w:w w:val="92"/>
              </w:rPr>
              <w:t>Unallocated</w:t>
            </w:r>
          </w:p>
        </w:tc>
        <w:tc>
          <w:tcPr>
            <w:tcW w:w="86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color w:val="auto"/>
                <w:w w:val="92"/>
              </w:rPr>
              <w:t>Unallocated</w:t>
            </w:r>
          </w:p>
        </w:tc>
        <w:tc>
          <w:tcPr>
            <w:tcW w:w="6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r>
      <w:tr>
        <w:trPr>
          <w:trHeight w:val="114"/>
        </w:trPr>
        <w:tc>
          <w:tcPr>
            <w:tcW w:w="1380" w:type="dxa"/>
            <w:vAlign w:val="bottom"/>
            <w:tcBorders>
              <w:left w:val="single" w:sz="8" w:color="auto"/>
              <w:right w:val="single" w:sz="8" w:color="auto"/>
            </w:tcBorders>
          </w:tcPr>
          <w:p>
            <w:pPr>
              <w:spacing w:after="0"/>
              <w:rPr>
                <w:sz w:val="9"/>
                <w:szCs w:val="9"/>
                <w:color w:val="auto"/>
              </w:rPr>
            </w:pPr>
          </w:p>
        </w:tc>
        <w:tc>
          <w:tcPr>
            <w:tcW w:w="86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1"/>
                <w:szCs w:val="11"/>
                <w:color w:val="auto"/>
                <w:w w:val="93"/>
              </w:rPr>
              <w:t>(Universal)</w:t>
            </w:r>
          </w:p>
        </w:tc>
        <w:tc>
          <w:tcPr>
            <w:tcW w:w="86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1"/>
                <w:szCs w:val="11"/>
                <w:color w:val="auto"/>
                <w:w w:val="93"/>
              </w:rPr>
              <w:t>(Universal)</w:t>
            </w:r>
          </w:p>
        </w:tc>
        <w:tc>
          <w:tcPr>
            <w:tcW w:w="6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r>
      <w:tr>
        <w:trPr>
          <w:trHeight w:val="138"/>
        </w:trPr>
        <w:tc>
          <w:tcPr>
            <w:tcW w:w="1380" w:type="dxa"/>
            <w:vAlign w:val="bottom"/>
            <w:tcBorders>
              <w:left w:val="single" w:sz="8" w:color="auto"/>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Shelf</w:t>
            </w:r>
          </w:p>
        </w:tc>
        <w:tc>
          <w:tcPr>
            <w:tcW w:w="86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1"/>
                <w:szCs w:val="11"/>
                <w:color w:val="auto"/>
                <w:w w:val="95"/>
              </w:rPr>
              <w:t>Shelf</w:t>
            </w:r>
          </w:p>
        </w:tc>
        <w:tc>
          <w:tcPr>
            <w:tcW w:w="660" w:type="dxa"/>
            <w:vAlign w:val="bottom"/>
            <w:tcBorders>
              <w:bottom w:val="single" w:sz="8" w:color="auto"/>
            </w:tcBorders>
          </w:tcPr>
          <w:p>
            <w:pPr>
              <w:jc w:val="center"/>
              <w:ind w:left="109"/>
              <w:spacing w:after="0"/>
              <w:rPr>
                <w:sz w:val="20"/>
                <w:szCs w:val="20"/>
                <w:color w:val="auto"/>
              </w:rPr>
            </w:pPr>
            <w:r>
              <w:rPr>
                <w:rFonts w:ascii="Arial" w:cs="Arial" w:eastAsia="Arial" w:hAnsi="Arial"/>
                <w:sz w:val="11"/>
                <w:szCs w:val="11"/>
                <w:color w:val="auto"/>
                <w:w w:val="92"/>
              </w:rPr>
              <w:t>415(a)(6)</w:t>
            </w:r>
          </w:p>
        </w:tc>
        <w:tc>
          <w:tcPr>
            <w:tcW w:w="1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1"/>
                <w:szCs w:val="11"/>
                <w:color w:val="auto"/>
                <w:w w:val="90"/>
              </w:rPr>
              <w:t>$215,400,000</w:t>
            </w:r>
            <w:r>
              <w:rPr>
                <w:rFonts w:ascii="Arial" w:cs="Arial" w:eastAsia="Arial" w:hAnsi="Arial"/>
                <w:sz w:val="8"/>
                <w:szCs w:val="8"/>
                <w:color w:val="auto"/>
                <w:w w:val="90"/>
              </w:rPr>
              <w:t>(5)</w:t>
            </w:r>
          </w:p>
        </w:tc>
        <w:tc>
          <w:tcPr>
            <w:tcW w:w="88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1"/>
                <w:szCs w:val="11"/>
                <w:color w:val="auto"/>
                <w:w w:val="90"/>
              </w:rPr>
              <w:t>N-2</w:t>
            </w:r>
          </w:p>
        </w:tc>
        <w:tc>
          <w:tcPr>
            <w:tcW w:w="86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1"/>
                <w:szCs w:val="11"/>
                <w:color w:val="auto"/>
                <w:w w:val="91"/>
              </w:rPr>
              <w:t>333-235532</w:t>
            </w:r>
          </w:p>
        </w:tc>
        <w:tc>
          <w:tcPr>
            <w:tcW w:w="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w w:val="89"/>
              </w:rPr>
              <w:t>January 29, 2020</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$28,276.07</w:t>
            </w:r>
          </w:p>
        </w:tc>
      </w:tr>
      <w:tr>
        <w:trPr>
          <w:trHeight w:val="125"/>
        </w:trPr>
        <w:tc>
          <w:tcPr>
            <w:tcW w:w="1380" w:type="dxa"/>
            <w:vAlign w:val="bottom"/>
            <w:tcBorders>
              <w:left w:val="single" w:sz="8" w:color="auto"/>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520" w:type="dxa"/>
            <w:vAlign w:val="bottom"/>
            <w:tcBorders>
              <w:bottom w:val="single" w:sz="8" w:color="auto"/>
              <w:right w:val="single" w:sz="8" w:color="auto"/>
            </w:tcBorders>
            <w:gridSpan w:val="3"/>
          </w:tcPr>
          <w:p>
            <w:pPr>
              <w:jc w:val="right"/>
              <w:spacing w:after="0" w:line="125" w:lineRule="exact"/>
              <w:rPr>
                <w:sz w:val="20"/>
                <w:szCs w:val="20"/>
                <w:color w:val="auto"/>
              </w:rPr>
            </w:pPr>
            <w:r>
              <w:rPr>
                <w:rFonts w:ascii="Arial" w:cs="Arial" w:eastAsia="Arial" w:hAnsi="Arial"/>
                <w:sz w:val="11"/>
                <w:szCs w:val="11"/>
                <w:b w:val="1"/>
                <w:bCs w:val="1"/>
                <w:color w:val="auto"/>
              </w:rPr>
              <w:t>Total Offering Amount</w:t>
            </w:r>
          </w:p>
        </w:tc>
        <w:tc>
          <w:tcPr>
            <w:tcW w:w="780" w:type="dxa"/>
            <w:vAlign w:val="bottom"/>
            <w:tcBorders>
              <w:bottom w:val="single" w:sz="8" w:color="auto"/>
              <w:right w:val="single" w:sz="8" w:color="auto"/>
            </w:tcBorders>
          </w:tcPr>
          <w:p>
            <w:pPr>
              <w:spacing w:after="0"/>
              <w:rPr>
                <w:sz w:val="10"/>
                <w:szCs w:val="10"/>
                <w:color w:val="auto"/>
              </w:rPr>
            </w:pPr>
          </w:p>
        </w:tc>
        <w:tc>
          <w:tcPr>
            <w:tcW w:w="1080" w:type="dxa"/>
            <w:vAlign w:val="bottom"/>
            <w:tcBorders>
              <w:bottom w:val="single" w:sz="8" w:color="auto"/>
              <w:right w:val="single" w:sz="8" w:color="auto"/>
            </w:tcBorders>
          </w:tcPr>
          <w:p>
            <w:pPr>
              <w:jc w:val="center"/>
              <w:ind w:left="9"/>
              <w:spacing w:after="0" w:line="125" w:lineRule="exact"/>
              <w:rPr>
                <w:sz w:val="20"/>
                <w:szCs w:val="20"/>
                <w:color w:val="auto"/>
              </w:rPr>
            </w:pPr>
            <w:r>
              <w:rPr>
                <w:rFonts w:ascii="Arial" w:cs="Arial" w:eastAsia="Arial" w:hAnsi="Arial"/>
                <w:sz w:val="11"/>
                <w:szCs w:val="11"/>
                <w:color w:val="auto"/>
                <w:w w:val="90"/>
              </w:rPr>
              <w:t>$500,000,000</w:t>
            </w:r>
            <w:r>
              <w:rPr>
                <w:rFonts w:ascii="Arial" w:cs="Arial" w:eastAsia="Arial" w:hAnsi="Arial"/>
                <w:sz w:val="8"/>
                <w:szCs w:val="8"/>
                <w:color w:val="auto"/>
                <w:w w:val="90"/>
              </w:rPr>
              <w:t>(6)</w:t>
            </w:r>
          </w:p>
        </w:tc>
        <w:tc>
          <w:tcPr>
            <w:tcW w:w="88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jc w:val="center"/>
              <w:ind w:left="27"/>
              <w:spacing w:after="0" w:line="125" w:lineRule="exact"/>
              <w:rPr>
                <w:sz w:val="20"/>
                <w:szCs w:val="20"/>
                <w:color w:val="auto"/>
              </w:rPr>
            </w:pPr>
            <w:r>
              <w:rPr>
                <w:rFonts w:ascii="Arial" w:cs="Arial" w:eastAsia="Arial" w:hAnsi="Arial"/>
                <w:sz w:val="11"/>
                <w:szCs w:val="11"/>
                <w:color w:val="auto"/>
                <w:w w:val="90"/>
              </w:rPr>
              <w:t>$31,362.92</w:t>
            </w:r>
          </w:p>
        </w:tc>
        <w:tc>
          <w:tcPr>
            <w:tcW w:w="66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r>
      <w:tr>
        <w:trPr>
          <w:trHeight w:val="125"/>
        </w:trPr>
        <w:tc>
          <w:tcPr>
            <w:tcW w:w="1380" w:type="dxa"/>
            <w:vAlign w:val="bottom"/>
            <w:tcBorders>
              <w:left w:val="single" w:sz="8" w:color="auto"/>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520" w:type="dxa"/>
            <w:vAlign w:val="bottom"/>
            <w:tcBorders>
              <w:bottom w:val="single" w:sz="8" w:color="auto"/>
              <w:right w:val="single" w:sz="8" w:color="auto"/>
            </w:tcBorders>
            <w:gridSpan w:val="3"/>
          </w:tcPr>
          <w:p>
            <w:pPr>
              <w:jc w:val="right"/>
              <w:spacing w:after="0" w:line="125" w:lineRule="exact"/>
              <w:rPr>
                <w:sz w:val="20"/>
                <w:szCs w:val="20"/>
                <w:color w:val="auto"/>
              </w:rPr>
            </w:pPr>
            <w:r>
              <w:rPr>
                <w:rFonts w:ascii="Arial" w:cs="Arial" w:eastAsia="Arial" w:hAnsi="Arial"/>
                <w:sz w:val="11"/>
                <w:szCs w:val="11"/>
                <w:b w:val="1"/>
                <w:bCs w:val="1"/>
                <w:color w:val="auto"/>
              </w:rPr>
              <w:t>Total Fees Previously Paid</w:t>
            </w:r>
          </w:p>
        </w:tc>
        <w:tc>
          <w:tcPr>
            <w:tcW w:w="780" w:type="dxa"/>
            <w:vAlign w:val="bottom"/>
            <w:tcBorders>
              <w:bottom w:val="single" w:sz="8" w:color="auto"/>
              <w:right w:val="single" w:sz="8" w:color="auto"/>
            </w:tcBorders>
          </w:tcPr>
          <w:p>
            <w:pPr>
              <w:spacing w:after="0"/>
              <w:rPr>
                <w:sz w:val="10"/>
                <w:szCs w:val="10"/>
                <w:color w:val="auto"/>
              </w:rPr>
            </w:pPr>
          </w:p>
        </w:tc>
        <w:tc>
          <w:tcPr>
            <w:tcW w:w="108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jc w:val="center"/>
              <w:ind w:left="7"/>
              <w:spacing w:after="0" w:line="125" w:lineRule="exact"/>
              <w:rPr>
                <w:sz w:val="20"/>
                <w:szCs w:val="20"/>
                <w:color w:val="auto"/>
              </w:rPr>
            </w:pPr>
            <w:r>
              <w:rPr>
                <w:rFonts w:ascii="Arial" w:cs="Arial" w:eastAsia="Arial" w:hAnsi="Arial"/>
                <w:sz w:val="11"/>
                <w:szCs w:val="11"/>
                <w:color w:val="auto"/>
                <w:w w:val="93"/>
              </w:rPr>
              <w:t>$—</w:t>
            </w:r>
          </w:p>
        </w:tc>
        <w:tc>
          <w:tcPr>
            <w:tcW w:w="66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r>
      <w:tr>
        <w:trPr>
          <w:trHeight w:val="125"/>
        </w:trPr>
        <w:tc>
          <w:tcPr>
            <w:tcW w:w="1380" w:type="dxa"/>
            <w:vAlign w:val="bottom"/>
            <w:tcBorders>
              <w:left w:val="single" w:sz="8" w:color="auto"/>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60" w:type="dxa"/>
            <w:vAlign w:val="bottom"/>
            <w:tcBorders>
              <w:bottom w:val="single" w:sz="8" w:color="auto"/>
              <w:right w:val="single" w:sz="8" w:color="auto"/>
            </w:tcBorders>
            <w:gridSpan w:val="2"/>
          </w:tcPr>
          <w:p>
            <w:pPr>
              <w:jc w:val="right"/>
              <w:spacing w:after="0" w:line="125" w:lineRule="exact"/>
              <w:rPr>
                <w:sz w:val="20"/>
                <w:szCs w:val="20"/>
                <w:color w:val="auto"/>
              </w:rPr>
            </w:pPr>
            <w:r>
              <w:rPr>
                <w:rFonts w:ascii="Arial" w:cs="Arial" w:eastAsia="Arial" w:hAnsi="Arial"/>
                <w:sz w:val="11"/>
                <w:szCs w:val="11"/>
                <w:b w:val="1"/>
                <w:bCs w:val="1"/>
                <w:color w:val="auto"/>
                <w:w w:val="89"/>
              </w:rPr>
              <w:t>Total Fee Offsets</w:t>
            </w:r>
          </w:p>
        </w:tc>
        <w:tc>
          <w:tcPr>
            <w:tcW w:w="780" w:type="dxa"/>
            <w:vAlign w:val="bottom"/>
            <w:tcBorders>
              <w:bottom w:val="single" w:sz="8" w:color="auto"/>
              <w:right w:val="single" w:sz="8" w:color="auto"/>
            </w:tcBorders>
          </w:tcPr>
          <w:p>
            <w:pPr>
              <w:spacing w:after="0"/>
              <w:rPr>
                <w:sz w:val="10"/>
                <w:szCs w:val="10"/>
                <w:color w:val="auto"/>
              </w:rPr>
            </w:pPr>
          </w:p>
        </w:tc>
        <w:tc>
          <w:tcPr>
            <w:tcW w:w="108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jc w:val="center"/>
              <w:ind w:left="7"/>
              <w:spacing w:after="0" w:line="125" w:lineRule="exact"/>
              <w:rPr>
                <w:sz w:val="20"/>
                <w:szCs w:val="20"/>
                <w:color w:val="auto"/>
              </w:rPr>
            </w:pPr>
            <w:r>
              <w:rPr>
                <w:rFonts w:ascii="Arial" w:cs="Arial" w:eastAsia="Arial" w:hAnsi="Arial"/>
                <w:sz w:val="11"/>
                <w:szCs w:val="11"/>
                <w:color w:val="auto"/>
                <w:w w:val="93"/>
              </w:rPr>
              <w:t>$—</w:t>
            </w:r>
          </w:p>
        </w:tc>
        <w:tc>
          <w:tcPr>
            <w:tcW w:w="66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r>
      <w:tr>
        <w:trPr>
          <w:trHeight w:val="125"/>
        </w:trPr>
        <w:tc>
          <w:tcPr>
            <w:tcW w:w="1380" w:type="dxa"/>
            <w:vAlign w:val="bottom"/>
            <w:tcBorders>
              <w:left w:val="single" w:sz="8" w:color="auto"/>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jc w:val="right"/>
              <w:spacing w:after="0" w:line="125" w:lineRule="exact"/>
              <w:rPr>
                <w:sz w:val="20"/>
                <w:szCs w:val="20"/>
                <w:color w:val="auto"/>
              </w:rPr>
            </w:pPr>
            <w:r>
              <w:rPr>
                <w:rFonts w:ascii="Arial" w:cs="Arial" w:eastAsia="Arial" w:hAnsi="Arial"/>
                <w:sz w:val="11"/>
                <w:szCs w:val="11"/>
                <w:b w:val="1"/>
                <w:bCs w:val="1"/>
                <w:color w:val="auto"/>
              </w:rPr>
              <w:t>Net Fee Due</w:t>
            </w:r>
          </w:p>
        </w:tc>
        <w:tc>
          <w:tcPr>
            <w:tcW w:w="780" w:type="dxa"/>
            <w:vAlign w:val="bottom"/>
            <w:tcBorders>
              <w:bottom w:val="single" w:sz="8" w:color="auto"/>
              <w:right w:val="single" w:sz="8" w:color="auto"/>
            </w:tcBorders>
          </w:tcPr>
          <w:p>
            <w:pPr>
              <w:spacing w:after="0"/>
              <w:rPr>
                <w:sz w:val="10"/>
                <w:szCs w:val="10"/>
                <w:color w:val="auto"/>
              </w:rPr>
            </w:pPr>
          </w:p>
        </w:tc>
        <w:tc>
          <w:tcPr>
            <w:tcW w:w="108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jc w:val="center"/>
              <w:ind w:left="27"/>
              <w:spacing w:after="0" w:line="125" w:lineRule="exact"/>
              <w:rPr>
                <w:sz w:val="20"/>
                <w:szCs w:val="20"/>
                <w:color w:val="auto"/>
              </w:rPr>
            </w:pPr>
            <w:r>
              <w:rPr>
                <w:rFonts w:ascii="Arial" w:cs="Arial" w:eastAsia="Arial" w:hAnsi="Arial"/>
                <w:sz w:val="11"/>
                <w:szCs w:val="11"/>
                <w:color w:val="auto"/>
                <w:w w:val="90"/>
              </w:rPr>
              <w:t>$31,362.92</w:t>
            </w:r>
          </w:p>
        </w:tc>
        <w:tc>
          <w:tcPr>
            <w:tcW w:w="66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r>
    </w:tbl>
    <w:p>
      <w:pPr>
        <w:spacing w:after="0" w:line="173" w:lineRule="exact"/>
        <w:rPr>
          <w:sz w:val="20"/>
          <w:szCs w:val="20"/>
          <w:color w:val="auto"/>
        </w:rPr>
      </w:pPr>
    </w:p>
    <w:p>
      <w:pPr>
        <w:ind w:left="440" w:right="60" w:hanging="437"/>
        <w:spacing w:after="0" w:line="224" w:lineRule="auto"/>
        <w:tabs>
          <w:tab w:leader="none" w:pos="440" w:val="left"/>
        </w:tabs>
        <w:numPr>
          <w:ilvl w:val="0"/>
          <w:numId w:val="82"/>
        </w:numPr>
        <w:rPr>
          <w:rFonts w:ascii="Arial" w:cs="Arial" w:eastAsia="Arial" w:hAnsi="Arial"/>
          <w:sz w:val="11"/>
          <w:szCs w:val="11"/>
          <w:color w:val="auto"/>
        </w:rPr>
      </w:pPr>
      <w:r>
        <w:rPr>
          <w:rFonts w:ascii="Arial" w:cs="Arial" w:eastAsia="Arial" w:hAnsi="Arial"/>
          <w:sz w:val="11"/>
          <w:szCs w:val="11"/>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ind w:left="440" w:right="220" w:hanging="437"/>
        <w:spacing w:after="0" w:line="216" w:lineRule="auto"/>
        <w:tabs>
          <w:tab w:leader="none" w:pos="440" w:val="left"/>
        </w:tabs>
        <w:numPr>
          <w:ilvl w:val="0"/>
          <w:numId w:val="82"/>
        </w:numPr>
        <w:rPr>
          <w:rFonts w:ascii="Arial" w:cs="Arial" w:eastAsia="Arial" w:hAnsi="Arial"/>
          <w:sz w:val="11"/>
          <w:szCs w:val="11"/>
          <w:color w:val="auto"/>
        </w:rPr>
      </w:pPr>
      <w:r>
        <w:rPr>
          <w:rFonts w:ascii="Arial" w:cs="Arial" w:eastAsia="Arial" w:hAnsi="Arial"/>
          <w:sz w:val="11"/>
          <w:szCs w:val="11"/>
          <w:color w:val="auto"/>
        </w:rPr>
        <w:t>Subject to Note 6 below, there is being registered hereunder an indeterminate number of shares of common stock, preferred stock, or warrants as may be sold, from time to time. Warrants represent rights to purchase common stock, preferred stock or debt securities.</w:t>
      </w:r>
    </w:p>
    <w:p>
      <w:pPr>
        <w:ind w:left="440" w:hanging="437"/>
        <w:spacing w:after="0" w:line="216" w:lineRule="auto"/>
        <w:tabs>
          <w:tab w:leader="none" w:pos="440" w:val="left"/>
        </w:tabs>
        <w:numPr>
          <w:ilvl w:val="0"/>
          <w:numId w:val="82"/>
        </w:numPr>
        <w:rPr>
          <w:rFonts w:ascii="Arial" w:cs="Arial" w:eastAsia="Arial" w:hAnsi="Arial"/>
          <w:sz w:val="11"/>
          <w:szCs w:val="11"/>
          <w:color w:val="auto"/>
        </w:rPr>
      </w:pPr>
      <w:r>
        <w:rPr>
          <w:rFonts w:ascii="Arial" w:cs="Arial" w:eastAsia="Arial" w:hAnsi="Arial"/>
          <w:sz w:val="11"/>
          <w:szCs w:val="11"/>
          <w:color w:val="auto"/>
        </w:rPr>
        <w:t>Subject to Note 6 below, there is being registered hereunder an indeterminate number of subscription rights as may be sold, from time to time, representing rights to purchase common stock.</w:t>
      </w:r>
    </w:p>
    <w:p>
      <w:pPr>
        <w:ind w:left="440" w:right="120" w:hanging="437"/>
        <w:spacing w:after="0" w:line="216" w:lineRule="auto"/>
        <w:tabs>
          <w:tab w:leader="none" w:pos="440" w:val="left"/>
        </w:tabs>
        <w:numPr>
          <w:ilvl w:val="0"/>
          <w:numId w:val="82"/>
        </w:numPr>
        <w:rPr>
          <w:rFonts w:ascii="Arial" w:cs="Arial" w:eastAsia="Arial" w:hAnsi="Arial"/>
          <w:sz w:val="11"/>
          <w:szCs w:val="11"/>
          <w:color w:val="auto"/>
        </w:rPr>
      </w:pPr>
      <w:r>
        <w:rPr>
          <w:rFonts w:ascii="Arial" w:cs="Arial" w:eastAsia="Arial" w:hAnsi="Arial"/>
          <w:sz w:val="11"/>
          <w:szCs w:val="11"/>
          <w:color w:val="auto"/>
        </w:rPr>
        <w:t>Subject to Note 6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$500,000,000.</w:t>
      </w:r>
    </w:p>
    <w:p>
      <w:pPr>
        <w:ind w:left="440" w:right="40" w:hanging="437"/>
        <w:spacing w:after="0" w:line="238" w:lineRule="auto"/>
        <w:tabs>
          <w:tab w:leader="none" w:pos="440" w:val="left"/>
        </w:tabs>
        <w:numPr>
          <w:ilvl w:val="0"/>
          <w:numId w:val="82"/>
        </w:numPr>
        <w:rPr>
          <w:rFonts w:ascii="Arial" w:cs="Arial" w:eastAsia="Arial" w:hAnsi="Arial"/>
          <w:sz w:val="10"/>
          <w:szCs w:val="10"/>
          <w:color w:val="auto"/>
        </w:rPr>
      </w:pPr>
      <w:r>
        <w:rPr>
          <w:rFonts w:ascii="Arial" w:cs="Arial" w:eastAsia="Arial" w:hAnsi="Arial"/>
          <w:sz w:val="10"/>
          <w:szCs w:val="10"/>
          <w:color w:val="auto"/>
        </w:rPr>
        <w:t>Pursuant to Rule 415(a)(6) under the Securities Act, this registration statement includes $215,400,000 aggregate principal offering price of unsold securities (the “Unsold Securities”) that were previously registered for sale under a Registration Statement initially filed on December 16, 2019, and amended on January 28, 2020, on Form N-2 (File No. 333-235532) and declared effective on January 29, 2020 (the “Prior Registration Statement”). The Registrant previously paid at various times filing fees in the aggregate of $28,276.07 relating to the Unsold Securities. Pursuant to Rule 415(a)(6) under the Securities Act, the filing fees previously paid with respect to the Unsold Securities will continue to be applied to such Unsold Securities. Pursuant to Rule 415(a)(6) under the Securities Act, the offering of Unsold Securities under the Prior Registration Statement will be deemed terminated as of the date of effectiveness of this registration statement.</w:t>
      </w:r>
    </w:p>
    <w:p>
      <w:pPr>
        <w:ind w:left="440" w:hanging="437"/>
        <w:spacing w:after="0"/>
        <w:tabs>
          <w:tab w:leader="none" w:pos="440" w:val="left"/>
        </w:tabs>
        <w:numPr>
          <w:ilvl w:val="0"/>
          <w:numId w:val="82"/>
        </w:numPr>
        <w:rPr>
          <w:rFonts w:ascii="Arial" w:cs="Arial" w:eastAsia="Arial" w:hAnsi="Arial"/>
          <w:sz w:val="11"/>
          <w:szCs w:val="11"/>
          <w:color w:val="auto"/>
        </w:rPr>
      </w:pPr>
      <w:r>
        <w:rPr>
          <w:rFonts w:ascii="Arial" w:cs="Arial" w:eastAsia="Arial" w:hAnsi="Arial"/>
          <w:sz w:val="11"/>
          <w:szCs w:val="11"/>
          <w:color w:val="auto"/>
        </w:rPr>
        <w:t>In no event will the aggregate offering price of all securities issued from time to time pursuant to this registration statement exceed $500,000,000.</w:t>
      </w:r>
    </w:p>
    <w:sectPr>
      <w:pgSz w:w="11900" w:h="16838" w:orient="portrait"/>
      <w:cols w:equalWidth="0" w:num="1">
        <w:col w:w="11280"/>
      </w:cols>
      <w:pgMar w:left="30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1)"/>
      <w:numFmt w:val="decimal"/>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1)"/>
      <w:numFmt w:val="decimal"/>
      <w:start w:val="1"/>
    </w:lvl>
  </w:abstractNum>
  <w:abstractNum w:abstractNumId="19">
    <w:nsid w:val="1BA026FA"/>
    <w:multiLevelType w:val="hybridMultilevel"/>
    <w:lvl w:ilvl="0">
      <w:lvlJc w:val="left"/>
      <w:lvlText w:val="(%1)"/>
      <w:numFmt w:val="decimal"/>
      <w:start w:val="1"/>
    </w:lvl>
  </w:abstractNum>
  <w:abstractNum w:abstractNumId="20">
    <w:nsid w:val="79A1DEAA"/>
    <w:multiLevelType w:val="hybridMultilevel"/>
    <w:lvl w:ilvl="0">
      <w:lvlJc w:val="left"/>
      <w:lvlText w:val="(%1)"/>
      <w:numFmt w:val="decimal"/>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1)"/>
      <w:numFmt w:val="lowerLetter"/>
      <w:start w:val="3"/>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
      <w:numFmt w:val="bullet"/>
      <w:start w:val="1"/>
    </w:lvl>
    <w:lvl w:ilvl="1">
      <w:lvlJc w:val="left"/>
      <w:lvlText w:val="%2)"/>
      <w:numFmt w:val="decimal"/>
      <w:start w:val="1"/>
    </w:lvl>
  </w:abstractNum>
  <w:abstractNum w:abstractNumId="51">
    <w:nsid w:val="1F48EAA1"/>
    <w:multiLevelType w:val="hybridMultilevel"/>
    <w:lvl w:ilvl="0">
      <w:lvlJc w:val="left"/>
      <w:lvlText w:val="(%1)"/>
      <w:numFmt w:val="lowerLetter"/>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1"/>
      <w:numFmt w:val="bullet"/>
      <w:start w:val="1"/>
    </w:lvl>
  </w:abstractNum>
  <w:abstractNum w:abstractNumId="55">
    <w:nsid w:val="6590700B"/>
    <w:multiLevelType w:val="hybridMultilevel"/>
    <w:lvl w:ilvl="0">
      <w:lvlJc w:val="left"/>
      <w:lvlText w:val="2"/>
      <w:numFmt w:val="bullet"/>
      <w:start w:val="1"/>
    </w:lvl>
  </w:abstractNum>
  <w:abstractNum w:abstractNumId="56">
    <w:nsid w:val="15014ACB"/>
    <w:multiLevelType w:val="hybridMultilevel"/>
    <w:lvl w:ilvl="0">
      <w:lvlJc w:val="left"/>
      <w:lvlText w:val="(%1)"/>
      <w:numFmt w:val="lowerLetter"/>
      <w:start w:val="1"/>
    </w:lvl>
  </w:abstractNum>
  <w:abstractNum w:abstractNumId="57">
    <w:nsid w:val="5F5E7FD0"/>
    <w:multiLevelType w:val="hybridMultilevel"/>
    <w:lvl w:ilvl="0">
      <w:lvlJc w:val="left"/>
      <w:lvlText w:val="(%1)"/>
      <w:numFmt w:val="lowerLetter"/>
      <w:start w:val="7"/>
    </w:lvl>
  </w:abstractNum>
  <w:abstractNum w:abstractNumId="58">
    <w:nsid w:val="98A3148"/>
    <w:multiLevelType w:val="hybridMultilevel"/>
    <w:lvl w:ilvl="0">
      <w:lvlJc w:val="left"/>
      <w:lvlText w:val="(%1)"/>
      <w:numFmt w:val="lowerLetter"/>
      <w:start w:val="10"/>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1)"/>
      <w:numFmt w:val="decimal"/>
      <w:start w:val="1"/>
    </w:lvl>
  </w:abstractNum>
  <w:abstractNum w:abstractNumId="61">
    <w:nsid w:val="42C296BD"/>
    <w:multiLevelType w:val="hybridMultilevel"/>
    <w:lvl w:ilvl="0">
      <w:lvlJc w:val="left"/>
      <w:lvlText w:val="%1."/>
      <w:numFmt w:val="decimal"/>
      <w:start w:val="1"/>
    </w:lvl>
  </w:abstractNum>
  <w:abstractNum w:abstractNumId="62">
    <w:nsid w:val="168E121F"/>
    <w:multiLevelType w:val="hybridMultilevel"/>
    <w:lvl w:ilvl="0">
      <w:lvlJc w:val="left"/>
      <w:lvlText w:val="☐"/>
      <w:numFmt w:val="bullet"/>
      <w:start w:val="1"/>
    </w:lvl>
  </w:abstractNum>
  <w:abstractNum w:abstractNumId="63">
    <w:nsid w:val="1EBA5D23"/>
    <w:multiLevelType w:val="hybridMultilevel"/>
    <w:lvl w:ilvl="0">
      <w:lvlJc w:val="left"/>
      <w:lvlText w:val="(%1)"/>
      <w:numFmt w:val="lowerLetter"/>
      <w:start w:val="2"/>
    </w:lvl>
  </w:abstractNum>
  <w:abstractNum w:abstractNumId="64">
    <w:nsid w:val="661E3F1E"/>
    <w:multiLevelType w:val="hybridMultilevel"/>
    <w:lvl w:ilvl="0">
      <w:lvlJc w:val="left"/>
      <w:lvlText w:val="(%1)"/>
      <w:numFmt w:val="lowerRoman"/>
      <w:start w:val="1"/>
    </w:lvl>
  </w:abstractNum>
  <w:abstractNum w:abstractNumId="65">
    <w:nsid w:val="5DC79EA8"/>
    <w:multiLevelType w:val="hybridMultilevel"/>
    <w:lvl w:ilvl="0">
      <w:lvlJc w:val="left"/>
      <w:lvlText w:val="%1"/>
      <w:numFmt w:val="decimal"/>
      <w:start w:val="1"/>
    </w:lvl>
    <w:lvl w:ilvl="1">
      <w:lvlJc w:val="left"/>
      <w:lvlText w:val="(%2)"/>
      <w:numFmt w:val="lowerRoman"/>
      <w:start w:val="1"/>
    </w:lvl>
  </w:abstractNum>
  <w:abstractNum w:abstractNumId="66">
    <w:nsid w:val="540A471C"/>
    <w:multiLevelType w:val="hybridMultilevel"/>
    <w:lvl w:ilvl="0">
      <w:lvlJc w:val="left"/>
      <w:lvlText w:val="(%1)"/>
      <w:numFmt w:val="decimal"/>
      <w:start w:val="3"/>
    </w:lvl>
    <w:lvl w:ilvl="1">
      <w:lvlJc w:val="left"/>
      <w:lvlText w:val="(%2)"/>
      <w:numFmt w:val="lowerRoman"/>
      <w:start w:val="2"/>
    </w:lvl>
  </w:abstractNum>
  <w:abstractNum w:abstractNumId="67">
    <w:nsid w:val="7BD3EE7B"/>
    <w:multiLevelType w:val="hybridMultilevel"/>
    <w:lvl w:ilvl="0">
      <w:lvlJc w:val="left"/>
      <w:lvlText w:val="%1"/>
      <w:numFmt w:val="decimal"/>
      <w:start w:val="1"/>
    </w:lvl>
    <w:lvl w:ilvl="1">
      <w:lvlJc w:val="left"/>
      <w:lvlText w:val="(%2)"/>
      <w:numFmt w:val="lowerRoman"/>
      <w:start w:val="1"/>
    </w:lvl>
  </w:abstractNum>
  <w:abstractNum w:abstractNumId="68">
    <w:nsid w:val="51D9C564"/>
    <w:multiLevelType w:val="hybridMultilevel"/>
    <w:lvl w:ilvl="0">
      <w:lvlJc w:val="left"/>
      <w:lvlText w:val="(%1)"/>
      <w:numFmt w:val="decimal"/>
      <w:start w:val="3"/>
    </w:lvl>
    <w:lvl w:ilvl="1">
      <w:lvlJc w:val="left"/>
      <w:lvlText w:val="(%2)"/>
      <w:numFmt w:val="lowerRoman"/>
      <w:start w:val="2"/>
    </w:lvl>
  </w:abstractNum>
  <w:abstractNum w:abstractNumId="69">
    <w:nsid w:val="613EFDC5"/>
    <w:multiLevelType w:val="hybridMultilevel"/>
    <w:lvl w:ilvl="0">
      <w:lvlJc w:val="left"/>
      <w:lvlText w:val="(%1)"/>
      <w:numFmt w:val="lowerRoman"/>
      <w:start w:val="1"/>
    </w:lvl>
  </w:abstractNum>
  <w:abstractNum w:abstractNumId="70">
    <w:nsid w:val="BF72B14"/>
    <w:multiLevelType w:val="hybridMultilevel"/>
    <w:lvl w:ilvl="0">
      <w:lvlJc w:val="left"/>
      <w:lvlText w:val="%1."/>
      <w:numFmt w:val="decimal"/>
      <w:start w:val="1"/>
    </w:lvl>
  </w:abstractNum>
  <w:abstractNum w:abstractNumId="71">
    <w:nsid w:val="11447B73"/>
    <w:multiLevelType w:val="hybridMultilevel"/>
    <w:lvl w:ilvl="0">
      <w:lvlJc w:val="left"/>
      <w:lvlText w:val="%1."/>
      <w:numFmt w:val="decimal"/>
      <w:start w:val="5"/>
    </w:lvl>
  </w:abstractNum>
  <w:abstractNum w:abstractNumId="72">
    <w:nsid w:val="42963E5A"/>
    <w:multiLevelType w:val="hybridMultilevel"/>
    <w:lvl w:ilvl="0">
      <w:lvlJc w:val="left"/>
      <w:lvlText w:val="%1."/>
      <w:numFmt w:val="decimal"/>
      <w:start w:val="1"/>
    </w:lvl>
  </w:abstractNum>
  <w:abstractNum w:abstractNumId="73">
    <w:nsid w:val="A0382C5"/>
    <w:multiLevelType w:val="hybridMultilevel"/>
    <w:lvl w:ilvl="0">
      <w:lvlJc w:val="left"/>
      <w:lvlText w:val="%1."/>
      <w:numFmt w:val="decimal"/>
      <w:start w:val="6"/>
    </w:lvl>
  </w:abstractNum>
  <w:abstractNum w:abstractNumId="74">
    <w:nsid w:val="8F2B15E"/>
    <w:multiLevelType w:val="hybridMultilevel"/>
    <w:lvl w:ilvl="0">
      <w:lvlJc w:val="left"/>
      <w:lvlText w:val="%1."/>
      <w:numFmt w:val="decimal"/>
      <w:start w:val="1"/>
    </w:lvl>
  </w:abstractNum>
  <w:abstractNum w:abstractNumId="75">
    <w:nsid w:val="1A32234B"/>
    <w:multiLevelType w:val="hybridMultilevel"/>
    <w:lvl w:ilvl="0">
      <w:lvlJc w:val="left"/>
      <w:lvlText w:val="(%1)"/>
      <w:numFmt w:val="lowerRoman"/>
      <w:start w:val="1"/>
    </w:lvl>
  </w:abstractNum>
  <w:abstractNum w:abstractNumId="76">
    <w:nsid w:val="3B0FD379"/>
    <w:multiLevelType w:val="hybridMultilevel"/>
    <w:lvl w:ilvl="0">
      <w:lvlJc w:val="left"/>
      <w:lvlText w:val="%1."/>
      <w:numFmt w:val="decimal"/>
      <w:start w:val="1"/>
    </w:lvl>
  </w:abstractNum>
  <w:abstractNum w:abstractNumId="77">
    <w:nsid w:val="68EB2F63"/>
    <w:multiLevelType w:val="hybridMultilevel"/>
    <w:lvl w:ilvl="0">
      <w:lvlJc w:val="left"/>
      <w:lvlText w:val="%1."/>
      <w:numFmt w:val="decimal"/>
      <w:start w:val="2"/>
    </w:lvl>
  </w:abstractNum>
  <w:abstractNum w:abstractNumId="78">
    <w:nsid w:val="4962813B"/>
    <w:multiLevelType w:val="hybridMultilevel"/>
    <w:lvl w:ilvl="0">
      <w:lvlJc w:val="left"/>
      <w:lvlText w:val="(%1)"/>
      <w:numFmt w:val="lowerRoman"/>
      <w:start w:val="1"/>
    </w:lvl>
  </w:abstractNum>
  <w:abstractNum w:abstractNumId="79">
    <w:nsid w:val="60B6DF70"/>
    <w:multiLevelType w:val="hybridMultilevel"/>
    <w:lvl w:ilvl="0">
      <w:lvlJc w:val="left"/>
      <w:lvlText w:val="(%1)"/>
      <w:numFmt w:val="lowerRoman"/>
      <w:start w:val="5"/>
    </w:lvl>
  </w:abstractNum>
  <w:abstractNum w:abstractNumId="80">
    <w:nsid w:val="6A5EE64"/>
    <w:multiLevelType w:val="hybridMultilevel"/>
    <w:lvl w:ilvl="0">
      <w:lvlJc w:val="left"/>
      <w:lvlText w:val="(%1)"/>
      <w:numFmt w:val="lowerRoman"/>
      <w:start w:val="1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23" Type="http://schemas.openxmlformats.org/officeDocument/2006/relationships/image" Target="media/image100.png"/><Relationship Id="rId147" Type="http://schemas.openxmlformats.org/officeDocument/2006/relationships/image" Target="media/image101.png"/><Relationship Id="rId151" Type="http://schemas.openxmlformats.org/officeDocument/2006/relationships/image" Target="media/image102.png"/><Relationship Id="rId152" Type="http://schemas.openxmlformats.org/officeDocument/2006/relationships/image" Target="media/image103.png"/><Relationship Id="rId153" Type="http://schemas.openxmlformats.org/officeDocument/2006/relationships/image" Target="media/image104.png"/><Relationship Id="rId154" Type="http://schemas.openxmlformats.org/officeDocument/2006/relationships/image" Target="media/image105.png"/><Relationship Id="rId155" Type="http://schemas.openxmlformats.org/officeDocument/2006/relationships/image" Target="media/image106.png"/><Relationship Id="rId156" Type="http://schemas.openxmlformats.org/officeDocument/2006/relationships/image" Target="media/image107.png"/><Relationship Id="rId157" Type="http://schemas.openxmlformats.org/officeDocument/2006/relationships/image" Target="media/image108.png"/><Relationship Id="rId158" Type="http://schemas.openxmlformats.org/officeDocument/2006/relationships/image" Target="media/image109.png"/><Relationship Id="rId159" Type="http://schemas.openxmlformats.org/officeDocument/2006/relationships/image" Target="media/image110.png"/><Relationship Id="rId160" Type="http://schemas.openxmlformats.org/officeDocument/2006/relationships/image" Target="media/image111.png"/><Relationship Id="rId161" Type="http://schemas.openxmlformats.org/officeDocument/2006/relationships/image" Target="media/image112.png"/><Relationship Id="rId162" Type="http://schemas.openxmlformats.org/officeDocument/2006/relationships/image" Target="media/image113.png"/><Relationship Id="rId163" Type="http://schemas.openxmlformats.org/officeDocument/2006/relationships/image" Target="media/image114.png"/><Relationship Id="rId164" Type="http://schemas.openxmlformats.org/officeDocument/2006/relationships/image" Target="media/image115.png"/><Relationship Id="rId165" Type="http://schemas.openxmlformats.org/officeDocument/2006/relationships/image" Target="media/image116.png"/><Relationship Id="rId166" Type="http://schemas.openxmlformats.org/officeDocument/2006/relationships/image" Target="media/image117.png"/><Relationship Id="rId167" Type="http://schemas.openxmlformats.org/officeDocument/2006/relationships/image" Target="media/image118.png"/><Relationship Id="rId168" Type="http://schemas.openxmlformats.org/officeDocument/2006/relationships/image" Target="media/image119.png"/><Relationship Id="rId169" Type="http://schemas.openxmlformats.org/officeDocument/2006/relationships/image" Target="media/image120.png"/><Relationship Id="rId170" Type="http://schemas.openxmlformats.org/officeDocument/2006/relationships/image" Target="media/image121.png"/><Relationship Id="rId171" Type="http://schemas.openxmlformats.org/officeDocument/2006/relationships/image" Target="media/image122.png"/><Relationship Id="rId172" Type="http://schemas.openxmlformats.org/officeDocument/2006/relationships/image" Target="media/image123.png"/><Relationship Id="rId173" Type="http://schemas.openxmlformats.org/officeDocument/2006/relationships/image" Target="media/image124.png"/><Relationship Id="rId174" Type="http://schemas.openxmlformats.org/officeDocument/2006/relationships/image" Target="media/image125.png"/><Relationship Id="rId175" Type="http://schemas.openxmlformats.org/officeDocument/2006/relationships/image" Target="media/image126.png"/><Relationship Id="rId176" Type="http://schemas.openxmlformats.org/officeDocument/2006/relationships/image" Target="media/image127.png"/><Relationship Id="rId177" Type="http://schemas.openxmlformats.org/officeDocument/2006/relationships/image" Target="media/image128.png"/><Relationship Id="rId178" Type="http://schemas.openxmlformats.org/officeDocument/2006/relationships/image" Target="media/image129.png"/><Relationship Id="rId179" Type="http://schemas.openxmlformats.org/officeDocument/2006/relationships/image" Target="media/image130.png"/><Relationship Id="rId180" Type="http://schemas.openxmlformats.org/officeDocument/2006/relationships/image" Target="media/image131.png"/><Relationship Id="rId181" Type="http://schemas.openxmlformats.org/officeDocument/2006/relationships/image" Target="media/image132.png"/><Relationship Id="rId182" Type="http://schemas.openxmlformats.org/officeDocument/2006/relationships/image" Target="media/image133.png"/><Relationship Id="rId183" Type="http://schemas.openxmlformats.org/officeDocument/2006/relationships/image" Target="media/image134.png"/><Relationship Id="rId184" Type="http://schemas.openxmlformats.org/officeDocument/2006/relationships/image" Target="media/image135.png"/><Relationship Id="rId185" Type="http://schemas.openxmlformats.org/officeDocument/2006/relationships/image" Target="media/image136.png"/><Relationship Id="rId186" Type="http://schemas.openxmlformats.org/officeDocument/2006/relationships/image" Target="media/image137.png"/><Relationship Id="rId187" Type="http://schemas.openxmlformats.org/officeDocument/2006/relationships/image" Target="media/image138.png"/><Relationship Id="rId188" Type="http://schemas.openxmlformats.org/officeDocument/2006/relationships/image" Target="media/image139.png"/><Relationship Id="rId189" Type="http://schemas.openxmlformats.org/officeDocument/2006/relationships/image" Target="media/image140.png"/><Relationship Id="rId190" Type="http://schemas.openxmlformats.org/officeDocument/2006/relationships/image" Target="media/image141.jpeg"/><Relationship Id="rId191" Type="http://schemas.openxmlformats.org/officeDocument/2006/relationships/image" Target="media/image142.png"/><Relationship Id="rId192" Type="http://schemas.openxmlformats.org/officeDocument/2006/relationships/image" Target="media/image143.png"/><Relationship Id="rId193" Type="http://schemas.openxmlformats.org/officeDocument/2006/relationships/image" Target="media/image144.png"/><Relationship Id="rId194" Type="http://schemas.openxmlformats.org/officeDocument/2006/relationships/image" Target="media/image145.png"/><Relationship Id="rId195" Type="http://schemas.openxmlformats.org/officeDocument/2006/relationships/image" Target="media/image146.png"/><Relationship Id="rId196" Type="http://schemas.openxmlformats.org/officeDocument/2006/relationships/image" Target="media/image147.png"/><Relationship Id="rId197" Type="http://schemas.openxmlformats.org/officeDocument/2006/relationships/image" Target="media/image148.png"/><Relationship Id="rId198" Type="http://schemas.openxmlformats.org/officeDocument/2006/relationships/image" Target="media/image149.png"/><Relationship Id="rId199" Type="http://schemas.openxmlformats.org/officeDocument/2006/relationships/image" Target="media/image150.png"/><Relationship Id="rId200" Type="http://schemas.openxmlformats.org/officeDocument/2006/relationships/image" Target="media/image151.png"/><Relationship Id="rId201" Type="http://schemas.openxmlformats.org/officeDocument/2006/relationships/image" Target="media/image152.png"/><Relationship Id="rId202" Type="http://schemas.openxmlformats.org/officeDocument/2006/relationships/image" Target="media/image153.png"/><Relationship Id="rId203" Type="http://schemas.openxmlformats.org/officeDocument/2006/relationships/image" Target="media/image154.png"/><Relationship Id="rId204" Type="http://schemas.openxmlformats.org/officeDocument/2006/relationships/image" Target="media/image155.png"/><Relationship Id="rId205" Type="http://schemas.openxmlformats.org/officeDocument/2006/relationships/image" Target="media/image156.png"/><Relationship Id="rId206" Type="http://schemas.openxmlformats.org/officeDocument/2006/relationships/image" Target="media/image157.jpeg"/><Relationship Id="rId207" Type="http://schemas.openxmlformats.org/officeDocument/2006/relationships/image" Target="media/image158.png"/><Relationship Id="rId208" Type="http://schemas.openxmlformats.org/officeDocument/2006/relationships/image" Target="media/image159.png"/><Relationship Id="rId209" Type="http://schemas.openxmlformats.org/officeDocument/2006/relationships/image" Target="media/image160.jpeg"/><Relationship Id="rId210" Type="http://schemas.openxmlformats.org/officeDocument/2006/relationships/image" Target="media/image161.jpeg"/><Relationship Id="rId211" Type="http://schemas.openxmlformats.org/officeDocument/2006/relationships/image" Target="media/image162.png"/><Relationship Id="rId212" Type="http://schemas.openxmlformats.org/officeDocument/2006/relationships/image" Target="media/image163.png"/><Relationship Id="rId213" Type="http://schemas.openxmlformats.org/officeDocument/2006/relationships/image" Target="media/image164.jpeg"/><Relationship Id="rId214" Type="http://schemas.openxmlformats.org/officeDocument/2006/relationships/image" Target="media/image165.png"/><Relationship Id="rId215" Type="http://schemas.openxmlformats.org/officeDocument/2006/relationships/image" Target="media/image166.png"/><Relationship Id="rId216" Type="http://schemas.openxmlformats.org/officeDocument/2006/relationships/image" Target="media/image167.jpeg"/><Relationship Id="rId217" Type="http://schemas.openxmlformats.org/officeDocument/2006/relationships/image" Target="media/image168.png"/><Relationship Id="rId218" Type="http://schemas.openxmlformats.org/officeDocument/2006/relationships/image" Target="media/image169.png"/><Relationship Id="rId219" Type="http://schemas.openxmlformats.org/officeDocument/2006/relationships/image" Target="media/image170.jpeg"/><Relationship Id="rId220" Type="http://schemas.openxmlformats.org/officeDocument/2006/relationships/image" Target="media/image171.jpeg"/><Relationship Id="rId221" Type="http://schemas.openxmlformats.org/officeDocument/2006/relationships/image" Target="media/image172.png"/><Relationship Id="rId222" Type="http://schemas.openxmlformats.org/officeDocument/2006/relationships/image" Target="media/image173.png"/><Relationship Id="rId223" Type="http://schemas.openxmlformats.org/officeDocument/2006/relationships/image" Target="media/image174.jpeg"/><Relationship Id="rId224" Type="http://schemas.openxmlformats.org/officeDocument/2006/relationships/image" Target="media/image175.png"/><Relationship Id="rId225" Type="http://schemas.openxmlformats.org/officeDocument/2006/relationships/image" Target="media/image176.jpeg"/><Relationship Id="rId226" Type="http://schemas.openxmlformats.org/officeDocument/2006/relationships/image" Target="media/image177.png"/><Relationship Id="rId227" Type="http://schemas.openxmlformats.org/officeDocument/2006/relationships/image" Target="media/image178.jpeg"/><Relationship Id="rId228" Type="http://schemas.openxmlformats.org/officeDocument/2006/relationships/image" Target="media/image179.png"/><Relationship Id="rId229" Type="http://schemas.openxmlformats.org/officeDocument/2006/relationships/image" Target="media/image180.jpeg"/><Relationship Id="rId230" Type="http://schemas.openxmlformats.org/officeDocument/2006/relationships/image" Target="media/image181.png"/><Relationship Id="rId231" Type="http://schemas.openxmlformats.org/officeDocument/2006/relationships/image" Target="media/image182.jpeg"/><Relationship Id="rId105" Type="http://schemas.openxmlformats.org/officeDocument/2006/relationships/hyperlink" Target="http://www.sec.gov/ix?doc=/Archives/edgar/data/1504619/000095017022025351/pflt-20220930.htm" TargetMode="External"/><Relationship Id="rId106" Type="http://schemas.openxmlformats.org/officeDocument/2006/relationships/hyperlink" Target="http://www.sec.gov/Archives/edgar/data/1504619/000095017022026192/pflt-2023-def_14a.htm" TargetMode="External"/><Relationship Id="rId107" Type="http://schemas.openxmlformats.org/officeDocument/2006/relationships/hyperlink" Target="http://www.sec.gov/Archives/edgar/data/1504619/000156459019043972/pflt-ex44_124.htm" TargetMode="External"/><Relationship Id="rId108" Type="http://schemas.openxmlformats.org/officeDocument/2006/relationships/hyperlink" Target="http://www.sec.gov/Archives/edgar/data/1504619/000119312511090965/d8a12b.htm" TargetMode="External"/><Relationship Id="rId111" Type="http://schemas.openxmlformats.org/officeDocument/2006/relationships/hyperlink" Target="http://www.sec.gov/Archives/edgar/data/1504619/000119312511080862/dex99a.htm" TargetMode="External"/><Relationship Id="rId112" Type="http://schemas.openxmlformats.org/officeDocument/2006/relationships/hyperlink" Target="http://www.sec.gov/Archives/edgar/data/1504619/000156459020024167/pflt-ex32_144.htm" TargetMode="External"/><Relationship Id="rId113" Type="http://schemas.openxmlformats.org/officeDocument/2006/relationships/hyperlink" Target="http://www.sec.gov/Archives/edgar/data/1504619/000119312511088977/dex99d.htm" TargetMode="External"/><Relationship Id="rId114" Type="http://schemas.openxmlformats.org/officeDocument/2006/relationships/hyperlink" Target="http://www.sec.gov/Archives/edgar/data/1504619/000119312512114062/d313491dex99d2.htm" TargetMode="External"/><Relationship Id="rId115" Type="http://schemas.openxmlformats.org/officeDocument/2006/relationships/hyperlink" Target="http://www.sec.gov/Archives/edgar/data/1504619/000119312512114062/d313491dex99d3.htm" TargetMode="External"/><Relationship Id="rId116" Type="http://schemas.openxmlformats.org/officeDocument/2006/relationships/hyperlink" Target="http://www.sec.gov/Archives/edgar/data/1504619/000119312512114062/d313491dex99d4.htm" TargetMode="External"/><Relationship Id="rId117" Type="http://schemas.openxmlformats.org/officeDocument/2006/relationships/hyperlink" Target="http://www.sec.gov/Archives/edgar/data/1504619/000119312512114062/d313491dex99d5.htm" TargetMode="External"/><Relationship Id="rId118" Type="http://schemas.openxmlformats.org/officeDocument/2006/relationships/hyperlink" Target="http://www.sec.gov/Archives/edgar/data/1504619/000119312512114062/d313491dex99d7.htm" TargetMode="External"/><Relationship Id="rId119" Type="http://schemas.openxmlformats.org/officeDocument/2006/relationships/hyperlink" Target="http://www.sec.gov/Archives/edgar/data/1504619/000119312517368270/d487151dex99d8.htm" TargetMode="External"/><Relationship Id="rId120" Type="http://schemas.openxmlformats.org/officeDocument/2006/relationships/hyperlink" Target="http://www.sec.gov/Archives/edgar/data/1504619/000119312519250688/d808045dex992.htm" TargetMode="External"/><Relationship Id="rId121" Type="http://schemas.openxmlformats.org/officeDocument/2006/relationships/hyperlink" Target="http://www.sec.gov/Archives/edgar/data/1504619/000119312521091350/d156339dex41.htm" TargetMode="External"/><Relationship Id="rId122" Type="http://schemas.openxmlformats.org/officeDocument/2006/relationships/hyperlink" Target="http://www.sec.gov/Archives/edgar/data/1504619/000119312521091350/d156339dex42.htm" TargetMode="External"/><Relationship Id="rId124" Type="http://schemas.openxmlformats.org/officeDocument/2006/relationships/hyperlink" Target="http://www.sec.gov/Archives/edgar/data/1504619/000119312516450643/d38254dex101.htm" TargetMode="External"/><Relationship Id="rId125" Type="http://schemas.openxmlformats.org/officeDocument/2006/relationships/hyperlink" Target="http://www.sec.gov/Archives/edgar/data/1504619/000119312512114062/d313491dex99h1.htm" TargetMode="External"/><Relationship Id="rId126" Type="http://schemas.openxmlformats.org/officeDocument/2006/relationships/hyperlink" Target="http://www.sec.gov/Archives/edgar/data/1504619/000119312512114062/d313491dex99h2.htm" TargetMode="External"/><Relationship Id="rId127" Type="http://schemas.openxmlformats.org/officeDocument/2006/relationships/hyperlink" Target="http://www.sec.gov/Archives/edgar/data/1504619/000119312511080862/dex99j.htm" TargetMode="External"/><Relationship Id="rId128" Type="http://schemas.openxmlformats.org/officeDocument/2006/relationships/hyperlink" Target="http://www.sec.gov/Archives/edgar/data/1504619/000119312511080862/dex99k1.htm" TargetMode="External"/><Relationship Id="rId129" Type="http://schemas.openxmlformats.org/officeDocument/2006/relationships/hyperlink" Target="http://www.sec.gov/Archives/edgar/data/1504619/000095017022014234/pflt-ex10_1.htm" TargetMode="External"/><Relationship Id="rId130" Type="http://schemas.openxmlformats.org/officeDocument/2006/relationships/hyperlink" Target="http://www.sec.gov/Archives/edgar/data/1504619/000119312511080862/dex99k3.htm" TargetMode="External"/><Relationship Id="rId131" Type="http://schemas.openxmlformats.org/officeDocument/2006/relationships/hyperlink" Target="http://www.sec.gov/Archives/edgar/data/1504619/000119312521250566/d198449dex101.htm" TargetMode="External"/><Relationship Id="rId132" Type="http://schemas.openxmlformats.org/officeDocument/2006/relationships/hyperlink" Target="http://www.sec.gov/Archives/edgar/data/1504619/000119312521250566/d198449dex102.htm" TargetMode="External"/><Relationship Id="rId133" Type="http://schemas.openxmlformats.org/officeDocument/2006/relationships/hyperlink" Target="http://www.sec.gov/Archives/edgar/data/1504619/000156459017016504/pflt-ex101_78.htm" TargetMode="External"/><Relationship Id="rId134" Type="http://schemas.openxmlformats.org/officeDocument/2006/relationships/hyperlink" Target="http://www.sec.gov/Archives/edgar/data/1504619/000119312516775064/d290892dex106.htm" TargetMode="External"/><Relationship Id="rId135" Type="http://schemas.openxmlformats.org/officeDocument/2006/relationships/hyperlink" Target="http://www.sec.gov/Archives/edgar/data/1504619/000119312519250688/d808045dex993.htm" TargetMode="External"/><Relationship Id="rId136" Type="http://schemas.openxmlformats.org/officeDocument/2006/relationships/hyperlink" Target="http://www.sec.gov/Archives/edgar/data/1504619/000119312519250688/d808045dex994.htm" TargetMode="External"/><Relationship Id="rId137" Type="http://schemas.openxmlformats.org/officeDocument/2006/relationships/hyperlink" Target="http://www.sec.gov/Archives/edgar/data/1504619/000119312519250688/d808045dex995.htm" TargetMode="External"/><Relationship Id="rId138" Type="http://schemas.openxmlformats.org/officeDocument/2006/relationships/hyperlink" Target="http://www.sec.gov/Archives/edgar/data/1504619/000119312519250688/d808045dex996.htm" TargetMode="External"/><Relationship Id="rId139" Type="http://schemas.openxmlformats.org/officeDocument/2006/relationships/hyperlink" Target="http://www.sec.gov/Archives/edgar/data/1504619/000095017022014234/pflt-ex10_2.htm" TargetMode="External"/><Relationship Id="rId140" Type="http://schemas.openxmlformats.org/officeDocument/2006/relationships/hyperlink" Target="http://www.sec.gov/Archives/edgar/data/1504619/000095017022014234/pflt-ex10_3.htm" TargetMode="External"/><Relationship Id="rId141" Type="http://schemas.openxmlformats.org/officeDocument/2006/relationships/hyperlink" Target="http://www.sec.gov/Archives/edgar/data/1504619/000095017022016832/pflt-ex1_1.htm" TargetMode="External"/><Relationship Id="rId142" Type="http://schemas.openxmlformats.org/officeDocument/2006/relationships/hyperlink" Target="http://www.sec.gov/Archives/edgar/data/1504619/000095017022018730/pflt-ex10_1.htm" TargetMode="External"/><Relationship Id="rId143" Type="http://schemas.openxmlformats.org/officeDocument/2006/relationships/hyperlink" Target="http://www.sec.gov/Archives/edgar/data/1504619/000095017022025351/pflt-ex99_2.htm" TargetMode="External"/><Relationship Id="rId144" Type="http://schemas.openxmlformats.org/officeDocument/2006/relationships/hyperlink" Target="http://www.sec.gov/Archives/edgar/data/1504619/000095017022025351/pflt-ex14_1.htm" TargetMode="External"/><Relationship Id="rId145" Type="http://schemas.openxmlformats.org/officeDocument/2006/relationships/hyperlink" Target="http://www.sec.gov/Archives/edgar/data/1504619/000119312512114062/d313491dex99s1.htm" TargetMode="External"/><Relationship Id="rId146" Type="http://schemas.openxmlformats.org/officeDocument/2006/relationships/hyperlink" Target="http://www.sec.gov/Archives/edgar/data/1504619/000119312512114062/d313491dex99s2.htm" TargetMode="External"/><Relationship Id="rId148" Type="http://schemas.openxmlformats.org/officeDocument/2006/relationships/hyperlink" Target="http://www.sec.gov/Archives/edgar/data/1504619/000119312512114062/d313491dex99s3.htm" TargetMode="External"/><Relationship Id="rId149" Type="http://schemas.openxmlformats.org/officeDocument/2006/relationships/hyperlink" Target="http://www.sec.gov/Archives/edgar/data/1504619/000119312512114062/d313491dex99s4.htm" TargetMode="External"/><Relationship Id="rId150" Type="http://schemas.openxmlformats.org/officeDocument/2006/relationships/hyperlink" Target="http://www.sec.gov/Archives/edgar/data/1504619/000119312512114062/d313491dex99s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2022-12-15T15:44:33Z</dcterms:created>
  <dcterms:modified xsi:type="dcterms:W3CDTF">2022-12-15T15:44:33Z</dcterms:modified>
</cp:coreProperties>
</file>