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rPr>
              <w:t>MARYLAND</w:t>
            </w:r>
          </w:p>
        </w:tc>
        <w:tc>
          <w:tcPr>
            <w:tcW w:w="212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6000" w:type="dxa"/>
            <w:vAlign w:val="bottom"/>
          </w:tcPr>
          <w:p>
            <w:pPr>
              <w:jc w:val="center"/>
              <w:ind w:right="291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7"/>
              </w:rPr>
              <w:t>New York, N.Y.</w:t>
            </w:r>
          </w:p>
        </w:tc>
        <w:tc>
          <w:tcPr>
            <w:tcW w:w="212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0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right="293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00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left="253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February 6, 2019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DECEMBER 31, 2018</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40" w:type="dxa"/>
            <w:vAlign w:val="bottom"/>
          </w:tcPr>
          <w:p>
            <w:pPr>
              <w:spacing w:after="0"/>
              <w:rPr>
                <w:sz w:val="16"/>
                <w:szCs w:val="16"/>
                <w:color w:val="auto"/>
              </w:rPr>
            </w:pPr>
          </w:p>
        </w:tc>
      </w:tr>
      <w:tr>
        <w:trPr>
          <w:trHeight w:val="297"/>
        </w:trPr>
        <w:tc>
          <w:tcPr>
            <w:tcW w:w="92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40" w:type="dxa"/>
            <w:vAlign w:val="bottom"/>
          </w:tcPr>
          <w:p>
            <w:pPr>
              <w:spacing w:after="0"/>
              <w:rPr>
                <w:sz w:val="24"/>
                <w:szCs w:val="24"/>
                <w:color w:val="auto"/>
              </w:rPr>
            </w:pP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2018 (unaudited) and September 30, 2018</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2018 and 2017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2018 and 2017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2018 and 2017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2018 (unaudited) and September 30, 2018</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97"/>
        </w:trPr>
        <w:tc>
          <w:tcPr>
            <w:tcW w:w="9200" w:type="dxa"/>
            <w:vAlign w:val="bottom"/>
          </w:tcPr>
          <w:p>
            <w:pPr>
              <w:ind w:left="380"/>
              <w:spacing w:after="0"/>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30">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3. 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4. Controls and Procedures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200" w:type="dxa"/>
            <w:vAlign w:val="bottom"/>
          </w:tcPr>
          <w:p>
            <w:pPr>
              <w:ind w:left="43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PART II. OTHER INFORMATION</w:t>
              </w:r>
            </w:hyperlink>
          </w:p>
        </w:tc>
        <w:tc>
          <w:tcPr>
            <w:tcW w:w="2040" w:type="dxa"/>
            <w:vAlign w:val="bottom"/>
          </w:tcPr>
          <w:p>
            <w:pPr>
              <w:spacing w:after="0"/>
              <w:rPr>
                <w:sz w:val="24"/>
                <w:szCs w:val="24"/>
                <w:color w:val="auto"/>
              </w:rPr>
            </w:pP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1. Legal Proceedings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1A. Risk Factors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2. Unregistered Sales of Equity Securities and Use of Proceeds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3. Defaults Upon Senior Securities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4. Mine Safety Disclosures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5. Other Information</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6. Exhibits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20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“Credit Facility” refers to our multi-currency, senior secured revolving credit facility, as amended and restated; “2023 Notes” refers to our 3.83% Series A notes due 2023;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(cost—$830,609,329 and $856,893,017,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818,667,554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854,753,064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Controlled, affiliated investments (cost—$161,875,000 and $144,375,000, respectively)</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160,995,761</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145,860,229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(cost—$992,484,329 and $1,001,268,017, respectively)</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979,663,315</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1,000,613,293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(cost—$35,296,899 and $72,231,801,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35,180,396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3,182,120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2,813,808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651,627</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792,069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1,018,677,458</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161,625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59,587,222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Credit Facility payable (cost—$350,907,500 and $333,727,520, respectively) (See Notes 5 and 10)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345,867,658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332,128,815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2023 Notes payable (cost—$138,579,858) (See Notes 5 and 10)</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133,410,829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1,621,060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2,638,504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2,498,766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2,419,629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187,202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3,298,404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1,460,249</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1,342,479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488,890,736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540,601,785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Common stock, 38,772,074 shares issued and outstanding</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539,462,336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in excess of net investment income</w:t>
            </w:r>
          </w:p>
        </w:tc>
        <w:tc>
          <w:tcPr>
            <w:tcW w:w="1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(5,259,447)</w:t>
            </w: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(5,153,449)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Accumulated net realized loss on investments</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(1,407,764)</w:t>
            </w: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(2,331,230)</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depreciation on investments</w:t>
            </w:r>
          </w:p>
        </w:tc>
        <w:tc>
          <w:tcPr>
            <w:tcW w:w="1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(13,256,046)</w:t>
            </w: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(850,039)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depreciation on debt</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10,208,871</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4,675,178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529,786,722</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535,841,568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1,018,677,458</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13.66</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55"/>
        </w:trPr>
        <w:tc>
          <w:tcPr>
            <w:tcW w:w="848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18,169,998</w:t>
            </w:r>
          </w:p>
        </w:tc>
        <w:tc>
          <w:tcPr>
            <w:tcW w:w="2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154"/>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13,867,420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621,189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433,180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2,818,045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535,760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23,184,232</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14,836,360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2,498,766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1,822,063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(1,192,409)</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148,010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5,305,478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2,618,308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616,075</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618,751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16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7,727,910</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5,707,132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4,512,279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10,869,098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1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12,240,189</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16,776,230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 (loss)</w:t>
            </w:r>
          </w:p>
        </w:tc>
        <w:tc>
          <w:tcPr>
            <w:tcW w:w="16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10,944,043</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(1,939,870)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w:t>
            </w: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923,466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(2,786,551)</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(10,041,539)</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3,198,156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1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(2,364,468)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318,442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(See Notes 5 and 10)</w:t>
            </w:r>
          </w:p>
        </w:tc>
        <w:tc>
          <w:tcPr>
            <w:tcW w:w="16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5,533,693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3,128,605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(6,872,314)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6,645,203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16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(5,948,848)</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3,858,652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4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4,995,195</w:t>
            </w:r>
          </w:p>
        </w:tc>
        <w:tc>
          <w:tcPr>
            <w:tcW w:w="28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1,918,782</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4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0.13</w:t>
            </w:r>
          </w:p>
        </w:tc>
        <w:tc>
          <w:tcPr>
            <w:tcW w:w="2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5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4"/>
                <w:szCs w:val="14"/>
                <w:color w:val="auto"/>
              </w:rPr>
              <w:t>Net investment income (loss) per common share</w:t>
            </w: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8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0.28</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10,944,043</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(1,939,870)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923,466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(2,786,551)</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(12,406,007)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3,516,598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5,533,693</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3,128,605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4,995,195</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1,918,782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(10,424,561)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(1,012,044)</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88,019,756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(6,054,846)</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79,513,977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529,786,722</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537,420,251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Distribution in excess of net investment income, end of period</w:t>
            </w: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(5,259,447)</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(9,200,786)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6,292,000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4,995,195</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1,918,782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12,406,007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(3,516,598)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(5,533,693)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(3,128,605)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(gain) loss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(923,466)</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2,786,551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(416,480)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(382,250)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(180,731,899)</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(176,867,446)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(90,696)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(160,484)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190,294,479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149,082,954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(368,312)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(112,488)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receivable for investments sold</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2,995,802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140,442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422,939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payable for investments purchased</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(59,425,597)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(16,131,273)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interest payable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(1,017,444)</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495,481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79,137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(3,111,202)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(2,488,756)</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500"/>
              <w:spacing w:after="0"/>
              <w:rPr>
                <w:sz w:val="20"/>
                <w:szCs w:val="20"/>
                <w:color w:val="auto"/>
              </w:rPr>
            </w:pPr>
            <w:r>
              <w:rPr>
                <w:rFonts w:ascii="Arial" w:cs="Arial" w:eastAsia="Arial" w:hAnsi="Arial"/>
                <w:sz w:val="14"/>
                <w:szCs w:val="14"/>
                <w:color w:val="auto"/>
              </w:rPr>
              <w:t>Increase in accrued other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117,770</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438,632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(43,585,759)</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(44,609,502)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(1,012,044)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(11,050,041)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(9,826,821)</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2023 Notes issuance (See Notes 5 and 10)</w:t>
            </w:r>
          </w:p>
        </w:tc>
        <w:tc>
          <w:tcPr>
            <w:tcW w:w="3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(87,320,020)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(74,900,000)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6,129,939</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153,357,803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(37,455,820)</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108,748,301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412,033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126,281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72,224,183</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35,180,396</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127,785,338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6,322,922</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12,991,925</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2,984</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Par /</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2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Companies—154.5% </w:t>
            </w:r>
            <w:r>
              <w:rPr>
                <w:rFonts w:ascii="Arial" w:cs="Arial" w:eastAsia="Arial" w:hAnsi="Arial"/>
                <w:sz w:val="9"/>
                <w:szCs w:val="9"/>
                <w:b w:val="1"/>
                <w:bCs w:val="1"/>
                <w:color w:val="auto"/>
                <w:w w:val="90"/>
              </w:rPr>
              <w:t>(3), (4)</w:t>
            </w:r>
          </w:p>
        </w:tc>
        <w:tc>
          <w:tcPr>
            <w:tcW w:w="238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b w:val="1"/>
                <w:bCs w:val="1"/>
                <w:color w:val="auto"/>
              </w:rPr>
              <w:t>First Lien Secured Debt—146.1%</w:t>
            </w: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08/08/2022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9.81%</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10,945,808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10,764,743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10,959,491</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11/30/2021</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7.80%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tcPr>
          <w:p>
            <w:pPr>
              <w:jc w:val="right"/>
              <w:spacing w:after="0"/>
              <w:rPr>
                <w:sz w:val="20"/>
                <w:szCs w:val="20"/>
                <w:color w:val="auto"/>
              </w:rPr>
            </w:pPr>
            <w:r>
              <w:rPr>
                <w:rFonts w:ascii="Arial" w:cs="Arial" w:eastAsia="Arial" w:hAnsi="Arial"/>
                <w:sz w:val="12"/>
                <w:szCs w:val="12"/>
                <w:color w:val="auto"/>
              </w:rPr>
              <w:t>5,842,972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5,789,736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5,755,328</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12/21/2023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2"/>
              </w:rPr>
              <w:t>Building Products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7.98%</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14,702,107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12/21/2023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92"/>
              </w:rPr>
              <w:t>Building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649,351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4,437,500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4,396,345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4,393,125</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8.93%</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9,962,564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9,852,697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8,219,115</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8.27%</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4,904,626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4,888,063</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04/22/2024</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(19,685)</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04/28/2023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8.31%</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11,820,000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11,727,519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11,701,800</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9.73%</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L+725</w:t>
            </w:r>
          </w:p>
        </w:tc>
        <w:tc>
          <w:tcPr>
            <w:tcW w:w="660" w:type="dxa"/>
            <w:vAlign w:val="bottom"/>
          </w:tcPr>
          <w:p>
            <w:pPr>
              <w:jc w:val="right"/>
              <w:spacing w:after="0"/>
              <w:rPr>
                <w:sz w:val="20"/>
                <w:szCs w:val="20"/>
                <w:color w:val="auto"/>
              </w:rPr>
            </w:pPr>
            <w:r>
              <w:rPr>
                <w:rFonts w:ascii="Arial" w:cs="Arial" w:eastAsia="Arial" w:hAnsi="Arial"/>
                <w:sz w:val="12"/>
                <w:szCs w:val="12"/>
                <w:color w:val="auto"/>
              </w:rPr>
              <w:t>12,555,281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12,328,065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12,555,281</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Cadence Aerospace,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11/14/2023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9.11%</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10,890,000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10,801,992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10,811,973</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12/23/2021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1,525,698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1,511,407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1,525,698</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Cardenas Markets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11/29/2023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8.27%</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3,864,458</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3,871,349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3,806,492</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07/21/2023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16,119,920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15,833,996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15,676,622</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04/10/2025</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7.30%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6,129,911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6,101,233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6,091,599</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04/10/2025</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(8,371)</w:t>
            </w: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08/31/2023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8.19%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711,447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711,447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700,776</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17,727,205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17,693,756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15,068,124</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Credit Infonet,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03/13/2023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11,427,733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11,352,364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11,427,733</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03/13/2023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100" w:type="dxa"/>
            <w:vAlign w:val="bottom"/>
          </w:tcPr>
          <w:p>
            <w:pPr>
              <w:spacing w:after="0"/>
              <w:rPr>
                <w:sz w:val="20"/>
                <w:szCs w:val="20"/>
                <w:color w:val="auto"/>
              </w:rPr>
            </w:pPr>
            <w:r>
              <w:rPr>
                <w:rFonts w:ascii="Arial" w:cs="Arial" w:eastAsia="Arial" w:hAnsi="Arial"/>
                <w:sz w:val="12"/>
                <w:szCs w:val="12"/>
                <w:color w:val="auto"/>
              </w:rPr>
              <w:t xml:space="preserve">DBI Holding, LLC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02/03/2020</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562,820</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562,820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562,820</w:t>
            </w:r>
          </w:p>
        </w:tc>
        <w:tc>
          <w:tcPr>
            <w:tcW w:w="100" w:type="dxa"/>
            <w:vAlign w:val="bottom"/>
          </w:tcPr>
          <w:p>
            <w:pPr>
              <w:spacing w:after="0"/>
              <w:rPr>
                <w:sz w:val="13"/>
                <w:szCs w:val="13"/>
                <w:color w:val="auto"/>
              </w:rPr>
            </w:pPr>
          </w:p>
        </w:tc>
      </w:tr>
      <w:tr>
        <w:trPr>
          <w:trHeight w:val="141"/>
        </w:trPr>
        <w:tc>
          <w:tcPr>
            <w:tcW w:w="3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15.00%)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08/02/2021</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7.76%</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17,351,031</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17,261,090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17,177,520</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Deva Holdings,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10/31/2023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8.77%</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4,962,240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4,878,577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4,962,240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Digital Room Holdings,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12/29/2023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7.53%</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tcPr>
          <w:p>
            <w:pPr>
              <w:jc w:val="right"/>
              <w:spacing w:after="0"/>
              <w:rPr>
                <w:sz w:val="20"/>
                <w:szCs w:val="20"/>
                <w:color w:val="auto"/>
              </w:rPr>
            </w:pPr>
            <w:r>
              <w:rPr>
                <w:rFonts w:ascii="Arial" w:cs="Arial" w:eastAsia="Arial" w:hAnsi="Arial"/>
                <w:sz w:val="12"/>
                <w:szCs w:val="12"/>
                <w:color w:val="auto"/>
              </w:rPr>
              <w:t>16,335,000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16,208,822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16,253,325</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8.56%</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14,449,632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14,231,369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14,341,260</w:t>
            </w:r>
          </w:p>
        </w:tc>
        <w:tc>
          <w:tcPr>
            <w:tcW w:w="100" w:type="dxa"/>
            <w:vAlign w:val="bottom"/>
            <w:shd w:val="clear" w:color="auto" w:fill="CCECFF"/>
          </w:tcPr>
          <w:p>
            <w:pPr>
              <w:spacing w:after="0"/>
              <w:rPr>
                <w:sz w:val="12"/>
                <w:szCs w:val="12"/>
                <w:color w:val="auto"/>
              </w:rPr>
            </w:pPr>
          </w:p>
        </w:tc>
      </w:tr>
      <w:tr>
        <w:trPr>
          <w:trHeight w:val="156"/>
        </w:trPr>
        <w:tc>
          <w:tcPr>
            <w:tcW w:w="31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4,391,176</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(32,934)</w:t>
            </w:r>
          </w:p>
        </w:tc>
      </w:tr>
      <w:tr>
        <w:trPr>
          <w:trHeight w:val="142"/>
        </w:trPr>
        <w:tc>
          <w:tcPr>
            <w:tcW w:w="310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Douglas Sewer Intermediate, LLC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8.56%</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9,890,893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9,817,055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9,816,712</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10.80%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19,869,686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19,718,836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19,670,989</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(9)</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10/05/2023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Banking, Finance, Insurance &amp; Real Estate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7.31%</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24,688,125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24,688,125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24,688,125</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(8), (9)</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10/05/2023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Banking, Finance, Insurance &amp;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9.53%</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20,473,106</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20,386,651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20,370,740</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9.76%</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1,739,130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1,739,130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1,730,434</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(2,174)</w:t>
            </w: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06/15/2022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9.56%</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15,435,771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15,347,010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15,358,593</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11/14/2022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9.98%</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5,300,412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5,171,752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5,300,412</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11/14/2022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11.00%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P+550</w:t>
            </w:r>
          </w:p>
        </w:tc>
        <w:tc>
          <w:tcPr>
            <w:tcW w:w="660" w:type="dxa"/>
            <w:vAlign w:val="bottom"/>
          </w:tcPr>
          <w:p>
            <w:pPr>
              <w:jc w:val="right"/>
              <w:spacing w:after="0"/>
              <w:rPr>
                <w:sz w:val="20"/>
                <w:szCs w:val="20"/>
                <w:color w:val="auto"/>
              </w:rPr>
            </w:pPr>
            <w:r>
              <w:rPr>
                <w:rFonts w:ascii="Arial" w:cs="Arial" w:eastAsia="Arial" w:hAnsi="Arial"/>
                <w:sz w:val="12"/>
                <w:szCs w:val="12"/>
                <w:color w:val="auto"/>
              </w:rPr>
              <w:t>1,466,667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1,466,667</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11/14/2022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Good2Grow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11/18/2024</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3"/>
              </w:rPr>
              <w:t>Beverages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6.88%</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L+425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7,425,790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Good2Grow LLC (Revolver)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11/16/2023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3"/>
              </w:rPr>
              <w:t>Beverages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6.88%</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313,700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313,700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310,563</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Good2Grow LLC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11/16/2023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3"/>
              </w:rPr>
              <w:t>Beverages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2,823,300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(28,233)</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5,081,754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5,057,897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5,081,754</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06/03/2024</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4,751,000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06/09/2023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10.80%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10,952,132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10,778,209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10,404,526</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05/01/2019</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8.53%</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5,091,434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5,085,308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5,078,705</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IMIA Holdings,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10/28/2024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(9,843)</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06/27/2023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9.30%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17,460,052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17,380,508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17,372,752</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3,331,134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3,297,162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3,297,823</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11.00%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P+550</w:t>
            </w:r>
          </w:p>
        </w:tc>
        <w:tc>
          <w:tcPr>
            <w:tcW w:w="660" w:type="dxa"/>
            <w:vAlign w:val="bottom"/>
          </w:tcPr>
          <w:p>
            <w:pPr>
              <w:jc w:val="right"/>
              <w:spacing w:after="0"/>
              <w:rPr>
                <w:sz w:val="20"/>
                <w:szCs w:val="20"/>
                <w:color w:val="auto"/>
              </w:rPr>
            </w:pPr>
            <w:r>
              <w:rPr>
                <w:rFonts w:ascii="Arial" w:cs="Arial" w:eastAsia="Arial" w:hAnsi="Arial"/>
                <w:sz w:val="12"/>
                <w:szCs w:val="12"/>
                <w:color w:val="auto"/>
              </w:rPr>
              <w:t>70,796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70,796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70,088</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460,177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(4,602)</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Integrative Nutrition,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09/29/2023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7.55%</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36,000,000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35,655,195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35,640,000</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09/29/2023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(50,000)</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Inventus Power,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9.02%</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rPr>
                <w:sz w:val="20"/>
                <w:szCs w:val="20"/>
                <w:color w:val="auto"/>
              </w:rPr>
            </w:pPr>
            <w:r>
              <w:rPr>
                <w:rFonts w:ascii="Arial" w:cs="Arial" w:eastAsia="Arial" w:hAnsi="Arial"/>
                <w:sz w:val="12"/>
                <w:szCs w:val="12"/>
                <w:color w:val="auto"/>
              </w:rPr>
              <w:t>4,217,523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4,206,067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3,795,771</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K2 Pure Solutions NoCal, L.P.</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12/20/2023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19,701,838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19,700,000</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12/20/2023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1,428,571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12,099,514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11,970,606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12,099,514</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6.76%</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L+425</w:t>
            </w:r>
          </w:p>
        </w:tc>
        <w:tc>
          <w:tcPr>
            <w:tcW w:w="660" w:type="dxa"/>
            <w:vAlign w:val="bottom"/>
          </w:tcPr>
          <w:p>
            <w:pPr>
              <w:jc w:val="right"/>
              <w:spacing w:after="0"/>
              <w:rPr>
                <w:sz w:val="20"/>
                <w:szCs w:val="20"/>
                <w:color w:val="auto"/>
              </w:rPr>
            </w:pPr>
            <w:r>
              <w:rPr>
                <w:rFonts w:ascii="Arial" w:cs="Arial" w:eastAsia="Arial" w:hAnsi="Arial"/>
                <w:sz w:val="12"/>
                <w:szCs w:val="12"/>
                <w:color w:val="auto"/>
              </w:rPr>
              <w:t>129,032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129,032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129,032</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1,080,645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12.30%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L+950</w:t>
            </w:r>
          </w:p>
        </w:tc>
        <w:tc>
          <w:tcPr>
            <w:tcW w:w="660" w:type="dxa"/>
            <w:vAlign w:val="bottom"/>
          </w:tcPr>
          <w:p>
            <w:pPr>
              <w:jc w:val="right"/>
              <w:spacing w:after="0"/>
              <w:rPr>
                <w:sz w:val="20"/>
                <w:szCs w:val="20"/>
                <w:color w:val="auto"/>
              </w:rPr>
            </w:pPr>
            <w:r>
              <w:rPr>
                <w:rFonts w:ascii="Arial" w:cs="Arial" w:eastAsia="Arial" w:hAnsi="Arial"/>
                <w:sz w:val="12"/>
                <w:szCs w:val="12"/>
                <w:color w:val="auto"/>
              </w:rPr>
              <w:t>10,072,500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9,949,417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9,719,963</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LAV Gear Holdings,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10/31/2024</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5,396,825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5,345,403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5,293,608</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LAV Gear Holdings, Inc.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10/31/2024</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3,015,873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(57,680)</w:t>
            </w: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LAV Gear Holdings, Inc. (Revolver)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10/31/2024</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253,968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253,968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249,111</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LAV Gear Holdings, Inc.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10/31/2024</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1,333,333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(25,501)</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11/30/2021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10.80%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4,667,648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4,599,788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3,080,648</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6.00%)</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Lombart Brothers,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9.55%</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9,228,329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9,130,981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9,136,046</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707,965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707,965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700,885</w:t>
            </w:r>
          </w:p>
        </w:tc>
        <w:tc>
          <w:tcPr>
            <w:tcW w:w="100" w:type="dxa"/>
            <w:vAlign w:val="bottom"/>
            <w:shd w:val="clear" w:color="auto" w:fill="CCECFF"/>
          </w:tcPr>
          <w:p>
            <w:pPr>
              <w:spacing w:after="0"/>
              <w:rPr>
                <w:sz w:val="12"/>
                <w:szCs w:val="12"/>
                <w:color w:val="auto"/>
              </w:rPr>
            </w:pPr>
          </w:p>
        </w:tc>
      </w:tr>
      <w:tr>
        <w:trPr>
          <w:trHeight w:val="155"/>
        </w:trPr>
        <w:tc>
          <w:tcPr>
            <w:tcW w:w="310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(5,310)</w:t>
            </w: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2"/>
                <w:szCs w:val="12"/>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09/11/2023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6,037,500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5,980,092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5,930,731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09/11/2023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3,947,368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(69,806)</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9,894,185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9.50%</w:t>
            </w:r>
          </w:p>
        </w:tc>
        <w:tc>
          <w:tcPr>
            <w:tcW w:w="740" w:type="dxa"/>
            <w:vAlign w:val="bottom"/>
          </w:tcPr>
          <w:p>
            <w:pPr>
              <w:jc w:val="right"/>
              <w:spacing w:after="0"/>
              <w:rPr>
                <w:sz w:val="20"/>
                <w:szCs w:val="20"/>
                <w:color w:val="auto"/>
              </w:rPr>
            </w:pPr>
            <w:r>
              <w:rPr>
                <w:rFonts w:ascii="Arial" w:cs="Arial" w:eastAsia="Arial" w:hAnsi="Arial"/>
                <w:sz w:val="12"/>
                <w:szCs w:val="12"/>
                <w:color w:val="auto"/>
              </w:rPr>
              <w:t>3M L+400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675,000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661,500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2,325,000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(46,500)</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05/01/2023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8.38%</w:t>
            </w: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13,956,250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13,846,900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13,258,438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12/08/2023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7,433,333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7,363,747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7,276,453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12/08/2023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1,007,500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(21,263)</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3,334,793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3,307,858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3,318,119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7.53%</w:t>
            </w:r>
          </w:p>
        </w:tc>
        <w:tc>
          <w:tcPr>
            <w:tcW w:w="74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16,430,069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11,572,749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11,969,488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1,703,163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(8,516)</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9.50%</w:t>
            </w:r>
          </w:p>
        </w:tc>
        <w:tc>
          <w:tcPr>
            <w:tcW w:w="74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132,509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132,509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131,550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1,192,580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(8,630)</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10.96%</w:t>
            </w:r>
          </w:p>
        </w:tc>
        <w:tc>
          <w:tcPr>
            <w:tcW w:w="740" w:type="dxa"/>
            <w:vAlign w:val="bottom"/>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26,097,660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26,433,847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24,357,729</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20,370,174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20,025,534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20,166,472</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08/01/2022</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8.53%</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7,057,310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6,988,201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3,458,081</w:t>
            </w: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NextiraOne Federal,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08/27/2024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18,136,364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17,876,236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17,635,614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08/27/2024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8.28%</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4,011,364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4,011,364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3,900,609</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08/27/2024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2,806,818</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(77,497)</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Olde Thompson,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05/14/2024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6.97%</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1,847,857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1,829,379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1,847,857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05/14/2024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Ox Two,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02/27/2023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8.77%</w:t>
            </w:r>
          </w:p>
        </w:tc>
        <w:tc>
          <w:tcPr>
            <w:tcW w:w="74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12,971,172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12,886,555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12,971,172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02/27/2023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12.75%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02/27/2023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Peninsula Pacific Entertainment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11/13/2024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11,250,000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11,193,887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11,137,500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11/13/2024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1,250,000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(12,500)</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06/01/2023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7.60%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14,855,180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14,788,844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Plant Health Intermediate,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10/19/2022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740" w:type="dxa"/>
            <w:vAlign w:val="bottom"/>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2,129,677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2,097,141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2,113,705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Questex,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09/09/2024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7,338,857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7,331,625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09/09/2024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9.02%</w:t>
            </w:r>
          </w:p>
        </w:tc>
        <w:tc>
          <w:tcPr>
            <w:tcW w:w="740" w:type="dxa"/>
            <w:vAlign w:val="bottom"/>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199,468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199,468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195,479</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09/09/2024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997,340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(19,947)</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7.15%</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9,375,000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9,296,186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7,781,250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8.60%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5,217,188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5,124,447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5,086,758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(53,210)</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8.60%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189,189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189,189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184,459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756,757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(18,919)</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Now Group, Inc. and Survey Sampling</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12/20/2024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23,650,118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24,224,063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8.27%</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13,046,365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12,864,796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12,720,206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09/01/2022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8.90%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6,827,259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6,771,647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6,827,259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09/01/2022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3,909,952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09/01/2022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8.90%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09/01/2022</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333,333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Smile Brands Inc.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10/14/2024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7.13%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1,130,193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1,130,193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1,118,891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Smile Brands Inc.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10/14/2024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3,378,557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(33,786)</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Smile Brands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10/14/2024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P+350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269,375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264,472</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Smile Brands Inc.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10/14/2024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1,346,875</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(24,513)</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406,000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(29,333)</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02/22/2019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(1,333)</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7.52%</w:t>
            </w: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7,856,923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7,760,262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7,778,354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22,620,696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22,486,967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21,998,627</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7.95%</w:t>
            </w: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6,446,313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6,406,628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6,349,618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7,683,034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7,623,473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7,644,619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740" w:type="dxa"/>
            <w:vAlign w:val="bottom"/>
          </w:tcPr>
          <w:p>
            <w:pPr>
              <w:jc w:val="right"/>
              <w:spacing w:after="0"/>
              <w:rPr>
                <w:sz w:val="20"/>
                <w:szCs w:val="20"/>
                <w:color w:val="auto"/>
              </w:rPr>
            </w:pPr>
            <w:r>
              <w:rPr>
                <w:rFonts w:ascii="Arial" w:cs="Arial" w:eastAsia="Arial" w:hAnsi="Arial"/>
                <w:sz w:val="12"/>
                <w:szCs w:val="12"/>
                <w:color w:val="auto"/>
              </w:rPr>
              <w:t>2M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5,472,647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5,434,179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5,445,284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453,915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453,915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449,376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964,569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(9,646)</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15.77%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L+1,325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7,892,576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7,819,288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7,616,336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UBEO,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11,177,269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11,070,783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11,065,497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3,086,646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(30,866)</w:t>
            </w: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740" w:type="dxa"/>
            <w:vAlign w:val="bottom"/>
          </w:tcPr>
          <w:p>
            <w:pPr>
              <w:jc w:val="right"/>
              <w:spacing w:after="0"/>
              <w:rPr>
                <w:sz w:val="20"/>
                <w:szCs w:val="20"/>
                <w:color w:val="auto"/>
              </w:rPr>
            </w:pPr>
            <w:r>
              <w:rPr>
                <w:rFonts w:ascii="Arial" w:cs="Arial" w:eastAsia="Arial" w:hAnsi="Arial"/>
                <w:sz w:val="12"/>
                <w:szCs w:val="12"/>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733,333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733,333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719,987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(40,040)</w:t>
            </w: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08/20/2024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8.01%</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10,473,750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10,265,482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10,264,276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5,970,000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5,871,766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5,970,000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11.80%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3,019,531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3,019,531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2,868,555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16,696,749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16,629,095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16,769,788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756,953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3,311</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7.97%</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183,333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183,333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184,135</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696,667</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3,046</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789,260,258</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774,269,800</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1"/>
              </w:rPr>
              <w:t>Above</w:t>
            </w:r>
          </w:p>
        </w:tc>
        <w:tc>
          <w:tcPr>
            <w:tcW w:w="7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3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Debt—4.0%</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right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04/25/2025</w:t>
            </w: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11.28%</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700" w:type="dxa"/>
            <w:vAlign w:val="bottom"/>
          </w:tcPr>
          <w:p>
            <w:pPr>
              <w:jc w:val="right"/>
              <w:spacing w:after="0"/>
              <w:rPr>
                <w:sz w:val="20"/>
                <w:szCs w:val="20"/>
                <w:color w:val="auto"/>
              </w:rPr>
            </w:pPr>
            <w:r>
              <w:rPr>
                <w:rFonts w:ascii="Arial" w:cs="Arial" w:eastAsia="Arial" w:hAnsi="Arial"/>
                <w:sz w:val="12"/>
                <w:szCs w:val="12"/>
                <w:color w:val="auto"/>
              </w:rPr>
              <w:t>2,000,000</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1,964,477</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1,990,000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03/31/2025</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11.05%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11,341,463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11,142,133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11,341,463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10/23/2024</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12.00%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6M L+925</w:t>
            </w:r>
          </w:p>
        </w:tc>
        <w:tc>
          <w:tcPr>
            <w:tcW w:w="700" w:type="dxa"/>
            <w:vAlign w:val="bottom"/>
          </w:tcPr>
          <w:p>
            <w:pPr>
              <w:jc w:val="right"/>
              <w:spacing w:after="0"/>
              <w:rPr>
                <w:sz w:val="20"/>
                <w:szCs w:val="20"/>
                <w:color w:val="auto"/>
              </w:rPr>
            </w:pPr>
            <w:r>
              <w:rPr>
                <w:rFonts w:ascii="Arial" w:cs="Arial" w:eastAsia="Arial" w:hAnsi="Arial"/>
                <w:sz w:val="12"/>
                <w:szCs w:val="12"/>
                <w:color w:val="auto"/>
              </w:rPr>
              <w:t>3,775,000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3,703,769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3,699,500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09/29/2025</w:t>
            </w:r>
          </w:p>
        </w:tc>
        <w:tc>
          <w:tcPr>
            <w:tcW w:w="220" w:type="dxa"/>
            <w:vAlign w:val="bottom"/>
            <w:shd w:val="clear" w:color="auto" w:fill="CCECFF"/>
          </w:tcPr>
          <w:p>
            <w:pPr>
              <w:spacing w:after="0"/>
              <w:rPr>
                <w:sz w:val="12"/>
                <w:szCs w:val="12"/>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11.01%</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2,291,667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2,259,295</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660" w:type="dxa"/>
            <w:vAlign w:val="bottom"/>
            <w:tcBorders>
              <w:bottom w:val="single" w:sz="8" w:color="CCECFF"/>
            </w:tcBorders>
            <w:gridSpan w:val="2"/>
          </w:tcPr>
          <w:p>
            <w:pPr>
              <w:jc w:val="center"/>
              <w:ind w:left="42"/>
              <w:spacing w:after="0"/>
              <w:rPr>
                <w:sz w:val="20"/>
                <w:szCs w:val="20"/>
                <w:color w:val="auto"/>
              </w:rPr>
            </w:pPr>
            <w:r>
              <w:rPr>
                <w:rFonts w:ascii="Arial" w:cs="Arial" w:eastAsia="Arial" w:hAnsi="Arial"/>
                <w:sz w:val="12"/>
                <w:szCs w:val="12"/>
                <w:color w:val="auto"/>
                <w:w w:val="86"/>
              </w:rPr>
              <w:t>04/12/2023</w:t>
            </w:r>
          </w:p>
        </w:tc>
        <w:tc>
          <w:tcPr>
            <w:tcW w:w="220" w:type="dxa"/>
            <w:vAlign w:val="bottom"/>
            <w:tcBorders>
              <w:bottom w:val="single" w:sz="8" w:color="CCECFF"/>
            </w:tcBorders>
          </w:tcPr>
          <w:p>
            <w:pPr>
              <w:spacing w:after="0"/>
              <w:rPr>
                <w:sz w:val="12"/>
                <w:szCs w:val="12"/>
                <w:color w:val="auto"/>
              </w:rPr>
            </w:pP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12.43%</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7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1,666,667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1,639,569</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1,641,667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20,709,243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20,941,380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(6), (7)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21,870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88,000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10,173</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83,521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418,627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20.00%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343,861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343,861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370,171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Super Senior Preferred Equity</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18.00%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448,851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448,851</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598,490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13.50%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1,057,330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2,062,865</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2,562,442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Equity/Warrants—3.9% </w:t>
            </w:r>
            <w:r>
              <w:rPr>
                <w:rFonts w:ascii="Arial" w:cs="Arial" w:eastAsia="Arial" w:hAnsi="Arial"/>
                <w:sz w:val="9"/>
                <w:szCs w:val="9"/>
                <w:b w:val="1"/>
                <w:bCs w:val="1"/>
                <w:color w:val="auto"/>
              </w:rPr>
              <w:t>(6), (7)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99,029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3,514,573</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1,936,142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Software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(8), (11)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Software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CFF"/>
            </w:tcBorders>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21,908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2,190,771</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4,005,419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CFF"/>
            </w:tcBorders>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112,001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1,153,614</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1,312,852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20" w:type="dxa"/>
            <w:vAlign w:val="bottom"/>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47,893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616,564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tcPr>
          <w:p>
            <w:pPr>
              <w:ind w:left="140"/>
              <w:spacing w:after="0"/>
              <w:rPr>
                <w:sz w:val="20"/>
                <w:szCs w:val="20"/>
                <w:color w:val="auto"/>
              </w:rPr>
            </w:pPr>
            <w:r>
              <w:rPr>
                <w:rFonts w:ascii="Arial" w:cs="Arial" w:eastAsia="Arial" w:hAnsi="Arial"/>
                <w:sz w:val="12"/>
                <w:szCs w:val="12"/>
                <w:color w:val="auto"/>
              </w:rPr>
              <w:t>(SFP Holding, Inc.)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2,467,943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Banking, Finance, Insurance &amp; Real Estate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251,156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253,021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313,935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720,053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tcPr>
          <w:p>
            <w:pPr>
              <w:ind w:left="140"/>
              <w:spacing w:after="0"/>
              <w:rPr>
                <w:sz w:val="20"/>
                <w:szCs w:val="20"/>
                <w:color w:val="auto"/>
              </w:rPr>
            </w:pPr>
            <w:r>
              <w:rPr>
                <w:rFonts w:ascii="Arial" w:cs="Arial" w:eastAsia="Arial" w:hAnsi="Arial"/>
                <w:sz w:val="12"/>
                <w:szCs w:val="12"/>
                <w:color w:val="auto"/>
              </w:rPr>
              <w:t>(The Infosoft Group,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1,992,167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Go Dawgs Capital III,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Building Products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324,675</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Consumer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1,248,423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327,829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JWC/UMA Holdings, L.P.</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1,081,804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JWC-WE Holdings,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(Walker Edison Furniture Company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A (US Dominion,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184,299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20" w:type="dxa"/>
            <w:vAlign w:val="bottom"/>
          </w:tcPr>
          <w:p>
            <w:pPr>
              <w:ind w:left="140"/>
              <w:spacing w:after="0"/>
              <w:rPr>
                <w:sz w:val="20"/>
                <w:szCs w:val="20"/>
                <w:color w:val="auto"/>
              </w:rPr>
            </w:pPr>
            <w:r>
              <w:rPr>
                <w:rFonts w:ascii="Arial" w:cs="Arial" w:eastAsia="Arial" w:hAnsi="Arial"/>
                <w:sz w:val="12"/>
                <w:szCs w:val="12"/>
                <w:color w:val="auto"/>
              </w:rPr>
              <w:t>Class B (US Dominion, Inc.)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748,706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748,706</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1,086,579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251,294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CFF"/>
            </w:tcBorders>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288,571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18,576,963</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20,893,932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1"/>
              </w:rPr>
              <w:t>Total Investments in Non-Controlled, Non-Affiliated Portfolio Companies</w:t>
            </w: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830,609,329</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818,667,554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4"/>
          </w:tcPr>
          <w:p>
            <w:pPr>
              <w:spacing w:after="0"/>
              <w:rPr>
                <w:sz w:val="20"/>
                <w:szCs w:val="20"/>
                <w:color w:val="auto"/>
              </w:rPr>
            </w:pPr>
            <w:r>
              <w:rPr>
                <w:rFonts w:ascii="Arial" w:cs="Arial" w:eastAsia="Arial" w:hAnsi="Arial"/>
                <w:sz w:val="12"/>
                <w:szCs w:val="12"/>
                <w:b w:val="1"/>
                <w:bCs w:val="1"/>
                <w:color w:val="auto"/>
                <w:w w:val="93"/>
              </w:rPr>
              <w:t xml:space="preserve">Investments in Controlled, Affiliated Portfolio Companies—30.4% </w:t>
            </w:r>
            <w:r>
              <w:rPr>
                <w:rFonts w:ascii="Arial" w:cs="Arial" w:eastAsia="Arial" w:hAnsi="Arial"/>
                <w:sz w:val="9"/>
                <w:szCs w:val="9"/>
                <w:b w:val="1"/>
                <w:bCs w:val="1"/>
                <w:color w:val="auto"/>
                <w:w w:val="93"/>
              </w:rPr>
              <w:t>(3), (4)</w:t>
            </w: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Debt—21.4%</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60" w:type="dxa"/>
            <w:vAlign w:val="bottom"/>
            <w:tcBorders>
              <w:bottom w:val="single" w:sz="8" w:color="CCECFF"/>
            </w:tcBorders>
            <w:gridSpan w:val="2"/>
          </w:tcPr>
          <w:p>
            <w:pPr>
              <w:jc w:val="center"/>
              <w:ind w:left="42"/>
              <w:spacing w:after="0"/>
              <w:rPr>
                <w:sz w:val="20"/>
                <w:szCs w:val="20"/>
                <w:color w:val="auto"/>
              </w:rPr>
            </w:pPr>
            <w:r>
              <w:rPr>
                <w:rFonts w:ascii="Arial" w:cs="Arial" w:eastAsia="Arial" w:hAnsi="Arial"/>
                <w:sz w:val="12"/>
                <w:szCs w:val="12"/>
                <w:color w:val="auto"/>
                <w:w w:val="86"/>
              </w:rPr>
              <w:t>05/06/2024</w:t>
            </w:r>
          </w:p>
        </w:tc>
        <w:tc>
          <w:tcPr>
            <w:tcW w:w="220" w:type="dxa"/>
            <w:vAlign w:val="bottom"/>
            <w:tcBorders>
              <w:bottom w:val="single" w:sz="8" w:color="CCECFF"/>
            </w:tcBorders>
          </w:tcPr>
          <w:p>
            <w:pPr>
              <w:spacing w:after="0"/>
              <w:rPr>
                <w:sz w:val="12"/>
                <w:szCs w:val="12"/>
                <w:color w:val="auto"/>
              </w:rPr>
            </w:pP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10.80%</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8"/>
              </w:rPr>
              <w:t>113,312,500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113,312,500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113,312,500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Equity Interests—9.0%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48,562,500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47,683,261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161,875,000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160,995,761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Investments—184.9%</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992,484,329</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979,663,315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Equivalents—6.6%</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32,409,149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32,409,149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2,887,750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2,771,247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35,296,899</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35,180,396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Equivalents—191.6%</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1,027,781,228</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1"/>
              </w:rPr>
              <w:t>1,014,843,711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Assets—(91.6)%</w:t>
            </w: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5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(485,056,989)</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5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74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300" w:type="dxa"/>
            <w:vAlign w:val="bottom"/>
            <w:tcBorders>
              <w:right w:val="single" w:sz="8" w:color="auto"/>
            </w:tcBorders>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vMerge w:val="continue"/>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529,786,722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5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both"/>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1868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8805" cy="8890"/>
                    </a:xfrm>
                    <a:prstGeom prst="rect">
                      <a:avLst/>
                    </a:prstGeom>
                    <a:noFill/>
                  </pic:spPr>
                </pic:pic>
              </a:graphicData>
            </a:graphic>
          </wp:anchor>
        </w:drawing>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8"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72" w:hanging="372"/>
        <w:spacing w:after="0" w:line="252" w:lineRule="auto"/>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72" w:hanging="372"/>
        <w:spacing w:after="0" w:line="252" w:lineRule="auto"/>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72" w:right="20" w:hanging="372"/>
        <w:spacing w:after="0" w:line="252" w:lineRule="auto"/>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22% of our total assets and non-qualifying assets represent 78% of our total assets.</w:t>
      </w:r>
    </w:p>
    <w:p>
      <w:pPr>
        <w:spacing w:after="0" w:line="20"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20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1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00" w:type="dxa"/>
            <w:vAlign w:val="bottom"/>
          </w:tcPr>
          <w:p>
            <w:pPr>
              <w:jc w:val="center"/>
              <w:ind w:right="16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Investments in Non-Controlled, Non-Affiliated Portfolio Companies—159.5% </w:t>
            </w:r>
            <w:r>
              <w:rPr>
                <w:rFonts w:ascii="Arial" w:cs="Arial" w:eastAsia="Arial" w:hAnsi="Arial"/>
                <w:sz w:val="9"/>
                <w:szCs w:val="9"/>
                <w:b w:val="1"/>
                <w:bCs w:val="1"/>
                <w:color w:val="auto"/>
                <w:w w:val="91"/>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b w:val="1"/>
                <w:bCs w:val="1"/>
                <w:color w:val="auto"/>
              </w:rPr>
              <w:t>First Lien Secured Debt—151.6%</w:t>
            </w: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Alera Group Intermediate Holdings,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08/01/2025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9,950,063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10,099,688</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Allied America,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08/08/2022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9.39%</w:t>
            </w:r>
          </w:p>
        </w:tc>
        <w:tc>
          <w:tcPr>
            <w:tcW w:w="66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1,688,823</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5,857,878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5,800,066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5,770,010</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American Scaffold</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8.89%</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4,455,413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4,455,000</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12/08/2021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8.84%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10,107,368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9,986,139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9,715,708</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04/22/2024</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4,987,500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4,927,669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4,937,625</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04/22/2024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(9,843)</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Beauty Industry Group Opco,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04/06/2023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7.00%</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33,047,995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32,717,900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32,882,753</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04/28/2023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11,752,654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11,731,500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05/16/2022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9.57%</w:t>
            </w:r>
          </w:p>
        </w:tc>
        <w:tc>
          <w:tcPr>
            <w:tcW w:w="660" w:type="dxa"/>
            <w:vAlign w:val="bottom"/>
          </w:tcPr>
          <w:p>
            <w:pPr>
              <w:jc w:val="right"/>
              <w:spacing w:after="0"/>
              <w:rPr>
                <w:sz w:val="20"/>
                <w:szCs w:val="20"/>
                <w:color w:val="auto"/>
              </w:rPr>
            </w:pPr>
            <w:r>
              <w:rPr>
                <w:rFonts w:ascii="Arial" w:cs="Arial" w:eastAsia="Arial" w:hAnsi="Arial"/>
                <w:sz w:val="12"/>
                <w:szCs w:val="12"/>
                <w:color w:val="auto"/>
              </w:rPr>
              <w:t>3M L+725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15,157,019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15,454,395</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05/16/2022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Cadence Aerospace,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8.82%</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10,917,500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10,824,456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10,937,086</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6.99%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2,418,750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2,406,335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2,322,000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3,874,317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3,881,627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3,874,317</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CD&amp;R TZ Purchaser, Inc.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07/21/2023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16,161,170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15,861,453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15,837,947</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04/10/2025</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6.89%</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6,145,313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6,115,613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6,176,039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04/10/2025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6,696</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08/31/2023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422,599</w:t>
            </w:r>
          </w:p>
        </w:tc>
        <w:tc>
          <w:tcPr>
            <w:tcW w:w="100" w:type="dxa"/>
            <w:vAlign w:val="bottom"/>
          </w:tcPr>
          <w:p>
            <w:pPr>
              <w:spacing w:after="0"/>
              <w:rPr>
                <w:sz w:val="12"/>
                <w:szCs w:val="12"/>
                <w:color w:val="auto"/>
              </w:rPr>
            </w:pPr>
          </w:p>
        </w:tc>
      </w:tr>
      <w:tr>
        <w:trPr>
          <w:trHeight w:val="156"/>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08/31/2023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284,579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(2,846)</w:t>
            </w:r>
          </w:p>
        </w:tc>
      </w:tr>
      <w:tr>
        <w:trPr>
          <w:trHeight w:val="142"/>
        </w:trPr>
        <w:tc>
          <w:tcPr>
            <w:tcW w:w="31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Inc. (Revolver) </w:t>
            </w:r>
            <w:r>
              <w:rPr>
                <w:rFonts w:ascii="Arial" w:cs="Arial" w:eastAsia="Arial" w:hAnsi="Arial"/>
                <w:sz w:val="9"/>
                <w:szCs w:val="9"/>
                <w:color w:val="auto"/>
              </w:rPr>
              <w:t>(7), (8)</w:t>
            </w: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01/08/2019</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8.35%</w:t>
            </w:r>
          </w:p>
        </w:tc>
        <w:tc>
          <w:tcPr>
            <w:tcW w:w="66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4,539,286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4,535,666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3,994,572</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03/31/2023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17,727,205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17,691,760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17,195,389</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Credit Infonet,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03/13/2023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8.52%</w:t>
            </w:r>
          </w:p>
        </w:tc>
        <w:tc>
          <w:tcPr>
            <w:tcW w:w="660" w:type="dxa"/>
            <w:vAlign w:val="bottom"/>
          </w:tcPr>
          <w:p>
            <w:pPr>
              <w:jc w:val="right"/>
              <w:spacing w:after="0"/>
              <w:rPr>
                <w:sz w:val="20"/>
                <w:szCs w:val="20"/>
                <w:color w:val="auto"/>
              </w:rPr>
            </w:pPr>
            <w:r>
              <w:rPr>
                <w:rFonts w:ascii="Arial" w:cs="Arial" w:eastAsia="Arial" w:hAnsi="Arial"/>
                <w:sz w:val="12"/>
                <w:szCs w:val="12"/>
                <w:color w:val="auto"/>
              </w:rPr>
              <w:t>6M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26,713,426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26,527,311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26,713,426</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03/13/2023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DBI Holding,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7.51%</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17,395,068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17,297,351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17,395,068</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10/31/2023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7,214,912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12/29/2023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16,376,250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16,227,058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16,192,017</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03/29/2022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8.14%</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14,486,029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14,260,279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14,341,169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03/29/2022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2,941,176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(29,412)</w:t>
            </w:r>
          </w:p>
        </w:tc>
      </w:tr>
      <w:tr>
        <w:trPr>
          <w:trHeight w:val="149"/>
        </w:trPr>
        <w:tc>
          <w:tcPr>
            <w:tcW w:w="31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6.92%</w:t>
            </w:r>
          </w:p>
        </w:tc>
        <w:tc>
          <w:tcPr>
            <w:tcW w:w="660" w:type="dxa"/>
            <w:vAlign w:val="bottom"/>
          </w:tcPr>
          <w:p>
            <w:pPr>
              <w:jc w:val="right"/>
              <w:spacing w:after="0"/>
              <w:rPr>
                <w:sz w:val="20"/>
                <w:szCs w:val="20"/>
                <w:color w:val="auto"/>
              </w:rPr>
            </w:pPr>
            <w:r>
              <w:rPr>
                <w:rFonts w:ascii="Arial" w:cs="Arial" w:eastAsia="Arial" w:hAnsi="Arial"/>
                <w:sz w:val="12"/>
                <w:szCs w:val="12"/>
                <w:color w:val="auto"/>
              </w:rPr>
              <w:t>2M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10,085,149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10,062,733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10,085,149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09/30/2022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6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19,923,750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19,762,133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20,172,797</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20,742,489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20,646,931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20,742,489</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9.19%</w:t>
            </w:r>
          </w:p>
        </w:tc>
        <w:tc>
          <w:tcPr>
            <w:tcW w:w="660" w:type="dxa"/>
            <w:vAlign w:val="bottom"/>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1,304,348</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869,565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06/15/2022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9,331,620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9,268,771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9,284,961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ENC Holding Corporation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05/30/2025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(1,571)</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2,666,667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6.86%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5,097,491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5,072,239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5,072,003</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6.87%</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1,181,811</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3,563,250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(17,817)</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06/09/2023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6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10,770,250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10,842,611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05/01/2019</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5,445,988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5,434,106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5,432,373</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06/27/2023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8.64%</w:t>
            </w:r>
          </w:p>
        </w:tc>
        <w:tc>
          <w:tcPr>
            <w:tcW w:w="66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12,482,923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12,364,105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12,420,509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06/27/2023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12,491,009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(62,455)</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3,339,631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3,303,281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3,322,933</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176,106</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353,982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(1,770)</w:t>
            </w: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Integrative Nutrition,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09/29/2023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36,000,000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35,640,000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35,640,000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09/29/2023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Intralinks,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11/14/2024</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14,451,316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14,384,410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14,478,484</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Inventus Power,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8.74%</w:t>
            </w:r>
          </w:p>
        </w:tc>
        <w:tc>
          <w:tcPr>
            <w:tcW w:w="660" w:type="dxa"/>
            <w:vAlign w:val="bottom"/>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4,230,023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4,216,353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3,933,921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02/19/2021</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3,865,568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KHC Holdings,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8.39%</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12,109,261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11,972,865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12,109,261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947,581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10,098,000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9,966,385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9,694,080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(5), (9), (10)</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09/12/2022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7.73%</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rPr>
              <w:t>9,925,000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7,688,759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7,181,254</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4,596,389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4,528,529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2,987,653</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6.00%)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Lombart Brothers,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9,251,830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9,147,743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9,205,570</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616,372</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(3,098)</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09/11/2023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6,052,632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5,992,433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5,976,091</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09/11/2023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3,947,368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(49,918)</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08/19/2022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9,914,849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08/19/2022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(60,000)</w:t>
            </w: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05/01/2023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14,046,875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13,932,255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13,537,676</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12/08/2023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8.17%</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6,983,750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6,909,661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6,930,659</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12/08/2023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(7,412)</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01/27/2021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7.64%</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3,343,309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3,313,221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3,343,309</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01/27/2021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C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16,473,429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11,599,021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12,744,421</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Borders>
              <w:bottom w:val="single" w:sz="8" w:color="CCECFF"/>
            </w:tcBorders>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P+275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1,277,372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(2,122)</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01/24/2023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10.59%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26,163,397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26,518,501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23,350,832</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02/10/2023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20,644,462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20,276,981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20,541,240</w:t>
            </w:r>
          </w:p>
        </w:tc>
        <w:tc>
          <w:tcPr>
            <w:tcW w:w="100" w:type="dxa"/>
            <w:vAlign w:val="bottom"/>
            <w:shd w:val="clear" w:color="auto" w:fill="CCECFF"/>
          </w:tcPr>
          <w:p>
            <w:pPr>
              <w:spacing w:after="0"/>
              <w:rPr>
                <w:sz w:val="12"/>
                <w:szCs w:val="12"/>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08/01/2022</w:t>
            </w:r>
          </w:p>
        </w:tc>
        <w:tc>
          <w:tcPr>
            <w:tcW w:w="240" w:type="dxa"/>
            <w:vAlign w:val="bottom"/>
          </w:tcPr>
          <w:p>
            <w:pPr>
              <w:spacing w:after="0"/>
              <w:rPr>
                <w:sz w:val="13"/>
                <w:szCs w:val="13"/>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7,068,161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6,998,756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5,654,528</w:t>
            </w:r>
          </w:p>
        </w:tc>
        <w:tc>
          <w:tcPr>
            <w:tcW w:w="100" w:type="dxa"/>
            <w:vAlign w:val="bottom"/>
          </w:tcPr>
          <w:p>
            <w:pPr>
              <w:spacing w:after="0"/>
              <w:rPr>
                <w:sz w:val="13"/>
                <w:szCs w:val="13"/>
                <w:color w:val="auto"/>
              </w:rPr>
            </w:pPr>
          </w:p>
        </w:tc>
      </w:tr>
      <w:tr>
        <w:trPr>
          <w:trHeight w:val="142"/>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NextiraOne Federal,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8.07%</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18,181,818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17,911,938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17,906,255</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8.07%</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2,607,599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4,170,455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(63,207)</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Olde Thompson,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05/14/2024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6.66%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1,852,500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1,833,975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1,852,500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05/14/2024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Ox Two,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13,034,722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12,946,045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13,034,722</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01/31/2023</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60" w:type="dxa"/>
            <w:vAlign w:val="bottom"/>
          </w:tcPr>
          <w:p>
            <w:pPr>
              <w:jc w:val="right"/>
              <w:spacing w:after="0"/>
              <w:rPr>
                <w:sz w:val="20"/>
                <w:szCs w:val="20"/>
                <w:color w:val="auto"/>
              </w:rPr>
            </w:pPr>
            <w:r>
              <w:rPr>
                <w:rFonts w:ascii="Arial" w:cs="Arial" w:eastAsia="Arial" w:hAnsi="Arial"/>
                <w:sz w:val="12"/>
                <w:szCs w:val="12"/>
                <w:color w:val="auto"/>
              </w:rPr>
              <w:t>10,075,023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9,997,462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10,075,023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01/31/2022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Questex,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8.57%</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7,351,373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8.57%</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195,479</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997,340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(19,947)</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08/23/2021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7.06%</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9,288,885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7,921,875</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Research Horizons,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5,250,000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5,150,977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5,145,000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(42,568)</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407,892</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529,730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(10,595)</w:t>
            </w: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Research Now Group, Inc. and Survey Sampling</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12/20/2024</w:t>
            </w:r>
          </w:p>
        </w:tc>
        <w:tc>
          <w:tcPr>
            <w:tcW w:w="240" w:type="dxa"/>
            <w:vAlign w:val="bottom"/>
          </w:tcPr>
          <w:p>
            <w:pPr>
              <w:spacing w:after="0"/>
              <w:rPr>
                <w:sz w:val="13"/>
                <w:szCs w:val="13"/>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24,812,500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23,676,196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24,882,223</w:t>
            </w:r>
          </w:p>
        </w:tc>
        <w:tc>
          <w:tcPr>
            <w:tcW w:w="100" w:type="dxa"/>
            <w:vAlign w:val="bottom"/>
          </w:tcPr>
          <w:p>
            <w:pPr>
              <w:spacing w:after="0"/>
              <w:rPr>
                <w:sz w:val="13"/>
                <w:szCs w:val="13"/>
                <w:color w:val="auto"/>
              </w:rPr>
            </w:pPr>
          </w:p>
        </w:tc>
      </w:tr>
      <w:tr>
        <w:trPr>
          <w:trHeight w:val="142"/>
        </w:trPr>
        <w:tc>
          <w:tcPr>
            <w:tcW w:w="2960" w:type="dxa"/>
            <w:vAlign w:val="bottom"/>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02/28/2022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7.99%</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18,136,905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17,867,722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18,318,274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5,898,822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07/19/2021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8.10%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418,084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(24,750)</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02/22/2019</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(667)</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Softvision,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05/21/2021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10,201,863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10,146,148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10,201,863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07/25/2023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7.24%</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7,818,453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7,939,800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07/09/2021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22,620,696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22,474,697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22,281,386</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12/02/2021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7.56%</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6,689,308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6,644,404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6,622,415</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7.20%</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60" w:type="dxa"/>
            <w:vAlign w:val="bottom"/>
          </w:tcPr>
          <w:p>
            <w:pPr>
              <w:jc w:val="right"/>
              <w:spacing w:after="0"/>
              <w:rPr>
                <w:sz w:val="20"/>
                <w:szCs w:val="20"/>
                <w:color w:val="auto"/>
              </w:rPr>
            </w:pPr>
            <w:r>
              <w:rPr>
                <w:rFonts w:ascii="Arial" w:cs="Arial" w:eastAsia="Arial" w:hAnsi="Arial"/>
                <w:sz w:val="12"/>
                <w:szCs w:val="12"/>
                <w:color w:val="auto"/>
              </w:rPr>
              <w:t>7,721,739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7,658,431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7,721,739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2M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5,500,217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5,459,582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5,500,217</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255,327</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1,163,157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15.49%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8,470,850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8,383,257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8,216,724</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6.60%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1,976,435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1,995,000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6.88%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1,173,333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08/20/2024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7.89%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8,750,000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8,533,866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8,662,500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08/20/2024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(17,500)</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US Dominion,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5,883,015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08/13/2021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11.39%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2,875,976</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7.75%</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15,398,203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15,324,732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15,475,194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2,094,671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10,473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Veterinary Specialists of North America,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03/01/2023</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6,937,500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6,910,133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6,954,844</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09/26/2024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8.88%</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16,307,500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15,981,904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15,981,350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9"/>
              </w:rPr>
              <w:t>06/30/2022</w:t>
            </w:r>
          </w:p>
        </w:tc>
        <w:tc>
          <w:tcPr>
            <w:tcW w:w="24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8.74%</w:t>
            </w:r>
          </w:p>
        </w:tc>
        <w:tc>
          <w:tcPr>
            <w:tcW w:w="11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11,724,183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11,675,472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11,724,182</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817,243,688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812,235,476</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Second Lien Secured Debt—4.0%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04/25/2025</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11.09%</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1,963,478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03/31/2025</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10.64%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11,341,463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11,136,261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11,341,463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10/23/2024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3,702,622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3,699,500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09/29/2025</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2,464,229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2,543,750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04/12/2023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12.34%</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1,666,667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1,638,368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1,650,000</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20,904,958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21,234,713</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Equity—0.6% </w:t>
            </w:r>
            <w:r>
              <w:rPr>
                <w:rFonts w:ascii="Arial" w:cs="Arial" w:eastAsia="Arial" w:hAnsi="Arial"/>
                <w:sz w:val="9"/>
                <w:szCs w:val="9"/>
                <w:b w:val="1"/>
                <w:bCs w:val="1"/>
                <w:color w:val="auto"/>
              </w:rPr>
              <w:t>(6), (7)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1,458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21,870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22,614</w:t>
            </w:r>
          </w:p>
        </w:tc>
        <w:tc>
          <w:tcPr>
            <w:tcW w:w="100" w:type="dxa"/>
            <w:vAlign w:val="bottom"/>
          </w:tcPr>
          <w:p>
            <w:pPr>
              <w:spacing w:after="0"/>
              <w:rPr>
                <w:sz w:val="13"/>
                <w:szCs w:val="13"/>
                <w:color w:val="auto"/>
              </w:rPr>
            </w:pPr>
          </w:p>
        </w:tc>
      </w:tr>
      <w:tr>
        <w:trPr>
          <w:trHeight w:val="141"/>
        </w:trPr>
        <w:tc>
          <w:tcPr>
            <w:tcW w:w="296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100" w:type="dxa"/>
            <w:vAlign w:val="bottom"/>
            <w:shd w:val="clear" w:color="auto" w:fill="CCECFF"/>
          </w:tcPr>
          <w:p>
            <w:pPr>
              <w:spacing w:after="0"/>
              <w:rPr>
                <w:sz w:val="12"/>
                <w:szCs w:val="12"/>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77,827</w:t>
            </w:r>
          </w:p>
        </w:tc>
        <w:tc>
          <w:tcPr>
            <w:tcW w:w="10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453,077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343,861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343,861</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351,752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40" w:type="dxa"/>
            <w:vAlign w:val="bottom"/>
          </w:tcPr>
          <w:p>
            <w:pPr>
              <w:ind w:left="140"/>
              <w:spacing w:after="0"/>
              <w:rPr>
                <w:sz w:val="20"/>
                <w:szCs w:val="20"/>
                <w:color w:val="auto"/>
              </w:rPr>
            </w:pPr>
            <w:r>
              <w:rPr>
                <w:rFonts w:ascii="Arial" w:cs="Arial" w:eastAsia="Arial" w:hAnsi="Arial"/>
                <w:sz w:val="12"/>
                <w:szCs w:val="12"/>
                <w:color w:val="auto"/>
              </w:rPr>
              <w:t>Super Senior Preferred Equity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570,762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1,726,920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2,062,865</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3,213,125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Equity/Warrants—3.3% </w:t>
            </w:r>
            <w:r>
              <w:rPr>
                <w:rFonts w:ascii="Arial" w:cs="Arial" w:eastAsia="Arial" w:hAnsi="Arial"/>
                <w:sz w:val="9"/>
                <w:szCs w:val="9"/>
                <w:b w:val="1"/>
                <w:bCs w:val="1"/>
                <w:color w:val="auto"/>
              </w:rPr>
              <w:t>(6), (7)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3,514,571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2,089,710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4,298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1,186,649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4,426,169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5,592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47,893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596,660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1,632,744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305,907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738,439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140"/>
              <w:spacing w:after="0"/>
              <w:rPr>
                <w:sz w:val="20"/>
                <w:szCs w:val="20"/>
                <w:color w:val="auto"/>
              </w:rPr>
            </w:pPr>
            <w:r>
              <w:rPr>
                <w:rFonts w:ascii="Arial" w:cs="Arial" w:eastAsia="Arial" w:hAnsi="Arial"/>
                <w:sz w:val="12"/>
                <w:szCs w:val="12"/>
                <w:color w:val="auto"/>
              </w:rPr>
              <w:t>(The Infosoft Group,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1,132,039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(83,773)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Consumer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JWC/UMA Holdings, L.P.</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JWC-WE Holdings,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(Walker Edison Furniture Company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A (US Dominion,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940" w:type="dxa"/>
            <w:vAlign w:val="bottom"/>
          </w:tcPr>
          <w:p>
            <w:pPr>
              <w:ind w:left="140"/>
              <w:spacing w:after="0"/>
              <w:rPr>
                <w:sz w:val="20"/>
                <w:szCs w:val="20"/>
                <w:color w:val="auto"/>
              </w:rPr>
            </w:pPr>
            <w:r>
              <w:rPr>
                <w:rFonts w:ascii="Arial" w:cs="Arial" w:eastAsia="Arial" w:hAnsi="Arial"/>
                <w:sz w:val="12"/>
                <w:szCs w:val="12"/>
                <w:color w:val="auto"/>
              </w:rPr>
              <w:t>Class B (US Dominion, Inc.)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1,024,002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257,308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524,411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268,571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16,681,506</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18,069,750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856,893,017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854,753,064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
          </w:tcPr>
          <w:p>
            <w:pPr>
              <w:spacing w:after="0"/>
              <w:rPr>
                <w:sz w:val="20"/>
                <w:szCs w:val="20"/>
                <w:color w:val="auto"/>
              </w:rPr>
            </w:pPr>
            <w:r>
              <w:rPr>
                <w:rFonts w:ascii="Arial" w:cs="Arial" w:eastAsia="Arial" w:hAnsi="Arial"/>
                <w:sz w:val="12"/>
                <w:szCs w:val="12"/>
                <w:b w:val="1"/>
                <w:bCs w:val="1"/>
                <w:color w:val="auto"/>
                <w:w w:val="94"/>
              </w:rPr>
              <w:t xml:space="preserve">Investments in Controlled, Affiliated Portfolio Companies—27.2% </w:t>
            </w:r>
            <w:r>
              <w:rPr>
                <w:rFonts w:ascii="Arial" w:cs="Arial" w:eastAsia="Arial" w:hAnsi="Arial"/>
                <w:sz w:val="9"/>
                <w:szCs w:val="9"/>
                <w:b w:val="1"/>
                <w:bCs w:val="1"/>
                <w:color w:val="auto"/>
                <w:w w:val="94"/>
              </w:rPr>
              <w:t>(3), (4)</w:t>
            </w: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Debt—18.9%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6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05/06/2024</w:t>
            </w:r>
          </w:p>
        </w:tc>
        <w:tc>
          <w:tcPr>
            <w:tcW w:w="220" w:type="dxa"/>
            <w:vAlign w:val="bottom"/>
            <w:tcBorders>
              <w:bottom w:val="single" w:sz="8" w:color="CCECFF"/>
            </w:tcBorders>
          </w:tcPr>
          <w:p>
            <w:pPr>
              <w:spacing w:after="0"/>
              <w:rPr>
                <w:sz w:val="12"/>
                <w:szCs w:val="12"/>
                <w:color w:val="auto"/>
              </w:rPr>
            </w:pPr>
          </w:p>
        </w:tc>
        <w:tc>
          <w:tcPr>
            <w:tcW w:w="272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10.39%</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101,062,500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Equity Interests—8.3%</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43,312,500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44,797,729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144,375,000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145,860,229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Investments—186.7%</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1,001,268,017</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1,000,613,293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Equivalents—13.5%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69,502,018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69,502,018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2,729,783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2,722,165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72,231,801</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72,224,183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Equivalents—200.2%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1,073,499,818</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1"/>
              </w:rPr>
              <w:t>1,072,837,476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Assets—(100.2)%</w:t>
            </w: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6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(536,995,908)</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7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300" w:type="dxa"/>
            <w:vAlign w:val="bottom"/>
            <w:tcBorders>
              <w:right w:val="single" w:sz="8" w:color="auto"/>
            </w:tcBorders>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vMerge w:val="continue"/>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535,841,568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6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40" w:hanging="372"/>
        <w:spacing w:after="0" w:line="27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as of December 31, 2018 at LIBOR plus 200 basis points during the revolving period. The Credit Facility is secured by all of the assets held by Funding I. See Note 10.</w:t>
      </w:r>
    </w:p>
    <w:p>
      <w:pPr>
        <w:spacing w:after="0" w:line="10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40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the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28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900" w:right="60" w:hanging="447"/>
        <w:spacing w:after="0" w:line="264" w:lineRule="auto"/>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00" w:hanging="447"/>
        <w:spacing w:after="0" w:line="238"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6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0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00" w:firstLine="434"/>
        <w:spacing w:after="0" w:line="248"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three months ended December 31, 2018 and 2017, we recorded a provision for taxes of zero million and $0.2 million, respectively, pertaining to U.S. federal excise tax.</w:t>
      </w:r>
    </w:p>
    <w:p>
      <w:pPr>
        <w:spacing w:after="0" w:line="113"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among capital accounts in the Consolidated Financial Statements to reflect their tax character. Temporary differences arise when certain items of income, expense, gain or loss are recognized at some time in the future.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including the Taxable Subsidiary, in our Consolidated Financial Statements. We do not consolidate our non-controlling interest in PSSL.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In August 2018, the FASB issued Accounting Standards Update, or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07"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 xml:space="preserve">In August 2018, the SEC issued the Final Rule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shares were outstanding. For the three months ended December 31, 2018 and 2017, the Investment Adviser earned a base management fee of $2.5 million and $1.8 million, respectively, from us.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60"/>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w:t>
      </w:r>
    </w:p>
    <w:p>
      <w:pPr>
        <w:spacing w:after="0" w:line="3" w:lineRule="exact"/>
        <w:rPr>
          <w:sz w:val="20"/>
          <w:szCs w:val="20"/>
          <w:color w:val="auto"/>
        </w:rPr>
      </w:pPr>
    </w:p>
    <w:p>
      <w:pPr>
        <w:ind w:right="160"/>
        <w:spacing w:after="0" w:line="221" w:lineRule="auto"/>
        <w:rPr>
          <w:sz w:val="20"/>
          <w:szCs w:val="20"/>
          <w:color w:val="auto"/>
        </w:rPr>
      </w:pPr>
      <w:r>
        <w:rPr>
          <w:rFonts w:ascii="Arial" w:cs="Arial" w:eastAsia="Arial" w:hAnsi="Arial"/>
          <w:sz w:val="14"/>
          <w:szCs w:val="14"/>
          <w:color w:val="auto"/>
        </w:rPr>
        <w:t>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2018 and 2017, the Investment Adviser earned $0.2 million and zero, respectively, in incentive fees on net investment income from us.</w:t>
      </w:r>
    </w:p>
    <w:p>
      <w:pPr>
        <w:spacing w:after="0" w:line="11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2018 and 2017, the Investment Adviser reversed a prior accrual of incentive fee on capital gains of zero and $(0.1) million, respectively, as calculated under the Investment Management Agreement (as described above).</w:t>
      </w:r>
    </w:p>
    <w:p>
      <w:pPr>
        <w:spacing w:after="0" w:line="116"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but not payable for under GAAP on our unrealized and realized capital gains for the three months ended December 31, 2018 and 2017 was $(1.4) million and $0.2 million, respectively.</w:t>
      </w:r>
    </w:p>
    <w:p>
      <w:pPr>
        <w:spacing w:after="0" w:line="11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2019.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2018 and 2017, we reimbursed the Investment Adviser approximately $0.3 million and $0.3 million, respectively, including expenses the Investment Adviser incurred on behalf of the Administrator, for services described above.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months ended December 31, 2018 and 2017.</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For the three months ended December 31, 2018 and 2017, we sold $38.0 million and $27.3 million in investments, respectively, to PSSL at fair value and recognized $0.2 million and less than $0.1 million of net realized gains for the same periods,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2018 and 2017 totaled $180.8 million and $177.0 million, respectively. Sales and repayments of investments for the same periods totaled $190.3 million and $149.1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789,260,258</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774,269,800</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817,243,688</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812,235,476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113,312,500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113,312,500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20,709,243</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20,941,380</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20,904,958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21,234,713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20,639,828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23,456,374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18,744,371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21,282,875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48,562,500</w:t>
            </w:r>
          </w:p>
        </w:tc>
        <w:tc>
          <w:tcPr>
            <w:tcW w:w="2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47,683,261</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43,312,500</w:t>
            </w:r>
          </w:p>
        </w:tc>
        <w:tc>
          <w:tcPr>
            <w:tcW w:w="26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992,484,329</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979,663,315</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1,001,268,017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35,296,899</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35,180,396</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72,231,801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1,027,781,228</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1,014,843,711</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1,073,499,818</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3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120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12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12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2018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Hotel, Gaming and Leisure</w:t>
            </w: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8%</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Aerospace and Defense</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Business Services</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Non-Durable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High Tech Industries</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Media: Diversified and Production</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Wholesale</w:t>
            </w: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&amp; Real Estate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5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Goods: Durable</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Borders>
              <w:bottom w:val="single" w:sz="8" w:color="CCECFF"/>
            </w:tcBorders>
            <w:gridSpan w:val="4"/>
          </w:tcPr>
          <w:p>
            <w:pPr>
              <w:spacing w:after="0"/>
              <w:rPr>
                <w:sz w:val="20"/>
                <w:szCs w:val="20"/>
                <w:color w:val="auto"/>
              </w:rPr>
            </w:pPr>
            <w:r>
              <w:rPr>
                <w:rFonts w:ascii="Arial" w:cs="Arial" w:eastAsia="Arial" w:hAnsi="Arial"/>
                <w:sz w:val="14"/>
                <w:szCs w:val="14"/>
                <w:color w:val="auto"/>
              </w:rPr>
              <w:t>All Other</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shd w:val="clear" w:color="auto" w:fill="CCECFF"/>
          </w:tcPr>
          <w:p>
            <w:pPr>
              <w:spacing w:after="0"/>
              <w:rPr>
                <w:sz w:val="13"/>
                <w:szCs w:val="13"/>
                <w:color w:val="auto"/>
              </w:rPr>
            </w:pPr>
          </w:p>
        </w:tc>
        <w:tc>
          <w:tcPr>
            <w:tcW w:w="2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Borders>
              <w:top w:val="single" w:sz="8" w:color="CCECFF"/>
            </w:tcBorders>
          </w:tcPr>
          <w:p>
            <w:pPr>
              <w:spacing w:after="0" w:line="20" w:lineRule="exact"/>
              <w:rPr>
                <w:sz w:val="1"/>
                <w:szCs w:val="1"/>
                <w:color w:val="auto"/>
              </w:rPr>
            </w:pPr>
          </w:p>
        </w:tc>
        <w:tc>
          <w:tcPr>
            <w:tcW w:w="2580" w:type="dxa"/>
            <w:vAlign w:val="bottom"/>
            <w:tcBorders>
              <w:top w:val="single" w:sz="8" w:color="CCECFF"/>
            </w:tcBorders>
          </w:tcPr>
          <w:p>
            <w:pPr>
              <w:spacing w:after="0" w:line="20" w:lineRule="exact"/>
              <w:rPr>
                <w:sz w:val="1"/>
                <w:szCs w:val="1"/>
                <w:color w:val="auto"/>
              </w:rPr>
            </w:pPr>
          </w:p>
        </w:tc>
        <w:tc>
          <w:tcPr>
            <w:tcW w:w="282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C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3020" w:type="dxa"/>
            <w:vAlign w:val="bottom"/>
            <w:gridSpan w:val="2"/>
            <w:vMerge w:val="restart"/>
          </w:tcPr>
          <w:p>
            <w:pPr>
              <w:spacing w:after="0"/>
              <w:rPr>
                <w:sz w:val="12"/>
                <w:szCs w:val="12"/>
                <w:color w:val="auto"/>
              </w:rPr>
            </w:pPr>
          </w:p>
        </w:tc>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30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2018, PSSL had total assets of $513.7 million. As of the same date, we and Kemper had remaining commitments to fund first lien secured debt and equity interests in PSSL in an aggregate amount of $25.0 million. PSSL invests in portfolio companies in the same industries in which we may directly invest.</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December 31, 2018, we and Kemper owned 87.5% and 12.5%, respectively, of each of the outstanding first lien secured debt and equity interests. As of the same date, our investment in PSSL consisted of first lien secured debt of $113.3 million and equity interests of $48.6 million. As of the same date, we had commitments to fund first lien secured debt to PSSL of $128.6 million, of which $15.3 million was unfunded. As of December 31, 2018, we had commitments to fund equity interests in PSSL of $55.1 million, of which $6.6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December 31, 2018 allowed PSSL Subsidiary to borrow up to $420.0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December 31,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493,498,304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22,238,204</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78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101,748,191</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580" w:type="dxa"/>
            <w:vAlign w:val="bottom"/>
            <w:tcBorders>
              <w:bottom w:val="single" w:sz="8" w:color="9A9A9A"/>
            </w:tcBorders>
          </w:tcPr>
          <w:p>
            <w:pPr>
              <w:spacing w:after="0"/>
              <w:rPr>
                <w:sz w:val="21"/>
                <w:szCs w:val="21"/>
                <w:color w:val="auto"/>
              </w:rPr>
            </w:pPr>
          </w:p>
        </w:tc>
        <w:tc>
          <w:tcPr>
            <w:tcW w:w="26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6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6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December 31,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jc w:val="center"/>
              <w:ind w:right="102"/>
              <w:spacing w:after="0"/>
              <w:rPr>
                <w:sz w:val="20"/>
                <w:szCs w:val="20"/>
                <w:color w:val="auto"/>
              </w:rPr>
            </w:pPr>
            <w:r>
              <w:rPr>
                <w:rFonts w:ascii="Arial" w:cs="Arial" w:eastAsia="Arial" w:hAnsi="Arial"/>
                <w:sz w:val="12"/>
                <w:szCs w:val="12"/>
                <w:b w:val="1"/>
                <w:bCs w:val="1"/>
                <w:color w:val="auto"/>
                <w:w w:val="98"/>
              </w:rPr>
              <w:t>Maturity</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Companies—905.5%</w:t>
            </w: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b w:val="1"/>
                <w:bCs w:val="1"/>
                <w:color w:val="auto"/>
              </w:rPr>
              <w:t>First Lien Secured Debt—905.5%</w:t>
            </w:r>
          </w:p>
        </w:tc>
        <w:tc>
          <w:tcPr>
            <w:tcW w:w="1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11/30/2021</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Transportation: Consumer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4,937,028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4,901,256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4,862,972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API Technologies Corp.</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04/22/2024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8.27%</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19,618,504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19,552,250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05/16/2022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10,685,318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10,477,301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10,685,318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Cadence Aerospace,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11/14/2023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9.02%</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11,824,583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11,719,714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11,739,860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11/29/2023</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7,405,542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7,363,839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7,294,458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Challenger Performance Optimization,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08/31/2023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10,387,126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10,287,442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10,231,319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03/31/2023</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4,348,465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4,348,465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3,696,195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Credit Infonet,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03/13/2023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14,634,146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14,634,146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14,634,146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 (15.00% PIK)</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02/03/2020</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402,237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402,237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402,237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DBI Holding,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08/02/2021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7.76%</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12,406,250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12,311,780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12,282,187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19,899,497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19,899,498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19,899,497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Digital Room Holdings,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12/29/2023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7.53%</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16,539,192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16,384,932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16,456,496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12,406,250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12,218,867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12,313,203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Douglas Sewer Intermediate,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8.56%</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8,228,307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8,166,880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8,166,594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05/31/2024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4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7,355,762</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6,828,819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GCOM Software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11/14/2022</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9.98%</w:t>
            </w:r>
          </w:p>
        </w:tc>
        <w:tc>
          <w:tcPr>
            <w:tcW w:w="660" w:type="dxa"/>
            <w:vAlign w:val="bottom"/>
          </w:tcPr>
          <w:p>
            <w:pPr>
              <w:jc w:val="right"/>
              <w:spacing w:after="0"/>
              <w:rPr>
                <w:sz w:val="20"/>
                <w:szCs w:val="20"/>
                <w:color w:val="auto"/>
              </w:rPr>
            </w:pPr>
            <w:r>
              <w:rPr>
                <w:rFonts w:ascii="Arial" w:cs="Arial" w:eastAsia="Arial" w:hAnsi="Arial"/>
                <w:sz w:val="12"/>
                <w:szCs w:val="12"/>
                <w:color w:val="auto"/>
              </w:rPr>
              <w:t>1M L+750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17,845,267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17,696,789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17,845,267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Good2Grow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11/18/2024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3"/>
              </w:rPr>
              <w:t>Beverages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6.88%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12,376,317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Good Source Solutions,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06/29/2023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8.80%</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14,743,125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14,604,136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14,211,145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GSM Holdings,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06/03/2024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17,318,136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17,167,090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17,318,136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IMIA Holdings,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10/28/2024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7.30%</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12,438,299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06/27/2023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9,839,206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12/12/2023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6.32%</w:t>
            </w:r>
          </w:p>
        </w:tc>
        <w:tc>
          <w:tcPr>
            <w:tcW w:w="660" w:type="dxa"/>
            <w:vAlign w:val="bottom"/>
          </w:tcPr>
          <w:p>
            <w:pPr>
              <w:jc w:val="right"/>
              <w:spacing w:after="0"/>
              <w:rPr>
                <w:sz w:val="20"/>
                <w:szCs w:val="20"/>
                <w:color w:val="auto"/>
              </w:rPr>
            </w:pPr>
            <w:r>
              <w:rPr>
                <w:rFonts w:ascii="Arial" w:cs="Arial" w:eastAsia="Arial" w:hAnsi="Arial"/>
                <w:sz w:val="12"/>
                <w:szCs w:val="12"/>
                <w:color w:val="auto"/>
              </w:rPr>
              <w:t>1M L+425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10,949,943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10,452,106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LAV Gear Holdings,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9,901,831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9,808,745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(3), (4)</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09/12/2022</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10,595,172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10,384,733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08/19/2022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17,955,000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17,796,181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17,865,225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05/01/2023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8.38%</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7,218,750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7,269,670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6,857,813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12/08/2023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6,930,000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6,839,059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6,783,742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01/27/2021</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7.53%</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5,805,254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4,479,619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4,229,192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09/28/2022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6,037,775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5,998,782</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5,994,081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Morphe,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02/10/2023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8.80%</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17,129,826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17,011,267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16,958,528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06/06/2024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14,787,621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14,738,438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Olde Thompson,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05/14/2024</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6.97%</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13,930,000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13,790,700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13,930,000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03/27/2024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7,943,419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7,974,366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7,685,258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Pestell Minerals and Ingredients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06/01/2023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7.68%</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9,900,678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9,859,229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PH Beauty Holdings III,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09/29/2025</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10,972,500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10,864,573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10,533,600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Plant Health Intermediate,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1,771,693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1,744,623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1,758,407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Smile Brands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10/14/2024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11,375,000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11,263,781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11,261,250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Snak Club,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07/19/2021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4,624,995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4,624,995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3,931,246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12/01/2022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15,341,053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15,344,147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15,264,348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12/02/2021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7.79%</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10,134,044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10,083,386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9,982,033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04/03/2024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22,417,187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22,208,627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22,193,015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08/30/2024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7.52%</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8,478,750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8,335,698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8,478,750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07/15/2024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3,980,000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3,914,773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09/26/2024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8.87%</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16,307,500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15,992,767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15,981,350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10/18/2022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4,918,750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4,839,795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020" w:type="dxa"/>
            <w:vAlign w:val="bottom"/>
            <w:tcBorders>
              <w:bottom w:val="single" w:sz="8" w:color="CCECFF"/>
            </w:tcBorders>
          </w:tcPr>
          <w:p>
            <w:pPr>
              <w:jc w:val="center"/>
              <w:ind w:right="102"/>
              <w:spacing w:after="0"/>
              <w:rPr>
                <w:sz w:val="20"/>
                <w:szCs w:val="20"/>
                <w:color w:val="auto"/>
              </w:rPr>
            </w:pPr>
            <w:r>
              <w:rPr>
                <w:rFonts w:ascii="Arial" w:cs="Arial" w:eastAsia="Arial" w:hAnsi="Arial"/>
                <w:sz w:val="12"/>
                <w:szCs w:val="12"/>
                <w:color w:val="auto"/>
                <w:w w:val="89"/>
              </w:rPr>
              <w:t>02/12/2024</w:t>
            </w:r>
          </w:p>
        </w:tc>
        <w:tc>
          <w:tcPr>
            <w:tcW w:w="260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8.28%</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6,732,771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6,705,425</w:t>
            </w: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6,598,116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497,429,939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493,498,304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497,429,939</w:t>
            </w: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493,498,304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Equivalents—13.6%</w:t>
            </w: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5,762,918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5,762,918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1,643,778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1,628,015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7,406,696</w:t>
            </w: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7,390,933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Equivalents—919.1%</w:t>
            </w:r>
          </w:p>
        </w:tc>
        <w:tc>
          <w:tcPr>
            <w:tcW w:w="102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504,836,635</w:t>
            </w: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500,889,237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Assets—(819.1)%</w:t>
            </w:r>
          </w:p>
        </w:tc>
        <w:tc>
          <w:tcPr>
            <w:tcW w:w="1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(446,394,081)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20" w:type="dxa"/>
            <w:vAlign w:val="bottom"/>
            <w:tcBorders>
              <w:top w:val="single" w:sz="8" w:color="CCECFF"/>
              <w:bottom w:val="single" w:sz="8" w:color="CCECFF"/>
            </w:tcBorders>
            <w:shd w:val="clear" w:color="auto" w:fill="CCECFF"/>
          </w:tcPr>
          <w:p>
            <w:pPr>
              <w:spacing w:after="0"/>
              <w:rPr>
                <w:sz w:val="12"/>
                <w:szCs w:val="12"/>
                <w:color w:val="auto"/>
              </w:rPr>
            </w:pPr>
          </w:p>
        </w:tc>
        <w:tc>
          <w:tcPr>
            <w:tcW w:w="24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8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66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54,495,156</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68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left="22"/>
              <w:spacing w:after="0"/>
              <w:rPr>
                <w:sz w:val="20"/>
                <w:szCs w:val="20"/>
                <w:color w:val="auto"/>
              </w:rPr>
            </w:pPr>
            <w:r>
              <w:rPr>
                <w:rFonts w:ascii="Arial" w:cs="Arial" w:eastAsia="Arial" w:hAnsi="Arial"/>
                <w:sz w:val="12"/>
                <w:szCs w:val="12"/>
                <w:b w:val="1"/>
                <w:bCs w:val="1"/>
                <w:color w:val="auto"/>
                <w:w w:val="98"/>
              </w:rPr>
              <w:t>Maturity</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04/04/2022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11/30/2021</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Transportation: Consumer</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4,910,720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4,875,378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08/01/2024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04/22/2024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04/06/2023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05/16/2022</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800" w:type="dxa"/>
            <w:vAlign w:val="bottom"/>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11/14/2023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11/29/2023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800" w:type="dxa"/>
            <w:vAlign w:val="bottom"/>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7,381,442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7,424,433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08/31/2023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03/31/2023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80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4,348,465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4,218,011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08/02/2021</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10/31/2023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800" w:type="dxa"/>
            <w:vAlign w:val="bottom"/>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1"/>
              </w:rPr>
              <w:t>Media: Advertising, Printing and Publishing</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03/29/2022</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800" w:type="dxa"/>
            <w:vAlign w:val="bottom"/>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09/30/2022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05/30/2025</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Transportation: Cargo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3M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05/31/2024</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Banking, Finance, Insurance and Real Estate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11/14/2022</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800" w:type="dxa"/>
            <w:vAlign w:val="bottom"/>
          </w:tcPr>
          <w:p>
            <w:pPr>
              <w:jc w:val="right"/>
              <w:spacing w:after="0"/>
              <w:rPr>
                <w:sz w:val="20"/>
                <w:szCs w:val="20"/>
                <w:color w:val="auto"/>
              </w:rPr>
            </w:pPr>
            <w:r>
              <w:rPr>
                <w:rFonts w:ascii="Arial" w:cs="Arial" w:eastAsia="Arial" w:hAnsi="Arial"/>
                <w:sz w:val="12"/>
                <w:szCs w:val="12"/>
                <w:color w:val="auto"/>
              </w:rPr>
              <w:t>3M L+750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06/03/2024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800" w:type="dxa"/>
            <w:vAlign w:val="bottom"/>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06/27/2023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Wholesale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12/12/2023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Wholesale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08/19/2022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05/01/2023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7,319,871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7,002,246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12/08/2023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01/27/2021</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Media: Diversified and Production</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80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4,486,587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4,502,752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12/27/2023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09/30/2024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7,359,161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7,482,024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09/28/2022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02/10/2023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80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06/06/2024</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05/14/2024</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03/27/2024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07/19/2021</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4,687,495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4,054,683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12/01/2022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12/02/2021</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04/03/2024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08/30/2024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800" w:type="dxa"/>
            <w:vAlign w:val="bottom"/>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8,352,305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8,351,250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07/15/2024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03/01/2023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4,678,730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4,636,563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10/18/2022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ind w:left="22"/>
              <w:spacing w:after="0"/>
              <w:rPr>
                <w:sz w:val="20"/>
                <w:szCs w:val="20"/>
                <w:color w:val="auto"/>
              </w:rPr>
            </w:pPr>
            <w:r>
              <w:rPr>
                <w:rFonts w:ascii="Arial" w:cs="Arial" w:eastAsia="Arial" w:hAnsi="Arial"/>
                <w:sz w:val="12"/>
                <w:szCs w:val="12"/>
                <w:color w:val="auto"/>
                <w:w w:val="89"/>
              </w:rPr>
              <w:t>02/12/2024</w:t>
            </w:r>
          </w:p>
        </w:tc>
        <w:tc>
          <w:tcPr>
            <w:tcW w:w="2600" w:type="dxa"/>
            <w:vAlign w:val="bottom"/>
            <w:tcBorders>
              <w:bottom w:val="single" w:sz="8" w:color="CCECFF"/>
            </w:tcBorders>
            <w:gridSpan w:val="2"/>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2"/>
              </w:rPr>
              <w:t>425,420,881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425,420,881</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438,941,641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Borders>
              <w:top w:val="single" w:sz="8" w:color="CCECFF"/>
            </w:tcBorders>
          </w:tcPr>
          <w:p>
            <w:pPr>
              <w:spacing w:after="0" w:line="20" w:lineRule="exact"/>
              <w:rPr>
                <w:sz w:val="1"/>
                <w:szCs w:val="1"/>
                <w:color w:val="auto"/>
              </w:rPr>
            </w:pPr>
          </w:p>
        </w:tc>
        <w:tc>
          <w:tcPr>
            <w:tcW w:w="24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0"/>
              </w:rPr>
              <w:t>(387,744,237)</w:t>
            </w:r>
          </w:p>
        </w:tc>
        <w:tc>
          <w:tcPr>
            <w:tcW w:w="0" w:type="dxa"/>
            <w:vAlign w:val="bottom"/>
          </w:tcPr>
          <w:p>
            <w:pPr>
              <w:spacing w:after="0"/>
              <w:rPr>
                <w:sz w:val="1"/>
                <w:szCs w:val="1"/>
                <w:color w:val="auto"/>
              </w:rPr>
            </w:pPr>
          </w:p>
        </w:tc>
      </w:tr>
      <w:tr>
        <w:trPr>
          <w:trHeight w:val="142"/>
        </w:trPr>
        <w:tc>
          <w:tcPr>
            <w:tcW w:w="28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top w:val="single" w:sz="8" w:color="CCECFF"/>
              <w:bottom w:val="single" w:sz="8" w:color="CCECFF"/>
            </w:tcBorders>
            <w:shd w:val="clear" w:color="auto" w:fill="CCECFF"/>
          </w:tcPr>
          <w:p>
            <w:pPr>
              <w:spacing w:after="0"/>
              <w:rPr>
                <w:sz w:val="12"/>
                <w:szCs w:val="12"/>
                <w:color w:val="auto"/>
              </w:rPr>
            </w:pPr>
          </w:p>
        </w:tc>
        <w:tc>
          <w:tcPr>
            <w:tcW w:w="24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4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68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04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35"/>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80" w:type="dxa"/>
            <w:vAlign w:val="bottom"/>
          </w:tcPr>
          <w:p>
            <w:pPr>
              <w:jc w:val="center"/>
              <w:ind w:left="84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280" w:type="dxa"/>
            <w:vAlign w:val="bottom"/>
          </w:tcPr>
          <w:p>
            <w:pPr>
              <w:jc w:val="center"/>
              <w:ind w:left="82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0"/>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December 31, 2018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September 30, 2018</w:t>
            </w:r>
          </w:p>
        </w:tc>
      </w:tr>
      <w:tr>
        <w:trPr>
          <w:trHeight w:val="171"/>
        </w:trPr>
        <w:tc>
          <w:tcPr>
            <w:tcW w:w="200" w:type="dxa"/>
            <w:vAlign w:val="bottom"/>
            <w:tcBorders>
              <w:bottom w:val="single" w:sz="8" w:color="CCECFF"/>
            </w:tcBorders>
          </w:tcPr>
          <w:p>
            <w:pPr>
              <w:spacing w:after="0"/>
              <w:rPr>
                <w:sz w:val="14"/>
                <w:szCs w:val="14"/>
                <w:color w:val="auto"/>
              </w:rPr>
            </w:pPr>
          </w:p>
        </w:tc>
        <w:tc>
          <w:tcPr>
            <w:tcW w:w="2760" w:type="dxa"/>
            <w:vAlign w:val="bottom"/>
            <w:tcBorders>
              <w:bottom w:val="single" w:sz="8" w:color="CCECFF"/>
            </w:tcBorders>
          </w:tcPr>
          <w:p>
            <w:pPr>
              <w:spacing w:after="0"/>
              <w:rPr>
                <w:sz w:val="14"/>
                <w:szCs w:val="14"/>
                <w:color w:val="auto"/>
              </w:rPr>
            </w:pPr>
          </w:p>
        </w:tc>
        <w:tc>
          <w:tcPr>
            <w:tcW w:w="42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r>
      <w:tr>
        <w:trPr>
          <w:trHeight w:val="156"/>
        </w:trPr>
        <w:tc>
          <w:tcPr>
            <w:tcW w:w="72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(cost—$497,429,939 and $425,336,210, respectively)</w:t>
            </w:r>
          </w:p>
        </w:tc>
        <w:tc>
          <w:tcPr>
            <w:tcW w:w="620" w:type="dxa"/>
            <w:vAlign w:val="bottom"/>
            <w:gridSpan w:val="3"/>
            <w:shd w:val="clear" w:color="auto" w:fill="CCECFF"/>
          </w:tcPr>
          <w:p>
            <w:pPr>
              <w:ind w:left="5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493,498,304</w:t>
            </w:r>
          </w:p>
        </w:tc>
        <w:tc>
          <w:tcPr>
            <w:tcW w:w="38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Cash and cash equivalents (cost—$7,406,696 and $13,520,127, respectively)</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7,390,933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2,205,506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Receivable for investments sold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8,264,315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2,350,815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shd w:val="clear" w:color="auto" w:fill="CCECFF"/>
          </w:tcPr>
          <w:p>
            <w:pPr>
              <w:spacing w:after="0"/>
              <w:rPr>
                <w:sz w:val="14"/>
                <w:szCs w:val="14"/>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513,709,873</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tcPr>
          <w:p>
            <w:pPr>
              <w:spacing w:after="0"/>
              <w:rPr>
                <w:sz w:val="13"/>
                <w:szCs w:val="13"/>
                <w:color w:val="auto"/>
              </w:rPr>
            </w:pPr>
          </w:p>
        </w:tc>
      </w:tr>
      <w:tr>
        <w:trPr>
          <w:trHeight w:val="155"/>
        </w:trPr>
        <w:tc>
          <w:tcPr>
            <w:tcW w:w="72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328,141,911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tcPr>
          <w:p>
            <w:pPr>
              <w:spacing w:after="0"/>
              <w:rPr>
                <w:sz w:val="14"/>
                <w:szCs w:val="14"/>
                <w:color w:val="auto"/>
              </w:rPr>
            </w:pP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129,500,000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1,340,014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tcPr>
          <w:p>
            <w:pPr>
              <w:spacing w:after="0"/>
              <w:rPr>
                <w:sz w:val="14"/>
                <w:szCs w:val="14"/>
                <w:color w:val="auto"/>
              </w:rPr>
            </w:pP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38,861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193,931</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tcBorders>
              <w:bottom w:val="single" w:sz="8" w:color="CCECFF"/>
            </w:tcBorders>
          </w:tcPr>
          <w:p>
            <w:pPr>
              <w:spacing w:after="0"/>
              <w:rPr>
                <w:sz w:val="14"/>
                <w:szCs w:val="14"/>
                <w:color w:val="auto"/>
              </w:rPr>
            </w:pPr>
          </w:p>
        </w:tc>
      </w:tr>
      <w:tr>
        <w:trPr>
          <w:trHeight w:val="156"/>
        </w:trPr>
        <w:tc>
          <w:tcPr>
            <w:tcW w:w="200" w:type="dxa"/>
            <w:vAlign w:val="bottom"/>
            <w:shd w:val="clear" w:color="auto" w:fill="CCECFF"/>
          </w:tcPr>
          <w:p>
            <w:pPr>
              <w:spacing w:after="0"/>
              <w:rPr>
                <w:sz w:val="13"/>
                <w:szCs w:val="13"/>
                <w:color w:val="auto"/>
              </w:rPr>
            </w:pPr>
          </w:p>
        </w:tc>
        <w:tc>
          <w:tcPr>
            <w:tcW w:w="704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459,214,717</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shd w:val="clear" w:color="auto" w:fill="CCECFF"/>
          </w:tcPr>
          <w:p>
            <w:pPr>
              <w:spacing w:after="0"/>
              <w:rPr>
                <w:sz w:val="13"/>
                <w:szCs w:val="13"/>
                <w:color w:val="auto"/>
              </w:rPr>
            </w:pPr>
          </w:p>
        </w:tc>
      </w:tr>
      <w:tr>
        <w:trPr>
          <w:trHeight w:val="155"/>
        </w:trPr>
        <w:tc>
          <w:tcPr>
            <w:tcW w:w="724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r>
      <w:tr>
        <w:trPr>
          <w:trHeight w:val="156"/>
        </w:trPr>
        <w:tc>
          <w:tcPr>
            <w:tcW w:w="200" w:type="dxa"/>
            <w:vAlign w:val="bottom"/>
            <w:shd w:val="clear" w:color="auto" w:fill="CCECFF"/>
          </w:tcPr>
          <w:p>
            <w:pPr>
              <w:spacing w:after="0"/>
              <w:rPr>
                <w:sz w:val="13"/>
                <w:szCs w:val="13"/>
                <w:color w:val="auto"/>
              </w:rPr>
            </w:pPr>
          </w:p>
        </w:tc>
        <w:tc>
          <w:tcPr>
            <w:tcW w:w="704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54,495,156</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shd w:val="clear" w:color="auto" w:fill="CCECFF"/>
          </w:tcPr>
          <w:p>
            <w:pPr>
              <w:spacing w:after="0"/>
              <w:rPr>
                <w:sz w:val="13"/>
                <w:szCs w:val="13"/>
                <w:color w:val="auto"/>
              </w:rPr>
            </w:pPr>
          </w:p>
        </w:tc>
      </w:tr>
      <w:tr>
        <w:trPr>
          <w:trHeight w:val="156"/>
        </w:trPr>
        <w:tc>
          <w:tcPr>
            <w:tcW w:w="200" w:type="dxa"/>
            <w:vAlign w:val="bottom"/>
          </w:tcPr>
          <w:p>
            <w:pPr>
              <w:spacing w:after="0"/>
              <w:rPr>
                <w:sz w:val="13"/>
                <w:szCs w:val="13"/>
                <w:color w:val="auto"/>
              </w:rPr>
            </w:pPr>
          </w:p>
        </w:tc>
        <w:tc>
          <w:tcPr>
            <w:tcW w:w="704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513,709,873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38"/>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04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to fund investments as of December 31, 2018 or September 30, 2018.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5"/>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80" w:type="dxa"/>
            <w:vAlign w:val="bottom"/>
          </w:tcPr>
          <w:p>
            <w:pPr>
              <w:jc w:val="center"/>
              <w:ind w:left="84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80" w:type="dxa"/>
            <w:vAlign w:val="bottom"/>
          </w:tcPr>
          <w:p>
            <w:pPr>
              <w:jc w:val="center"/>
              <w:ind w:left="848"/>
              <w:spacing w:after="0"/>
              <w:rPr>
                <w:sz w:val="20"/>
                <w:szCs w:val="20"/>
                <w:color w:val="auto"/>
              </w:rPr>
            </w:pPr>
            <w:r>
              <w:rPr>
                <w:rFonts w:ascii="Arial" w:cs="Arial" w:eastAsia="Arial" w:hAnsi="Arial"/>
                <w:sz w:val="14"/>
                <w:szCs w:val="14"/>
                <w:b w:val="1"/>
                <w:bCs w:val="1"/>
                <w:color w:val="auto"/>
                <w:w w:val="91"/>
              </w:rPr>
              <w:t>Statements of Operations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2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280" w:type="dxa"/>
            <w:vAlign w:val="bottom"/>
          </w:tcPr>
          <w:p>
            <w:pPr>
              <w:jc w:val="center"/>
              <w:ind w:left="828"/>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86"/>
        </w:trPr>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2017</w:t>
            </w:r>
          </w:p>
        </w:tc>
      </w:tr>
      <w:tr>
        <w:trPr>
          <w:trHeight w:val="155"/>
        </w:trPr>
        <w:tc>
          <w:tcPr>
            <w:tcW w:w="724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480" w:type="dxa"/>
            <w:vAlign w:val="bottom"/>
            <w:gridSpan w:val="2"/>
            <w:shd w:val="clear" w:color="auto" w:fill="CCECFF"/>
          </w:tcPr>
          <w:p>
            <w:pPr>
              <w:jc w:val="right"/>
              <w:ind w:right="115"/>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9,541,567</w:t>
            </w:r>
          </w:p>
        </w:tc>
        <w:tc>
          <w:tcPr>
            <w:tcW w:w="1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1,973,655</w:t>
            </w:r>
          </w:p>
        </w:tc>
        <w:tc>
          <w:tcPr>
            <w:tcW w:w="12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157,913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200" w:type="dxa"/>
            <w:vAlign w:val="bottom"/>
            <w:tcBorders>
              <w:top w:val="single" w:sz="8" w:color="CCECFF"/>
            </w:tcBorders>
            <w:shd w:val="clear" w:color="auto" w:fill="CCECFF"/>
          </w:tcPr>
          <w:p>
            <w:pPr>
              <w:spacing w:after="0"/>
              <w:rPr>
                <w:sz w:val="13"/>
                <w:szCs w:val="13"/>
                <w:color w:val="auto"/>
              </w:rPr>
            </w:pPr>
          </w:p>
        </w:tc>
        <w:tc>
          <w:tcPr>
            <w:tcW w:w="704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9,699,480</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14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1,973,655</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7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4,087,476</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651,537</w:t>
            </w:r>
          </w:p>
        </w:tc>
        <w:tc>
          <w:tcPr>
            <w:tcW w:w="12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color w:val="auto"/>
              </w:rPr>
              <w:t>Interest expense on notes to members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3,220,623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612,297</w:t>
            </w: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Administrative services expenses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CFF"/>
          </w:tcPr>
          <w:p>
            <w:pPr>
              <w:spacing w:after="0"/>
              <w:rPr>
                <w:sz w:val="14"/>
                <w:szCs w:val="14"/>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704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140" w:type="dxa"/>
            <w:vAlign w:val="bottom"/>
            <w:tcBorders>
              <w:bottom w:val="single" w:sz="8" w:color="CCECFF"/>
            </w:tcBorders>
          </w:tcPr>
          <w:p>
            <w:pPr>
              <w:spacing w:after="0"/>
              <w:rPr>
                <w:sz w:val="14"/>
                <w:szCs w:val="14"/>
                <w:color w:val="auto"/>
              </w:rPr>
            </w:pP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351,786</w:t>
            </w:r>
          </w:p>
        </w:tc>
        <w:tc>
          <w:tcPr>
            <w:tcW w:w="12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04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7,671,749</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1,690,620</w:t>
            </w:r>
          </w:p>
        </w:tc>
        <w:tc>
          <w:tcPr>
            <w:tcW w:w="120" w:type="dxa"/>
            <w:vAlign w:val="bottom"/>
            <w:shd w:val="clear" w:color="auto" w:fill="CCECFF"/>
          </w:tcPr>
          <w:p>
            <w:pPr>
              <w:spacing w:after="0"/>
              <w:rPr>
                <w:sz w:val="13"/>
                <w:szCs w:val="13"/>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2,027,731</w:t>
            </w:r>
          </w:p>
        </w:tc>
        <w:tc>
          <w:tcPr>
            <w:tcW w:w="14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283,035</w:t>
            </w:r>
          </w:p>
        </w:tc>
        <w:tc>
          <w:tcPr>
            <w:tcW w:w="120" w:type="dxa"/>
            <w:vAlign w:val="bottom"/>
            <w:tcBorders>
              <w:bottom w:val="single" w:sz="8" w:color="CCECFF"/>
            </w:tcBorders>
          </w:tcPr>
          <w:p>
            <w:pPr>
              <w:spacing w:after="0"/>
              <w:rPr>
                <w:sz w:val="13"/>
                <w:szCs w:val="13"/>
                <w:color w:val="auto"/>
              </w:rPr>
            </w:pPr>
          </w:p>
        </w:tc>
      </w:tr>
      <w:tr>
        <w:trPr>
          <w:trHeight w:val="155"/>
        </w:trPr>
        <w:tc>
          <w:tcPr>
            <w:tcW w:w="72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credit facility foreign currency translations: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Net realized gain (loss) on investments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258,233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(49,176)</w:t>
            </w: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(4,035,710)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454,362</w:t>
            </w: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Credit facility depreciation (appreciation) on foreign currency translations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847,498</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(324,288)</w:t>
            </w:r>
          </w:p>
        </w:tc>
      </w:tr>
      <w:tr>
        <w:trPr>
          <w:trHeight w:val="133"/>
        </w:trPr>
        <w:tc>
          <w:tcPr>
            <w:tcW w:w="200" w:type="dxa"/>
            <w:vAlign w:val="bottom"/>
          </w:tcPr>
          <w:p>
            <w:pPr>
              <w:spacing w:after="0"/>
              <w:rPr>
                <w:sz w:val="11"/>
                <w:szCs w:val="11"/>
                <w:color w:val="auto"/>
              </w:rPr>
            </w:pPr>
          </w:p>
        </w:tc>
        <w:tc>
          <w:tcPr>
            <w:tcW w:w="70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 foreign currency</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translations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(3,188,212)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130,074</w:t>
            </w:r>
          </w:p>
        </w:tc>
        <w:tc>
          <w:tcPr>
            <w:tcW w:w="120" w:type="dxa"/>
            <w:vAlign w:val="bottom"/>
          </w:tcPr>
          <w:p>
            <w:pPr>
              <w:spacing w:after="0"/>
              <w:rPr>
                <w:sz w:val="14"/>
                <w:szCs w:val="14"/>
                <w:color w:val="auto"/>
              </w:rPr>
            </w:pPr>
          </w:p>
        </w:tc>
      </w:tr>
      <w:tr>
        <w:trPr>
          <w:trHeight w:val="155"/>
        </w:trPr>
        <w:tc>
          <w:tcPr>
            <w:tcW w:w="724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 currency translations</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(2,929,979)</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14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80,898</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7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(decrease) increase in members' equity resulting from operations</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(902,248)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363,933</w:t>
            </w:r>
          </w:p>
        </w:tc>
        <w:tc>
          <w:tcPr>
            <w:tcW w:w="1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560" w:right="1340" w:hanging="5552"/>
        <w:spacing w:after="0" w:line="695"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18688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Fair value, as defined under ASC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40" w:firstLine="425"/>
        <w:spacing w:after="0" w:line="264"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2018 and 2017, our ability to observe valuation inputs resulted in no reclassifications.</w:t>
      </w:r>
    </w:p>
    <w:p>
      <w:pPr>
        <w:spacing w:after="0" w:line="101"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8"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7"/>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280,635,472</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2,268,750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606,946,828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6.8% – 20.7% (9.8%)</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18,672,630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11.1% – 14.1% (11.9%)</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23,456,374</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6.3x – 11.7x (9.1x)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931,980,054</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345,867,658</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8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5"/>
              </w:rPr>
              <w:t>5.56%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2018</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303,786,401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center"/>
              <w:ind w:right="52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2,543,750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600" w:type="dxa"/>
            <w:vAlign w:val="bottom"/>
          </w:tcPr>
          <w:p>
            <w:pPr>
              <w:spacing w:after="0"/>
              <w:rPr>
                <w:sz w:val="14"/>
                <w:szCs w:val="14"/>
                <w:color w:val="auto"/>
              </w:rPr>
            </w:pPr>
          </w:p>
        </w:tc>
        <w:tc>
          <w:tcPr>
            <w:tcW w:w="1200" w:type="dxa"/>
            <w:vAlign w:val="bottom"/>
          </w:tcPr>
          <w:p>
            <w:pPr>
              <w:jc w:val="center"/>
              <w:ind w:right="5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609,511,575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w:t>
            </w:r>
          </w:p>
        </w:tc>
        <w:tc>
          <w:tcPr>
            <w:tcW w:w="1200" w:type="dxa"/>
            <w:vAlign w:val="bottom"/>
            <w:shd w:val="clear" w:color="auto" w:fill="CCECFF"/>
          </w:tcPr>
          <w:p>
            <w:pPr>
              <w:spacing w:after="0"/>
              <w:rPr>
                <w:sz w:val="20"/>
                <w:szCs w:val="20"/>
                <w:color w:val="auto"/>
              </w:rPr>
            </w:pPr>
            <w:r>
              <w:rPr>
                <w:rFonts w:ascii="Arial" w:cs="Arial" w:eastAsia="Arial" w:hAnsi="Arial"/>
                <w:sz w:val="14"/>
                <w:szCs w:val="14"/>
                <w:color w:val="auto"/>
              </w:rPr>
              <w:t>– 17.5% (9.7%)</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18,690,963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00" w:type="dxa"/>
            <w:vAlign w:val="bottom"/>
          </w:tcPr>
          <w:p>
            <w:pPr>
              <w:jc w:val="right"/>
              <w:spacing w:after="0"/>
              <w:rPr>
                <w:sz w:val="20"/>
                <w:szCs w:val="20"/>
                <w:color w:val="auto"/>
              </w:rPr>
            </w:pPr>
            <w:r>
              <w:rPr>
                <w:rFonts w:ascii="Arial" w:cs="Arial" w:eastAsia="Arial" w:hAnsi="Arial"/>
                <w:sz w:val="14"/>
                <w:szCs w:val="14"/>
                <w:color w:val="auto"/>
              </w:rPr>
              <w:t>10.7%</w:t>
            </w:r>
          </w:p>
        </w:tc>
        <w:tc>
          <w:tcPr>
            <w:tcW w:w="1200" w:type="dxa"/>
            <w:vAlign w:val="bottom"/>
          </w:tcPr>
          <w:p>
            <w:pPr>
              <w:ind w:left="20"/>
              <w:spacing w:after="0"/>
              <w:rPr>
                <w:sz w:val="20"/>
                <w:szCs w:val="20"/>
                <w:color w:val="auto"/>
              </w:rPr>
            </w:pPr>
            <w:r>
              <w:rPr>
                <w:rFonts w:ascii="Arial" w:cs="Arial" w:eastAsia="Arial" w:hAnsi="Arial"/>
                <w:sz w:val="14"/>
                <w:szCs w:val="14"/>
                <w:color w:val="auto"/>
              </w:rPr>
              <w:t>– 14.1% (11.7%)</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6.2x – 12.0x (9.2x)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600" w:type="dxa"/>
            <w:vAlign w:val="bottom"/>
            <w:tcBorders>
              <w:bottom w:val="single" w:sz="8" w:color="CCECFF"/>
            </w:tcBorders>
          </w:tcPr>
          <w:p>
            <w:pPr>
              <w:spacing w:after="0"/>
              <w:rPr>
                <w:sz w:val="17"/>
                <w:szCs w:val="17"/>
                <w:color w:val="auto"/>
              </w:rPr>
            </w:pPr>
          </w:p>
        </w:tc>
        <w:tc>
          <w:tcPr>
            <w:tcW w:w="12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600" w:type="dxa"/>
            <w:vAlign w:val="bottom"/>
            <w:tcBorders>
              <w:bottom w:val="single" w:sz="8" w:color="CCECFF"/>
            </w:tcBorders>
            <w:shd w:val="clear" w:color="auto" w:fill="CCECFF"/>
          </w:tcPr>
          <w:p>
            <w:pPr>
              <w:spacing w:after="0"/>
              <w:rPr>
                <w:sz w:val="12"/>
                <w:szCs w:val="12"/>
                <w:color w:val="auto"/>
              </w:rPr>
            </w:pPr>
          </w:p>
        </w:tc>
        <w:tc>
          <w:tcPr>
            <w:tcW w:w="1200" w:type="dxa"/>
            <w:vAlign w:val="bottom"/>
            <w:tcBorders>
              <w:bottom w:val="single" w:sz="8" w:color="CCECFF"/>
            </w:tcBorders>
            <w:shd w:val="clear" w:color="auto" w:fill="CCECFF"/>
          </w:tcPr>
          <w:p>
            <w:pPr>
              <w:jc w:val="right"/>
              <w:ind w:right="688"/>
              <w:spacing w:after="0" w:line="143"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2023 Notes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Fair Value at December 31,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887,582,300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887,582,300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20,941,380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20,941,380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71,139,635</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23,456,374</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47,683,261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979,663,315</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931,980,054</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47,683,261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35,180,396</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35,180,396</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1,014,843,711</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35,180,396</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931,980,054</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47,683,261</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345,867,658</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345,867,658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133,410,829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133,410,829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479,278,487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133,410,829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345,867,658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420" w:hanging="372"/>
        <w:spacing w:after="0" w:line="253"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certain investments that are measured using the net asset value per share (or its equivalent) as a practical expedient for fair value, have not been classified in the fair value hierarchy.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66,080,604</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467,632,200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135,503,385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9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72"/>
        <w:spacing w:after="0" w:line="25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330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20" w:type="dxa"/>
            <w:vAlign w:val="bottom"/>
            <w:gridSpan w:val="10"/>
          </w:tcPr>
          <w:p>
            <w:pPr>
              <w:ind w:left="440"/>
              <w:spacing w:after="0"/>
              <w:rPr>
                <w:sz w:val="20"/>
                <w:szCs w:val="20"/>
                <w:color w:val="auto"/>
              </w:rPr>
            </w:pPr>
            <w:r>
              <w:rPr>
                <w:rFonts w:ascii="Arial" w:cs="Arial" w:eastAsia="Arial" w:hAnsi="Arial"/>
                <w:sz w:val="14"/>
                <w:szCs w:val="14"/>
                <w:color w:val="auto"/>
                <w:w w:val="97"/>
              </w:rPr>
              <w:t>The tables below show a reconciliation of the beginning and ending balances for fair valued investments measured using significant unobservable inputs (Level 3):</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Arial" w:cs="Arial" w:eastAsia="Arial" w:hAnsi="Arial"/>
                <w:sz w:val="14"/>
                <w:szCs w:val="14"/>
                <w:b w:val="1"/>
                <w:bCs w:val="1"/>
                <w:color w:val="auto"/>
                <w:w w:val="93"/>
              </w:rPr>
              <w:t>Three Months Ended December 31, 2018</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271,716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271,716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(9,982,247)</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180,425</w:t>
            </w:r>
          </w:p>
        </w:tc>
        <w:tc>
          <w:tcPr>
            <w:tcW w:w="2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(9,801,822)</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174,081,000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1,908,075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175,989,075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(190,086,145)</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(208,334)</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(190,294,479)</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887,582,300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44,397,754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931,980,054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(depreciation) appreciation reported within the net change in unrealized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 still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(10,488,442)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180,425</w:t>
            </w:r>
          </w:p>
        </w:tc>
        <w:tc>
          <w:tcPr>
            <w:tcW w:w="240" w:type="dxa"/>
            <w:vAlign w:val="bottom"/>
          </w:tcPr>
          <w:p>
            <w:pPr>
              <w:spacing w:after="0"/>
              <w:rPr>
                <w:sz w:val="14"/>
                <w:szCs w:val="14"/>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(10,308,017)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left="608"/>
              <w:spacing w:after="0"/>
              <w:rPr>
                <w:sz w:val="20"/>
                <w:szCs w:val="20"/>
                <w:color w:val="auto"/>
              </w:rPr>
            </w:pPr>
            <w:r>
              <w:rPr>
                <w:rFonts w:ascii="Arial" w:cs="Arial" w:eastAsia="Arial" w:hAnsi="Arial"/>
                <w:sz w:val="14"/>
                <w:szCs w:val="14"/>
                <w:b w:val="1"/>
                <w:bCs w:val="1"/>
                <w:color w:val="auto"/>
                <w:w w:val="93"/>
              </w:rPr>
              <w:t>Three Months Ended December 31, 2017</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100,814,208</w:t>
            </w:r>
          </w:p>
        </w:tc>
        <w:tc>
          <w:tcPr>
            <w:tcW w:w="240" w:type="dxa"/>
            <w:vAlign w:val="bottom"/>
            <w:tcBorders>
              <w:top w:val="single" w:sz="8" w:color="CCECFF"/>
            </w:tcBorders>
            <w:shd w:val="clear" w:color="auto" w:fill="CCECFF"/>
          </w:tcPr>
          <w:p>
            <w:pPr>
              <w:spacing w:after="0"/>
              <w:rPr>
                <w:sz w:val="13"/>
                <w:szCs w:val="13"/>
                <w:color w:val="auto"/>
              </w:rPr>
            </w:pPr>
          </w:p>
        </w:tc>
        <w:tc>
          <w:tcPr>
            <w:tcW w:w="420" w:type="dxa"/>
            <w:vAlign w:val="bottom"/>
            <w:tcBorders>
              <w:top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710,482,762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(2,986,899)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120,604</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(2,866,295)</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2,117,000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1,368,645</w:t>
            </w:r>
          </w:p>
        </w:tc>
        <w:tc>
          <w:tcPr>
            <w:tcW w:w="2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3,485,645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151,260,150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26,150,027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177,410,177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(140,711,004)</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(8,371,950)</w:t>
            </w:r>
          </w:p>
        </w:tc>
        <w:tc>
          <w:tcPr>
            <w:tcW w:w="4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(149,082,954)</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619,347,801</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120,081,534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420" w:type="dxa"/>
            <w:vAlign w:val="bottom"/>
            <w:tcBorders>
              <w:top w:val="single" w:sz="8" w:color="auto"/>
              <w:bottom w:val="single" w:sz="8" w:color="auto"/>
            </w:tcBorders>
            <w:shd w:val="clear" w:color="auto" w:fill="CCEC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739,429,335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appreciation reported within the net change in unrealized appreciation on investments</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w w:val="96"/>
              </w:rPr>
              <w:t>in our Consolidated Statements of Operations 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1,423,429</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1,455,982</w:t>
            </w:r>
          </w:p>
        </w:tc>
        <w:tc>
          <w:tcPr>
            <w:tcW w:w="240" w:type="dxa"/>
            <w:vAlign w:val="bottom"/>
          </w:tcPr>
          <w:p>
            <w:pPr>
              <w:spacing w:after="0"/>
              <w:rPr>
                <w:sz w:val="14"/>
                <w:szCs w:val="14"/>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2,879,411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$333,727,520 and $253,783,301,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(3,441,137)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(634,168)</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(87,320,020)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(74,900,000)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$350,907,500 and $190,368,311,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345,867,658</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192,809,299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December 31, 2018,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Borrowing Cost</w:t>
            </w:r>
          </w:p>
        </w:tc>
        <w:tc>
          <w:tcPr>
            <w:tcW w:w="1700" w:type="dxa"/>
            <w:vAlign w:val="bottom"/>
            <w:gridSpan w:val="2"/>
          </w:tcPr>
          <w:p>
            <w:pPr>
              <w:ind w:left="260"/>
              <w:spacing w:after="0"/>
              <w:rPr>
                <w:sz w:val="20"/>
                <w:szCs w:val="20"/>
                <w:color w:val="auto"/>
              </w:rPr>
            </w:pPr>
            <w:r>
              <w:rPr>
                <w:rFonts w:ascii="Arial" w:cs="Arial" w:eastAsia="Arial" w:hAnsi="Arial"/>
                <w:sz w:val="14"/>
                <w:szCs w:val="14"/>
                <w:b w:val="1"/>
                <w:bCs w:val="1"/>
                <w:color w:val="auto"/>
              </w:rPr>
              <w:t>Current Value</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12,407,500</w:t>
            </w:r>
          </w:p>
        </w:tc>
        <w:tc>
          <w:tcPr>
            <w:tcW w:w="280" w:type="dxa"/>
            <w:vAlign w:val="bottom"/>
            <w:tcBorders>
              <w:top w:val="single" w:sz="8" w:color="CCECFF"/>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12,813,010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January 1, 2019</w:t>
            </w:r>
          </w:p>
        </w:tc>
        <w:tc>
          <w:tcPr>
            <w:tcW w:w="160" w:type="dxa"/>
            <w:vAlign w:val="bottom"/>
            <w:tcBorders>
              <w:top w:val="single" w:sz="8" w:color="CCECFF"/>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405,510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6"/>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7,720,020</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7,163,165</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1, 2018</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(556,855)</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Canadian Dollar</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C$</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17,500,000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12,407,500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13,538,612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1, 2018</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1,131,112</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20,127,520</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20,701,777</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574,257</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262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28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26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54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$4.5 million and $10.9 million, respectively, relating to amendment costs on the Credit Facility and debt issuance costs on the 2023 Notes during the three months ended December 31, 2018 and 2017.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months ended December 31, 2018 and 2017, our Credit Facility and the 2023 Notes had a net change in unrealized depreciation of $5.5 million and $3.1 million, respectively. As of December 31, 2018 and September 30, 2018, the net unrealized depreciation on our Credit Facility and the 2023 Notes totaled $10.2 million and $4.7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Purchases of /</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Sale of /</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Change</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Fair Value at</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1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Affiliates</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from Affiliates</w:t>
            </w: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Pr>
          <w:p>
            <w:pPr>
              <w:spacing w:after="0"/>
              <w:rPr>
                <w:sz w:val="14"/>
                <w:szCs w:val="1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20" w:type="dxa"/>
            <w:vAlign w:val="bottom"/>
          </w:tcPr>
          <w:p>
            <w:pPr>
              <w:spacing w:after="0" w:line="157" w:lineRule="exact"/>
              <w:rPr>
                <w:sz w:val="20"/>
                <w:szCs w:val="20"/>
                <w:color w:val="auto"/>
              </w:rPr>
            </w:pPr>
            <w:r>
              <w:rPr>
                <w:rFonts w:ascii="Arial" w:cs="Arial" w:eastAsia="Arial" w:hAnsi="Arial"/>
                <w:sz w:val="14"/>
                <w:szCs w:val="14"/>
                <w:color w:val="auto"/>
              </w:rPr>
              <w:t>PennantPark Senior Secured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Loan Fund I LLC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145,860,229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17,500,000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$ 2,818,045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$ 1,575,000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(2,364,468)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160,995,761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145,860,229</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700" w:type="dxa"/>
            <w:vAlign w:val="bottom"/>
            <w:tcBorders>
              <w:top w:val="single" w:sz="8" w:color="auto"/>
              <w:bottom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$ 2,818,045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700" w:type="dxa"/>
            <w:vAlign w:val="bottom"/>
            <w:tcBorders>
              <w:top w:val="single" w:sz="8" w:color="auto"/>
              <w:bottom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$ 1,575,000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(2,364,468</w:t>
            </w:r>
          </w:p>
        </w:tc>
        <w:tc>
          <w:tcPr>
            <w:tcW w:w="120" w:type="dxa"/>
            <w:vAlign w:val="bottom"/>
            <w:tcBorders>
              <w:top w:val="single" w:sz="8" w:color="CCECFF"/>
              <w:bottom w:val="single" w:sz="8" w:color="CCECFF"/>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160,995,761</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CFF"/>
          </w:tcPr>
          <w:p>
            <w:pPr>
              <w:ind w:left="42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20" w:hanging="372"/>
        <w:spacing w:after="0" w:line="23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6350</wp:posOffset>
            </wp:positionV>
            <wp:extent cx="2357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 w:lineRule="exact"/>
        <w:rPr>
          <w:sz w:val="20"/>
          <w:szCs w:val="20"/>
          <w:color w:val="auto"/>
        </w:rPr>
      </w:pPr>
    </w:p>
    <w:p>
      <w:pPr>
        <w:ind w:left="8120"/>
        <w:spacing w:after="0"/>
        <w:tabs>
          <w:tab w:leader="none" w:pos="10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60" w:type="dxa"/>
            <w:vAlign w:val="bottom"/>
            <w:shd w:val="clear" w:color="auto" w:fill="CCECFF"/>
          </w:tcPr>
          <w:p>
            <w:pPr>
              <w:spacing w:after="0" w:line="20" w:lineRule="exact"/>
              <w:rPr>
                <w:sz w:val="1"/>
                <w:szCs w:val="1"/>
                <w:color w:val="auto"/>
              </w:rPr>
            </w:pPr>
          </w:p>
        </w:tc>
        <w:tc>
          <w:tcPr>
            <w:tcW w:w="146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36"/>
        </w:trPr>
        <w:tc>
          <w:tcPr>
            <w:tcW w:w="5960" w:type="dxa"/>
            <w:vAlign w:val="bottom"/>
            <w:shd w:val="clear" w:color="auto" w:fill="CCECFF"/>
          </w:tcPr>
          <w:p>
            <w:pPr>
              <w:spacing w:after="0" w:line="13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020" w:type="dxa"/>
            <w:vAlign w:val="bottom"/>
            <w:gridSpan w:val="2"/>
            <w:shd w:val="clear" w:color="auto" w:fill="CCECFF"/>
          </w:tcPr>
          <w:p>
            <w:pPr>
              <w:jc w:val="right"/>
              <w:ind w:right="480"/>
              <w:spacing w:after="0" w:line="135" w:lineRule="exact"/>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line="135" w:lineRule="exact"/>
              <w:rPr>
                <w:sz w:val="20"/>
                <w:szCs w:val="20"/>
                <w:color w:val="auto"/>
              </w:rPr>
            </w:pPr>
            <w:r>
              <w:rPr>
                <w:rFonts w:ascii="Arial" w:cs="Arial" w:eastAsia="Arial" w:hAnsi="Arial"/>
                <w:sz w:val="14"/>
                <w:szCs w:val="14"/>
                <w:color w:val="auto"/>
              </w:rPr>
              <w:t>4,995,195</w:t>
            </w:r>
          </w:p>
        </w:tc>
        <w:tc>
          <w:tcPr>
            <w:tcW w:w="860" w:type="dxa"/>
            <w:vAlign w:val="bottom"/>
            <w:gridSpan w:val="2"/>
            <w:shd w:val="clear" w:color="auto" w:fill="CCECFF"/>
          </w:tcPr>
          <w:p>
            <w:pPr>
              <w:jc w:val="right"/>
              <w:ind w:right="500"/>
              <w:spacing w:after="0" w:line="135" w:lineRule="exact"/>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line="135" w:lineRule="exact"/>
              <w:rPr>
                <w:sz w:val="20"/>
                <w:szCs w:val="20"/>
                <w:color w:val="auto"/>
              </w:rPr>
            </w:pPr>
            <w:r>
              <w:rPr>
                <w:rFonts w:ascii="Arial" w:cs="Arial" w:eastAsia="Arial" w:hAnsi="Arial"/>
                <w:sz w:val="14"/>
                <w:szCs w:val="14"/>
                <w:color w:val="auto"/>
              </w:rPr>
              <w:t>1,918,782</w:t>
            </w:r>
          </w:p>
        </w:tc>
        <w:tc>
          <w:tcPr>
            <w:tcW w:w="100" w:type="dxa"/>
            <w:vAlign w:val="bottom"/>
            <w:shd w:val="clear" w:color="auto" w:fill="CCECFF"/>
          </w:tcPr>
          <w:p>
            <w:pPr>
              <w:spacing w:after="0"/>
              <w:rPr>
                <w:sz w:val="11"/>
                <w:szCs w:val="11"/>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38,772,074</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36,895,509</w:t>
            </w:r>
          </w:p>
        </w:tc>
        <w:tc>
          <w:tcPr>
            <w:tcW w:w="100" w:type="dxa"/>
            <w:vAlign w:val="bottom"/>
          </w:tcPr>
          <w:p>
            <w:pPr>
              <w:spacing w:after="0"/>
              <w:rPr>
                <w:sz w:val="14"/>
                <w:szCs w:val="14"/>
                <w:color w:val="auto"/>
              </w:rPr>
            </w:pPr>
          </w:p>
        </w:tc>
      </w:tr>
      <w:tr>
        <w:trPr>
          <w:trHeight w:val="162"/>
        </w:trPr>
        <w:tc>
          <w:tcPr>
            <w:tcW w:w="596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020" w:type="dxa"/>
            <w:vAlign w:val="bottom"/>
            <w:gridSpan w:val="2"/>
            <w:shd w:val="clear" w:color="auto" w:fill="CCECFF"/>
          </w:tcPr>
          <w:p>
            <w:pPr>
              <w:jc w:val="right"/>
              <w:ind w:right="4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860" w:type="dxa"/>
            <w:vAlign w:val="bottom"/>
            <w:gridSpan w:val="2"/>
            <w:shd w:val="clear" w:color="auto" w:fill="CCECFF"/>
          </w:tcPr>
          <w:p>
            <w:pPr>
              <w:jc w:val="right"/>
              <w:ind w:right="5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2018 and September 30, 2018, cash and cash equivalents consisted of money market funds in the amounts of $35.2 million and $72.2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420" w:type="dxa"/>
            <w:vAlign w:val="bottom"/>
          </w:tcPr>
          <w:p>
            <w:pPr>
              <w:ind w:left="500"/>
              <w:spacing w:after="0"/>
              <w:rPr>
                <w:sz w:val="20"/>
                <w:szCs w:val="20"/>
                <w:color w:val="auto"/>
              </w:rPr>
            </w:pPr>
            <w:r>
              <w:rPr>
                <w:rFonts w:ascii="Arial" w:cs="Arial" w:eastAsia="Arial" w:hAnsi="Arial"/>
                <w:sz w:val="14"/>
                <w:szCs w:val="14"/>
                <w:color w:val="auto"/>
              </w:rPr>
              <w:t>Below are the financial highlights:</w:t>
            </w: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CCECFF"/>
            </w:tcBorders>
          </w:tcPr>
          <w:p>
            <w:pPr>
              <w:spacing w:after="0"/>
              <w:rPr>
                <w:sz w:val="13"/>
                <w:szCs w:val="13"/>
                <w:color w:val="auto"/>
              </w:rPr>
            </w:pPr>
          </w:p>
        </w:tc>
        <w:tc>
          <w:tcPr>
            <w:tcW w:w="22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5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13.82</w:t>
            </w:r>
          </w:p>
        </w:tc>
        <w:tc>
          <w:tcPr>
            <w:tcW w:w="22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(loss) </w:t>
            </w:r>
            <w:r>
              <w:rPr>
                <w:rFonts w:ascii="Arial" w:cs="Arial" w:eastAsia="Arial" w:hAnsi="Arial"/>
                <w:sz w:val="12"/>
                <w:szCs w:val="12"/>
                <w:color w:val="auto"/>
              </w:rPr>
              <w:t>(1)</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2"/>
                <w:szCs w:val="12"/>
                <w:color w:val="auto"/>
              </w:rPr>
              <w:t>(1)</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2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0.13</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0.05</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(Dilutive) effect of common stock issuance</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22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13.66</w:t>
            </w:r>
          </w:p>
        </w:tc>
        <w:tc>
          <w:tcPr>
            <w:tcW w:w="2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13.86</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222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11.57</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13.72</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13.06%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62"/>
        </w:trPr>
        <w:tc>
          <w:tcPr>
            <w:tcW w:w="54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2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2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22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vMerge w:val="continue"/>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line="155" w:lineRule="exact"/>
              <w:rPr>
                <w:sz w:val="20"/>
                <w:szCs w:val="20"/>
                <w:color w:val="auto"/>
              </w:rPr>
            </w:pPr>
            <w:r>
              <w:rPr>
                <w:rFonts w:ascii="Arial" w:cs="Arial" w:eastAsia="Arial" w:hAnsi="Arial"/>
                <w:sz w:val="14"/>
                <w:szCs w:val="14"/>
                <w:color w:val="auto"/>
              </w:rPr>
              <w:t>6.66%</w:t>
            </w: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56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529,786,722</w:t>
            </w:r>
          </w:p>
        </w:tc>
        <w:tc>
          <w:tcPr>
            <w:tcW w:w="22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537,420,251</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2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486,048,277</w:t>
            </w:r>
          </w:p>
        </w:tc>
        <w:tc>
          <w:tcPr>
            <w:tcW w:w="2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275,476,105</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22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12.54</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7.47</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5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2,105</w:t>
            </w:r>
          </w:p>
        </w:tc>
        <w:tc>
          <w:tcPr>
            <w:tcW w:w="22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2,634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22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74.40%</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81.67%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240" w:firstLine="8"/>
        <w:spacing w:after="0" w:line="248" w:lineRule="auto"/>
        <w:tabs>
          <w:tab w:leader="none" w:pos="364"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right="380" w:hanging="352"/>
        <w:spacing w:after="0" w:line="221"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 which was terminated on November 22, 2017.</w:t>
      </w:r>
    </w:p>
    <w:p>
      <w:pPr>
        <w:ind w:left="360" w:hanging="352"/>
        <w:spacing w:after="0" w:line="221"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60" w:hanging="352"/>
        <w:spacing w:after="0" w:line="221"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if any, are not annualized.</w:t>
      </w:r>
    </w:p>
    <w:p>
      <w:pPr>
        <w:ind w:left="380" w:right="80" w:hanging="372"/>
        <w:spacing w:after="0" w:line="271"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4"/>
          <w:szCs w:val="14"/>
          <w:color w:val="auto"/>
        </w:rPr>
        <w:t>The annualized weighted average cost of debt for the three months ended December 31, 2018 and 2017, inclusive of the fee on the undrawn commitment of 0.375% on the Credit Facility, amendment costs and debt issuance costs, was 5.29% and 7.75%, respectively. As of December 31, 2018, in accordance with the 1940 Act, with certain limited exceptions, we are only allowed to borrow amounts such that we are in compliance with a 200% asset coverage ratio requirement after such borrowing.</w:t>
      </w:r>
    </w:p>
    <w:p>
      <w:pPr>
        <w:spacing w:after="0" w:line="115"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requirements applicable to us for senior securities will be reduced from 200% to 150%, effective as of April 5, 2019, subject to compliance with certain disclosure requirements. As of December 31, 2018 and September 30 2018, our asset coverage ratio, as computed in accordance with the 1940 Act, was 211% and 215%,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affiliates of SunTrust Bank, or the Lenders, was $520 million as of December 31, 2018, subject to satisfaction of certain conditions and the regulatory restrictions that the 1940 Act imposes on us as a BDC, has an interest rate spread above LIBOR of 200 basis points, a maturity date of October 2023 and a revolving period that ends in October 2021. As of December 31, 2018 and September 30, 2018, Funding I had $350.9 million and $333.7 million of outstanding borrowings under the Credit Facility, respectively. The Credit Facility had a weighted average interest rate of 4.34% and 4.25%, exclusive of the fee on undrawn commitments as of December 31, 2018 and September 30, 2018, respectively.</w:t>
      </w:r>
    </w:p>
    <w:p>
      <w:pPr>
        <w:spacing w:after="0" w:line="10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800" w:firstLine="438"/>
        <w:spacing w:after="0" w:line="29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in Funding I and income ratio as well as restrictions on certain payments and issuance of debt. The Credit Facility compliance reporting is prepared on a basis of accounting other than GAAP. As of December 31, 2018, we were in compliance with the covenants relating to our Credit Facility.</w:t>
      </w:r>
    </w:p>
    <w:p>
      <w:pPr>
        <w:spacing w:after="0" w:line="10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2018 and September 30, 2018, we had $85.3 million and $79.4 million, respectively, in commitments to fund investments. Additionally, as described in Note 4, the Company had unfunded commitments of up to $21.9 million and $39.4 million, respectively, to PSSL as of December 31, 2018 and September 30, 2018,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8" w:name="page29"/>
    <w:bookmarkEnd w:id="28"/>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December 31, 2018, and the related consolidated statements of operations, the related consolidated statements of changes in net assets, and cash flows for the three-month periods ended December 31, 2018 and 2017,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116"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14, 2018, we expressed an unqualified opinion on those financial statements. In our opinion, the information set forth in the accompanying consolidated statement of assets and liabilities as of September 30, 2018,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6, 2019</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9" w:name="page30"/>
    <w:bookmarkEnd w:id="29"/>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0" w:name="page31"/>
    <w:bookmarkEnd w:id="30"/>
    <w:p>
      <w:pPr>
        <w:ind w:right="240"/>
        <w:spacing w:after="0" w:line="253" w:lineRule="auto"/>
        <w:rPr>
          <w:sz w:val="20"/>
          <w:szCs w:val="20"/>
          <w:color w:val="auto"/>
        </w:rPr>
      </w:pPr>
      <w:r>
        <w:rPr>
          <w:rFonts w:ascii="Arial" w:cs="Arial" w:eastAsia="Arial" w:hAnsi="Arial"/>
          <w:sz w:val="14"/>
          <w:szCs w:val="14"/>
          <w:color w:val="auto"/>
        </w:rPr>
        <w:t>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of December 31, 2018, our portfolio totaled $979.7 million and consisted of $887.6 million of first lien secured debt (including $113.3 million in PSSL), $20.9 million of second lien secured debt and $71.2 million of preferred and common equity (including $47.7 million in PSSL). Our debt portfolio consisted of 100% variable-rate investments. As of December 31, 2018, we had no portfolio companies on non-accrual. Overall, the portfolio had net unrealized depreciation of $13.3 million. Our overall portfolio consisted of 85 companies with an average investment size of $11.5 million, had a weighted average yield on debt investments of 9.2%, and was invested 91% in first lien secured debt (including 12% in PSSL), 2% in second lien secured debt and 7% in preferred and common equity (including 5% in PSSL). As of December 31, 2018, all of the investments held by PSSL were first lien secured debt.</w:t>
      </w:r>
    </w:p>
    <w:p>
      <w:pPr>
        <w:spacing w:after="0" w:line="9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of September 30, 2018, our portfolio totaled $1,000.6 million and consisted of $913.3 million of first lien secured debt (including $101.1 million in PSSL), $21.2 million of second lien secured debt and $66.1 million of preferred and common equity (including $44.8 million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 PSSL), 2% in second lien secured debt and 7% in preferred and common equity (including 4% in PSSL). As of September 30, 2018, all of the investments held by PSSL were first lien secured debt.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the three months ended December 31, 2018, we invested $180.7 million in nine new and 24 existing portfolio companies with a weighted average yield on debt investments of 8.6%.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2018 totaled $190.3 million.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the three months ended December 31, 2017, we invested $176.9 million in 11 new and 11 existing portfolio companies with a weighted average yield on debt investments of 8.0%.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2017 totaled $149.1 million.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As of December 31, 2018, PSSL’s portfolio totaled $493.5 million, consisted of 43 companies with an average investment size of $11.5 million and had a weighted average yield on debt investments of 8.2%. As of September 30, 2018, PSSL’s portfolio totaled $425.4 million, consisted of 42 companies with an average investment size of $10.1 million and had a weighted average yield on debt investments of 7.8%.</w:t>
      </w:r>
    </w:p>
    <w:p>
      <w:pPr>
        <w:spacing w:after="0" w:line="115"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For the three months ended December 31, 2018, PSSL invested $142.4 million (including $38.0 million purchased from the Company) in nine new and seven existing portfolio companies with a weighted average yield on debt investments of 8.1%. PSSL’s sales and repayments of investments for the three months ended December 31, 2018 totaled $70.7 million. For the three months ended December 31, 2017, PSSL invested $47.9 million (including $27.3 million purchased from the Company) in seven new portfolio companies with a weighted average yield on debt investments of 7.4%. PSSL’s sales and repayments of investments for the three months ended December 31, 2018 totaled $0.9 million.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100" w:hanging="447"/>
        <w:spacing w:after="0" w:line="264"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ind w:left="900" w:right="100" w:hanging="447"/>
        <w:spacing w:after="0" w:line="253"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$4.5 million and $10.9 million, respectively, relating to amendment costs on the Credit Facility and debt issuance costs on the 2023 Notes during the three months ended December 31, 2018 and 2017.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months ended December 31, 2018 and 2017, our Credit Facility and the 2023 Notes had a net change in unrealized depreciation of $5.5 million and $3.1 million, respectively. As of December 31, 2018 and September 30, 2018, the net unrealized depreciation on our Credit Facility and the 2023 Notes totaled $10.2 million and $4.7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months ended December 31,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jc w:val="both"/>
        <w:ind w:right="480" w:firstLine="434"/>
        <w:spacing w:after="0" w:line="296" w:lineRule="auto"/>
        <w:rPr>
          <w:sz w:val="20"/>
          <w:szCs w:val="20"/>
          <w:color w:val="auto"/>
        </w:rPr>
      </w:pPr>
      <w:r>
        <w:rPr>
          <w:rFonts w:ascii="Arial" w:cs="Arial" w:eastAsia="Arial" w:hAnsi="Arial"/>
          <w:sz w:val="12"/>
          <w:szCs w:val="12"/>
          <w:color w:val="auto"/>
        </w:rPr>
        <w:t>Investment income for the three months ended December 31, 2018 was $23.2 million and was attributable to $21.1 million from first lien secured debt and $2.1 million from second lien secured debt and preferred equity. Investment income for the three months ended December 31, 2017 was $14.8 million and was attributable to $13.6 million from first lien senior debt and $1.2 million from second lien secured debt and subordinated debt. The increase in investment income compared to the same period in the prior year was primarily due to the growth of our portfolio.</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00" w:firstLine="434"/>
        <w:spacing w:after="0" w:line="228" w:lineRule="auto"/>
        <w:rPr>
          <w:sz w:val="20"/>
          <w:szCs w:val="20"/>
          <w:color w:val="auto"/>
        </w:rPr>
      </w:pPr>
      <w:r>
        <w:rPr>
          <w:rFonts w:ascii="Arial" w:cs="Arial" w:eastAsia="Arial" w:hAnsi="Arial"/>
          <w:sz w:val="14"/>
          <w:szCs w:val="14"/>
          <w:color w:val="auto"/>
        </w:rPr>
        <w:t>Expenses for the three months ended December 31, 2018 totaled $12.2 million. Base management fee for the same period totaled $2.5 million, incentive fee totaled $(1.2) million (including $0.2 million on net investment income and $(1.4) million accrued but not payable on realized gains), debt related interest and expenses totaled $9.8 million (including $4.5 million in Credit Facility amendment costs) and general and administrative expenses totaled $1.1 million. Expenses for the three months ended December 31, 2017 totaled $16.8 million. Base management fee for the same period totaled $1.8 million, incentive fee totaled $0.1 million (including $(0.1) million on realized gains and $0.2 million on unrealized gains accrued but not payable), debt related interest and expenses totaled $13.5 million (including $10.9 million in Credit Facility amendment and debt issuance costs on the 2023 Notes), general and administrative expenses totaled $1.2 million and provision for taxes totaled $0.2 million. The decrease in expenses compared to the same period in the prior year was primarily due to the expenses incurred in connection with the debt issuance costs on the 2023 Notes in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 (Loss)</w:t>
      </w:r>
    </w:p>
    <w:p>
      <w:pPr>
        <w:spacing w:after="0" w:line="136" w:lineRule="exact"/>
        <w:rPr>
          <w:sz w:val="20"/>
          <w:szCs w:val="20"/>
          <w:color w:val="auto"/>
        </w:rPr>
      </w:pPr>
    </w:p>
    <w:p>
      <w:pPr>
        <w:jc w:val="both"/>
        <w:ind w:right="380" w:firstLine="434"/>
        <w:spacing w:after="0" w:line="238" w:lineRule="auto"/>
        <w:rPr>
          <w:sz w:val="20"/>
          <w:szCs w:val="20"/>
          <w:color w:val="auto"/>
        </w:rPr>
      </w:pPr>
      <w:r>
        <w:rPr>
          <w:rFonts w:ascii="Arial" w:cs="Arial" w:eastAsia="Arial" w:hAnsi="Arial"/>
          <w:sz w:val="14"/>
          <w:szCs w:val="14"/>
          <w:color w:val="auto"/>
        </w:rPr>
        <w:t>Net investment income (loss) totaled $10.9 million, or $0.28 per share, for the three months ended December 31, 2018, and $(1.9) million, or $(0.05) per share, for the three months ended December 31, 2017. The increase in net investment income compared to the same period in the prior year was primarily due to the growth of our portfolio in the current period and the additional expenses incurred in connection with the debt issuance costs on the 2023 Notes in the prior period.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300" w:firstLine="434"/>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2018 totaled $190.3 million and net realized gains totaled $0.9 million. Sales and repayments of investments totaled $149.1 million and net realized losses totaled $2.8 million for the three months ended December 31, 2017. The change in realized gains/losses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For the three months ended December 31, 2018 and 2017, we reported net change in unrealized (depreciation) appreciation on investments of $(12.4) million and $3.5 million, respectively. As of December 31, 2018 and September 30, 2018, our net unrealized depreciation on investments totaled $13.3 million and $0.9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ind w:right="140" w:firstLine="456"/>
        <w:spacing w:after="0" w:line="238" w:lineRule="auto"/>
        <w:rPr>
          <w:sz w:val="20"/>
          <w:szCs w:val="20"/>
          <w:color w:val="auto"/>
        </w:rPr>
      </w:pPr>
      <w:r>
        <w:rPr>
          <w:rFonts w:ascii="Arial" w:cs="Arial" w:eastAsia="Arial" w:hAnsi="Arial"/>
          <w:sz w:val="14"/>
          <w:szCs w:val="14"/>
          <w:color w:val="auto"/>
        </w:rPr>
        <w:t>For the three months ended December 31, 2018 and 2017, our Credit Facility and the 2023 Notes had a net change in unrealized depreciation of $5.5 million and $3.1 million, respectively. As of December 31, 2018 and September 30, 2018, the net unrealized depreciation on the Credit Facility and the 2023 Notes totaled $10.2 million and $4.7 million, respectively. The net change in net unrealized depreciation compared to the same period in the prior year was primarily due to changes in the capital markets.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2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$5.0 million, or $0.13 per share, for the three months ended December 31, 2018. This compares to a net change in net assets resulting from operations of $1.9 million, or $0.05 per share, for the three months ended December 31, 2017. The increase in the net change in net assets from operations compared to the same period in the prior year was primarily due to the growth of our portfolio in the current period and the additional expenses incurred in connection with the debt issuance costs on the 2023 Notes in the prior period.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2018, in accordance with the 1940 Act, with certain limited exceptions, we are only allowed to borrow amounts such that we are in compliance with a 200% asset coverage ratio requirement after such borrowing.</w:t>
      </w:r>
    </w:p>
    <w:p>
      <w:pPr>
        <w:spacing w:after="0" w:line="116"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December 31, 2018 and September 30, 2018, our asset coverage ratio, as computed in accordance with the 1940 Act, was 211% and 215%, respectively.</w:t>
      </w:r>
    </w:p>
    <w:p>
      <w:pPr>
        <w:spacing w:after="0" w:line="117" w:lineRule="exact"/>
        <w:rPr>
          <w:sz w:val="20"/>
          <w:szCs w:val="20"/>
          <w:color w:val="auto"/>
        </w:rPr>
      </w:pPr>
    </w:p>
    <w:p>
      <w:pPr>
        <w:ind w:right="32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$520 million as of December 31, 2018, subject to satisfaction of certain conditions and regulatory restrictions that the 1940 Act imposes on us as a BDC, has an interest rate spread above LIBOR of 200 basis points, a maturity date of October 2023 and a revolving period that ends in October 2021. As of December 31, 2018 and September 30, 2018, Funding I had $350.9 million and $333.7 million of outstanding borrowings under the Credit Facility, respectively. The Credit Facility had a weighted average interest rate of 4.34% and 4.25%, exclusive of the fee on undrawn commitments as of December 31, 2018 and September 30, 2018, respectively.</w:t>
      </w:r>
    </w:p>
    <w:p>
      <w:pPr>
        <w:spacing w:after="0" w:line="107" w:lineRule="exact"/>
        <w:rPr>
          <w:sz w:val="20"/>
          <w:szCs w:val="20"/>
          <w:color w:val="auto"/>
        </w:rPr>
      </w:pPr>
    </w:p>
    <w:p>
      <w:pPr>
        <w:jc w:val="both"/>
        <w:ind w:right="20" w:firstLine="438"/>
        <w:spacing w:after="0" w:line="264" w:lineRule="auto"/>
        <w:rPr>
          <w:sz w:val="20"/>
          <w:szCs w:val="20"/>
          <w:color w:val="auto"/>
        </w:rPr>
      </w:pPr>
      <w:r>
        <w:rPr>
          <w:rFonts w:ascii="Arial" w:cs="Arial" w:eastAsia="Arial" w:hAnsi="Arial"/>
          <w:sz w:val="13"/>
          <w:szCs w:val="13"/>
          <w:color w:val="auto"/>
        </w:rPr>
        <w:t>The annualized weighted average cost of debt for the three months ended December 31, 2018 and 2017, inclusive of the fee on the undrawn commitment of 0.375% on the Credit Facility, amendment costs and debt issuance costs, was 5.29% and 7.75%, respectively (excluding amendment and debt issuance costs, amounts were 4.37% and 3.80%, respectively). As of December 31, 2018 and September 30, 2018, we had $169.1 million and $71.3 million of unused borrowing capacity under our Credit Facility, respectively, subject to the regulatory restrictions.</w:t>
      </w:r>
    </w:p>
    <w:p>
      <w:pPr>
        <w:spacing w:after="0" w:line="10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2018, we were in compliance with the covenants relating to our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three months ended December 31, 2018 and 2017, we issued zero and 6.3 million shares respectively. As a result, we raised approximately zero and $88.0 million in net proceeds from our issuances of our equity capital.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5" w:name="page36"/>
    <w:bookmarkEnd w:id="35"/>
    <w:p>
      <w:pPr>
        <w:jc w:val="both"/>
        <w:ind w:right="200" w:firstLine="438"/>
        <w:spacing w:after="0" w:line="253" w:lineRule="auto"/>
        <w:rPr>
          <w:sz w:val="20"/>
          <w:szCs w:val="20"/>
          <w:color w:val="auto"/>
        </w:rPr>
      </w:pPr>
      <w:r>
        <w:rPr>
          <w:rFonts w:ascii="Arial" w:cs="Arial" w:eastAsia="Arial" w:hAnsi="Arial"/>
          <w:sz w:val="14"/>
          <w:szCs w:val="14"/>
          <w:color w:val="auto"/>
        </w:rPr>
        <w:t>As of December 31, 2018 and September 30, 2018, we had cash equivalents of $35.2 million and $72.2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Our operating activities used cash of $43.6 million for the three months ended December 31, 2018, and our financing activities provided cash of $6.1 million for the same period. Our operating activities used cash primarily for our investment activities and our financing activities provided cash primarily from net borrowings under the Credit Facility.</w:t>
      </w:r>
    </w:p>
    <w:p>
      <w:pPr>
        <w:spacing w:after="0" w:line="106" w:lineRule="exact"/>
        <w:rPr>
          <w:sz w:val="20"/>
          <w:szCs w:val="20"/>
          <w:color w:val="auto"/>
        </w:rPr>
      </w:pPr>
    </w:p>
    <w:p>
      <w:pPr>
        <w:jc w:val="both"/>
        <w:ind w:right="180" w:firstLine="438"/>
        <w:spacing w:after="0" w:line="238" w:lineRule="auto"/>
        <w:rPr>
          <w:sz w:val="20"/>
          <w:szCs w:val="20"/>
          <w:color w:val="auto"/>
        </w:rPr>
      </w:pPr>
      <w:r>
        <w:rPr>
          <w:rFonts w:ascii="Arial" w:cs="Arial" w:eastAsia="Arial" w:hAnsi="Arial"/>
          <w:sz w:val="14"/>
          <w:szCs w:val="14"/>
          <w:color w:val="auto"/>
        </w:rPr>
        <w:t>Our operating activities used cash of $44.6 million for the three months ended December 31, 2017, and our financing activities provided cash of $153.4 million for the same period. Our operating activities used cash primarily for our investment activities and our financing activities provided cash primarily from our recent equity offering, the issuance of the 2023 Notes and net borrowings under the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December 31, 2018, PSSL had total assets of $513.7 million. As of the same date, we and Kemper had remaining commitments to fund first lien secured debt and equity interests in PSSL in an aggregate amount of $25.0 million. PSSL invests in portfolio companies in the same industries in which we may directly invest.</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December 31, 2018, we and Kemper owned 87.5% and 12.5%, respectively, of each of the outstanding first lien secured debt and equity interests. As of the same date, our investment in PSSL consisted of first lien secured debt of $113.3 million and equity interests of $48.6 million. As of the same date, we had commitments to fund first lien secured debt to PSSL of $128.6 million, of which $15.3 million was unfunded. As of December 31, 2018, we had commitments to fund equity interests in PSSL of $55.1 million, of which $6.6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December 31, 2018 allowed PSSL Subsidiary to borrow up to $420.0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December 31,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c>
          <w:tcPr>
            <w:tcW w:w="20" w:type="dxa"/>
            <w:vAlign w:val="bottom"/>
          </w:tcPr>
          <w:p>
            <w:pPr>
              <w:spacing w:after="0"/>
              <w:rPr>
                <w:sz w:val="14"/>
                <w:szCs w:val="14"/>
                <w:color w:val="auto"/>
              </w:rPr>
            </w:pPr>
          </w:p>
        </w:tc>
      </w:tr>
      <w:tr>
        <w:trPr>
          <w:trHeight w:val="156"/>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493,498,304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22,238,204</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78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101,748,191</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380"/>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580" w:type="dxa"/>
            <w:vAlign w:val="bottom"/>
            <w:tcBorders>
              <w:bottom w:val="single" w:sz="8" w:color="9A9A9A"/>
            </w:tcBorders>
          </w:tcPr>
          <w:p>
            <w:pPr>
              <w:spacing w:after="0"/>
              <w:rPr>
                <w:sz w:val="21"/>
                <w:szCs w:val="21"/>
                <w:color w:val="auto"/>
              </w:rPr>
            </w:pPr>
          </w:p>
        </w:tc>
        <w:tc>
          <w:tcPr>
            <w:tcW w:w="26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6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6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Below is a listing of PSSL’s individual investments as of December 31,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jc w:val="center"/>
              <w:ind w:right="102"/>
              <w:spacing w:after="0"/>
              <w:rPr>
                <w:sz w:val="20"/>
                <w:szCs w:val="20"/>
                <w:color w:val="auto"/>
              </w:rPr>
            </w:pPr>
            <w:r>
              <w:rPr>
                <w:rFonts w:ascii="Arial" w:cs="Arial" w:eastAsia="Arial" w:hAnsi="Arial"/>
                <w:sz w:val="12"/>
                <w:szCs w:val="12"/>
                <w:b w:val="1"/>
                <w:bCs w:val="1"/>
                <w:color w:val="auto"/>
                <w:w w:val="98"/>
              </w:rPr>
              <w:t>Maturity</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Companies—905.5%</w:t>
            </w: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b w:val="1"/>
                <w:bCs w:val="1"/>
                <w:color w:val="auto"/>
              </w:rPr>
              <w:t>First Lien Secured Debt—905.5%</w:t>
            </w:r>
          </w:p>
        </w:tc>
        <w:tc>
          <w:tcPr>
            <w:tcW w:w="1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11/30/2021</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Transportation: Consumer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4,937,028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4,901,256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4,862,972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API Technologies Corp.</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04/22/2024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8.27%</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19,618,504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19,552,250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05/16/2022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10,685,318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10,477,301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10,685,318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Cadence Aerospace,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11/14/2023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9.02%</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11,824,583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11,719,714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11,739,860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11/29/2023</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7,405,542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7,363,839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7,294,458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Challenger Performance Optimization,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08/31/2023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10,387,126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10,287,442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10,231,319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03/31/2023</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4,348,465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4,348,465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3,696,195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Credit Infonet,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03/13/2023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14,634,146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14,634,146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14,634,146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 (15.00% PIK)</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02/03/2020</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402,237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402,237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402,237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DBI Holding,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08/02/2021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7.76%</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12,406,250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12,311,780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12,282,187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19,899,497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19,899,498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19,899,497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Digital Room Holdings,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12/29/2023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7.53%</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16,539,192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16,384,932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16,456,496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12,406,250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12,218,867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12,313,203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Douglas Sewer Intermediate,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8.56%</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8,228,307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8,166,880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8,166,594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05/31/2024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4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7,355,762</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6,828,819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GCOM Software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11/14/2022</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9.98%</w:t>
            </w:r>
          </w:p>
        </w:tc>
        <w:tc>
          <w:tcPr>
            <w:tcW w:w="660" w:type="dxa"/>
            <w:vAlign w:val="bottom"/>
          </w:tcPr>
          <w:p>
            <w:pPr>
              <w:jc w:val="right"/>
              <w:spacing w:after="0"/>
              <w:rPr>
                <w:sz w:val="20"/>
                <w:szCs w:val="20"/>
                <w:color w:val="auto"/>
              </w:rPr>
            </w:pPr>
            <w:r>
              <w:rPr>
                <w:rFonts w:ascii="Arial" w:cs="Arial" w:eastAsia="Arial" w:hAnsi="Arial"/>
                <w:sz w:val="12"/>
                <w:szCs w:val="12"/>
                <w:color w:val="auto"/>
              </w:rPr>
              <w:t>1M L+750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17,845,267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17,696,789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17,845,267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Good2Grow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11/18/2024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3"/>
              </w:rPr>
              <w:t>Beverages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6.88%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12,376,317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Good Source Solutions,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06/29/2023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8.80%</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14,743,125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14,604,136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14,211,145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GSM Holdings,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06/03/2024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17,318,136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17,167,090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17,318,136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IMIA Holdings,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10/28/2024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7.30%</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12,438,299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06/27/2023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9,839,206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12/12/2023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6.32%</w:t>
            </w:r>
          </w:p>
        </w:tc>
        <w:tc>
          <w:tcPr>
            <w:tcW w:w="660" w:type="dxa"/>
            <w:vAlign w:val="bottom"/>
          </w:tcPr>
          <w:p>
            <w:pPr>
              <w:jc w:val="right"/>
              <w:spacing w:after="0"/>
              <w:rPr>
                <w:sz w:val="20"/>
                <w:szCs w:val="20"/>
                <w:color w:val="auto"/>
              </w:rPr>
            </w:pPr>
            <w:r>
              <w:rPr>
                <w:rFonts w:ascii="Arial" w:cs="Arial" w:eastAsia="Arial" w:hAnsi="Arial"/>
                <w:sz w:val="12"/>
                <w:szCs w:val="12"/>
                <w:color w:val="auto"/>
              </w:rPr>
              <w:t>1M L+425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10,949,943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10,452,106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LAV Gear Holdings,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10/31/2024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9,901,831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9,808,745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(3), (4)</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09/12/2022</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10,595,172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10,384,733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08/19/2022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17,955,000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17,796,181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17,865,225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05/01/2023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8.38%</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7,218,750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7,269,670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6,857,813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12/08/2023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6,930,000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6,839,059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6,783,742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01/27/2021</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7.53%</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5,805,254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4,479,619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4,229,192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09/28/2022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6,037,775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5,998,782</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5,994,081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Morphe,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02/10/2023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8.80%</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17,129,826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17,011,267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16,958,528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06/06/2024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14,787,621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14,738,438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Olde Thompson,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05/14/2024</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6.97%</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13,930,000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13,790,700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13,930,000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03/27/2024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7,943,419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7,974,366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7,685,258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Pestell Minerals and Ingredients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06/01/2023</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7.68%</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9,900,678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9,859,229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PH Beauty Holdings III,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09/29/2025</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10,972,500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10,864,573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10,533,600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Plant Health Intermediate, Inc.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1,771,693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1,744,623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1,758,407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Smile Brands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10/14/2024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11,375,000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11,263,781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11,261,250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Snak Club,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07/19/2021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4,624,995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4,624,995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3,931,246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12/01/2022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15,341,053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15,344,147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15,264,348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12/02/2021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7.79%</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10,134,044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10,083,386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9,982,033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04/03/2024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22,417,187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22,208,627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22,193,015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08/30/2024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7.52%</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8,478,750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8,335,698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8,478,750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07/15/2024</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3,980,000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3,914,773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1020" w:type="dxa"/>
            <w:vAlign w:val="bottom"/>
          </w:tcPr>
          <w:p>
            <w:pPr>
              <w:jc w:val="center"/>
              <w:ind w:right="102"/>
              <w:spacing w:after="0"/>
              <w:rPr>
                <w:sz w:val="20"/>
                <w:szCs w:val="20"/>
                <w:color w:val="auto"/>
              </w:rPr>
            </w:pPr>
            <w:r>
              <w:rPr>
                <w:rFonts w:ascii="Arial" w:cs="Arial" w:eastAsia="Arial" w:hAnsi="Arial"/>
                <w:sz w:val="12"/>
                <w:szCs w:val="12"/>
                <w:color w:val="auto"/>
                <w:w w:val="89"/>
              </w:rPr>
              <w:t>09/26/2024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8.87%</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16,307,500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15,992,767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15,981,350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02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9"/>
              </w:rPr>
              <w:t>10/18/2022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4,918,750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4,839,795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020" w:type="dxa"/>
            <w:vAlign w:val="bottom"/>
            <w:tcBorders>
              <w:bottom w:val="single" w:sz="8" w:color="CCECFF"/>
            </w:tcBorders>
          </w:tcPr>
          <w:p>
            <w:pPr>
              <w:jc w:val="center"/>
              <w:ind w:right="102"/>
              <w:spacing w:after="0"/>
              <w:rPr>
                <w:sz w:val="20"/>
                <w:szCs w:val="20"/>
                <w:color w:val="auto"/>
              </w:rPr>
            </w:pPr>
            <w:r>
              <w:rPr>
                <w:rFonts w:ascii="Arial" w:cs="Arial" w:eastAsia="Arial" w:hAnsi="Arial"/>
                <w:sz w:val="12"/>
                <w:szCs w:val="12"/>
                <w:color w:val="auto"/>
                <w:w w:val="89"/>
              </w:rPr>
              <w:t>02/12/2024</w:t>
            </w:r>
          </w:p>
        </w:tc>
        <w:tc>
          <w:tcPr>
            <w:tcW w:w="260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8.28%</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6,732,771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6,705,425</w:t>
            </w: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6,598,116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497,429,939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493,498,304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497,429,939</w:t>
            </w: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493,498,304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Equivalents—13.6%</w:t>
            </w: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5,762,918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5,762,918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2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1,643,778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1,628,015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7,406,696</w:t>
            </w: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7,390,933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Equivalents—919.1%</w:t>
            </w:r>
          </w:p>
        </w:tc>
        <w:tc>
          <w:tcPr>
            <w:tcW w:w="102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504,836,635</w:t>
            </w: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500,889,237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Assets—(819.1)%</w:t>
            </w:r>
          </w:p>
        </w:tc>
        <w:tc>
          <w:tcPr>
            <w:tcW w:w="1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(446,394,081)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20" w:type="dxa"/>
            <w:vAlign w:val="bottom"/>
            <w:tcBorders>
              <w:top w:val="single" w:sz="8" w:color="CCECFF"/>
              <w:bottom w:val="single" w:sz="8" w:color="CCECFF"/>
            </w:tcBorders>
            <w:shd w:val="clear" w:color="auto" w:fill="CCECFF"/>
          </w:tcPr>
          <w:p>
            <w:pPr>
              <w:spacing w:after="0"/>
              <w:rPr>
                <w:sz w:val="12"/>
                <w:szCs w:val="12"/>
                <w:color w:val="auto"/>
              </w:rPr>
            </w:pPr>
          </w:p>
        </w:tc>
        <w:tc>
          <w:tcPr>
            <w:tcW w:w="24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8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66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54,495,156</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5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04/04/2022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5,424,261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11/30/2021</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7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4,910,720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04/22/2024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04/06/2023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05/16/2022</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780" w:type="dxa"/>
            <w:vAlign w:val="bottom"/>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11/14/2023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11/29/2023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780" w:type="dxa"/>
            <w:vAlign w:val="bottom"/>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7,381,442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08/31/2023</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03/31/2023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78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08/02/2021</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10/31/2023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780" w:type="dxa"/>
            <w:vAlign w:val="bottom"/>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12/29/2023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03/29/2022</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780" w:type="dxa"/>
            <w:vAlign w:val="bottom"/>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09/30/2022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05/30/2025</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780" w:type="dxa"/>
            <w:vAlign w:val="bottom"/>
          </w:tcPr>
          <w:p>
            <w:pPr>
              <w:jc w:val="right"/>
              <w:spacing w:after="0"/>
              <w:rPr>
                <w:sz w:val="20"/>
                <w:szCs w:val="20"/>
                <w:color w:val="auto"/>
              </w:rPr>
            </w:pPr>
            <w:r>
              <w:rPr>
                <w:rFonts w:ascii="Arial" w:cs="Arial" w:eastAsia="Arial" w:hAnsi="Arial"/>
                <w:sz w:val="12"/>
                <w:szCs w:val="12"/>
                <w:color w:val="auto"/>
              </w:rPr>
              <w:t>3M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05/31/2024</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780" w:type="dxa"/>
            <w:vAlign w:val="bottom"/>
          </w:tcPr>
          <w:p>
            <w:pPr>
              <w:jc w:val="right"/>
              <w:spacing w:after="0"/>
              <w:rPr>
                <w:sz w:val="20"/>
                <w:szCs w:val="20"/>
                <w:color w:val="auto"/>
              </w:rPr>
            </w:pPr>
            <w:r>
              <w:rPr>
                <w:rFonts w:ascii="Arial" w:cs="Arial" w:eastAsia="Arial" w:hAnsi="Arial"/>
                <w:sz w:val="12"/>
                <w:szCs w:val="12"/>
                <w:color w:val="auto"/>
              </w:rPr>
              <w:t>3M L+750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06/29/2023</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06/03/2024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780" w:type="dxa"/>
            <w:vAlign w:val="bottom"/>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06/27/2023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12/12/2023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780" w:type="dxa"/>
            <w:vAlign w:val="bottom"/>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05/01/2023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7,319,871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78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4,486,587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12/27/2023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09/30/2024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7,359,161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09/28/2022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02/10/2023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78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06/06/2024</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05/14/2024</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03/27/2024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12/01/2022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12/02/2021</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Media: Broadcasting and Subscription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7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04/03/2024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08/30/2024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780" w:type="dxa"/>
            <w:vAlign w:val="bottom"/>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8,352,305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07/15/2024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03/01/2023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4,678,730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10/18/2022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6"/>
              </w:rPr>
              <w:t>02/12/2024</w:t>
            </w:r>
          </w:p>
        </w:tc>
        <w:tc>
          <w:tcPr>
            <w:tcW w:w="262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7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w w:val="99"/>
              </w:rPr>
              <w:t>Total Investments and Cash Equivalents—857.3%</w:t>
            </w:r>
          </w:p>
        </w:tc>
        <w:tc>
          <w:tcPr>
            <w:tcW w:w="1180" w:type="dxa"/>
            <w:vAlign w:val="bottom"/>
            <w:tcBorders>
              <w:bottom w:val="single" w:sz="8" w:color="CCECFF"/>
            </w:tcBorders>
            <w:shd w:val="clear" w:color="auto" w:fill="CCECFF"/>
          </w:tcPr>
          <w:p>
            <w:pPr>
              <w:spacing w:after="0"/>
              <w:rPr>
                <w:sz w:val="12"/>
                <w:szCs w:val="12"/>
                <w:color w:val="auto"/>
              </w:rPr>
            </w:pPr>
          </w:p>
        </w:tc>
        <w:tc>
          <w:tcPr>
            <w:tcW w:w="25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top w:val="single" w:sz="8" w:color="CCECFF"/>
              <w:bottom w:val="single" w:sz="8" w:color="CCECFF"/>
            </w:tcBorders>
            <w:shd w:val="clear" w:color="auto" w:fill="CCECFF"/>
          </w:tcPr>
          <w:p>
            <w:pPr>
              <w:spacing w:after="0"/>
              <w:rPr>
                <w:sz w:val="12"/>
                <w:szCs w:val="12"/>
                <w:color w:val="auto"/>
              </w:rPr>
            </w:pPr>
          </w:p>
        </w:tc>
        <w:tc>
          <w:tcPr>
            <w:tcW w:w="250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78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04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20" w:type="dxa"/>
            <w:vAlign w:val="bottom"/>
          </w:tcPr>
          <w:p>
            <w:pPr>
              <w:jc w:val="center"/>
              <w:ind w:left="168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120" w:type="dxa"/>
            <w:vAlign w:val="bottom"/>
          </w:tcPr>
          <w:p>
            <w:pPr>
              <w:jc w:val="center"/>
              <w:ind w:left="166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0"/>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December 31, 2018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September 30, 2018</w:t>
            </w:r>
          </w:p>
        </w:tc>
      </w:tr>
      <w:tr>
        <w:trPr>
          <w:trHeight w:val="171"/>
        </w:trPr>
        <w:tc>
          <w:tcPr>
            <w:tcW w:w="200" w:type="dxa"/>
            <w:vAlign w:val="bottom"/>
            <w:tcBorders>
              <w:bottom w:val="single" w:sz="8" w:color="CCECFF"/>
            </w:tcBorders>
          </w:tcPr>
          <w:p>
            <w:pPr>
              <w:spacing w:after="0"/>
              <w:rPr>
                <w:sz w:val="14"/>
                <w:szCs w:val="14"/>
                <w:color w:val="auto"/>
              </w:rPr>
            </w:pPr>
          </w:p>
        </w:tc>
        <w:tc>
          <w:tcPr>
            <w:tcW w:w="1920" w:type="dxa"/>
            <w:vAlign w:val="bottom"/>
            <w:tcBorders>
              <w:bottom w:val="single" w:sz="8" w:color="CCECFF"/>
            </w:tcBorders>
          </w:tcPr>
          <w:p>
            <w:pPr>
              <w:spacing w:after="0"/>
              <w:rPr>
                <w:sz w:val="14"/>
                <w:szCs w:val="14"/>
                <w:color w:val="auto"/>
              </w:rPr>
            </w:pPr>
          </w:p>
        </w:tc>
        <w:tc>
          <w:tcPr>
            <w:tcW w:w="512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r>
      <w:tr>
        <w:trPr>
          <w:trHeight w:val="156"/>
        </w:trPr>
        <w:tc>
          <w:tcPr>
            <w:tcW w:w="72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Non-controlled, non-affiliated investments (cost—$497,429,939 and $425,336,210, respectively)</w:t>
            </w:r>
          </w:p>
        </w:tc>
        <w:tc>
          <w:tcPr>
            <w:tcW w:w="620" w:type="dxa"/>
            <w:vAlign w:val="bottom"/>
            <w:gridSpan w:val="3"/>
            <w:shd w:val="clear" w:color="auto" w:fill="CCECFF"/>
          </w:tcPr>
          <w:p>
            <w:pPr>
              <w:ind w:left="5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493,498,304</w:t>
            </w:r>
          </w:p>
        </w:tc>
        <w:tc>
          <w:tcPr>
            <w:tcW w:w="38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Cash and cash equivalents (cost—$7,406,696 and $13,520,127, respectively)</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7,390,933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2,205,506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Receivable for investments sold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8,264,315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2,350,815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shd w:val="clear" w:color="auto" w:fill="CCECFF"/>
          </w:tcPr>
          <w:p>
            <w:pPr>
              <w:spacing w:after="0"/>
              <w:rPr>
                <w:sz w:val="14"/>
                <w:szCs w:val="14"/>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513,709,873</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tcPr>
          <w:p>
            <w:pPr>
              <w:spacing w:after="0"/>
              <w:rPr>
                <w:sz w:val="13"/>
                <w:szCs w:val="13"/>
                <w:color w:val="auto"/>
              </w:rPr>
            </w:pPr>
          </w:p>
        </w:tc>
      </w:tr>
      <w:tr>
        <w:trPr>
          <w:trHeight w:val="156"/>
        </w:trPr>
        <w:tc>
          <w:tcPr>
            <w:tcW w:w="72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PSSL Credit Facility payable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328,141,911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tcPr>
          <w:p>
            <w:pPr>
              <w:spacing w:after="0"/>
              <w:rPr>
                <w:sz w:val="14"/>
                <w:szCs w:val="14"/>
                <w:color w:val="auto"/>
              </w:rPr>
            </w:pP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129,500,000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Interest payable on PSSL Credit Facility</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1,340,014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tcPr>
          <w:p>
            <w:pPr>
              <w:spacing w:after="0"/>
              <w:rPr>
                <w:sz w:val="14"/>
                <w:szCs w:val="14"/>
                <w:color w:val="auto"/>
              </w:rPr>
            </w:pP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38,861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shd w:val="clear" w:color="auto" w:fill="CCECFF"/>
          </w:tcPr>
          <w:p>
            <w:pPr>
              <w:spacing w:after="0"/>
              <w:rPr>
                <w:sz w:val="14"/>
                <w:szCs w:val="14"/>
                <w:color w:val="auto"/>
              </w:rPr>
            </w:pPr>
          </w:p>
        </w:tc>
      </w:tr>
      <w:tr>
        <w:trPr>
          <w:trHeight w:val="162"/>
        </w:trPr>
        <w:tc>
          <w:tcPr>
            <w:tcW w:w="724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Accrued other expenses</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193,931</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tcBorders>
              <w:bottom w:val="single" w:sz="8" w:color="CCECFF"/>
            </w:tcBorders>
          </w:tcPr>
          <w:p>
            <w:pPr>
              <w:spacing w:after="0"/>
              <w:rPr>
                <w:sz w:val="14"/>
                <w:szCs w:val="14"/>
                <w:color w:val="auto"/>
              </w:rPr>
            </w:pPr>
          </w:p>
        </w:tc>
      </w:tr>
      <w:tr>
        <w:trPr>
          <w:trHeight w:val="156"/>
        </w:trPr>
        <w:tc>
          <w:tcPr>
            <w:tcW w:w="200" w:type="dxa"/>
            <w:vAlign w:val="bottom"/>
            <w:shd w:val="clear" w:color="auto" w:fill="CCECFF"/>
          </w:tcPr>
          <w:p>
            <w:pPr>
              <w:spacing w:after="0"/>
              <w:rPr>
                <w:sz w:val="13"/>
                <w:szCs w:val="13"/>
                <w:color w:val="auto"/>
              </w:rPr>
            </w:pPr>
          </w:p>
        </w:tc>
        <w:tc>
          <w:tcPr>
            <w:tcW w:w="704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459,214,717</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shd w:val="clear" w:color="auto" w:fill="CCECFF"/>
          </w:tcPr>
          <w:p>
            <w:pPr>
              <w:spacing w:after="0"/>
              <w:rPr>
                <w:sz w:val="13"/>
                <w:szCs w:val="13"/>
                <w:color w:val="auto"/>
              </w:rPr>
            </w:pPr>
          </w:p>
        </w:tc>
      </w:tr>
      <w:tr>
        <w:trPr>
          <w:trHeight w:val="155"/>
        </w:trPr>
        <w:tc>
          <w:tcPr>
            <w:tcW w:w="7240" w:type="dxa"/>
            <w:vAlign w:val="bottom"/>
            <w:tcBorders>
              <w:bottom w:val="single" w:sz="8" w:color="CCECFF"/>
            </w:tcBorders>
            <w:gridSpan w:val="3"/>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r>
      <w:tr>
        <w:trPr>
          <w:trHeight w:val="156"/>
        </w:trPr>
        <w:tc>
          <w:tcPr>
            <w:tcW w:w="200" w:type="dxa"/>
            <w:vAlign w:val="bottom"/>
            <w:shd w:val="clear" w:color="auto" w:fill="CCECFF"/>
          </w:tcPr>
          <w:p>
            <w:pPr>
              <w:spacing w:after="0"/>
              <w:rPr>
                <w:sz w:val="13"/>
                <w:szCs w:val="13"/>
                <w:color w:val="auto"/>
              </w:rPr>
            </w:pPr>
          </w:p>
        </w:tc>
        <w:tc>
          <w:tcPr>
            <w:tcW w:w="704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54,495,156</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shd w:val="clear" w:color="auto" w:fill="CCECFF"/>
          </w:tcPr>
          <w:p>
            <w:pPr>
              <w:spacing w:after="0"/>
              <w:rPr>
                <w:sz w:val="13"/>
                <w:szCs w:val="13"/>
                <w:color w:val="auto"/>
              </w:rPr>
            </w:pPr>
          </w:p>
        </w:tc>
      </w:tr>
      <w:tr>
        <w:trPr>
          <w:trHeight w:val="155"/>
        </w:trPr>
        <w:tc>
          <w:tcPr>
            <w:tcW w:w="200" w:type="dxa"/>
            <w:vAlign w:val="bottom"/>
          </w:tcPr>
          <w:p>
            <w:pPr>
              <w:spacing w:after="0"/>
              <w:rPr>
                <w:sz w:val="13"/>
                <w:szCs w:val="13"/>
                <w:color w:val="auto"/>
              </w:rPr>
            </w:pPr>
          </w:p>
        </w:tc>
        <w:tc>
          <w:tcPr>
            <w:tcW w:w="7040" w:type="dxa"/>
            <w:vAlign w:val="bottom"/>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513,709,873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6"/>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704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to fund investments as of December 31, 2018 or September 30, 2018.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1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20" w:type="dxa"/>
            <w:vAlign w:val="bottom"/>
          </w:tcPr>
          <w:p>
            <w:pPr>
              <w:jc w:val="center"/>
              <w:ind w:left="168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120" w:type="dxa"/>
            <w:vAlign w:val="bottom"/>
          </w:tcPr>
          <w:p>
            <w:pPr>
              <w:jc w:val="center"/>
              <w:ind w:left="1688"/>
              <w:spacing w:after="0"/>
              <w:rPr>
                <w:sz w:val="20"/>
                <w:szCs w:val="20"/>
                <w:color w:val="auto"/>
              </w:rPr>
            </w:pPr>
            <w:r>
              <w:rPr>
                <w:rFonts w:ascii="Arial" w:cs="Arial" w:eastAsia="Arial" w:hAnsi="Arial"/>
                <w:sz w:val="14"/>
                <w:szCs w:val="14"/>
                <w:b w:val="1"/>
                <w:bCs w:val="1"/>
                <w:color w:val="auto"/>
                <w:w w:val="91"/>
              </w:rPr>
              <w:t>Statements of Operations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120" w:type="dxa"/>
            <w:vAlign w:val="bottom"/>
          </w:tcPr>
          <w:p>
            <w:pPr>
              <w:jc w:val="center"/>
              <w:ind w:left="1668"/>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2017</w:t>
            </w:r>
          </w:p>
        </w:tc>
      </w:tr>
      <w:tr>
        <w:trPr>
          <w:trHeight w:val="156"/>
        </w:trPr>
        <w:tc>
          <w:tcPr>
            <w:tcW w:w="724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480" w:type="dxa"/>
            <w:vAlign w:val="bottom"/>
            <w:gridSpan w:val="2"/>
            <w:shd w:val="clear" w:color="auto" w:fill="CCECFF"/>
          </w:tcPr>
          <w:p>
            <w:pPr>
              <w:jc w:val="right"/>
              <w:ind w:right="115"/>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9,541,567</w:t>
            </w:r>
          </w:p>
        </w:tc>
        <w:tc>
          <w:tcPr>
            <w:tcW w:w="1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1,973,655</w:t>
            </w:r>
          </w:p>
        </w:tc>
        <w:tc>
          <w:tcPr>
            <w:tcW w:w="12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157,913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200" w:type="dxa"/>
            <w:vAlign w:val="bottom"/>
            <w:tcBorders>
              <w:top w:val="single" w:sz="8" w:color="CCECFF"/>
            </w:tcBorders>
            <w:shd w:val="clear" w:color="auto" w:fill="CCECFF"/>
          </w:tcPr>
          <w:p>
            <w:pPr>
              <w:spacing w:after="0"/>
              <w:rPr>
                <w:sz w:val="13"/>
                <w:szCs w:val="13"/>
                <w:color w:val="auto"/>
              </w:rPr>
            </w:pPr>
          </w:p>
        </w:tc>
        <w:tc>
          <w:tcPr>
            <w:tcW w:w="704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9,699,480</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14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1,973,655</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7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4,087,476</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651,537</w:t>
            </w:r>
          </w:p>
        </w:tc>
        <w:tc>
          <w:tcPr>
            <w:tcW w:w="12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color w:val="auto"/>
              </w:rPr>
              <w:t>Interest expense on notes to members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3,220,623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612,297</w:t>
            </w: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Administrative services expenses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CFF"/>
          </w:tcPr>
          <w:p>
            <w:pPr>
              <w:spacing w:after="0"/>
              <w:rPr>
                <w:sz w:val="14"/>
                <w:szCs w:val="14"/>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704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140" w:type="dxa"/>
            <w:vAlign w:val="bottom"/>
            <w:tcBorders>
              <w:bottom w:val="single" w:sz="8" w:color="CCECFF"/>
            </w:tcBorders>
          </w:tcPr>
          <w:p>
            <w:pPr>
              <w:spacing w:after="0"/>
              <w:rPr>
                <w:sz w:val="14"/>
                <w:szCs w:val="14"/>
                <w:color w:val="auto"/>
              </w:rPr>
            </w:pP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351,786</w:t>
            </w:r>
          </w:p>
        </w:tc>
        <w:tc>
          <w:tcPr>
            <w:tcW w:w="120" w:type="dxa"/>
            <w:vAlign w:val="bottom"/>
            <w:tcBorders>
              <w:bottom w:val="single" w:sz="8" w:color="CCECFF"/>
            </w:tcBorders>
          </w:tcPr>
          <w:p>
            <w:pPr>
              <w:spacing w:after="0"/>
              <w:rPr>
                <w:sz w:val="14"/>
                <w:szCs w:val="14"/>
                <w:color w:val="auto"/>
              </w:rPr>
            </w:pPr>
          </w:p>
        </w:tc>
      </w:tr>
      <w:tr>
        <w:trPr>
          <w:trHeight w:val="155"/>
        </w:trPr>
        <w:tc>
          <w:tcPr>
            <w:tcW w:w="200" w:type="dxa"/>
            <w:vAlign w:val="bottom"/>
            <w:shd w:val="clear" w:color="auto" w:fill="CCECFF"/>
          </w:tcPr>
          <w:p>
            <w:pPr>
              <w:spacing w:after="0"/>
              <w:rPr>
                <w:sz w:val="13"/>
                <w:szCs w:val="13"/>
                <w:color w:val="auto"/>
              </w:rPr>
            </w:pPr>
          </w:p>
        </w:tc>
        <w:tc>
          <w:tcPr>
            <w:tcW w:w="704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7,671,749</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1,690,620</w:t>
            </w:r>
          </w:p>
        </w:tc>
        <w:tc>
          <w:tcPr>
            <w:tcW w:w="120" w:type="dxa"/>
            <w:vAlign w:val="bottom"/>
            <w:shd w:val="clear" w:color="auto" w:fill="CCECFF"/>
          </w:tcPr>
          <w:p>
            <w:pPr>
              <w:spacing w:after="0"/>
              <w:rPr>
                <w:sz w:val="13"/>
                <w:szCs w:val="13"/>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2,027,731</w:t>
            </w:r>
          </w:p>
        </w:tc>
        <w:tc>
          <w:tcPr>
            <w:tcW w:w="14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283,035</w:t>
            </w:r>
          </w:p>
        </w:tc>
        <w:tc>
          <w:tcPr>
            <w:tcW w:w="120" w:type="dxa"/>
            <w:vAlign w:val="bottom"/>
            <w:tcBorders>
              <w:bottom w:val="single" w:sz="8" w:color="CCECFF"/>
            </w:tcBorders>
          </w:tcPr>
          <w:p>
            <w:pPr>
              <w:spacing w:after="0"/>
              <w:rPr>
                <w:sz w:val="13"/>
                <w:szCs w:val="13"/>
                <w:color w:val="auto"/>
              </w:rPr>
            </w:pPr>
          </w:p>
        </w:tc>
      </w:tr>
      <w:tr>
        <w:trPr>
          <w:trHeight w:val="155"/>
        </w:trPr>
        <w:tc>
          <w:tcPr>
            <w:tcW w:w="724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credit facility foreign currency translations:</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240" w:type="dxa"/>
            <w:vAlign w:val="bottom"/>
            <w:gridSpan w:val="3"/>
          </w:tcPr>
          <w:p>
            <w:pPr>
              <w:spacing w:after="0"/>
              <w:rPr>
                <w:sz w:val="20"/>
                <w:szCs w:val="20"/>
                <w:color w:val="auto"/>
              </w:rPr>
            </w:pPr>
            <w:r>
              <w:rPr>
                <w:rFonts w:ascii="Arial" w:cs="Arial" w:eastAsia="Arial" w:hAnsi="Arial"/>
                <w:sz w:val="14"/>
                <w:szCs w:val="14"/>
                <w:color w:val="auto"/>
              </w:rPr>
              <w:t>Net realized gain (loss) on investments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258,233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(49,176)</w:t>
            </w:r>
          </w:p>
        </w:tc>
      </w:tr>
      <w:tr>
        <w:trPr>
          <w:trHeight w:val="162"/>
        </w:trPr>
        <w:tc>
          <w:tcPr>
            <w:tcW w:w="72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(4,035,710)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454,362</w:t>
            </w:r>
          </w:p>
        </w:tc>
        <w:tc>
          <w:tcPr>
            <w:tcW w:w="120" w:type="dxa"/>
            <w:vAlign w:val="bottom"/>
          </w:tcPr>
          <w:p>
            <w:pPr>
              <w:spacing w:after="0"/>
              <w:rPr>
                <w:sz w:val="14"/>
                <w:szCs w:val="14"/>
                <w:color w:val="auto"/>
              </w:rPr>
            </w:pPr>
          </w:p>
        </w:tc>
      </w:tr>
      <w:tr>
        <w:trPr>
          <w:trHeight w:val="162"/>
        </w:trPr>
        <w:tc>
          <w:tcPr>
            <w:tcW w:w="200" w:type="dxa"/>
            <w:vAlign w:val="bottom"/>
            <w:shd w:val="clear" w:color="auto" w:fill="CCECFF"/>
          </w:tcPr>
          <w:p>
            <w:pPr>
              <w:spacing w:after="0"/>
              <w:rPr>
                <w:sz w:val="14"/>
                <w:szCs w:val="14"/>
                <w:color w:val="auto"/>
              </w:rPr>
            </w:pPr>
          </w:p>
        </w:tc>
        <w:tc>
          <w:tcPr>
            <w:tcW w:w="704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Credit facility depreciation (appreciation) on foreign currency translations</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847,498</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(324,288)</w:t>
            </w:r>
          </w:p>
        </w:tc>
      </w:tr>
      <w:tr>
        <w:trPr>
          <w:trHeight w:val="133"/>
        </w:trPr>
        <w:tc>
          <w:tcPr>
            <w:tcW w:w="200" w:type="dxa"/>
            <w:vAlign w:val="bottom"/>
          </w:tcPr>
          <w:p>
            <w:pPr>
              <w:spacing w:after="0"/>
              <w:rPr>
                <w:sz w:val="11"/>
                <w:szCs w:val="11"/>
                <w:color w:val="auto"/>
              </w:rPr>
            </w:pPr>
          </w:p>
        </w:tc>
        <w:tc>
          <w:tcPr>
            <w:tcW w:w="70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 foreign currency</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200" w:type="dxa"/>
            <w:vAlign w:val="bottom"/>
          </w:tcPr>
          <w:p>
            <w:pPr>
              <w:spacing w:after="0"/>
              <w:rPr>
                <w:sz w:val="14"/>
                <w:szCs w:val="14"/>
                <w:color w:val="auto"/>
              </w:rPr>
            </w:pPr>
          </w:p>
        </w:tc>
        <w:tc>
          <w:tcPr>
            <w:tcW w:w="704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translations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(3,188,212)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130,074</w:t>
            </w:r>
          </w:p>
        </w:tc>
        <w:tc>
          <w:tcPr>
            <w:tcW w:w="120" w:type="dxa"/>
            <w:vAlign w:val="bottom"/>
          </w:tcPr>
          <w:p>
            <w:pPr>
              <w:spacing w:after="0"/>
              <w:rPr>
                <w:sz w:val="14"/>
                <w:szCs w:val="14"/>
                <w:color w:val="auto"/>
              </w:rPr>
            </w:pPr>
          </w:p>
        </w:tc>
      </w:tr>
      <w:tr>
        <w:trPr>
          <w:trHeight w:val="155"/>
        </w:trPr>
        <w:tc>
          <w:tcPr>
            <w:tcW w:w="724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 currency translations</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(2,929,979)</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14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80,898</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7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(decrease) increase in members' equity resulting from operations</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(902,248)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363,933</w:t>
            </w:r>
          </w:p>
        </w:tc>
        <w:tc>
          <w:tcPr>
            <w:tcW w:w="1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560" w:right="1340" w:hanging="5552"/>
        <w:spacing w:after="0" w:line="575"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13455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45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2018, including borrowings under our Credit Facility,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345.9</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345.9</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133.4</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479.3</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439.3</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85.3</w:t>
            </w:r>
          </w:p>
        </w:tc>
        <w:tc>
          <w:tcPr>
            <w:tcW w:w="240" w:type="dxa"/>
            <w:vAlign w:val="bottom"/>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42.7</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586.5</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482.0</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16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2018, excluding amendment costs and debt issuance costs, was 4.20% exclusive of the fee on the undrawn commitment on the Credit Facility.</w:t>
      </w: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2019,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During both the three months ended December 31, 2018 and 2017, we declared distributions of $0.285 per share, for total distributions of $11.1 million and $10.4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In August 2018, the FASB issued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jc w:val="both"/>
        <w:ind w:right="120" w:firstLine="456"/>
        <w:spacing w:after="0" w:line="238" w:lineRule="auto"/>
        <w:rPr>
          <w:sz w:val="20"/>
          <w:szCs w:val="20"/>
          <w:color w:val="auto"/>
        </w:rPr>
      </w:pPr>
      <w:r>
        <w:rPr>
          <w:rFonts w:ascii="Arial" w:cs="Arial" w:eastAsia="Arial" w:hAnsi="Arial"/>
          <w:sz w:val="14"/>
          <w:szCs w:val="14"/>
          <w:color w:val="auto"/>
        </w:rPr>
        <w:t xml:space="preserve">In August 2018, the SEC issued the Final Rule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80"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2018, our debt portfolio consisted of 100%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6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(5,667)</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5,667</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11,334</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17,121</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22,968</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20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00" w:firstLine="39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2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2018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right="100" w:firstLine="39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60" w:firstLine="39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2018,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4"/>
          <w:szCs w:val="14"/>
          <w:b w:val="1"/>
          <w:bCs w:val="1"/>
          <w:i w:val="1"/>
          <w:iCs w:val="1"/>
          <w:color w:val="auto"/>
        </w:rPr>
        <w:t>Recently passed legislation will allow us to incur additional leverage.</w:t>
      </w:r>
    </w:p>
    <w:p>
      <w:pPr>
        <w:spacing w:after="0" w:line="136" w:lineRule="exact"/>
        <w:rPr>
          <w:sz w:val="20"/>
          <w:szCs w:val="20"/>
          <w:color w:val="auto"/>
        </w:rPr>
      </w:pPr>
    </w:p>
    <w:p>
      <w:pPr>
        <w:ind w:firstLine="394"/>
        <w:spacing w:after="0" w:line="228"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Since on April 5, 2018 our Board has approved such reduction, if we comply with the applicable disclosure requirements, we will be able to incur additional indebtedness on April 5, 2019, which may increase the risk of investing in us.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7" w:lineRule="exact"/>
        <w:rPr>
          <w:sz w:val="20"/>
          <w:szCs w:val="20"/>
          <w:color w:val="auto"/>
        </w:rPr>
      </w:pPr>
    </w:p>
    <w:p>
      <w:pPr>
        <w:ind w:right="400" w:firstLine="394"/>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160" w:firstLine="394"/>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20" w:firstLine="394"/>
        <w:spacing w:after="0" w:line="231" w:lineRule="auto"/>
        <w:rPr>
          <w:sz w:val="20"/>
          <w:szCs w:val="20"/>
          <w:color w:val="auto"/>
        </w:rPr>
      </w:pPr>
      <w:r>
        <w:rPr>
          <w:rFonts w:ascii="Arial" w:cs="Arial" w:eastAsia="Arial" w:hAnsi="Arial"/>
          <w:sz w:val="14"/>
          <w:szCs w:val="14"/>
          <w:color w:val="auto"/>
        </w:rPr>
        <w:t>As a BDC, we are required to meet a 200% asset coverage ratio through April 4, 2019 and 150% thereafter,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120" w:firstLine="394"/>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60" w:firstLine="394"/>
        <w:spacing w:after="0" w:line="244" w:lineRule="auto"/>
        <w:rPr>
          <w:sz w:val="20"/>
          <w:szCs w:val="20"/>
          <w:color w:val="auto"/>
        </w:rPr>
      </w:pPr>
      <w:r>
        <w:rPr>
          <w:rFonts w:ascii="Arial" w:cs="Arial" w:eastAsia="Arial" w:hAnsi="Arial"/>
          <w:sz w:val="13"/>
          <w:szCs w:val="13"/>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firstLine="394"/>
        <w:spacing w:after="0" w:line="242" w:lineRule="auto"/>
        <w:rPr>
          <w:sz w:val="20"/>
          <w:szCs w:val="20"/>
          <w:color w:val="auto"/>
        </w:rPr>
      </w:pPr>
      <w:r>
        <w:rPr>
          <w:rFonts w:ascii="Arial" w:cs="Arial" w:eastAsia="Arial" w:hAnsi="Arial"/>
          <w:sz w:val="13"/>
          <w:szCs w:val="13"/>
          <w:color w:val="auto"/>
        </w:rPr>
        <w:t>Through April 4, 2019, we are not permitted to incur indebtedness unless immediately after such borrowing we have an asset coverage for total borrowings of at least 200% (i.e., the amount of debt may not exceed 50% of the value of our assets). In addition, through such date we may not be permitted to declare any cash distribution on our outstanding common shares, or purchase any such shares, unless, at the time of such declaration or purchase, we have asset coverage of at least 200% after deducting the amount of such distribution or purchase price. If this ratio declines below 200% before April 5, 2019, we may not be able to incur additional debt and may need to sell a portion of our investments to repay some debt when it is disadvantageous to do so, and we may not be able to make distributions. The SBCAA, which was signed into law in March 2018, modifies this section of the 1940 Act and decreases this percentage from 200% to</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150% (subject to either stockholder approval or approval of both a majority of the board of directors and a majority of directors who are not interested persons). 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such date, we will be able to incur additional indebtedness as a result of this new law and therefore, your risk of an investment in us may increase.</w:t>
      </w:r>
    </w:p>
    <w:p>
      <w:pPr>
        <w:spacing w:after="0" w:line="110" w:lineRule="exact"/>
        <w:rPr>
          <w:sz w:val="20"/>
          <w:szCs w:val="20"/>
          <w:color w:val="auto"/>
        </w:rPr>
      </w:pPr>
    </w:p>
    <w:p>
      <w:pPr>
        <w:ind w:right="40" w:firstLine="394"/>
        <w:spacing w:after="0" w:line="238" w:lineRule="auto"/>
        <w:rPr>
          <w:sz w:val="20"/>
          <w:szCs w:val="20"/>
          <w:color w:val="auto"/>
        </w:rPr>
      </w:pPr>
      <w:r>
        <w:rPr>
          <w:rFonts w:ascii="Arial" w:cs="Arial" w:eastAsia="Arial" w:hAnsi="Arial"/>
          <w:sz w:val="14"/>
          <w:szCs w:val="14"/>
          <w:color w:val="auto"/>
        </w:rPr>
        <w:t>As of December 31, 2018 and September 30, 2018, our asset coverage ratio, as computed in accordance with the 1940 Act, was 211% and 215%, respectively. Since our leverage was 90% and 87% of our net assets as of December 31, 2018 and September 30, 2018, respectively, we would have to receive an annual return of at least 2.02% and 1.93%, respectively, to cover annual interest payments.</w:t>
      </w:r>
    </w:p>
    <w:p>
      <w:pPr>
        <w:spacing w:after="0" w:line="115" w:lineRule="exact"/>
        <w:rPr>
          <w:sz w:val="20"/>
          <w:szCs w:val="20"/>
          <w:color w:val="auto"/>
        </w:rPr>
      </w:pPr>
    </w:p>
    <w:p>
      <w:pPr>
        <w:ind w:firstLine="394"/>
        <w:spacing w:after="0" w:line="238" w:lineRule="auto"/>
        <w:rPr>
          <w:sz w:val="20"/>
          <w:szCs w:val="20"/>
          <w:color w:val="auto"/>
        </w:rPr>
      </w:pPr>
      <w:r>
        <w:rPr>
          <w:rFonts w:ascii="Arial" w:cs="Arial" w:eastAsia="Arial" w:hAnsi="Arial"/>
          <w:sz w:val="14"/>
          <w:szCs w:val="14"/>
          <w:color w:val="auto"/>
        </w:rPr>
        <w:t>As of December 31, 2018, we had outstanding borrowings of $350.9 million under our Credit Facility and $138.6 million outstanding under our 2023 Notes. Our consolidated debt outstanding was $489.5 million and had a weighted average annual interest rate at the time of 4.20%, exclusive of the fees on the undrawn commitment on our Credit Facility. To cover the annual interest on our borrowings of $489.5 million outstanding as of December 31, 2018, at the weighted average annual rate of 4.20%, we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2" w:name="page43"/>
    <w:bookmarkEnd w:id="42"/>
    <w:p>
      <w:pPr>
        <w:ind w:right="120"/>
        <w:spacing w:after="0" w:line="290" w:lineRule="auto"/>
        <w:rPr>
          <w:sz w:val="20"/>
          <w:szCs w:val="20"/>
          <w:color w:val="auto"/>
        </w:rPr>
      </w:pPr>
      <w:r>
        <w:rPr>
          <w:rFonts w:ascii="Arial" w:cs="Arial" w:eastAsia="Arial" w:hAnsi="Arial"/>
          <w:sz w:val="13"/>
          <w:szCs w:val="13"/>
          <w:color w:val="auto"/>
        </w:rPr>
        <w:t>would have to receive an annual yield of at least 2.02%.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84" w:lineRule="exact"/>
        <w:rPr>
          <w:sz w:val="20"/>
          <w:szCs w:val="20"/>
          <w:color w:val="auto"/>
        </w:rPr>
      </w:pPr>
    </w:p>
    <w:p>
      <w:pPr>
        <w:ind w:right="120" w:firstLine="394"/>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December 31, 2018 of 47% of total assets (including such borrowed funds), at the current interest rate at the time of 4.20%,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33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3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21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shd w:val="clear" w:color="auto" w:fill="CCECFF"/>
              </w:rPr>
              <w:t>)%</w:t>
            </w:r>
          </w:p>
        </w:tc>
        <w:tc>
          <w:tcPr>
            <w:tcW w:w="13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c>
          <w:tcPr>
            <w:tcW w:w="133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7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r>
      <w:tr>
        <w:trPr>
          <w:trHeight w:val="182"/>
        </w:trPr>
        <w:tc>
          <w:tcPr>
            <w:tcW w:w="374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(23.1)%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3"/>
          <w:szCs w:val="13"/>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60" w:right="240" w:hanging="352"/>
        <w:spacing w:after="0" w:line="255" w:lineRule="auto"/>
        <w:tabs>
          <w:tab w:leader="none" w:pos="360" w:val="left"/>
        </w:tabs>
        <w:numPr>
          <w:ilvl w:val="0"/>
          <w:numId w:val="24"/>
        </w:numPr>
        <w:rPr>
          <w:rFonts w:ascii="Arial" w:cs="Arial" w:eastAsia="Arial" w:hAnsi="Arial"/>
          <w:sz w:val="12"/>
          <w:szCs w:val="12"/>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5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3" w:name="page44"/>
    <w:bookmarkEnd w:id="43"/>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5" w:lineRule="exact"/>
        <w:rPr>
          <w:sz w:val="20"/>
          <w:szCs w:val="20"/>
          <w:color w:val="auto"/>
        </w:rPr>
      </w:pPr>
    </w:p>
    <w:p>
      <w:pPr>
        <w:ind w:left="580" w:hanging="579"/>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6">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6">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7">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7">
        <w:r>
          <w:rPr>
            <w:rFonts w:ascii="Arial" w:cs="Arial" w:eastAsia="Arial" w:hAnsi="Arial"/>
            <w:sz w:val="14"/>
            <w:szCs w:val="14"/>
            <w:u w:val="single" w:color="auto"/>
            <w:color w:val="0000EE"/>
          </w:rPr>
          <w:t>2015).</w:t>
        </w:r>
      </w:hyperlink>
    </w:p>
    <w:p>
      <w:pPr>
        <w:spacing w:after="0" w:line="124"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8">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8">
        <w:r>
          <w:rPr>
            <w:rFonts w:ascii="Arial" w:cs="Arial" w:eastAsia="Arial" w:hAnsi="Arial"/>
            <w:sz w:val="14"/>
            <w:szCs w:val="14"/>
            <w:u w:val="single" w:color="auto"/>
            <w:color w:val="0000EE"/>
          </w:rPr>
          <w:t>170243), filed on April 5, 2011).</w:t>
        </w:r>
      </w:hyperlink>
    </w:p>
    <w:p>
      <w:pPr>
        <w:spacing w:after="0" w:line="205" w:lineRule="exact"/>
        <w:rPr>
          <w:sz w:val="20"/>
          <w:szCs w:val="20"/>
          <w:color w:val="auto"/>
        </w:rPr>
      </w:pPr>
    </w:p>
    <w:p>
      <w:pPr>
        <w:ind w:left="580" w:right="380" w:hanging="579"/>
        <w:spacing w:after="0" w:line="31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4.2</w:t>
      </w:r>
      <w:r>
        <w:rPr>
          <w:sz w:val="20"/>
          <w:szCs w:val="20"/>
          <w:color w:val="auto"/>
        </w:rPr>
        <w:tab/>
      </w:r>
      <w:hyperlink r:id="rId79">
        <w:r>
          <w:rPr>
            <w:rFonts w:ascii="Arial" w:cs="Arial" w:eastAsia="Arial" w:hAnsi="Arial"/>
            <w:sz w:val="14"/>
            <w:szCs w:val="14"/>
            <w:u w:val="single" w:color="auto"/>
            <w:color w:val="0000EE"/>
          </w:rPr>
          <w:t>Deed of Trust dated November 23, 2017, between PennantPark Floating Rate Capital Ltd. and Mishmeret Trust Company, Ltd. (Incorporated by reference to Exhibit (d)(8) to the</w:t>
        </w:r>
      </w:hyperlink>
      <w:r>
        <w:rPr>
          <w:rFonts w:ascii="Arial" w:cs="Arial" w:eastAsia="Arial" w:hAnsi="Arial"/>
          <w:sz w:val="14"/>
          <w:szCs w:val="14"/>
          <w:u w:val="single" w:color="auto"/>
          <w:color w:val="0000EE"/>
        </w:rPr>
        <w:t xml:space="preserve"> </w:t>
      </w:r>
      <w:hyperlink r:id="rId79">
        <w:r>
          <w:rPr>
            <w:rFonts w:ascii="Arial" w:cs="Arial" w:eastAsia="Arial" w:hAnsi="Arial"/>
            <w:sz w:val="14"/>
            <w:szCs w:val="14"/>
            <w:u w:val="single" w:color="auto"/>
            <w:color w:val="0000EE"/>
          </w:rPr>
          <w:t>Registrant’s Post-Effective Amendment No. 3 to the Registration Statement on Form N-2 (File No. 333- 215111), filed on December 13, 2017).</w:t>
        </w:r>
      </w:hyperlink>
    </w:p>
    <w:p>
      <w:pPr>
        <w:spacing w:after="0" w:line="93" w:lineRule="exact"/>
        <w:rPr>
          <w:sz w:val="20"/>
          <w:szCs w:val="20"/>
          <w:color w:val="auto"/>
        </w:rPr>
      </w:pPr>
    </w:p>
    <w:p>
      <w:pPr>
        <w:ind w:left="580" w:right="60" w:hanging="579"/>
        <w:spacing w:after="0" w:line="23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10.1</w:t>
      </w:r>
      <w:r>
        <w:rPr>
          <w:sz w:val="20"/>
          <w:szCs w:val="20"/>
          <w:color w:val="auto"/>
        </w:rPr>
        <w:tab/>
      </w:r>
      <w:hyperlink r:id="rId80">
        <w:r>
          <w:rPr>
            <w:rFonts w:ascii="Arial" w:cs="Arial" w:eastAsia="Arial" w:hAnsi="Arial"/>
            <w:sz w:val="14"/>
            <w:szCs w:val="14"/>
            <w:u w:val="single" w:color="auto"/>
            <w:color w:val="0000EE"/>
          </w:rPr>
          <w:t>Fourth Amended and Restated Revolving Credit and Security Agreement, dated as of October 30, 2018, among PennantPark Floating Rate Funding I, LLC, as borrower, PennantPark</w:t>
        </w:r>
      </w:hyperlink>
      <w:r>
        <w:rPr>
          <w:rFonts w:ascii="Arial" w:cs="Arial" w:eastAsia="Arial" w:hAnsi="Arial"/>
          <w:sz w:val="14"/>
          <w:szCs w:val="14"/>
          <w:u w:val="single" w:color="auto"/>
          <w:color w:val="0000EE"/>
        </w:rPr>
        <w:t xml:space="preserve"> </w:t>
      </w:r>
      <w:hyperlink r:id="rId80">
        <w:r>
          <w:rPr>
            <w:rFonts w:ascii="Arial" w:cs="Arial" w:eastAsia="Arial" w:hAnsi="Arial"/>
            <w:sz w:val="14"/>
            <w:szCs w:val="14"/>
            <w:u w:val="single" w:color="auto"/>
            <w:color w:val="0000EE"/>
          </w:rPr>
          <w:t>Investment Advisers, LLC, as collateral manager, the lenders from time to time parties thereto, SunTrust Bank, as administrative agent, SunTrust Robinson Humphrey, Inc., as lead</w:t>
        </w:r>
      </w:hyperlink>
      <w:r>
        <w:rPr>
          <w:rFonts w:ascii="Arial" w:cs="Arial" w:eastAsia="Arial" w:hAnsi="Arial"/>
          <w:sz w:val="14"/>
          <w:szCs w:val="14"/>
          <w:u w:val="single" w:color="auto"/>
          <w:color w:val="0000EE"/>
        </w:rPr>
        <w:t xml:space="preserve"> </w:t>
      </w:r>
      <w:hyperlink r:id="rId80">
        <w:r>
          <w:rPr>
            <w:rFonts w:ascii="Arial" w:cs="Arial" w:eastAsia="Arial" w:hAnsi="Arial"/>
            <w:sz w:val="14"/>
            <w:szCs w:val="14"/>
            <w:u w:val="single" w:color="auto"/>
            <w:color w:val="0000EE"/>
          </w:rPr>
          <w:t>arranger, and U.S. Bank National Association, as collateral agent, as collateral administrator, as backup collateral manager, and as custodian (Incorporated by reference to Exhibit 10.1</w:t>
        </w:r>
      </w:hyperlink>
      <w:r>
        <w:rPr>
          <w:rFonts w:ascii="Arial" w:cs="Arial" w:eastAsia="Arial" w:hAnsi="Arial"/>
          <w:sz w:val="14"/>
          <w:szCs w:val="14"/>
          <w:u w:val="single" w:color="auto"/>
          <w:color w:val="0000EE"/>
        </w:rPr>
        <w:t xml:space="preserve"> </w:t>
      </w:r>
      <w:hyperlink r:id="rId80">
        <w:r>
          <w:rPr>
            <w:rFonts w:ascii="Arial" w:cs="Arial" w:eastAsia="Arial" w:hAnsi="Arial"/>
            <w:sz w:val="14"/>
            <w:szCs w:val="14"/>
            <w:u w:val="single" w:color="auto"/>
            <w:color w:val="0000EE"/>
          </w:rPr>
          <w:t>to the Registrant’s Current Report on Form 8-K (File No. 814-00891), filed on November 8, 2018).</w:t>
        </w:r>
      </w:hyperlink>
    </w:p>
    <w:p>
      <w:pPr>
        <w:spacing w:after="0" w:line="117" w:lineRule="exact"/>
        <w:rPr>
          <w:rFonts w:ascii="Arial" w:cs="Arial" w:eastAsia="Arial" w:hAnsi="Arial"/>
          <w:sz w:val="14"/>
          <w:szCs w:val="14"/>
          <w:u w:val="single" w:color="auto"/>
          <w:color w:val="0000EE"/>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6">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7">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8">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49">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81">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r>
          <w:rPr>
            <w:rFonts w:ascii="Arial" w:cs="Arial" w:eastAsia="Arial" w:hAnsi="Arial"/>
            <w:sz w:val="13"/>
            <w:szCs w:val="13"/>
            <w:color w:val="0000EE"/>
          </w:rPr>
          <w:t>.</w:t>
        </w:r>
      </w:hyperlink>
    </w:p>
    <w:p>
      <w:pPr>
        <w:spacing w:after="0" w:line="177" w:lineRule="exact"/>
        <w:rPr>
          <w:rFonts w:ascii="Arial" w:cs="Arial" w:eastAsia="Arial" w:hAnsi="Arial"/>
          <w:sz w:val="14"/>
          <w:szCs w:val="14"/>
          <w:u w:val="single" w:color="auto"/>
          <w:color w:val="0000EE"/>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rFonts w:ascii="Arial" w:cs="Arial" w:eastAsia="Arial" w:hAnsi="Arial"/>
          <w:sz w:val="14"/>
          <w:szCs w:val="14"/>
          <w:u w:val="single" w:color="auto"/>
          <w:color w:val="0000EE"/>
        </w:rPr>
      </w:pPr>
    </w:p>
    <w:p>
      <w:pPr>
        <w:spacing w:after="0" w:line="267" w:lineRule="exact"/>
        <w:rPr>
          <w:rFonts w:ascii="Arial" w:cs="Arial" w:eastAsia="Arial" w:hAnsi="Arial"/>
          <w:sz w:val="14"/>
          <w:szCs w:val="14"/>
          <w:u w:val="single" w:color="auto"/>
          <w:color w:val="0000EE"/>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4" w:name="page45"/>
    <w:bookmarkEnd w:id="44"/>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Date: February 6, 2019</w:t>
            </w:r>
          </w:p>
        </w:tc>
        <w:tc>
          <w:tcPr>
            <w:tcW w:w="2160" w:type="dxa"/>
            <w:vAlign w:val="bottom"/>
            <w:vMerge w:val="restart"/>
          </w:tcPr>
          <w:p>
            <w:pPr>
              <w:ind w:left="194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3300" w:type="dxa"/>
            <w:vAlign w:val="bottom"/>
          </w:tcPr>
          <w:p>
            <w:pPr>
              <w:spacing w:after="0"/>
              <w:rPr>
                <w:sz w:val="20"/>
                <w:szCs w:val="20"/>
                <w:color w:val="auto"/>
              </w:rPr>
            </w:pPr>
            <w:r>
              <w:rPr>
                <w:rFonts w:ascii="Arial" w:cs="Arial" w:eastAsia="Arial" w:hAnsi="Arial"/>
                <w:sz w:val="14"/>
                <w:szCs w:val="14"/>
                <w:color w:val="auto"/>
              </w:rPr>
              <w:t>Date: February 6, 2019</w:t>
            </w:r>
          </w:p>
        </w:tc>
        <w:tc>
          <w:tcPr>
            <w:tcW w:w="2160" w:type="dxa"/>
            <w:vAlign w:val="bottom"/>
            <w:vMerge w:val="restart"/>
          </w:tcPr>
          <w:p>
            <w:pPr>
              <w:ind w:left="194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28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940" w:space="720"/>
            <w:col w:w="4320"/>
          </w:cols>
          <w:pgMar w:left="320" w:top="265" w:right="599" w:bottom="1440" w:gutter="0" w:footer="0" w:header="0"/>
          <w:type w:val="continuous"/>
        </w:sect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980"/>
          </w:cols>
          <w:pgMar w:left="320" w:top="265" w:right="59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6, 2019</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6, 2019</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2018, or the Report, of PennantPark Floating Rate Capital Ltd., or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57"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6, 2019</w:t>
      </w:r>
    </w:p>
    <w:p>
      <w:pPr>
        <w:sectPr>
          <w:pgSz w:w="11900" w:h="16838" w:orient="portrait"/>
          <w:cols w:equalWidth="0" w:num="1">
            <w:col w:w="11240"/>
          </w:cols>
          <w:pgMar w:left="320" w:top="33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connection with this Report on Form 10-Q for the three months ended December 31, 2018, or the Report, of PennantPark Floating Rate Capital Ltd., or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57"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6, 2019</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Letter"/>
      <w:start w:val="5"/>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5"/>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76" Type="http://schemas.openxmlformats.org/officeDocument/2006/relationships/hyperlink" Target="http://www.sec.gov/Archives/edgar/data/1504619/000119312511080862/dex99a.htm" TargetMode="External"/><Relationship Id="rId77" Type="http://schemas.openxmlformats.org/officeDocument/2006/relationships/hyperlink" Target="http://www.sec.gov/Archives/edgar/data/1504619/000119312515393212/d59576dex31.htm" TargetMode="External"/><Relationship Id="rId78" Type="http://schemas.openxmlformats.org/officeDocument/2006/relationships/hyperlink" Target="http://www.sec.gov/Archives/edgar/data/1504619/000119312511088977/dex99d.htm" TargetMode="External"/><Relationship Id="rId79" Type="http://schemas.openxmlformats.org/officeDocument/2006/relationships/hyperlink" Target="http://www.sec.gov/Archives/edgar/data/1504619/000119312517368270/d487151dex99d8.htm" TargetMode="External"/><Relationship Id="rId80" Type="http://schemas.openxmlformats.org/officeDocument/2006/relationships/hyperlink" Target="http://www.sec.gov/Archives/edgar/data/1504619/000119312518322533/d642622dex101.htm" TargetMode="External"/><Relationship Id="rId81"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2020-05-05T12:08:17Z</dcterms:created>
  <dcterms:modified xsi:type="dcterms:W3CDTF">2020-05-05T12:08:17Z</dcterms:modified>
</cp:coreProperties>
</file>