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May 9, 2012.</w:t>
      </w:r>
    </w:p>
    <w:p>
      <w:pPr>
        <w:jc w:val="center"/>
        <w:ind w:right="-99"/>
        <w:spacing w:after="0" w:line="223" w:lineRule="auto"/>
        <w:rPr>
          <w:sz w:val="20"/>
          <w:szCs w:val="20"/>
          <w:color w:val="auto"/>
        </w:rPr>
      </w:pPr>
      <w:r>
        <w:rPr>
          <w:rFonts w:ascii="Arial" w:cs="Arial" w:eastAsia="Arial" w:hAnsi="Arial"/>
          <w:sz w:val="14"/>
          <w:szCs w:val="14"/>
          <w:b w:val="1"/>
          <w:bCs w:val="1"/>
          <w:color w:val="auto"/>
        </w:rPr>
        <w:t>Securities Act Registration No. 333-180084</w:t>
      </w:r>
    </w:p>
    <w:p>
      <w:pPr>
        <w:jc w:val="center"/>
        <w:ind w:right="-99"/>
        <w:spacing w:after="0"/>
        <w:rPr>
          <w:sz w:val="20"/>
          <w:szCs w:val="20"/>
          <w:color w:val="auto"/>
        </w:rPr>
      </w:pPr>
      <w:r>
        <w:rPr>
          <w:rFonts w:ascii="Arial" w:cs="Arial" w:eastAsia="Arial" w:hAnsi="Arial"/>
          <w:sz w:val="14"/>
          <w:szCs w:val="14"/>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43180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68580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6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ind w:right="-99"/>
        <w:spacing w:after="0" w:line="207" w:lineRule="exact"/>
        <w:tabs>
          <w:tab w:leader="none" w:pos="18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0" w:lineRule="exact"/>
        <w:rPr>
          <w:sz w:val="24"/>
          <w:szCs w:val="24"/>
          <w:color w:val="auto"/>
        </w:rPr>
      </w:pPr>
    </w:p>
    <w:p>
      <w:pPr>
        <w:jc w:val="center"/>
        <w:ind w:right="-99"/>
        <w:spacing w:after="0" w:line="207" w:lineRule="exact"/>
        <w:rPr>
          <w:sz w:val="20"/>
          <w:szCs w:val="20"/>
          <w:color w:val="auto"/>
        </w:rPr>
      </w:pPr>
      <w:r>
        <w:rPr>
          <w:rFonts w:ascii="Arial" w:cs="Arial" w:eastAsia="Arial" w:hAnsi="Arial"/>
          <w:sz w:val="18"/>
          <w:szCs w:val="18"/>
          <w:b w:val="1"/>
          <w:bCs w:val="1"/>
          <w:color w:val="auto"/>
        </w:rPr>
        <w:t xml:space="preserve">Pre-Effective Amendment No. 1 </w:t>
      </w:r>
      <w:r>
        <w:rPr>
          <w:rFonts w:ascii="MS PGothic" w:cs="MS PGothic" w:eastAsia="MS PGothic" w:hAnsi="MS PGothic"/>
          <w:sz w:val="18"/>
          <w:szCs w:val="18"/>
          <w:color w:val="auto"/>
        </w:rPr>
        <w:t>☒</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128905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590 Madison Avenue</w:t>
      </w:r>
    </w:p>
    <w:p>
      <w:pPr>
        <w:jc w:val="center"/>
        <w:ind w:right="-99"/>
        <w:spacing w:after="0" w:line="223"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1" w:lineRule="auto"/>
        <w:rPr>
          <w:sz w:val="20"/>
          <w:szCs w:val="20"/>
          <w:color w:val="auto"/>
        </w:rPr>
      </w:pPr>
      <w:r>
        <w:rPr>
          <w:rFonts w:ascii="Arial" w:cs="Arial" w:eastAsia="Arial" w:hAnsi="Arial"/>
          <w:sz w:val="14"/>
          <w:szCs w:val="14"/>
          <w:b w:val="1"/>
          <w:bCs w:val="1"/>
          <w:color w:val="auto"/>
        </w:rPr>
        <w:t>1775 I Street, N.W.</w:t>
      </w:r>
    </w:p>
    <w:p>
      <w:pPr>
        <w:jc w:val="center"/>
        <w:ind w:right="-99"/>
        <w:spacing w:after="0" w:line="222" w:lineRule="auto"/>
        <w:rPr>
          <w:sz w:val="20"/>
          <w:szCs w:val="20"/>
          <w:color w:val="auto"/>
        </w:rPr>
      </w:pPr>
      <w:r>
        <w:rPr>
          <w:rFonts w:ascii="Arial" w:cs="Arial" w:eastAsia="Arial" w:hAnsi="Arial"/>
          <w:sz w:val="14"/>
          <w:szCs w:val="14"/>
          <w:b w:val="1"/>
          <w:bCs w:val="1"/>
          <w:color w:val="auto"/>
        </w:rPr>
        <w:t>Washington, DC 20006-2401</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3"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41" w:lineRule="exact"/>
        <w:rPr>
          <w:rFonts w:ascii="MS PGothic" w:cs="MS PGothic" w:eastAsia="MS PGothic" w:hAnsi="MS PGothic"/>
          <w:sz w:val="14"/>
          <w:szCs w:val="14"/>
          <w:color w:val="auto"/>
        </w:rPr>
      </w:pPr>
    </w:p>
    <w:p>
      <w:pPr>
        <w:ind w:left="460"/>
        <w:spacing w:after="0"/>
        <w:rPr>
          <w:rFonts w:ascii="MS PGothic" w:cs="MS PGothic" w:eastAsia="MS PGothic" w:hAnsi="MS PGothic"/>
          <w:sz w:val="14"/>
          <w:szCs w:val="14"/>
          <w:color w:val="auto"/>
        </w:rPr>
      </w:pPr>
      <w:r>
        <w:rPr>
          <w:rFonts w:ascii="Arial" w:cs="Arial" w:eastAsia="Arial" w:hAnsi="Arial"/>
          <w:sz w:val="14"/>
          <w:szCs w:val="14"/>
          <w:color w:val="auto"/>
        </w:rPr>
        <w:t>If appropriate, check the following box:</w:t>
      </w:r>
    </w:p>
    <w:p>
      <w:pPr>
        <w:spacing w:after="0" w:line="16" w:lineRule="exact"/>
        <w:rPr>
          <w:rFonts w:ascii="MS PGothic" w:cs="MS PGothic" w:eastAsia="MS PGothic" w:hAnsi="MS PGothic"/>
          <w:sz w:val="14"/>
          <w:szCs w:val="14"/>
          <w:color w:val="auto"/>
        </w:rPr>
      </w:pPr>
    </w:p>
    <w:p>
      <w:pPr>
        <w:ind w:left="4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67" w:lineRule="exact"/>
        <w:rPr>
          <w:sz w:val="24"/>
          <w:szCs w:val="24"/>
          <w:color w:val="auto"/>
        </w:rPr>
      </w:pPr>
    </w:p>
    <w:p>
      <w:pPr>
        <w:ind w:right="500" w:firstLine="464"/>
        <w:spacing w:after="0" w:line="239" w:lineRule="auto"/>
        <w:tabs>
          <w:tab w:leader="none" w:pos="60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760" w:type="dxa"/>
            <w:vAlign w:val="bottom"/>
            <w:tcBorders>
              <w:top w:val="single" w:sz="8" w:color="auto"/>
              <w:left w:val="single" w:sz="8" w:color="auto"/>
              <w:right w:val="single" w:sz="8" w:color="auto"/>
            </w:tcBorders>
          </w:tcPr>
          <w:p>
            <w:pPr>
              <w:spacing w:after="0"/>
              <w:rPr>
                <w:sz w:val="12"/>
                <w:szCs w:val="12"/>
                <w:color w:val="auto"/>
              </w:rPr>
            </w:pPr>
          </w:p>
        </w:tc>
        <w:tc>
          <w:tcPr>
            <w:tcW w:w="1880" w:type="dxa"/>
            <w:vAlign w:val="bottom"/>
            <w:tcBorders>
              <w:top w:val="single" w:sz="8" w:color="auto"/>
              <w:right w:val="single" w:sz="8" w:color="auto"/>
            </w:tcBorders>
          </w:tcPr>
          <w:p>
            <w:pPr>
              <w:spacing w:after="0"/>
              <w:rPr>
                <w:sz w:val="12"/>
                <w:szCs w:val="12"/>
                <w:color w:val="auto"/>
              </w:rPr>
            </w:pPr>
          </w:p>
        </w:tc>
        <w:tc>
          <w:tcPr>
            <w:tcW w:w="1940" w:type="dxa"/>
            <w:vAlign w:val="bottom"/>
            <w:tcBorders>
              <w:top w:val="single" w:sz="8" w:color="auto"/>
              <w:right w:val="single" w:sz="8" w:color="auto"/>
            </w:tcBorders>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380" w:type="dxa"/>
            <w:vAlign w:val="bottom"/>
            <w:tcBorders>
              <w:top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jc w:val="center"/>
              <w:ind w:right="214"/>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400" w:type="dxa"/>
            <w:vAlign w:val="bottom"/>
            <w:tcBorders>
              <w:top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Borders>
              <w:left w:val="single" w:sz="8" w:color="auto"/>
              <w:right w:val="single" w:sz="8" w:color="auto"/>
            </w:tcBorders>
          </w:tcPr>
          <w:p>
            <w:pPr>
              <w:ind w:left="74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880" w:type="dxa"/>
            <w:vAlign w:val="bottom"/>
            <w:tcBorders>
              <w:right w:val="single" w:sz="8" w:color="auto"/>
            </w:tcBorders>
          </w:tcPr>
          <w:p>
            <w:pPr>
              <w:jc w:val="right"/>
              <w:ind w:right="332"/>
              <w:spacing w:after="0" w:line="148" w:lineRule="exact"/>
              <w:rPr>
                <w:sz w:val="20"/>
                <w:szCs w:val="20"/>
                <w:color w:val="auto"/>
              </w:rPr>
            </w:pPr>
            <w:r>
              <w:rPr>
                <w:rFonts w:ascii="Arial" w:cs="Arial" w:eastAsia="Arial" w:hAnsi="Arial"/>
                <w:sz w:val="14"/>
                <w:szCs w:val="14"/>
                <w:b w:val="1"/>
                <w:bCs w:val="1"/>
                <w:color w:val="auto"/>
              </w:rPr>
              <w:t>Amount Being</w:t>
            </w:r>
          </w:p>
        </w:tc>
        <w:tc>
          <w:tcPr>
            <w:tcW w:w="1940" w:type="dxa"/>
            <w:vAlign w:val="bottom"/>
            <w:tcBorders>
              <w:right w:val="single" w:sz="8" w:color="auto"/>
            </w:tcBorders>
          </w:tcPr>
          <w:p>
            <w:pPr>
              <w:jc w:val="center"/>
              <w:ind w:left="132"/>
              <w:spacing w:after="0" w:line="148" w:lineRule="exact"/>
              <w:rPr>
                <w:sz w:val="20"/>
                <w:szCs w:val="20"/>
                <w:color w:val="auto"/>
              </w:rPr>
            </w:pPr>
            <w:r>
              <w:rPr>
                <w:rFonts w:ascii="Arial" w:cs="Arial" w:eastAsia="Arial" w:hAnsi="Arial"/>
                <w:sz w:val="14"/>
                <w:szCs w:val="14"/>
                <w:b w:val="1"/>
                <w:bCs w:val="1"/>
                <w:color w:val="auto"/>
                <w:w w:val="88"/>
              </w:rPr>
              <w:t>Offering Price</w:t>
            </w:r>
          </w:p>
        </w:tc>
        <w:tc>
          <w:tcPr>
            <w:tcW w:w="380" w:type="dxa"/>
            <w:vAlign w:val="bottom"/>
          </w:tcPr>
          <w:p>
            <w:pPr>
              <w:spacing w:after="0"/>
              <w:rPr>
                <w:sz w:val="12"/>
                <w:szCs w:val="12"/>
                <w:color w:val="auto"/>
              </w:rPr>
            </w:pPr>
          </w:p>
        </w:tc>
        <w:tc>
          <w:tcPr>
            <w:tcW w:w="1540" w:type="dxa"/>
            <w:vAlign w:val="bottom"/>
            <w:tcBorders>
              <w:right w:val="single" w:sz="8" w:color="auto"/>
            </w:tcBorders>
          </w:tcPr>
          <w:p>
            <w:pPr>
              <w:jc w:val="center"/>
              <w:ind w:right="234"/>
              <w:spacing w:after="0" w:line="148" w:lineRule="exact"/>
              <w:rPr>
                <w:sz w:val="20"/>
                <w:szCs w:val="20"/>
                <w:color w:val="auto"/>
              </w:rPr>
            </w:pPr>
            <w:r>
              <w:rPr>
                <w:rFonts w:ascii="Arial" w:cs="Arial" w:eastAsia="Arial" w:hAnsi="Arial"/>
                <w:sz w:val="14"/>
                <w:szCs w:val="14"/>
                <w:b w:val="1"/>
                <w:bCs w:val="1"/>
                <w:color w:val="auto"/>
                <w:w w:val="86"/>
              </w:rPr>
              <w:t>Aggregate</w:t>
            </w:r>
          </w:p>
        </w:tc>
        <w:tc>
          <w:tcPr>
            <w:tcW w:w="400" w:type="dxa"/>
            <w:vAlign w:val="bottom"/>
          </w:tcPr>
          <w:p>
            <w:pPr>
              <w:spacing w:after="0"/>
              <w:rPr>
                <w:sz w:val="12"/>
                <w:szCs w:val="12"/>
                <w:color w:val="auto"/>
              </w:rPr>
            </w:pPr>
          </w:p>
        </w:tc>
        <w:tc>
          <w:tcPr>
            <w:tcW w:w="1620" w:type="dxa"/>
            <w:vAlign w:val="bottom"/>
            <w:tcBorders>
              <w:right w:val="single" w:sz="8" w:color="auto"/>
            </w:tcBorders>
          </w:tcPr>
          <w:p>
            <w:pPr>
              <w:jc w:val="center"/>
              <w:ind w:right="334"/>
              <w:spacing w:after="0" w:line="148"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6"/>
        </w:trPr>
        <w:tc>
          <w:tcPr>
            <w:tcW w:w="2760" w:type="dxa"/>
            <w:vAlign w:val="bottom"/>
            <w:tcBorders>
              <w:left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4"/>
                <w:szCs w:val="14"/>
                <w:b w:val="1"/>
                <w:bCs w:val="1"/>
                <w:color w:val="auto"/>
              </w:rPr>
              <w:t>Registered</w:t>
            </w:r>
          </w:p>
        </w:tc>
        <w:tc>
          <w:tcPr>
            <w:tcW w:w="188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Registered</w:t>
            </w:r>
          </w:p>
        </w:tc>
        <w:tc>
          <w:tcPr>
            <w:tcW w:w="194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93"/>
              </w:rPr>
              <w:t>Per Unit</w:t>
            </w: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ind w:right="234"/>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center"/>
              <w:ind w:right="354"/>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22"/>
                <w:szCs w:val="22"/>
                <w:color w:val="auto"/>
                <w:vertAlign w:val="superscript"/>
              </w:rPr>
              <w:t>(2)</w:t>
            </w:r>
          </w:p>
        </w:tc>
        <w:tc>
          <w:tcPr>
            <w:tcW w:w="1880" w:type="dxa"/>
            <w:vAlign w:val="bottom"/>
            <w:tcBorders>
              <w:right w:val="single" w:sz="8" w:color="auto"/>
            </w:tcBorders>
          </w:tcPr>
          <w:p>
            <w:pPr>
              <w:jc w:val="right"/>
              <w:ind w:right="1452"/>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vMerge w:val="restart"/>
          </w:tcPr>
          <w:p>
            <w:pPr>
              <w:jc w:val="right"/>
              <w:ind w:right="151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vMerge w:val="continue"/>
          </w:tcPr>
          <w:p>
            <w:pPr>
              <w:spacing w:after="0"/>
              <w:rPr>
                <w:sz w:val="2"/>
                <w:szCs w:val="2"/>
                <w:color w:val="auto"/>
              </w:rPr>
            </w:pPr>
          </w:p>
        </w:tc>
        <w:tc>
          <w:tcPr>
            <w:tcW w:w="380" w:type="dxa"/>
            <w:vAlign w:val="bottom"/>
            <w:tcBorders>
              <w:bottom w:val="single" w:sz="8" w:color="auto"/>
            </w:tcBorders>
            <w:vMerge w:val="continue"/>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vMerge w:val="continue"/>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1880" w:type="dxa"/>
            <w:vAlign w:val="bottom"/>
            <w:tcBorders>
              <w:right w:val="single" w:sz="8" w:color="auto"/>
            </w:tcBorders>
            <w:vMerge w:val="restart"/>
          </w:tcPr>
          <w:p>
            <w:pPr>
              <w:jc w:val="right"/>
              <w:ind w:right="1452"/>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vMerge w:val="restart"/>
          </w:tcPr>
          <w:p>
            <w:pPr>
              <w:jc w:val="right"/>
              <w:ind w:right="151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150,000,000</w:t>
            </w:r>
            <w:r>
              <w:rPr>
                <w:rFonts w:ascii="Arial" w:cs="Arial" w:eastAsia="Arial" w:hAnsi="Arial"/>
                <w:sz w:val="22"/>
                <w:szCs w:val="22"/>
                <w:color w:val="auto"/>
                <w:vertAlign w:val="superscript"/>
              </w:rPr>
              <w:t>(5)</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14"/>
                <w:szCs w:val="14"/>
                <w:color w:val="auto"/>
              </w:rPr>
              <w:t>17,190</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25"/>
        </w:trPr>
        <w:tc>
          <w:tcPr>
            <w:tcW w:w="2760" w:type="dxa"/>
            <w:vAlign w:val="bottom"/>
            <w:tcBorders>
              <w:left w:val="single" w:sz="8" w:color="auto"/>
              <w:bottom w:val="single" w:sz="8" w:color="auto"/>
              <w:right w:val="single" w:sz="8" w:color="auto"/>
            </w:tcBorders>
          </w:tcPr>
          <w:p>
            <w:pPr>
              <w:spacing w:after="0"/>
              <w:rPr>
                <w:sz w:val="10"/>
                <w:szCs w:val="10"/>
                <w:color w:val="auto"/>
              </w:rPr>
            </w:pPr>
          </w:p>
        </w:tc>
        <w:tc>
          <w:tcPr>
            <w:tcW w:w="1880" w:type="dxa"/>
            <w:vAlign w:val="bottom"/>
            <w:tcBorders>
              <w:bottom w:val="single" w:sz="8" w:color="auto"/>
              <w:right w:val="single" w:sz="8" w:color="auto"/>
            </w:tcBorders>
            <w:vMerge w:val="continue"/>
          </w:tcPr>
          <w:p>
            <w:pPr>
              <w:spacing w:after="0"/>
              <w:rPr>
                <w:sz w:val="10"/>
                <w:szCs w:val="10"/>
                <w:color w:val="auto"/>
              </w:rPr>
            </w:pPr>
          </w:p>
        </w:tc>
        <w:tc>
          <w:tcPr>
            <w:tcW w:w="1940" w:type="dxa"/>
            <w:vAlign w:val="bottom"/>
            <w:tcBorders>
              <w:bottom w:val="single" w:sz="8" w:color="auto"/>
              <w:right w:val="single" w:sz="8" w:color="auto"/>
            </w:tcBorders>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5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8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6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$150,000,000.</w:t>
      </w:r>
    </w:p>
    <w:p>
      <w:pPr>
        <w:spacing w:after="0" w:line="12" w:lineRule="exact"/>
        <w:rPr>
          <w:rFonts w:ascii="Arial" w:cs="Arial" w:eastAsia="Arial" w:hAnsi="Arial"/>
          <w:sz w:val="12"/>
          <w:szCs w:val="12"/>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$150,000,000.</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67" w:lineRule="exact"/>
        <w:rPr>
          <w:sz w:val="20"/>
          <w:szCs w:val="20"/>
          <w:color w:val="auto"/>
        </w:rPr>
      </w:pPr>
    </w:p>
    <w:p>
      <w:pPr>
        <w:ind w:right="36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242570</wp:posOffset>
            </wp:positionV>
            <wp:extent cx="238379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94"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PennantPark Floating Rate Capital Ltd. is a closed-end, externally managed, non-diversified investment company that has elected to be treated as a business development company, or BDC, under the Investment Company Act of 1940, as amended, or the 1940 Act.</w:t>
      </w:r>
    </w:p>
    <w:p>
      <w:pPr>
        <w:spacing w:after="0" w:line="58"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69"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We may offer, from time to time, in one or more offerings or series, together or separately, up to $150,000,000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7 and “Sales of Common Stock Below Net Asset Value” on page 41 of this prospectus for more information.</w:t>
      </w:r>
    </w:p>
    <w:p>
      <w:pPr>
        <w:spacing w:after="0" w:line="46"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Our common stock has been approved for quotation on the NASDAQ Global Select Market under the symbol “PFLT.” The last reported closing price for our common stock on May 8, 2012 was $11.90 per share, and our net asset value on March 31, 2012 was $14.12 per share.</w:t>
      </w:r>
    </w:p>
    <w:p>
      <w:pPr>
        <w:spacing w:after="0" w:line="58"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using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r>
        <w:rPr>
          <w:rFonts w:ascii="Arial" w:cs="Arial" w:eastAsia="Arial" w:hAnsi="Arial"/>
          <w:sz w:val="12"/>
          <w:szCs w:val="12"/>
          <w:color w:val="auto"/>
        </w:rPr>
        <w:t xml:space="preserve"> The information on our website is not incorporated by reference into this prospectus. The SEC also maintains a website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0"/>
          <w:szCs w:val="20"/>
          <w:color w:val="auto"/>
        </w:rPr>
      </w:pPr>
    </w:p>
    <w:p>
      <w:pPr>
        <w:ind w:right="160" w:firstLine="456"/>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2">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right="200"/>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prospectus may not be used to consummate sales of securities unless accompanied by a prospectus supplement.</w:t>
      </w:r>
    </w:p>
    <w:p>
      <w:pPr>
        <w:spacing w:after="0" w:line="69" w:lineRule="exact"/>
        <w:rPr>
          <w:sz w:val="20"/>
          <w:szCs w:val="20"/>
          <w:color w:val="auto"/>
        </w:rPr>
      </w:pPr>
    </w:p>
    <w:p>
      <w:pPr>
        <w:ind w:left="4980"/>
        <w:spacing w:after="0"/>
        <w:tabs>
          <w:tab w:leader="none" w:pos="6080" w:val="left"/>
        </w:tabs>
        <w:rPr>
          <w:sz w:val="20"/>
          <w:szCs w:val="20"/>
          <w:color w:val="auto"/>
        </w:rPr>
      </w:pPr>
      <w:r>
        <w:rPr>
          <w:rFonts w:ascii="Arial" w:cs="Arial" w:eastAsia="Arial" w:hAnsi="Arial"/>
          <w:sz w:val="14"/>
          <w:szCs w:val="14"/>
          <w:b w:val="1"/>
          <w:bCs w:val="1"/>
          <w:color w:val="auto"/>
        </w:rPr>
        <w:t>Prospectus dated</w:t>
      </w:r>
      <w:r>
        <w:rPr>
          <w:sz w:val="20"/>
          <w:szCs w:val="20"/>
          <w:color w:val="auto"/>
        </w:rPr>
        <w:tab/>
      </w:r>
      <w:r>
        <w:rPr>
          <w:rFonts w:ascii="Arial" w:cs="Arial" w:eastAsia="Arial" w:hAnsi="Arial"/>
          <w:sz w:val="12"/>
          <w:szCs w:val="12"/>
          <w:b w:val="1"/>
          <w:bCs w:val="1"/>
          <w:color w:val="auto"/>
        </w:rPr>
        <w:t>, 2012</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340" w:type="dxa"/>
            <w:vAlign w:val="bottom"/>
            <w:gridSpan w:val="2"/>
          </w:tcPr>
          <w:p>
            <w:pPr>
              <w:ind w:left="540"/>
              <w:spacing w:after="0"/>
              <w:rPr>
                <w:sz w:val="20"/>
                <w:szCs w:val="20"/>
                <w:color w:val="auto"/>
              </w:rPr>
            </w:pPr>
            <w:r>
              <w:rPr>
                <w:rFonts w:ascii="Arial" w:cs="Arial" w:eastAsia="Arial" w:hAnsi="Arial"/>
                <w:sz w:val="14"/>
                <w:szCs w:val="14"/>
                <w:b w:val="1"/>
                <w:bCs w:val="1"/>
                <w:color w:val="auto"/>
              </w:rPr>
              <w:t>TABLE OF CONTENTS</w:t>
            </w:r>
          </w:p>
        </w:tc>
        <w:tc>
          <w:tcPr>
            <w:tcW w:w="560" w:type="dxa"/>
            <w:vAlign w:val="bottom"/>
          </w:tcPr>
          <w:p>
            <w:pPr>
              <w:spacing w:after="0"/>
              <w:rPr>
                <w:sz w:val="15"/>
                <w:szCs w:val="15"/>
                <w:color w:val="auto"/>
              </w:rPr>
            </w:pPr>
          </w:p>
        </w:tc>
      </w:tr>
      <w:tr>
        <w:trPr>
          <w:trHeight w:val="338"/>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83"/>
        </w:trPr>
        <w:tc>
          <w:tcPr>
            <w:tcW w:w="1580" w:type="dxa"/>
            <w:vAlign w:val="bottom"/>
            <w:tcBorders>
              <w:bottom w:val="single" w:sz="8" w:color="0000EE"/>
            </w:tcBorders>
            <w:gridSpan w:val="11"/>
          </w:tcPr>
          <w:p>
            <w:pPr>
              <w:spacing w:after="0"/>
              <w:rPr>
                <w:rFonts w:ascii="Arial" w:cs="Arial" w:eastAsia="Arial" w:hAnsi="Arial"/>
                <w:sz w:val="14"/>
                <w:szCs w:val="14"/>
                <w:color w:val="0000EE"/>
                <w:w w:val="90"/>
              </w:rPr>
            </w:pPr>
            <w:hyperlink w:anchor="page6">
              <w:r>
                <w:rPr>
                  <w:rFonts w:ascii="Arial" w:cs="Arial" w:eastAsia="Arial" w:hAnsi="Arial"/>
                  <w:sz w:val="14"/>
                  <w:szCs w:val="14"/>
                  <w:color w:val="0000EE"/>
                  <w:w w:val="90"/>
                </w:rPr>
                <w:t>PROSPECTUS SUMMARY</w:t>
              </w:r>
            </w:hyperlink>
          </w:p>
        </w:tc>
        <w:tc>
          <w:tcPr>
            <w:tcW w:w="9220" w:type="dxa"/>
            <w:vAlign w:val="bottom"/>
            <w:gridSpan w:val="22"/>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w:t>
            </w:r>
          </w:p>
        </w:tc>
      </w:tr>
      <w:tr>
        <w:trPr>
          <w:trHeight w:val="196"/>
        </w:trPr>
        <w:tc>
          <w:tcPr>
            <w:tcW w:w="1360" w:type="dxa"/>
            <w:vAlign w:val="bottom"/>
            <w:tcBorders>
              <w:bottom w:val="single" w:sz="8" w:color="0000EE"/>
            </w:tcBorders>
            <w:gridSpan w:val="9"/>
          </w:tcPr>
          <w:p>
            <w:pPr>
              <w:spacing w:after="0"/>
              <w:rPr>
                <w:rFonts w:ascii="Arial" w:cs="Arial" w:eastAsia="Arial" w:hAnsi="Arial"/>
                <w:sz w:val="14"/>
                <w:szCs w:val="14"/>
                <w:color w:val="0000EE"/>
                <w:w w:val="89"/>
              </w:rPr>
            </w:pPr>
            <w:hyperlink w:anchor="page10">
              <w:r>
                <w:rPr>
                  <w:rFonts w:ascii="Arial" w:cs="Arial" w:eastAsia="Arial" w:hAnsi="Arial"/>
                  <w:sz w:val="14"/>
                  <w:szCs w:val="14"/>
                  <w:color w:val="0000EE"/>
                  <w:w w:val="89"/>
                </w:rPr>
                <w:t>FEES AND EXPENSES</w:t>
              </w:r>
            </w:hyperlink>
          </w:p>
        </w:tc>
        <w:tc>
          <w:tcPr>
            <w:tcW w:w="9440" w:type="dxa"/>
            <w:vAlign w:val="bottom"/>
            <w:gridSpan w:val="2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2">
              <w:r>
                <w:rPr>
                  <w:rFonts w:ascii="Arial" w:cs="Arial" w:eastAsia="Arial" w:hAnsi="Arial"/>
                  <w:sz w:val="14"/>
                  <w:szCs w:val="14"/>
                  <w:color w:val="0000EE"/>
                </w:rPr>
                <w:t>RISK FACTORS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FORWARD-LOOKING STATEMENTS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23</w:t>
            </w:r>
          </w:p>
        </w:tc>
      </w:tr>
      <w:tr>
        <w:trPr>
          <w:trHeight w:val="196"/>
        </w:trPr>
        <w:tc>
          <w:tcPr>
            <w:tcW w:w="120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87"/>
              </w:rPr>
            </w:pPr>
            <w:hyperlink w:anchor="page29">
              <w:r>
                <w:rPr>
                  <w:rFonts w:ascii="Arial" w:cs="Arial" w:eastAsia="Arial" w:hAnsi="Arial"/>
                  <w:sz w:val="14"/>
                  <w:szCs w:val="14"/>
                  <w:color w:val="0000EE"/>
                  <w:w w:val="87"/>
                </w:rPr>
                <w:t>USE OF PROCEEDS</w:t>
              </w:r>
            </w:hyperlink>
          </w:p>
        </w:tc>
        <w:tc>
          <w:tcPr>
            <w:tcW w:w="1000" w:type="dxa"/>
            <w:vAlign w:val="bottom"/>
            <w:tcBorders>
              <w:top w:val="single" w:sz="8" w:color="0000EE"/>
            </w:tcBorders>
            <w:gridSpan w:val="9"/>
          </w:tcPr>
          <w:p>
            <w:pPr>
              <w:spacing w:after="0"/>
              <w:rPr>
                <w:sz w:val="17"/>
                <w:szCs w:val="17"/>
                <w:color w:val="auto"/>
              </w:rPr>
            </w:pPr>
          </w:p>
        </w:tc>
        <w:tc>
          <w:tcPr>
            <w:tcW w:w="8600" w:type="dxa"/>
            <w:vAlign w:val="bottom"/>
            <w:gridSpan w:val="1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24</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30">
              <w:r>
                <w:rPr>
                  <w:rFonts w:ascii="Arial" w:cs="Arial" w:eastAsia="Arial" w:hAnsi="Arial"/>
                  <w:sz w:val="14"/>
                  <w:szCs w:val="14"/>
                  <w:color w:val="0000EE"/>
                </w:rPr>
                <w:t>SELECTED FINANCIAL DATA</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25</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32"/>
          </w:tcPr>
          <w:p>
            <w:pPr>
              <w:spacing w:after="0"/>
              <w:rPr>
                <w:rFonts w:ascii="Arial" w:cs="Arial" w:eastAsia="Arial" w:hAnsi="Arial"/>
                <w:sz w:val="14"/>
                <w:szCs w:val="14"/>
                <w:color w:val="0000EE"/>
                <w:w w:val="93"/>
              </w:rPr>
            </w:pPr>
            <w:hyperlink w:anchor="page32">
              <w:r>
                <w:rPr>
                  <w:rFonts w:ascii="Arial" w:cs="Arial" w:eastAsia="Arial" w:hAnsi="Arial"/>
                  <w:sz w:val="14"/>
                  <w:szCs w:val="14"/>
                  <w:color w:val="0000EE"/>
                  <w:w w:val="93"/>
                </w:rPr>
                <w:t>MANAGEMENT’S DISCUSSION AND ANALYSIS OF FINANCIAL CONDITION AND RESULTS OF OPERATIONS</w:t>
              </w:r>
            </w:hyperlink>
          </w:p>
        </w:tc>
        <w:tc>
          <w:tcPr>
            <w:tcW w:w="4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27</w:t>
            </w:r>
          </w:p>
        </w:tc>
      </w:tr>
      <w:tr>
        <w:trPr>
          <w:trHeight w:val="196"/>
        </w:trPr>
        <w:tc>
          <w:tcPr>
            <w:tcW w:w="1300" w:type="dxa"/>
            <w:vAlign w:val="bottom"/>
            <w:tcBorders>
              <w:bottom w:val="single" w:sz="8" w:color="0000EE"/>
            </w:tcBorders>
            <w:gridSpan w:val="8"/>
          </w:tcPr>
          <w:p>
            <w:pPr>
              <w:spacing w:after="0"/>
              <w:rPr>
                <w:rFonts w:ascii="Arial" w:cs="Arial" w:eastAsia="Arial" w:hAnsi="Arial"/>
                <w:sz w:val="14"/>
                <w:szCs w:val="14"/>
                <w:color w:val="0000EE"/>
                <w:w w:val="90"/>
              </w:rPr>
            </w:pPr>
            <w:hyperlink w:anchor="page43">
              <w:r>
                <w:rPr>
                  <w:rFonts w:ascii="Arial" w:cs="Arial" w:eastAsia="Arial" w:hAnsi="Arial"/>
                  <w:sz w:val="14"/>
                  <w:szCs w:val="14"/>
                  <w:color w:val="0000EE"/>
                  <w:w w:val="90"/>
                </w:rPr>
                <w:t>SENIOR SECURITIES</w:t>
              </w:r>
            </w:hyperlink>
          </w:p>
        </w:tc>
        <w:tc>
          <w:tcPr>
            <w:tcW w:w="9500" w:type="dxa"/>
            <w:vAlign w:val="bottom"/>
            <w:gridSpan w:val="2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38</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OBLIGATIONS AND INDEBTEDNESS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39</w:t>
            </w:r>
          </w:p>
        </w:tc>
      </w:tr>
      <w:tr>
        <w:trPr>
          <w:trHeight w:val="196"/>
        </w:trPr>
        <w:tc>
          <w:tcPr>
            <w:tcW w:w="2260" w:type="dxa"/>
            <w:vAlign w:val="bottom"/>
            <w:tcBorders>
              <w:top w:val="single" w:sz="8" w:color="0000EE"/>
            </w:tcBorders>
            <w:gridSpan w:val="18"/>
          </w:tcPr>
          <w:p>
            <w:pPr>
              <w:spacing w:after="0"/>
              <w:rPr>
                <w:rFonts w:ascii="Arial" w:cs="Arial" w:eastAsia="Arial" w:hAnsi="Arial"/>
                <w:sz w:val="14"/>
                <w:szCs w:val="14"/>
                <w:color w:val="0000EE"/>
                <w:w w:val="92"/>
              </w:rPr>
            </w:pPr>
            <w:hyperlink w:anchor="page45">
              <w:r>
                <w:rPr>
                  <w:rFonts w:ascii="Arial" w:cs="Arial" w:eastAsia="Arial" w:hAnsi="Arial"/>
                  <w:sz w:val="14"/>
                  <w:szCs w:val="14"/>
                  <w:color w:val="0000EE"/>
                  <w:w w:val="92"/>
                </w:rPr>
                <w:t>PRICE RANGE OF COMMON STOCK</w:t>
              </w:r>
            </w:hyperlink>
          </w:p>
        </w:tc>
        <w:tc>
          <w:tcPr>
            <w:tcW w:w="8540" w:type="dxa"/>
            <w:vAlign w:val="bottom"/>
            <w:gridSpan w:val="1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40</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SALES OF COMMON STOCK BELOW NET ASSET VALUE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41</w:t>
            </w:r>
          </w:p>
        </w:tc>
      </w:tr>
      <w:tr>
        <w:trPr>
          <w:trHeight w:val="196"/>
        </w:trPr>
        <w:tc>
          <w:tcPr>
            <w:tcW w:w="3480" w:type="dxa"/>
            <w:vAlign w:val="bottom"/>
            <w:tcBorders>
              <w:top w:val="single" w:sz="8" w:color="0000EE"/>
            </w:tcBorders>
            <w:gridSpan w:val="28"/>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DISTRIBUTIONS</w:t>
              </w:r>
            </w:hyperlink>
          </w:p>
        </w:tc>
        <w:tc>
          <w:tcPr>
            <w:tcW w:w="7320" w:type="dxa"/>
            <w:vAlign w:val="bottom"/>
            <w:gridSpan w:val="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45</w:t>
            </w:r>
          </w:p>
        </w:tc>
      </w:tr>
      <w:tr>
        <w:trPr>
          <w:trHeight w:val="196"/>
        </w:trPr>
        <w:tc>
          <w:tcPr>
            <w:tcW w:w="1020" w:type="dxa"/>
            <w:vAlign w:val="bottom"/>
            <w:tcBorders>
              <w:top w:val="single" w:sz="8" w:color="0000EE"/>
            </w:tcBorders>
            <w:gridSpan w:val="5"/>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BUSINESS</w:t>
              </w:r>
            </w:hyperlink>
          </w:p>
        </w:tc>
        <w:tc>
          <w:tcPr>
            <w:tcW w:w="9780" w:type="dxa"/>
            <w:vAlign w:val="bottom"/>
            <w:gridSpan w:val="28"/>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46</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22"/>
          </w:tcPr>
          <w:p>
            <w:pPr>
              <w:spacing w:after="0"/>
              <w:rPr>
                <w:rFonts w:ascii="Arial" w:cs="Arial" w:eastAsia="Arial" w:hAnsi="Arial"/>
                <w:sz w:val="14"/>
                <w:szCs w:val="14"/>
                <w:color w:val="0000EE"/>
                <w:w w:val="93"/>
              </w:rPr>
            </w:pPr>
            <w:hyperlink w:anchor="page54">
              <w:r>
                <w:rPr>
                  <w:rFonts w:ascii="Arial" w:cs="Arial" w:eastAsia="Arial" w:hAnsi="Arial"/>
                  <w:sz w:val="14"/>
                  <w:szCs w:val="14"/>
                  <w:color w:val="0000EE"/>
                  <w:w w:val="93"/>
                </w:rPr>
                <w:t>INVESTMENT OBJECTIVES AND POLICIES</w:t>
              </w:r>
            </w:hyperlink>
          </w:p>
        </w:tc>
        <w:tc>
          <w:tcPr>
            <w:tcW w:w="8140" w:type="dxa"/>
            <w:vAlign w:val="bottom"/>
            <w:gridSpan w:val="11"/>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49</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PORTFOLIO COMPANIES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54</w:t>
            </w:r>
          </w:p>
        </w:tc>
      </w:tr>
      <w:tr>
        <w:trPr>
          <w:trHeight w:val="196"/>
        </w:trPr>
        <w:tc>
          <w:tcPr>
            <w:tcW w:w="1540" w:type="dxa"/>
            <w:vAlign w:val="bottom"/>
            <w:tcBorders>
              <w:top w:val="single" w:sz="8" w:color="0000EE"/>
            </w:tcBorders>
            <w:gridSpan w:val="10"/>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MANAGEMENT</w:t>
              </w:r>
            </w:hyperlink>
          </w:p>
        </w:tc>
        <w:tc>
          <w:tcPr>
            <w:tcW w:w="9260" w:type="dxa"/>
            <w:vAlign w:val="bottom"/>
            <w:gridSpan w:val="2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58</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7"/>
          </w:tcPr>
          <w:p>
            <w:pPr>
              <w:spacing w:after="0"/>
              <w:rPr>
                <w:rFonts w:ascii="Arial" w:cs="Arial" w:eastAsia="Arial" w:hAnsi="Arial"/>
                <w:sz w:val="14"/>
                <w:szCs w:val="14"/>
                <w:color w:val="0000EE"/>
                <w:w w:val="91"/>
              </w:rPr>
            </w:pPr>
            <w:hyperlink w:anchor="page68">
              <w:r>
                <w:rPr>
                  <w:rFonts w:ascii="Arial" w:cs="Arial" w:eastAsia="Arial" w:hAnsi="Arial"/>
                  <w:sz w:val="14"/>
                  <w:szCs w:val="14"/>
                  <w:color w:val="0000EE"/>
                  <w:w w:val="91"/>
                </w:rPr>
                <w:t>CONTROL PERSONS AND PRINCIPAL STOCKHOLDERS</w:t>
              </w:r>
            </w:hyperlink>
          </w:p>
        </w:tc>
        <w:tc>
          <w:tcPr>
            <w:tcW w:w="7380" w:type="dxa"/>
            <w:vAlign w:val="bottom"/>
            <w:gridSpan w:val="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63</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70">
              <w:r>
                <w:rPr>
                  <w:rFonts w:ascii="Arial" w:cs="Arial" w:eastAsia="Arial" w:hAnsi="Arial"/>
                  <w:sz w:val="14"/>
                  <w:szCs w:val="14"/>
                  <w:color w:val="0000EE"/>
                </w:rPr>
                <w:t>CERTAIN RELATIONSHIPS AND TRANSACTIONS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65</w:t>
            </w:r>
          </w:p>
        </w:tc>
      </w:tr>
      <w:tr>
        <w:trPr>
          <w:trHeight w:val="196"/>
        </w:trPr>
        <w:tc>
          <w:tcPr>
            <w:tcW w:w="2540" w:type="dxa"/>
            <w:vAlign w:val="bottom"/>
            <w:tcBorders>
              <w:top w:val="single" w:sz="8" w:color="0000EE"/>
              <w:bottom w:val="single" w:sz="8" w:color="0000EE"/>
            </w:tcBorders>
            <w:gridSpan w:val="20"/>
          </w:tcPr>
          <w:p>
            <w:pPr>
              <w:spacing w:after="0"/>
              <w:rPr>
                <w:rFonts w:ascii="Arial" w:cs="Arial" w:eastAsia="Arial" w:hAnsi="Arial"/>
                <w:sz w:val="14"/>
                <w:szCs w:val="14"/>
                <w:color w:val="0000EE"/>
                <w:w w:val="93"/>
              </w:rPr>
            </w:pPr>
            <w:hyperlink w:anchor="page75">
              <w:r>
                <w:rPr>
                  <w:rFonts w:ascii="Arial" w:cs="Arial" w:eastAsia="Arial" w:hAnsi="Arial"/>
                  <w:sz w:val="14"/>
                  <w:szCs w:val="14"/>
                  <w:color w:val="0000EE"/>
                  <w:w w:val="93"/>
                </w:rPr>
                <w:t>DETERMINATION OF NET ASSET VALUE</w:t>
              </w:r>
            </w:hyperlink>
          </w:p>
        </w:tc>
        <w:tc>
          <w:tcPr>
            <w:tcW w:w="480" w:type="dxa"/>
            <w:vAlign w:val="bottom"/>
            <w:tcBorders>
              <w:top w:val="single" w:sz="8" w:color="0000EE"/>
            </w:tcBorders>
            <w:gridSpan w:val="5"/>
          </w:tcPr>
          <w:p>
            <w:pPr>
              <w:spacing w:after="0"/>
              <w:rPr>
                <w:sz w:val="17"/>
                <w:szCs w:val="17"/>
                <w:color w:val="auto"/>
              </w:rPr>
            </w:pPr>
          </w:p>
        </w:tc>
        <w:tc>
          <w:tcPr>
            <w:tcW w:w="7780" w:type="dxa"/>
            <w:vAlign w:val="bottom"/>
            <w:gridSpan w:val="8"/>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70</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77">
              <w:r>
                <w:rPr>
                  <w:rFonts w:ascii="Arial" w:cs="Arial" w:eastAsia="Arial" w:hAnsi="Arial"/>
                  <w:sz w:val="14"/>
                  <w:szCs w:val="14"/>
                  <w:color w:val="0000EE"/>
                </w:rPr>
                <w:t>DIVIDEND REINVESTMENT PLAN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72</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9"/>
          </w:tcPr>
          <w:p>
            <w:pPr>
              <w:spacing w:after="0"/>
              <w:rPr>
                <w:rFonts w:ascii="Arial" w:cs="Arial" w:eastAsia="Arial" w:hAnsi="Arial"/>
                <w:sz w:val="14"/>
                <w:szCs w:val="14"/>
                <w:color w:val="0000EE"/>
                <w:w w:val="91"/>
              </w:rPr>
            </w:pPr>
            <w:hyperlink w:anchor="page78">
              <w:r>
                <w:rPr>
                  <w:rFonts w:ascii="Arial" w:cs="Arial" w:eastAsia="Arial" w:hAnsi="Arial"/>
                  <w:sz w:val="14"/>
                  <w:szCs w:val="14"/>
                  <w:color w:val="0000EE"/>
                  <w:w w:val="91"/>
                </w:rPr>
                <w:t>DESCRIPTION OF OUR CAPITAL STOCK</w:t>
              </w:r>
            </w:hyperlink>
          </w:p>
        </w:tc>
        <w:tc>
          <w:tcPr>
            <w:tcW w:w="8320" w:type="dxa"/>
            <w:vAlign w:val="bottom"/>
            <w:gridSpan w:val="1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73</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DESCRIPTION OF OUR PREFERRED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77</w:t>
            </w:r>
          </w:p>
        </w:tc>
      </w:tr>
      <w:tr>
        <w:trPr>
          <w:trHeight w:val="196"/>
        </w:trPr>
        <w:tc>
          <w:tcPr>
            <w:tcW w:w="2680" w:type="dxa"/>
            <w:vAlign w:val="bottom"/>
            <w:tcBorders>
              <w:top w:val="single" w:sz="8" w:color="0000EE"/>
            </w:tcBorders>
            <w:gridSpan w:val="23"/>
          </w:tcPr>
          <w:p>
            <w:pPr>
              <w:spacing w:after="0"/>
              <w:rPr>
                <w:rFonts w:ascii="Arial" w:cs="Arial" w:eastAsia="Arial" w:hAnsi="Arial"/>
                <w:sz w:val="14"/>
                <w:szCs w:val="14"/>
                <w:color w:val="0000EE"/>
              </w:rPr>
            </w:pPr>
            <w:hyperlink w:anchor="page83">
              <w:r>
                <w:rPr>
                  <w:rFonts w:ascii="Arial" w:cs="Arial" w:eastAsia="Arial" w:hAnsi="Arial"/>
                  <w:sz w:val="14"/>
                  <w:szCs w:val="14"/>
                  <w:color w:val="0000EE"/>
                </w:rPr>
                <w:t>DESCRIPTION OF OUR WARRANTS</w:t>
              </w:r>
            </w:hyperlink>
          </w:p>
        </w:tc>
        <w:tc>
          <w:tcPr>
            <w:tcW w:w="8120" w:type="dxa"/>
            <w:vAlign w:val="bottom"/>
            <w:gridSpan w:val="10"/>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78</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84">
              <w:r>
                <w:rPr>
                  <w:rFonts w:ascii="Arial" w:cs="Arial" w:eastAsia="Arial" w:hAnsi="Arial"/>
                  <w:sz w:val="14"/>
                  <w:szCs w:val="14"/>
                  <w:color w:val="0000EE"/>
                </w:rPr>
                <w:t>DESCRIPTION OF OUR SUBSCRIPTION RIGHTS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79</w:t>
            </w:r>
          </w:p>
        </w:tc>
      </w:tr>
      <w:tr>
        <w:trPr>
          <w:trHeight w:val="196"/>
        </w:trPr>
        <w:tc>
          <w:tcPr>
            <w:tcW w:w="2600" w:type="dxa"/>
            <w:vAlign w:val="bottom"/>
            <w:tcBorders>
              <w:top w:val="single" w:sz="8" w:color="0000EE"/>
              <w:bottom w:val="single" w:sz="8" w:color="0000EE"/>
            </w:tcBorders>
            <w:gridSpan w:val="21"/>
          </w:tcPr>
          <w:p>
            <w:pPr>
              <w:spacing w:after="0"/>
              <w:rPr>
                <w:rFonts w:ascii="Arial" w:cs="Arial" w:eastAsia="Arial" w:hAnsi="Arial"/>
                <w:sz w:val="14"/>
                <w:szCs w:val="14"/>
                <w:color w:val="0000EE"/>
                <w:w w:val="91"/>
              </w:rPr>
            </w:pPr>
            <w:hyperlink w:anchor="page85">
              <w:r>
                <w:rPr>
                  <w:rFonts w:ascii="Arial" w:cs="Arial" w:eastAsia="Arial" w:hAnsi="Arial"/>
                  <w:sz w:val="14"/>
                  <w:szCs w:val="14"/>
                  <w:color w:val="0000EE"/>
                  <w:w w:val="91"/>
                </w:rPr>
                <w:t>DESCRIPTION OF OUR DEBT SECURITIES</w:t>
              </w:r>
            </w:hyperlink>
          </w:p>
        </w:tc>
        <w:tc>
          <w:tcPr>
            <w:tcW w:w="320" w:type="dxa"/>
            <w:vAlign w:val="bottom"/>
            <w:tcBorders>
              <w:top w:val="single" w:sz="8" w:color="0000EE"/>
            </w:tcBorders>
            <w:gridSpan w:val="3"/>
          </w:tcPr>
          <w:p>
            <w:pPr>
              <w:spacing w:after="0"/>
              <w:rPr>
                <w:sz w:val="17"/>
                <w:szCs w:val="17"/>
                <w:color w:val="auto"/>
              </w:rPr>
            </w:pPr>
          </w:p>
        </w:tc>
        <w:tc>
          <w:tcPr>
            <w:tcW w:w="7880" w:type="dxa"/>
            <w:vAlign w:val="bottom"/>
            <w:gridSpan w:val="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80</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95">
              <w:r>
                <w:rPr>
                  <w:rFonts w:ascii="Arial" w:cs="Arial" w:eastAsia="Arial" w:hAnsi="Arial"/>
                  <w:sz w:val="14"/>
                  <w:szCs w:val="14"/>
                  <w:color w:val="0000EE"/>
                </w:rPr>
                <w:t>REGULATION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90</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99">
              <w:r>
                <w:rPr>
                  <w:rFonts w:ascii="Arial" w:cs="Arial" w:eastAsia="Arial" w:hAnsi="Arial"/>
                  <w:sz w:val="14"/>
                  <w:szCs w:val="14"/>
                  <w:color w:val="0000EE"/>
                </w:rPr>
                <w:t>BROKERAGE ALLOCATIONS AND OTHER PRACTICES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94</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60" w:type="dxa"/>
            <w:vAlign w:val="bottom"/>
            <w:tcBorders>
              <w:right w:val="single" w:sz="8" w:color="0000EE"/>
            </w:tcBorders>
            <w:gridSpan w:val="1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00">
              <w:r>
                <w:rPr>
                  <w:rFonts w:ascii="Arial" w:cs="Arial" w:eastAsia="Arial" w:hAnsi="Arial"/>
                  <w:sz w:val="14"/>
                  <w:szCs w:val="14"/>
                  <w:color w:val="0000EE"/>
                </w:rPr>
                <w:t>MATERIAL U.S. FEDERAL INCOME TAX CONSIDERATIONS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95</w:t>
            </w:r>
          </w:p>
        </w:tc>
      </w:tr>
      <w:tr>
        <w:trPr>
          <w:trHeight w:val="196"/>
        </w:trPr>
        <w:tc>
          <w:tcPr>
            <w:tcW w:w="3660" w:type="dxa"/>
            <w:vAlign w:val="bottom"/>
            <w:tcBorders>
              <w:top w:val="single" w:sz="8" w:color="0000EE"/>
            </w:tcBorders>
            <w:gridSpan w:val="30"/>
          </w:tcPr>
          <w:p>
            <w:pPr>
              <w:spacing w:after="0"/>
              <w:rPr>
                <w:rFonts w:ascii="Arial" w:cs="Arial" w:eastAsia="Arial" w:hAnsi="Arial"/>
                <w:sz w:val="14"/>
                <w:szCs w:val="14"/>
                <w:color w:val="0000EE"/>
              </w:rPr>
            </w:pPr>
            <w:hyperlink w:anchor="page104">
              <w:r>
                <w:rPr>
                  <w:rFonts w:ascii="Arial" w:cs="Arial" w:eastAsia="Arial" w:hAnsi="Arial"/>
                  <w:sz w:val="14"/>
                  <w:szCs w:val="14"/>
                  <w:color w:val="0000EE"/>
                </w:rPr>
                <w:t>PLAN OF DISTRIBUTION</w:t>
              </w:r>
            </w:hyperlink>
          </w:p>
        </w:tc>
        <w:tc>
          <w:tcPr>
            <w:tcW w:w="7140" w:type="dxa"/>
            <w:vAlign w:val="bottom"/>
            <w:gridSpan w:val="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99</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05">
              <w:r>
                <w:rPr>
                  <w:rFonts w:ascii="Arial" w:cs="Arial" w:eastAsia="Arial" w:hAnsi="Arial"/>
                  <w:sz w:val="14"/>
                  <w:szCs w:val="14"/>
                  <w:color w:val="0000EE"/>
                </w:rPr>
                <w:t>SUB-ADMINISTRATOR, CUSTODIAN, TRANSFER AGENT AND TRUSTEE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100</w:t>
            </w:r>
          </w:p>
        </w:tc>
      </w:tr>
      <w:tr>
        <w:trPr>
          <w:trHeight w:val="196"/>
        </w:trPr>
        <w:tc>
          <w:tcPr>
            <w:tcW w:w="110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3"/>
              </w:rPr>
            </w:pPr>
            <w:hyperlink w:anchor="page105">
              <w:r>
                <w:rPr>
                  <w:rFonts w:ascii="Arial" w:cs="Arial" w:eastAsia="Arial" w:hAnsi="Arial"/>
                  <w:sz w:val="14"/>
                  <w:szCs w:val="14"/>
                  <w:color w:val="0000EE"/>
                  <w:w w:val="93"/>
                </w:rPr>
                <w:t>LEGAL MATTERS</w:t>
              </w:r>
            </w:hyperlink>
          </w:p>
        </w:tc>
        <w:tc>
          <w:tcPr>
            <w:tcW w:w="3360" w:type="dxa"/>
            <w:vAlign w:val="bottom"/>
            <w:tcBorders>
              <w:top w:val="single" w:sz="8" w:color="0000EE"/>
            </w:tcBorders>
            <w:gridSpan w:val="25"/>
          </w:tcPr>
          <w:p>
            <w:pPr>
              <w:spacing w:after="0"/>
              <w:rPr>
                <w:sz w:val="17"/>
                <w:szCs w:val="17"/>
                <w:color w:val="auto"/>
              </w:rPr>
            </w:pPr>
          </w:p>
        </w:tc>
        <w:tc>
          <w:tcPr>
            <w:tcW w:w="6340" w:type="dxa"/>
            <w:vAlign w:val="bottom"/>
            <w:gridSpan w:val="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100</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05">
              <w:r>
                <w:rPr>
                  <w:rFonts w:ascii="Arial" w:cs="Arial" w:eastAsia="Arial" w:hAnsi="Arial"/>
                  <w:sz w:val="14"/>
                  <w:szCs w:val="14"/>
                  <w:color w:val="0000EE"/>
                </w:rPr>
                <w:t>INDEPENDENT REGISTERED PUBLIC ACCOUNTING FIRM</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100</w:t>
            </w:r>
          </w:p>
        </w:tc>
      </w:tr>
      <w:tr>
        <w:trPr>
          <w:trHeight w:val="196"/>
        </w:trPr>
        <w:tc>
          <w:tcPr>
            <w:tcW w:w="3600" w:type="dxa"/>
            <w:vAlign w:val="bottom"/>
            <w:tcBorders>
              <w:top w:val="single" w:sz="8" w:color="0000EE"/>
            </w:tcBorders>
            <w:gridSpan w:val="29"/>
          </w:tcPr>
          <w:p>
            <w:pPr>
              <w:spacing w:after="0"/>
              <w:rPr>
                <w:rFonts w:ascii="Arial" w:cs="Arial" w:eastAsia="Arial" w:hAnsi="Arial"/>
                <w:sz w:val="14"/>
                <w:szCs w:val="14"/>
                <w:color w:val="0000EE"/>
              </w:rPr>
            </w:pPr>
            <w:hyperlink w:anchor="page106">
              <w:r>
                <w:rPr>
                  <w:rFonts w:ascii="Arial" w:cs="Arial" w:eastAsia="Arial" w:hAnsi="Arial"/>
                  <w:sz w:val="14"/>
                  <w:szCs w:val="14"/>
                  <w:color w:val="0000EE"/>
                </w:rPr>
                <w:t>INDEX TO CONSOLIDATED FINANCIAL STATEMENTS</w:t>
              </w:r>
            </w:hyperlink>
          </w:p>
        </w:tc>
        <w:tc>
          <w:tcPr>
            <w:tcW w:w="7200" w:type="dxa"/>
            <w:vAlign w:val="bottom"/>
            <w:gridSpan w:val="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F-1</w:t>
            </w:r>
          </w:p>
        </w:tc>
      </w:tr>
      <w:tr>
        <w:trPr>
          <w:trHeight w:val="196"/>
        </w:trPr>
        <w:tc>
          <w:tcPr>
            <w:tcW w:w="3360" w:type="dxa"/>
            <w:vAlign w:val="bottom"/>
            <w:tcBorders>
              <w:top w:val="single" w:sz="8" w:color="0000EE"/>
            </w:tcBorders>
            <w:gridSpan w:val="26"/>
          </w:tcPr>
          <w:p>
            <w:pPr>
              <w:spacing w:after="0"/>
              <w:rPr>
                <w:rFonts w:ascii="Arial" w:cs="Arial" w:eastAsia="Arial" w:hAnsi="Arial"/>
                <w:sz w:val="14"/>
                <w:szCs w:val="14"/>
                <w:color w:val="0000EE"/>
              </w:rPr>
            </w:pPr>
            <w:hyperlink w:anchor="page151">
              <w:r>
                <w:rPr>
                  <w:rFonts w:ascii="Arial" w:cs="Arial" w:eastAsia="Arial" w:hAnsi="Arial"/>
                  <w:sz w:val="14"/>
                  <w:szCs w:val="14"/>
                  <w:color w:val="0000EE"/>
                </w:rPr>
                <w:t>PART C OTHER INFORMATION</w:t>
              </w:r>
            </w:hyperlink>
          </w:p>
        </w:tc>
        <w:tc>
          <w:tcPr>
            <w:tcW w:w="7440" w:type="dxa"/>
            <w:vAlign w:val="bottom"/>
            <w:gridSpan w:val="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w:t>
            </w:r>
          </w:p>
        </w:tc>
      </w:tr>
      <w:tr>
        <w:trPr>
          <w:trHeight w:val="196"/>
        </w:trPr>
        <w:tc>
          <w:tcPr>
            <w:tcW w:w="86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0"/>
              </w:rPr>
            </w:pPr>
            <w:hyperlink w:anchor="page161">
              <w:r>
                <w:rPr>
                  <w:rFonts w:ascii="Arial" w:cs="Arial" w:eastAsia="Arial" w:hAnsi="Arial"/>
                  <w:sz w:val="14"/>
                  <w:szCs w:val="14"/>
                  <w:color w:val="0000EE"/>
                  <w:w w:val="90"/>
                </w:rPr>
                <w:t>SIGNATURES</w:t>
              </w:r>
            </w:hyperlink>
          </w:p>
        </w:tc>
        <w:tc>
          <w:tcPr>
            <w:tcW w:w="1040" w:type="dxa"/>
            <w:vAlign w:val="bottom"/>
            <w:tcBorders>
              <w:top w:val="single" w:sz="8" w:color="0000EE"/>
            </w:tcBorders>
            <w:gridSpan w:val="11"/>
          </w:tcPr>
          <w:p>
            <w:pPr>
              <w:spacing w:after="0"/>
              <w:rPr>
                <w:sz w:val="17"/>
                <w:szCs w:val="17"/>
                <w:color w:val="auto"/>
              </w:rPr>
            </w:pPr>
          </w:p>
        </w:tc>
        <w:tc>
          <w:tcPr>
            <w:tcW w:w="8900" w:type="dxa"/>
            <w:vAlign w:val="bottom"/>
            <w:gridSpan w:val="20"/>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C-11</w:t>
            </w:r>
          </w:p>
        </w:tc>
      </w:tr>
    </w:tbl>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ABOUT THIS PROSPECTUS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prospectus is part of a registration statement that we have filed with the SEC using the “shelf” registration process. Under the shelf registration process, we may offer from time to time up to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$150,000,000 of our common stock, preferred stock, warrants representing rights to purchase shares of our common stock, preferred stock or debt securities, subscription rights, or debt securities, on the terms to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be determined at the time of the offering. We may sell our securities through underwriters or dealers, “at-the-market” to or through a market maker, into an existing trading market or otherwise directly to one or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more purchasers or through agents or through a combination of methods of sale. The identities of such underwriters, dealers, market makers or agents, as the case may be, will be described in one or more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supplements to this prospectus. The securities may be offered at prices and on terms described in one or more supplements to this prospectus. This prospectus provides you with a general description of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securities that we may offer. The information contained in this prospectus is accurate only as of the date on the front of this prospectus and our business, financial condition, results of operations and prospectus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may have changed since that date. Each time we use this prospectus to offer securities, we will provide a prospectus supplement that will contain specific information about the terms of that offering.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prospectus supplement may also add, update or change information contained in this prospectus. Please carefully read this prospectus and any prospectus supplement, together with any exhibits, before you make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an investment decision.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34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343471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PROSPECTUS SUMMARY</w:t>
      </w:r>
    </w:p>
    <w:p>
      <w:pPr>
        <w:spacing w:after="0" w:line="2"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2"/>
          <w:szCs w:val="12"/>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General Business of PennantPark Floating Rate Capital Ltd.</w:t>
      </w:r>
    </w:p>
    <w:p>
      <w:pPr>
        <w:spacing w:after="0" w:line="71" w:lineRule="exact"/>
        <w:rPr>
          <w:sz w:val="20"/>
          <w:szCs w:val="20"/>
          <w:color w:val="auto"/>
        </w:rPr>
      </w:pPr>
    </w:p>
    <w:p>
      <w:pPr>
        <w:ind w:left="200" w:right="280" w:firstLine="443"/>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9"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left="200" w:firstLine="443"/>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140"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or the Credit Facility, proceeds from the rotation of our portfolio and proceeds from public and private offerings of securities to finance our investment objectives.</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48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21482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left="200" w:right="80" w:firstLine="443"/>
        <w:spacing w:after="0" w:line="233"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a BDC under the 1940 Act. In addition, for tax purposes we intend to be treated, and intend to qualify annually, as a regulated investment company, or RIC, under the Internal Revenue Code of 1986, as amended, or the Code, commencing with our first fiscal year ended September 30, 2011.</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left="200" w:firstLine="443"/>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$1.8 billion in 182 companies with over 100 different financial sponsors through its managed funds.</w:t>
      </w:r>
    </w:p>
    <w:p>
      <w:pPr>
        <w:spacing w:after="0" w:line="123"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8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83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39833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left="200" w:firstLine="443"/>
        <w:spacing w:after="0" w:line="228"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200" w:firstLine="443"/>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2"/>
          <w:szCs w:val="12"/>
          <w:color w:val="auto"/>
        </w:rPr>
        <w:t>Our primary competitors provide financing to middle-market companies and include other BDCs and closed-end funds,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We believe this has resulted in a less competitive environment for making new investments. See “Risk Factors — Risks Relating to our Business and Structure — We operate in a highly competitive market for investment opportunities” for more information.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2"/>
          <w:szCs w:val="12"/>
          <w:color w:val="auto"/>
        </w:rPr>
        <w:t>We maintain a five-year, $100.0 million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$47.8 million outstanding with a weighted average interest rate of 2.54%, excluding the unused commitment fee of 0.50%, as of March 31, 2012.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 – Liquidity and Capital Resources” for more information.</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Operating and Regulatory Structure</w:t>
      </w:r>
    </w:p>
    <w:p>
      <w:pPr>
        <w:spacing w:after="0" w:line="152"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1" w:lineRule="exact"/>
        <w:rPr>
          <w:sz w:val="20"/>
          <w:szCs w:val="20"/>
          <w:color w:val="auto"/>
        </w:rPr>
      </w:pPr>
    </w:p>
    <w:p>
      <w:pPr>
        <w:ind w:left="200" w:right="160" w:firstLine="443"/>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57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8577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right="180" w:firstLine="443"/>
        <w:spacing w:after="0" w:line="239" w:lineRule="auto"/>
        <w:rPr>
          <w:sz w:val="20"/>
          <w:szCs w:val="20"/>
          <w:color w:val="auto"/>
        </w:rPr>
      </w:pPr>
      <w:r>
        <w:rPr>
          <w:rFonts w:ascii="Arial" w:cs="Arial" w:eastAsia="Arial" w:hAnsi="Arial"/>
          <w:sz w:val="14"/>
          <w:szCs w:val="14"/>
          <w:color w:val="auto"/>
        </w:rPr>
        <w:t>As a BDC, we are required to comply with certain regulatory requirements. Also, while we are permitted to finance investments using debt, our ability to use debt is limited in certain significant respects. See “Regulation”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Use of Proceeds</w:t>
      </w:r>
    </w:p>
    <w:p>
      <w:pPr>
        <w:spacing w:after="0" w:line="71" w:lineRule="exact"/>
        <w:rPr>
          <w:sz w:val="20"/>
          <w:szCs w:val="20"/>
          <w:color w:val="auto"/>
        </w:rPr>
      </w:pPr>
    </w:p>
    <w:p>
      <w:pPr>
        <w:ind w:left="200" w:right="20" w:firstLine="443"/>
        <w:spacing w:after="0" w:line="230" w:lineRule="auto"/>
        <w:rPr>
          <w:sz w:val="20"/>
          <w:szCs w:val="20"/>
          <w:color w:val="auto"/>
        </w:rPr>
      </w:pPr>
      <w:r>
        <w:rPr>
          <w:rFonts w:ascii="Arial" w:cs="Arial" w:eastAsia="Arial" w:hAnsi="Arial"/>
          <w:sz w:val="14"/>
          <w:szCs w:val="14"/>
          <w:color w:val="auto"/>
        </w:rPr>
        <w:t>We may use the net proceeds from selling securities pursuant to this prospectus to reduce our then-outstanding obligations under our Credit Facility, to invest in new or existing portfolio companies, to capitalize a subsidiary or for other general corporate purposes. Any supplements to this prospectus relating to an offering will more fully identify the use of the proceeds from such offering. See “Use of Proceeds” for information regarding our outstanding borrowings, the corresponding interest rate charged on such borrowings and the length of time that it may take us to invest any proceeds in new or existing portfolio companies.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Common Stock</w:t>
      </w:r>
    </w:p>
    <w:p>
      <w:pPr>
        <w:spacing w:after="0" w:line="71" w:lineRule="exact"/>
        <w:rPr>
          <w:sz w:val="20"/>
          <w:szCs w:val="20"/>
          <w:color w:val="auto"/>
        </w:rPr>
      </w:pPr>
    </w:p>
    <w:p>
      <w:pPr>
        <w:ind w:left="200" w:right="560" w:firstLine="443"/>
        <w:spacing w:after="0" w:line="239" w:lineRule="auto"/>
        <w:rPr>
          <w:sz w:val="20"/>
          <w:szCs w:val="20"/>
          <w:color w:val="auto"/>
        </w:rPr>
      </w:pPr>
      <w:r>
        <w:rPr>
          <w:rFonts w:ascii="Arial" w:cs="Arial" w:eastAsia="Arial" w:hAnsi="Arial"/>
          <w:sz w:val="14"/>
          <w:szCs w:val="14"/>
          <w:color w:val="auto"/>
        </w:rPr>
        <w:t>We intend to continue to distribute monthly dividends to our common stockholders. Our monthly dividends, if any, are determined by our board of directors. See “Distributions”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Preferred Stock</w:t>
      </w:r>
    </w:p>
    <w:p>
      <w:pPr>
        <w:spacing w:after="0" w:line="71" w:lineRule="exact"/>
        <w:rPr>
          <w:sz w:val="20"/>
          <w:szCs w:val="20"/>
          <w:color w:val="auto"/>
        </w:rPr>
      </w:pPr>
    </w:p>
    <w:p>
      <w:pPr>
        <w:ind w:left="200" w:right="60" w:firstLine="443"/>
        <w:spacing w:after="0" w:line="278" w:lineRule="auto"/>
        <w:rPr>
          <w:sz w:val="20"/>
          <w:szCs w:val="20"/>
          <w:color w:val="auto"/>
        </w:rPr>
      </w:pPr>
      <w:r>
        <w:rPr>
          <w:rFonts w:ascii="Arial" w:cs="Arial" w:eastAsia="Arial" w:hAnsi="Arial"/>
          <w:sz w:val="12"/>
          <w:szCs w:val="12"/>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 Reinvestment Plan</w:t>
      </w:r>
    </w:p>
    <w:p>
      <w:pPr>
        <w:spacing w:after="0" w:line="71" w:lineRule="exact"/>
        <w:rPr>
          <w:sz w:val="20"/>
          <w:szCs w:val="20"/>
          <w:color w:val="auto"/>
        </w:rPr>
      </w:pPr>
    </w:p>
    <w:p>
      <w:pPr>
        <w:ind w:left="200" w:right="20" w:firstLine="443"/>
        <w:spacing w:after="0" w:line="230" w:lineRule="auto"/>
        <w:rPr>
          <w:sz w:val="20"/>
          <w:szCs w:val="20"/>
          <w:color w:val="auto"/>
        </w:rPr>
      </w:pPr>
      <w:r>
        <w:rPr>
          <w:rFonts w:ascii="Arial" w:cs="Arial" w:eastAsia="Arial" w:hAnsi="Arial"/>
          <w:sz w:val="14"/>
          <w:szCs w:val="14"/>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Plan of Distribution</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We may offer, from time to time, up to $150 million of our securities, on terms to be determined at the time of each such offering and set forth in a supplement to this prospectus.</w:t>
      </w:r>
    </w:p>
    <w:p>
      <w:pPr>
        <w:spacing w:after="0" w:line="173" w:lineRule="exact"/>
        <w:rPr>
          <w:sz w:val="20"/>
          <w:szCs w:val="20"/>
          <w:color w:val="auto"/>
        </w:rPr>
      </w:pPr>
    </w:p>
    <w:p>
      <w:pPr>
        <w:ind w:left="200" w:firstLine="443"/>
        <w:spacing w:after="0" w:line="270" w:lineRule="auto"/>
        <w:rPr>
          <w:sz w:val="20"/>
          <w:szCs w:val="20"/>
          <w:color w:val="auto"/>
        </w:rPr>
      </w:pPr>
      <w:r>
        <w:rPr>
          <w:rFonts w:ascii="Arial" w:cs="Arial" w:eastAsia="Arial" w:hAnsi="Arial"/>
          <w:sz w:val="12"/>
          <w:szCs w:val="12"/>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2" w:lineRule="exact"/>
        <w:rPr>
          <w:sz w:val="20"/>
          <w:szCs w:val="20"/>
          <w:color w:val="auto"/>
        </w:rPr>
      </w:pPr>
    </w:p>
    <w:p>
      <w:pPr>
        <w:ind w:left="200" w:right="220" w:firstLine="443"/>
        <w:spacing w:after="0" w:line="239" w:lineRule="auto"/>
        <w:rPr>
          <w:sz w:val="20"/>
          <w:szCs w:val="20"/>
          <w:color w:val="auto"/>
        </w:rPr>
      </w:pPr>
      <w:r>
        <w:rPr>
          <w:rFonts w:ascii="Arial" w:cs="Arial" w:eastAsia="Arial" w:hAnsi="Arial"/>
          <w:sz w:val="14"/>
          <w:szCs w:val="14"/>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Corporate Information</w:t>
      </w:r>
    </w:p>
    <w:p>
      <w:pPr>
        <w:spacing w:after="0" w:line="71" w:lineRule="exact"/>
        <w:rPr>
          <w:sz w:val="20"/>
          <w:szCs w:val="20"/>
          <w:color w:val="auto"/>
        </w:rPr>
      </w:pPr>
    </w:p>
    <w:p>
      <w:pPr>
        <w:ind w:left="200" w:right="60" w:firstLine="443"/>
        <w:spacing w:after="0" w:line="270" w:lineRule="auto"/>
        <w:rPr>
          <w:sz w:val="20"/>
          <w:szCs w:val="20"/>
          <w:color w:val="auto"/>
        </w:rPr>
      </w:pPr>
      <w:r>
        <w:rPr>
          <w:rFonts w:ascii="Arial" w:cs="Arial" w:eastAsia="Arial" w:hAnsi="Arial"/>
          <w:sz w:val="12"/>
          <w:szCs w:val="12"/>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material that we file with the SEC on the EDGAR Database.</w:t>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FEES AND EXPENSES</w:t>
      </w:r>
    </w:p>
    <w:p>
      <w:pPr>
        <w:spacing w:after="0" w:line="152" w:lineRule="exact"/>
        <w:rPr>
          <w:sz w:val="20"/>
          <w:szCs w:val="20"/>
          <w:color w:val="auto"/>
        </w:rPr>
      </w:pPr>
    </w:p>
    <w:p>
      <w:pPr>
        <w:jc w:val="both"/>
        <w:ind w:firstLine="456"/>
        <w:spacing w:after="0" w:line="230" w:lineRule="auto"/>
        <w:rPr>
          <w:sz w:val="20"/>
          <w:szCs w:val="20"/>
          <w:color w:val="auto"/>
        </w:rPr>
      </w:pPr>
      <w:r>
        <w:rPr>
          <w:rFonts w:ascii="Arial" w:cs="Arial" w:eastAsia="Arial" w:hAnsi="Arial"/>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Sales load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Estimated annual expenses (as a percentage of average net assets attributable to common shares)</w:t>
      </w:r>
      <w:r>
        <w:rPr>
          <w:rFonts w:ascii="Arial" w:cs="Arial" w:eastAsia="Arial" w:hAnsi="Arial"/>
          <w:sz w:val="17"/>
          <w:szCs w:val="17"/>
          <w:color w:val="auto"/>
          <w:vertAlign w:val="superscript"/>
        </w:rPr>
        <w:t>(3)</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Management fees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Interest payments on borrowed funds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estimated annual expenses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14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14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p>
    <w:p>
      <w:pPr>
        <w:spacing w:after="0" w:line="320"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1.45</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0.17</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1.45</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2.17</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4800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5.24</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(8)</w:t>
      </w:r>
    </w:p>
    <w:p>
      <w:pPr>
        <w:spacing w:after="0" w:line="200" w:lineRule="exact"/>
        <w:rPr>
          <w:sz w:val="20"/>
          <w:szCs w:val="20"/>
          <w:color w:val="auto"/>
        </w:rPr>
      </w:pPr>
    </w:p>
    <w:p>
      <w:pPr>
        <w:sectPr>
          <w:pgSz w:w="11900" w:h="16838" w:orient="portrait"/>
          <w:cols w:equalWidth="0" w:num="2">
            <w:col w:w="9680" w:space="720"/>
            <w:col w:w="1020"/>
          </w:cols>
          <w:pgMar w:left="240" w:top="459" w:right="239" w:bottom="1440" w:gutter="0" w:footer="0" w:header="0"/>
          <w:type w:val="continuous"/>
        </w:sectPr>
      </w:pPr>
    </w:p>
    <w:p>
      <w:pPr>
        <w:spacing w:after="0" w:line="4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as of March 31, 2012.</w:t>
      </w:r>
    </w:p>
    <w:p>
      <w:pPr>
        <w:spacing w:after="0" w:line="68" w:lineRule="exact"/>
        <w:rPr>
          <w:rFonts w:ascii="Arial" w:cs="Arial" w:eastAsia="Arial" w:hAnsi="Arial"/>
          <w:sz w:val="14"/>
          <w:szCs w:val="14"/>
          <w:color w:val="auto"/>
        </w:rPr>
      </w:pPr>
    </w:p>
    <w:p>
      <w:pPr>
        <w:ind w:left="580" w:right="40" w:hanging="572"/>
        <w:spacing w:after="0" w:line="239"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March 31, 2012.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hanging="572"/>
        <w:spacing w:after="0" w:line="265"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March 31, 2012,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2012, our unrealized capital gains exceeded our cumulative realized and unrealized capital losses and we accrued a capital gains incentive fee of $0.1 million in accordance with U.S. generally accepted accounting principles, or GAAP. However, “Incentive fees payable under the Investment Management Agreement” does not include an accrual for capital gains incentive fee because no capital gains incentive fee was payable under our Investment Management Agreement as of March 31, 2012. As we cannot predict our future net investment income or capital gains, the incentive fee paid in future years, if any, may be substantially different than the fee earned during the three months ended March 31, 2012. For more detailed information about the incentive fee, please see “Certain Relationships and Transactions—Investment Management Agreement” for more information.</w:t>
      </w:r>
    </w:p>
    <w:p>
      <w:pPr>
        <w:spacing w:after="0" w:line="42" w:lineRule="exact"/>
        <w:rPr>
          <w:rFonts w:ascii="Arial" w:cs="Arial" w:eastAsia="Arial" w:hAnsi="Arial"/>
          <w:sz w:val="12"/>
          <w:szCs w:val="12"/>
          <w:color w:val="auto"/>
        </w:rPr>
      </w:pPr>
    </w:p>
    <w:p>
      <w:pPr>
        <w:ind w:left="580" w:hanging="572"/>
        <w:spacing w:after="0" w:line="228"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March 31, 2012, we had $47.8 million in borrowings outstanding under our $100.0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59" w:lineRule="exact"/>
        <w:rPr>
          <w:rFonts w:ascii="Arial" w:cs="Arial" w:eastAsia="Arial" w:hAnsi="Arial"/>
          <w:sz w:val="14"/>
          <w:szCs w:val="14"/>
          <w:color w:val="auto"/>
        </w:rPr>
      </w:pPr>
    </w:p>
    <w:p>
      <w:pPr>
        <w:ind w:left="580" w:right="20" w:hanging="572"/>
        <w:spacing w:after="0" w:line="288"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2012 annualized for a full year. See the Consolidated Statement of Operations in our Consolidated Financial Statements.</w:t>
      </w:r>
    </w:p>
    <w:p>
      <w:pPr>
        <w:spacing w:after="0" w:line="29" w:lineRule="exact"/>
        <w:rPr>
          <w:rFonts w:ascii="Arial" w:cs="Arial" w:eastAsia="Arial" w:hAnsi="Arial"/>
          <w:sz w:val="12"/>
          <w:szCs w:val="12"/>
          <w:color w:val="auto"/>
        </w:rPr>
      </w:pPr>
    </w:p>
    <w:p>
      <w:pPr>
        <w:ind w:left="580" w:hanging="572"/>
        <w:spacing w:after="0" w:line="230"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29 of this prospectus.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w:t>
      </w:r>
    </w:p>
    <w:p>
      <w:pPr>
        <w:spacing w:after="0" w:line="71"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The following example illustrates the projected dollar amount of total cumulative expenses that you would pay on a $1,000 hypothetical investment in common shares, assuming (1) a 3.22% sales load (underwriting discounts and commissions) and offering expenses totaling 0.32%, (2) total net annual expenses of 5.07% of average net assets attributable to common shares as set forth in the table above (other than performance-based incentive fees) and (3) a 5% annual return:</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rPr>
              <w:t>1 Year</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41"/>
              <w:spacing w:after="0"/>
              <w:rPr>
                <w:sz w:val="20"/>
                <w:szCs w:val="20"/>
                <w:color w:val="auto"/>
              </w:rPr>
            </w:pPr>
            <w:r>
              <w:rPr>
                <w:rFonts w:ascii="Arial" w:cs="Arial" w:eastAsia="Arial" w:hAnsi="Arial"/>
                <w:sz w:val="14"/>
                <w:szCs w:val="14"/>
                <w:b w:val="1"/>
                <w:bCs w:val="1"/>
                <w:color w:val="auto"/>
              </w:rPr>
              <w:t>3 Years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10 Years</w:t>
            </w:r>
          </w:p>
        </w:tc>
      </w:tr>
      <w:tr>
        <w:trPr>
          <w:trHeight w:val="142"/>
        </w:trPr>
        <w:tc>
          <w:tcPr>
            <w:tcW w:w="4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expenses incurred</w:t>
            </w:r>
          </w:p>
        </w:tc>
        <w:tc>
          <w:tcPr>
            <w:tcW w:w="1100" w:type="dxa"/>
            <w:vAlign w:val="bottom"/>
            <w:tcBorders>
              <w:top w:val="single" w:sz="8" w:color="auto"/>
            </w:tcBorders>
            <w:shd w:val="clear" w:color="auto" w:fill="CCEEFF"/>
          </w:tcPr>
          <w:p>
            <w:pPr>
              <w:jc w:val="right"/>
              <w:ind w:right="932"/>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84</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92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182</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279</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w:t>
            </w:r>
          </w:p>
        </w:tc>
        <w:tc>
          <w:tcPr>
            <w:tcW w:w="80" w:type="dxa"/>
            <w:vAlign w:val="bottom"/>
            <w:tcBorders>
              <w:top w:val="single" w:sz="8" w:color="CCEEFF"/>
            </w:tcBorders>
            <w:shd w:val="clear" w:color="auto" w:fill="CCEEFF"/>
          </w:tcPr>
          <w:p>
            <w:pPr>
              <w:spacing w:after="0"/>
              <w:rPr>
                <w:sz w:val="12"/>
                <w:szCs w:val="12"/>
                <w:color w:val="auto"/>
              </w:rPr>
            </w:pPr>
          </w:p>
        </w:tc>
      </w:tr>
    </w:tbl>
    <w:p>
      <w:pPr>
        <w:spacing w:after="0" w:line="15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152" w:lineRule="exact"/>
        <w:rPr>
          <w:sz w:val="20"/>
          <w:szCs w:val="20"/>
          <w:color w:val="auto"/>
        </w:rPr>
      </w:pPr>
    </w:p>
    <w:p>
      <w:pPr>
        <w:ind w:right="160" w:firstLine="571"/>
        <w:spacing w:after="0" w:line="273" w:lineRule="auto"/>
        <w:rPr>
          <w:sz w:val="20"/>
          <w:szCs w:val="20"/>
          <w:color w:val="auto"/>
        </w:rPr>
      </w:pPr>
      <w:r>
        <w:rPr>
          <w:rFonts w:ascii="Arial" w:cs="Arial" w:eastAsia="Arial" w:hAnsi="Arial"/>
          <w:sz w:val="12"/>
          <w:szCs w:val="12"/>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a new company with a limited operating history.</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were incorporated in October 2010 and commenced operations in March 2011. We are subject to all of the business risks and uncertainties associated with any new business, including the risk that we will not achieve our investment objective and that the value of your investment could decline substantially.</w:t>
      </w:r>
    </w:p>
    <w:p>
      <w:pPr>
        <w:spacing w:after="0" w:line="56" w:lineRule="exact"/>
        <w:rPr>
          <w:sz w:val="20"/>
          <w:szCs w:val="20"/>
          <w:color w:val="auto"/>
        </w:rPr>
      </w:pPr>
    </w:p>
    <w:p>
      <w:pPr>
        <w:ind w:right="360" w:firstLine="342"/>
        <w:spacing w:after="0" w:line="321" w:lineRule="auto"/>
        <w:rPr>
          <w:sz w:val="20"/>
          <w:szCs w:val="20"/>
          <w:color w:val="auto"/>
        </w:rPr>
      </w:pPr>
      <w:r>
        <w:rPr>
          <w:rFonts w:ascii="Arial" w:cs="Arial" w:eastAsia="Arial" w:hAnsi="Arial"/>
          <w:sz w:val="12"/>
          <w:szCs w:val="12"/>
          <w:b w:val="1"/>
          <w:bCs w:val="1"/>
          <w:color w:val="auto"/>
        </w:rPr>
        <w:t>Global capital markets could enter a period of severe disruption and instability. These market conditions have historically and could again materially and adversely affect debt and equity capital markets in the United States, which could have a materially negative impact on our business, financial condition and results of operations.</w:t>
      </w:r>
    </w:p>
    <w:p>
      <w:pPr>
        <w:spacing w:after="0" w:line="1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again or materially worsen in the future. We may in the future have difficulty accessing debt and equity capital, and a severe disruption and instability in the global financial markets or deterioration in credit and financing conditions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Volatility or a prolonged disruption in the credit markets could materially damage our business.</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independent directors. Additionally, our ability to incur indebtedness is limited by applicable regulations, such that our asset coverage, as defined under the 1940 Act, must equal at least 200% of our total indebtedness immediately after each time we incur indebtedness. Shrinking portfolio values negatively impact our ability to borrow additional funds under the Credit Facility because our net asset value is reduced for purposes of the 200% asset coverage test. If the fair value of our assets declines substantially, we may fail to maintain the asset coverage ratios stipulated by the 1940 Act, which could, in turn, cause us to lose our status as a BDC and materially impair our business operations. A protracted disruption in the credit markets could also materially decrease demand for our investments.</w:t>
      </w:r>
    </w:p>
    <w:p>
      <w:pPr>
        <w:spacing w:after="0" w:line="12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The significant disruption in the capital markets experienced in the past may in the future have a negative effect on the valuations of our investments and on the potential for liquidity events involving our investments. The debt capital that will be available to us may be at a higher cost and/or on less favorable terms and conditions than those currently used. A prolonged inability to raise capital may require us to reduce the volume of Floating Rate Loans we invest in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Any unrealized losses we experience on our investment portfolio may be an indication of future realized losses, which could reduce our income available for distribution.</w:t>
      </w:r>
    </w:p>
    <w:p>
      <w:pPr>
        <w:spacing w:after="0" w:line="71"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As a BDC, we are required to carry our investments at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incur credit risk when we loan money or commit to loan money to a portfolio company.</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part of our fair valuation of our Floating Rate Loans and other investments we may purchase. Negative credit events will lead to a decrease in the fair value of our Floating Rate Loans and other investments.</w:t>
      </w:r>
    </w:p>
    <w:p>
      <w:pPr>
        <w:spacing w:after="0" w:line="139"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In addition, current market conditions have affected consumer confidence levels, which may result in adverse changes in payment patterns. Increased delinquencies and default rates would impact our results of operations. Deterioration in the credit quality of our portfolio could have a material adverse effect on our capital,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Following periods of volatility in the market price of a company’s securities, securities class action litigation has often been brought against that company.</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borrowers may default on their payments, which may have a materially negative effect on our financial performance.</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invest in Floating Rate Loans,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negatively impact the ability of our borrowers to repay their loans, which could materially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adverse effect on our financial condition and results of operations.</w:t>
      </w:r>
    </w:p>
    <w:p>
      <w:pPr>
        <w:spacing w:after="0" w:line="206" w:lineRule="exact"/>
        <w:rPr>
          <w:sz w:val="20"/>
          <w:szCs w:val="20"/>
          <w:color w:val="auto"/>
        </w:rPr>
      </w:pPr>
    </w:p>
    <w:p>
      <w:pPr>
        <w:ind w:right="360"/>
        <w:spacing w:after="0" w:line="241" w:lineRule="auto"/>
        <w:rPr>
          <w:sz w:val="20"/>
          <w:szCs w:val="20"/>
          <w:color w:val="auto"/>
        </w:rPr>
      </w:pPr>
      <w:r>
        <w:rPr>
          <w:rFonts w:ascii="Arial" w:cs="Arial" w:eastAsia="Arial" w:hAnsi="Arial"/>
          <w:sz w:val="14"/>
          <w:szCs w:val="14"/>
          <w:b w:val="1"/>
          <w:bCs w:val="1"/>
          <w:color w:val="auto"/>
        </w:rPr>
        <w:t>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57" w:lineRule="exact"/>
        <w:rPr>
          <w:sz w:val="20"/>
          <w:szCs w:val="20"/>
          <w:color w:val="auto"/>
        </w:rPr>
      </w:pPr>
    </w:p>
    <w:p>
      <w:pPr>
        <w:ind w:right="280" w:firstLine="456"/>
        <w:spacing w:after="0" w:line="273" w:lineRule="auto"/>
        <w:rPr>
          <w:sz w:val="20"/>
          <w:szCs w:val="20"/>
          <w:color w:val="auto"/>
        </w:rPr>
      </w:pPr>
      <w:r>
        <w:rPr>
          <w:rFonts w:ascii="Arial" w:cs="Arial" w:eastAsia="Arial" w:hAnsi="Arial"/>
          <w:sz w:val="12"/>
          <w:szCs w:val="12"/>
          <w:color w:val="auto"/>
        </w:rPr>
        <w:t>We depend on the diligence, skill and network of business contacts of the investment professionals of the Investment Adviser. We also depend, to a significant extent, on PennantPark Investment Advisers’ access to the investment information and deal flow generated by these investment professionals and any others that may be hired by the Investment Adviser. Managers of the Investment Adviser evaluate, negotiate, structure, close and monitor our investments. Our future success depends on the continued service of management personnel of the Investment Adviser. The departure of managers of the Investment Adviser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financial condition and results of operation depends on our ability to manage future growth effectively.</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Our ability to achieve our investment objectives depend on our ability to grow, which depends, in turn, on the Investment Adviser’s ability to identify, invest in and monitor companies that meet our investment criteria. Accomplishing this result on a cost-effective basis is largely a function of the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the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operate in a highly competitive market for investment opportunities.</w:t>
      </w:r>
    </w:p>
    <w:p>
      <w:pPr>
        <w:spacing w:after="0" w:line="71"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A number of entities compete with us to make the types of investments that we make in middle-market companies. We compete with public and private funds, including other BDC’s and closed-end funds,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BDC.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replicate the historical performance of other investment companies with which our investment professionals have been affiliated.</w:t>
      </w:r>
    </w:p>
    <w:p>
      <w:pPr>
        <w:spacing w:after="0" w:line="71"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The 1940 Act imposes numerous constraints on the investment activities of BDCs. For example, BDCs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Any failure on our part to maintain our status as a business development company would reduce our operating flexibility.</w:t>
      </w:r>
    </w:p>
    <w:p>
      <w:pPr>
        <w:spacing w:after="0" w:line="71"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We have elected to be treated as a BDC. 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of RIC tax status would substantially reduce net assets and income available for debt service and dividends.</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have operated and intend to operate so as to qualify as a RIC under Subchapter M of the Code commencing with our first taxable year.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shareholders in the next year equal to 4% of the undistributed amount.</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have difficulty paying our required distributions if we recognize income before or without receiving cash representing such income.</w:t>
      </w:r>
    </w:p>
    <w:p>
      <w:pPr>
        <w:spacing w:after="0" w:line="71" w:lineRule="exact"/>
        <w:rPr>
          <w:sz w:val="20"/>
          <w:szCs w:val="20"/>
          <w:color w:val="auto"/>
        </w:rPr>
      </w:pPr>
    </w:p>
    <w:p>
      <w:pPr>
        <w:jc w:val="both"/>
        <w:ind w:right="160" w:firstLine="456"/>
        <w:spacing w:after="0" w:line="230"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original issue discount, or OID,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39" w:lineRule="exact"/>
        <w:rPr>
          <w:sz w:val="20"/>
          <w:szCs w:val="20"/>
          <w:color w:val="auto"/>
        </w:rPr>
      </w:pPr>
    </w:p>
    <w:p>
      <w:pPr>
        <w:ind w:right="300" w:firstLine="456"/>
        <w:spacing w:after="0" w:line="318"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9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340"/>
        <w:spacing w:after="0" w:line="241" w:lineRule="auto"/>
        <w:rPr>
          <w:sz w:val="20"/>
          <w:szCs w:val="20"/>
          <w:color w:val="auto"/>
        </w:rPr>
      </w:pPr>
      <w:r>
        <w:rPr>
          <w:rFonts w:ascii="Arial" w:cs="Arial" w:eastAsia="Arial" w:hAnsi="Arial"/>
          <w:sz w:val="14"/>
          <w:szCs w:val="14"/>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57"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 coverage ratio of total assets to total senior securities, which includes all of our borrowings,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 and if Funding I is unable to obtain a waiver, compliance with the covenants may result in an entity-level tax on us.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governing our operation as a BDC will affect our ability to, and the way in which we, raise additional capital.</w:t>
      </w:r>
    </w:p>
    <w:p>
      <w:pPr>
        <w:spacing w:after="0" w:line="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incur additional indebtedness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or redeem a portion of our senior securities, as applicable, at a time when such sales may be disadvantageous, which could materially damage our business.</w:t>
      </w:r>
    </w:p>
    <w:p>
      <w:pPr>
        <w:spacing w:after="0" w:line="42" w:lineRule="exact"/>
        <w:rPr>
          <w:sz w:val="20"/>
          <w:szCs w:val="20"/>
          <w:color w:val="auto"/>
        </w:rPr>
      </w:pPr>
    </w:p>
    <w:p>
      <w:pPr>
        <w:ind w:left="540" w:right="200" w:hanging="316"/>
        <w:spacing w:after="0" w:line="228"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Senior Securities. </w:t>
      </w:r>
      <w:r>
        <w:rPr>
          <w:rFonts w:ascii="Arial" w:cs="Arial" w:eastAsia="Arial" w:hAnsi="Arial"/>
          <w:sz w:val="14"/>
          <w:szCs w:val="14"/>
          <w:color w:val="auto"/>
        </w:rPr>
        <w:t>As a result of issuing senior securities, we would also be exposed to typical risks associated with leverage, including an increased risk of loss. If we issue preferred securities, they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59" w:lineRule="exact"/>
        <w:rPr>
          <w:rFonts w:ascii="Arial" w:cs="Arial" w:eastAsia="Arial" w:hAnsi="Arial"/>
          <w:sz w:val="14"/>
          <w:szCs w:val="14"/>
          <w:color w:val="auto"/>
        </w:rPr>
      </w:pPr>
    </w:p>
    <w:p>
      <w:pPr>
        <w:ind w:left="540" w:hanging="316"/>
        <w:spacing w:after="0" w:line="270"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Additional Common Stock. </w:t>
      </w:r>
      <w:r>
        <w:rPr>
          <w:rFonts w:ascii="Arial" w:cs="Arial" w:eastAsia="Arial" w:hAnsi="Arial"/>
          <w:sz w:val="12"/>
          <w:szCs w:val="12"/>
          <w:color w:val="auto"/>
        </w:rPr>
        <w:t>Our board of directors may decide to issue common stock to finance our operations rather than issuing debt or other senior securities. As a BDC, we are generally not 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0" w:lineRule="exact"/>
        <w:rPr>
          <w:rFonts w:ascii="Arial" w:cs="Arial" w:eastAsia="Arial" w:hAnsi="Arial"/>
          <w:sz w:val="12"/>
          <w:szCs w:val="12"/>
          <w:color w:val="auto"/>
        </w:rPr>
      </w:pPr>
    </w:p>
    <w:p>
      <w:pPr>
        <w:ind w:left="540" w:right="40" w:hanging="316"/>
        <w:spacing w:after="0" w:line="263"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Securitization. </w:t>
      </w:r>
      <w:r>
        <w:rPr>
          <w:rFonts w:ascii="Arial" w:cs="Arial" w:eastAsia="Arial" w:hAnsi="Arial"/>
          <w:sz w:val="12"/>
          <w:szCs w:val="12"/>
          <w:color w:val="auto"/>
        </w:rPr>
        <w:t>In addition to issuing securities to raise capital as described above, we anticipate that in the future, as market conditions permit, we may securitize our loans to generate cash for funding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currently use borrowed funds to make investments and are exposed to the typical risks associated with leverage.</w:t>
      </w:r>
    </w:p>
    <w:p>
      <w:pPr>
        <w:spacing w:after="0" w:line="7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3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Funding I may fail to meet certain asset coverage tests, which would have an adverse effect on the timing of payments to us, or otherwise fail to satisfy various covenants.</w:t>
      </w:r>
    </w:p>
    <w:p>
      <w:pPr>
        <w:spacing w:after="0" w:line="71"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17" w:lineRule="exact"/>
        <w:rPr>
          <w:sz w:val="20"/>
          <w:szCs w:val="20"/>
          <w:color w:val="auto"/>
        </w:rPr>
      </w:pPr>
    </w:p>
    <w:p>
      <w:pPr>
        <w:ind w:firstLine="342"/>
        <w:spacing w:after="0" w:line="288" w:lineRule="auto"/>
        <w:rPr>
          <w:sz w:val="20"/>
          <w:szCs w:val="20"/>
          <w:color w:val="auto"/>
        </w:rPr>
      </w:pPr>
      <w:r>
        <w:rPr>
          <w:rFonts w:ascii="Arial" w:cs="Arial" w:eastAsia="Arial" w:hAnsi="Arial"/>
          <w:sz w:val="12"/>
          <w:szCs w:val="12"/>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30"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to retain our status as a BDC;</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to maintain a minimum amount of shareholder’s equity;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values of our portfolio companies.</w:t>
      </w:r>
    </w:p>
    <w:p>
      <w:pPr>
        <w:spacing w:after="0" w:line="15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Our continued compliance with these covenants depends on many factors, some of which are beyond our control. Material net asset devaluation resulting from under performance or defaults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incur additional debt, it could increase the risk of investing in our shares.</w:t>
      </w:r>
    </w:p>
    <w:p>
      <w:pPr>
        <w:spacing w:after="0" w:line="71" w:lineRule="exact"/>
        <w:rPr>
          <w:sz w:val="20"/>
          <w:szCs w:val="20"/>
          <w:color w:val="auto"/>
        </w:rPr>
      </w:pPr>
    </w:p>
    <w:p>
      <w:pPr>
        <w:ind w:right="40" w:firstLine="456"/>
        <w:spacing w:after="0" w:line="226" w:lineRule="auto"/>
        <w:rPr>
          <w:sz w:val="20"/>
          <w:szCs w:val="20"/>
          <w:color w:val="auto"/>
        </w:rPr>
      </w:pPr>
      <w:r>
        <w:rPr>
          <w:rFonts w:ascii="Arial" w:cs="Arial" w:eastAsia="Arial" w:hAnsi="Arial"/>
          <w:sz w:val="14"/>
          <w:szCs w:val="14"/>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4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As of March 31, 2012, we had outstanding borrowings of $47.8 million under our Credit Facility with a weighted average annual interest rate on of 2.54% exclusive of the fees on the undrawn commitment of 0.50%. Accordingly, to cover the annual interest on our borrowings outstanding at March 31, 2012, at the then current rate, we would have to receive an annual yield of at least 0.84%.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March 31, 2012 of 31% of total assets (including such borrowed funds), at a weighted average rate at the time of 2.54%,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Assumed return on portfolio (net of expenses)</w:t>
            </w:r>
            <w:r>
              <w:rPr>
                <w:rFonts w:ascii="Arial" w:cs="Arial" w:eastAsia="Arial" w:hAnsi="Arial"/>
                <w:sz w:val="22"/>
                <w:szCs w:val="22"/>
                <w:color w:val="auto"/>
                <w:vertAlign w:val="superscript"/>
              </w:rPr>
              <w:t>(1)</w:t>
            </w:r>
          </w:p>
        </w:tc>
        <w:tc>
          <w:tcPr>
            <w:tcW w:w="34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93"/>
        </w:trPr>
        <w:tc>
          <w:tcPr>
            <w:tcW w:w="5560" w:type="dxa"/>
            <w:vAlign w:val="bottom"/>
          </w:tcPr>
          <w:p>
            <w:pPr>
              <w:spacing w:after="0"/>
              <w:rPr>
                <w:sz w:val="20"/>
                <w:szCs w:val="20"/>
                <w:color w:val="auto"/>
              </w:rPr>
            </w:pPr>
            <w:r>
              <w:rPr>
                <w:rFonts w:ascii="Arial" w:cs="Arial" w:eastAsia="Arial" w:hAnsi="Arial"/>
                <w:sz w:val="14"/>
                <w:szCs w:val="14"/>
                <w:color w:val="auto"/>
              </w:rPr>
              <w:t>Corresponding return to common stockholders</w:t>
            </w:r>
            <w:r>
              <w:rPr>
                <w:rFonts w:ascii="Arial" w:cs="Arial" w:eastAsia="Arial" w:hAnsi="Arial"/>
                <w:sz w:val="22"/>
                <w:szCs w:val="22"/>
                <w:color w:val="auto"/>
                <w:vertAlign w:val="superscript"/>
              </w:rPr>
              <w:t>(2)</w:t>
            </w:r>
          </w:p>
        </w:tc>
        <w:tc>
          <w:tcPr>
            <w:tcW w:w="3480" w:type="dxa"/>
            <w:vAlign w:val="bottom"/>
          </w:tcPr>
          <w:p>
            <w:pPr>
              <w:jc w:val="right"/>
              <w:ind w:right="72"/>
              <w:spacing w:after="0"/>
              <w:rPr>
                <w:sz w:val="20"/>
                <w:szCs w:val="20"/>
                <w:color w:val="auto"/>
              </w:rPr>
            </w:pPr>
            <w:r>
              <w:rPr>
                <w:rFonts w:ascii="Arial" w:cs="Arial" w:eastAsia="Arial" w:hAnsi="Arial"/>
                <w:sz w:val="14"/>
                <w:szCs w:val="14"/>
                <w:color w:val="auto"/>
              </w:rPr>
              <w:t>(16.9)%</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(9.1)%</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(1.3)%</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6.6%</w:t>
            </w:r>
          </w:p>
        </w:tc>
        <w:tc>
          <w:tcPr>
            <w:tcW w:w="520" w:type="dxa"/>
            <w:vAlign w:val="bottom"/>
          </w:tcPr>
          <w:p>
            <w:pPr>
              <w:jc w:val="right"/>
              <w:spacing w:after="0"/>
              <w:rPr>
                <w:sz w:val="20"/>
                <w:szCs w:val="20"/>
                <w:color w:val="auto"/>
              </w:rPr>
            </w:pPr>
            <w:r>
              <w:rPr>
                <w:rFonts w:ascii="Arial" w:cs="Arial" w:eastAsia="Arial" w:hAnsi="Arial"/>
                <w:sz w:val="14"/>
                <w:szCs w:val="14"/>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spacing w:after="0" w:line="68" w:lineRule="exact"/>
        <w:rPr>
          <w:rFonts w:ascii="Arial" w:cs="Arial" w:eastAsia="Arial" w:hAnsi="Arial"/>
          <w:sz w:val="14"/>
          <w:szCs w:val="14"/>
          <w:color w:val="auto"/>
        </w:rPr>
      </w:pPr>
    </w:p>
    <w:p>
      <w:pPr>
        <w:ind w:left="340" w:right="100" w:hanging="332"/>
        <w:spacing w:after="0" w:line="28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exposed to risks associated with changes in interest rates that may affect our cost of capital and net investment income.</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123"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94"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on any variable-rate borrowings,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6" w:lineRule="exact"/>
        <w:rPr>
          <w:sz w:val="20"/>
          <w:szCs w:val="20"/>
          <w:color w:val="auto"/>
        </w:rPr>
      </w:pPr>
    </w:p>
    <w:p>
      <w:pPr>
        <w:ind w:right="600"/>
        <w:spacing w:after="0" w:line="241" w:lineRule="auto"/>
        <w:rPr>
          <w:sz w:val="20"/>
          <w:szCs w:val="20"/>
          <w:color w:val="auto"/>
        </w:rPr>
      </w:pPr>
      <w:r>
        <w:rPr>
          <w:rFonts w:ascii="Arial" w:cs="Arial" w:eastAsia="Arial" w:hAnsi="Arial"/>
          <w:sz w:val="14"/>
          <w:szCs w:val="14"/>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57" w:lineRule="exact"/>
        <w:rPr>
          <w:sz w:val="20"/>
          <w:szCs w:val="20"/>
          <w:color w:val="auto"/>
        </w:rPr>
      </w:pPr>
    </w:p>
    <w:p>
      <w:pPr>
        <w:ind w:right="40" w:firstLine="456"/>
        <w:spacing w:after="0" w:line="227" w:lineRule="auto"/>
        <w:rPr>
          <w:sz w:val="20"/>
          <w:szCs w:val="20"/>
          <w:color w:val="auto"/>
        </w:rPr>
      </w:pPr>
      <w:r>
        <w:rPr>
          <w:rFonts w:ascii="Arial" w:cs="Arial" w:eastAsia="Arial" w:hAnsi="Arial"/>
          <w:sz w:val="14"/>
          <w:szCs w:val="14"/>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219" w:lineRule="exact"/>
        <w:rPr>
          <w:sz w:val="20"/>
          <w:szCs w:val="20"/>
          <w:color w:val="auto"/>
        </w:rPr>
      </w:pPr>
    </w:p>
    <w:p>
      <w:pPr>
        <w:ind w:right="660"/>
        <w:spacing w:after="0" w:line="241" w:lineRule="auto"/>
        <w:rPr>
          <w:sz w:val="20"/>
          <w:szCs w:val="20"/>
          <w:color w:val="auto"/>
        </w:rPr>
      </w:pPr>
      <w:r>
        <w:rPr>
          <w:rFonts w:ascii="Arial" w:cs="Arial" w:eastAsia="Arial" w:hAnsi="Arial"/>
          <w:sz w:val="14"/>
          <w:szCs w:val="14"/>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57"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interests in Funding I are subordinated.</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own 100% of the equity interests in Funding I. We consolidate Funding I in our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receive cash on our equity interests from Funding I.</w:t>
      </w:r>
    </w:p>
    <w:p>
      <w:pPr>
        <w:spacing w:after="0" w:line="71"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ability to sell investments held by Funding I is limited.</w:t>
      </w:r>
    </w:p>
    <w:p>
      <w:pPr>
        <w:spacing w:after="0" w:line="71" w:lineRule="exact"/>
        <w:rPr>
          <w:sz w:val="20"/>
          <w:szCs w:val="20"/>
          <w:color w:val="auto"/>
        </w:rPr>
      </w:pPr>
    </w:p>
    <w:p>
      <w:pPr>
        <w:ind w:right="360"/>
        <w:spacing w:after="0" w:line="239" w:lineRule="auto"/>
        <w:rPr>
          <w:sz w:val="20"/>
          <w:szCs w:val="20"/>
          <w:color w:val="auto"/>
        </w:rPr>
      </w:pPr>
      <w:r>
        <w:rPr>
          <w:rFonts w:ascii="Arial" w:cs="Arial" w:eastAsia="Arial" w:hAnsi="Arial"/>
          <w:sz w:val="14"/>
          <w:szCs w:val="14"/>
          <w:color w:val="auto"/>
        </w:rPr>
        <w:t>The Credit Facility documents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issue preferred stock, debt securities or convertible debt securities the net asset value and market value of our common stock may become more volatile.</w:t>
      </w:r>
    </w:p>
    <w:p>
      <w:pPr>
        <w:spacing w:after="0" w:line="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3" w:lineRule="exact"/>
        <w:rPr>
          <w:sz w:val="20"/>
          <w:szCs w:val="20"/>
          <w:color w:val="auto"/>
        </w:rPr>
      </w:pPr>
    </w:p>
    <w:p>
      <w:pPr>
        <w:ind w:right="160" w:firstLine="456"/>
        <w:spacing w:after="0" w:line="227"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which may be required by the 1940 Act and the terms of our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any preferred stock that we may issue will have the right to elect members of the board of directors and have class voting rights on certain matters.</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in the future issue securities for which there is no public market and for which we expect no public market to develop.</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are significant potential conflicts of interest which could impact our investment returns.</w:t>
      </w:r>
    </w:p>
    <w:p>
      <w:pPr>
        <w:spacing w:after="0" w:line="71" w:lineRule="exact"/>
        <w:rPr>
          <w:sz w:val="20"/>
          <w:szCs w:val="20"/>
          <w:color w:val="auto"/>
        </w:rPr>
      </w:pPr>
    </w:p>
    <w:p>
      <w:pPr>
        <w:ind w:right="80" w:firstLine="456"/>
        <w:spacing w:after="0" w:line="265" w:lineRule="auto"/>
        <w:rPr>
          <w:sz w:val="20"/>
          <w:szCs w:val="20"/>
          <w:color w:val="auto"/>
        </w:rPr>
      </w:pPr>
      <w:r>
        <w:rPr>
          <w:rFonts w:ascii="Arial" w:cs="Arial" w:eastAsia="Arial" w:hAnsi="Arial"/>
          <w:sz w:val="12"/>
          <w:szCs w:val="12"/>
          <w:color w:val="auto"/>
        </w:rPr>
        <w:t>The professionals of the Investment Adviser and Administrator serve as officers, directors or principals of entities that operate in the same or a related line of business as we do or of investment funds managed by affiliates of PennantPark Floating Rate Capital Ltd. that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new affiliated funds are formed, our board of directors, adviser and administrator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PennantPark Investment Corporation, a publicly-traded BDC. Although the Investment Adviser endeavors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PennantPark Investment Corporation, and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4"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In connection with our initial public offering, the Investment Adviser has paid to the underwriters 2% of the sales load, or $2.1 million in the aggregate, with respect to the offering of shares of our common stock. We (and indirectly our stockholders) must reimburse this amount under certain circumstances. As a result of these arrangements, there may be times when the management team of the Investment Adviser has interests that differ from those of our stockholders, giving rise to a conflict. Furthermore, to ensure repayment, there is a risk the Investment Adviser will make more speculative investments.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02" w:lineRule="exact"/>
        <w:rPr>
          <w:sz w:val="20"/>
          <w:szCs w:val="20"/>
          <w:color w:val="auto"/>
        </w:rPr>
      </w:pPr>
    </w:p>
    <w:p>
      <w:pPr>
        <w:ind w:right="340"/>
        <w:spacing w:after="0" w:line="241" w:lineRule="auto"/>
        <w:rPr>
          <w:sz w:val="20"/>
          <w:szCs w:val="20"/>
          <w:color w:val="auto"/>
        </w:rPr>
      </w:pPr>
      <w:r>
        <w:rPr>
          <w:rFonts w:ascii="Arial" w:cs="Arial" w:eastAsia="Arial" w:hAnsi="Arial"/>
          <w:sz w:val="14"/>
          <w:szCs w:val="14"/>
          <w:b w:val="1"/>
          <w:bCs w:val="1"/>
          <w:color w:val="auto"/>
        </w:rPr>
        <w:t>If we are required to repay in cash the amount paid to the underwriters of our initial public offering by the Investment Adviser, we may have to sell assets at a loss, and the amount that we have available for investment may be reduced, in order to pay the amount due.</w:t>
      </w:r>
    </w:p>
    <w:p>
      <w:pPr>
        <w:spacing w:after="0" w:line="57" w:lineRule="exact"/>
        <w:rPr>
          <w:sz w:val="20"/>
          <w:szCs w:val="20"/>
          <w:color w:val="auto"/>
        </w:rPr>
      </w:pPr>
    </w:p>
    <w:p>
      <w:pPr>
        <w:ind w:firstLine="342"/>
        <w:spacing w:after="0" w:line="273" w:lineRule="auto"/>
        <w:rPr>
          <w:sz w:val="20"/>
          <w:szCs w:val="20"/>
          <w:color w:val="auto"/>
        </w:rPr>
      </w:pPr>
      <w:r>
        <w:rPr>
          <w:rFonts w:ascii="Arial" w:cs="Arial" w:eastAsia="Arial" w:hAnsi="Arial"/>
          <w:sz w:val="12"/>
          <w:szCs w:val="12"/>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20" w:lineRule="exact"/>
        <w:rPr>
          <w:sz w:val="20"/>
          <w:szCs w:val="20"/>
          <w:color w:val="auto"/>
        </w:rPr>
      </w:pPr>
    </w:p>
    <w:p>
      <w:pPr>
        <w:ind w:right="400" w:firstLine="342"/>
        <w:spacing w:after="0" w:line="233" w:lineRule="auto"/>
        <w:rPr>
          <w:sz w:val="20"/>
          <w:szCs w:val="20"/>
          <w:color w:val="auto"/>
        </w:rPr>
      </w:pPr>
      <w:r>
        <w:rPr>
          <w:rFonts w:ascii="Arial" w:cs="Arial" w:eastAsia="Arial" w:hAnsi="Arial"/>
          <w:sz w:val="14"/>
          <w:szCs w:val="14"/>
          <w:color w:val="auto"/>
        </w:rPr>
        <w:t>If we are obligated to repay this amount to the Investment Adviser in cash while making distributions to our stockholders necessary to maintain our RIC status and/or avoid the imposition of federal income and excise taxes, we may have to dispose of a portion of our investments. Any such disposition could result in our realizing losses and reduce the amount that we have available for investment. Furthermore, to ensure repayment, there is a risk the Investment Adviser will make more speculative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trading market or market value of any publicly issued debt securities may be volatile.</w:t>
      </w:r>
    </w:p>
    <w:p>
      <w:pPr>
        <w:spacing w:after="0" w:line="71"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58"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to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redemption or repayment features, if any,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generally;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There also may be a limited number of buyers for our debt securities. This too may materially adversely affect the market value of the debt securities or the trading market for the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credit ratings may not reflect all risks of an investment in debt securities.</w:t>
      </w:r>
    </w:p>
    <w:p>
      <w:pPr>
        <w:spacing w:after="0" w:line="152"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relating to redemption may materially adversely affect the return on any debt securities.</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issue subscription rights or warrants for our common stock, your interest in us may be diluted as a result of such rights or warrants offering.</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39"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addition, if the subscription price or warrant exercise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exercise price or net asset value per share will be on the expiration date of such rights offering or what proportion of our common stock will be purchased as a result of any such offering.</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experience fluctuations in our quarterly results.</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laws or regulations governing our operations may adversely affect our business.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Accordingly, any change in these laws or regulations could have a material adverse effect on our business. See “Regulation” for more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board of directors may change our investment objectives, operating policies and strategies without prior notice or stockholder approval.</w:t>
      </w:r>
    </w:p>
    <w:p>
      <w:pPr>
        <w:spacing w:after="0" w:line="71"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Our board of directors have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69"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b w:val="1"/>
          <w:b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7"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We expect most of our investments may be recorded using broker/dealers quotes or at fair value as determined in good faith by our board of directors. We expect that primarily most, if not all, of our investments (other than cash and cash equivalents) and the fair value of the Credit Facility will be classified as Level 3 under Financial Accounting Standards Board, or FASB, Accounting Standards Codification, or ASC, 820, Fair Value Measurement.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22" w:lineRule="exact"/>
        <w:rPr>
          <w:sz w:val="20"/>
          <w:szCs w:val="20"/>
          <w:color w:val="auto"/>
        </w:rPr>
      </w:pPr>
    </w:p>
    <w:p>
      <w:pPr>
        <w:ind w:right="220" w:firstLine="456"/>
        <w:spacing w:after="0" w:line="273" w:lineRule="auto"/>
        <w:rPr>
          <w:sz w:val="20"/>
          <w:szCs w:val="20"/>
          <w:color w:val="auto"/>
        </w:rPr>
      </w:pPr>
      <w:r>
        <w:rPr>
          <w:rFonts w:ascii="Arial" w:cs="Arial" w:eastAsia="Arial" w:hAnsi="Arial"/>
          <w:sz w:val="12"/>
          <w:szCs w:val="12"/>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We adjust the valuation of our portfolio quarterly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60" w:firstLine="456"/>
        <w:spacing w:after="0" w:line="270" w:lineRule="auto"/>
        <w:rPr>
          <w:sz w:val="20"/>
          <w:szCs w:val="20"/>
          <w:color w:val="auto"/>
        </w:rPr>
      </w:pPr>
      <w:r>
        <w:rPr>
          <w:rFonts w:ascii="Arial" w:cs="Arial" w:eastAsia="Arial" w:hAnsi="Arial"/>
          <w:sz w:val="12"/>
          <w:szCs w:val="12"/>
          <w:color w:val="auto"/>
        </w:rPr>
        <w:t>If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lack of liquidity in our investments may adversely affect our business.</w:t>
      </w:r>
    </w:p>
    <w:p>
      <w:pPr>
        <w:spacing w:after="0" w:line="7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3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general disruption in the credit markets could materially damage our business.</w:t>
      </w:r>
    </w:p>
    <w:p>
      <w:pPr>
        <w:spacing w:after="0" w:line="71"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rely in part on our over-the-counter securities to provide us with adequate liquidity, but even these securities did face liquidity constraints under recent market conditions.</w:t>
      </w:r>
    </w:p>
    <w:p>
      <w:pPr>
        <w:spacing w:after="0" w:line="94"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investments in prospective portfolio companies may be risky, and you could lose all or part of your investment.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invest primarily in Floating Rate Loans issued by U.S. middle-market companies.</w:t>
      </w:r>
    </w:p>
    <w:p>
      <w:pPr>
        <w:spacing w:after="0" w:line="150" w:lineRule="exact"/>
        <w:rPr>
          <w:sz w:val="20"/>
          <w:szCs w:val="20"/>
          <w:color w:val="auto"/>
        </w:rPr>
      </w:pPr>
    </w:p>
    <w:p>
      <w:pPr>
        <w:ind w:left="800" w:right="20"/>
        <w:spacing w:after="0" w:line="270" w:lineRule="auto"/>
        <w:rPr>
          <w:sz w:val="20"/>
          <w:szCs w:val="20"/>
          <w:color w:val="auto"/>
        </w:rPr>
      </w:pPr>
      <w:r>
        <w:rPr>
          <w:rFonts w:ascii="Arial" w:cs="Arial" w:eastAsia="Arial" w:hAnsi="Arial"/>
          <w:sz w:val="12"/>
          <w:szCs w:val="12"/>
          <w:i w:val="1"/>
          <w:iCs w:val="1"/>
          <w:color w:val="auto"/>
        </w:rPr>
        <w:t>Floating Rate Loans</w:t>
      </w:r>
      <w:r>
        <w:rPr>
          <w:rFonts w:ascii="Arial" w:cs="Arial" w:eastAsia="Arial" w:hAnsi="Arial"/>
          <w:sz w:val="12"/>
          <w:szCs w:val="12"/>
          <w:color w:val="auto"/>
        </w:rPr>
        <w:t>. The Floating Rate Loans we invest in are usually rated below investment grade or may also be unrated. Investments in Floating Rate Loans rated below investment grade are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Floating Rate Loans are subject to the risk of non-payment of scheduled interest or principal. Such non-payment would result in a reduction of income to us, a reduction in the value of the investment and a potential decrease in our net asset value.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23"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55" w:lineRule="exact"/>
        <w:rPr>
          <w:sz w:val="20"/>
          <w:szCs w:val="20"/>
          <w:color w:val="auto"/>
        </w:rPr>
      </w:pPr>
    </w:p>
    <w:p>
      <w:pPr>
        <w:ind w:left="540" w:right="12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3" w:lineRule="exact"/>
        <w:rPr>
          <w:rFonts w:ascii="Arial" w:cs="Arial" w:eastAsia="Arial" w:hAnsi="Arial"/>
          <w:sz w:val="14"/>
          <w:szCs w:val="14"/>
          <w:color w:val="auto"/>
        </w:rPr>
      </w:pPr>
    </w:p>
    <w:p>
      <w:pPr>
        <w:ind w:left="540" w:right="160" w:hanging="316"/>
        <w:spacing w:after="0" w:line="28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6" w:lineRule="exact"/>
        <w:rPr>
          <w:rFonts w:ascii="Arial" w:cs="Arial" w:eastAsia="Arial" w:hAnsi="Arial"/>
          <w:sz w:val="12"/>
          <w:szCs w:val="12"/>
          <w:color w:val="auto"/>
        </w:rPr>
      </w:pPr>
    </w:p>
    <w:p>
      <w:pPr>
        <w:ind w:left="540" w:hanging="316"/>
        <w:spacing w:after="0"/>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they may have difficulty accessing the capital markets to meet future capital needs, which may limit their ability to grow or to repay their outstanding indebtedness upon maturity.</w:t>
      </w:r>
    </w:p>
    <w:p>
      <w:pPr>
        <w:spacing w:after="0" w:line="252" w:lineRule="exact"/>
        <w:rPr>
          <w:sz w:val="20"/>
          <w:szCs w:val="20"/>
          <w:color w:val="auto"/>
        </w:rPr>
      </w:pPr>
    </w:p>
    <w:p>
      <w:pPr>
        <w:ind w:right="200"/>
        <w:spacing w:after="0" w:line="241" w:lineRule="auto"/>
        <w:rPr>
          <w:sz w:val="20"/>
          <w:szCs w:val="20"/>
          <w:color w:val="auto"/>
        </w:rPr>
      </w:pPr>
      <w:r>
        <w:rPr>
          <w:rFonts w:ascii="Arial" w:cs="Arial" w:eastAsia="Arial" w:hAnsi="Arial"/>
          <w:sz w:val="14"/>
          <w:szCs w:val="14"/>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57"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equivalents, government securities and high quality debt securities maturing in one year or less from the time of investment.</w:t>
      </w:r>
    </w:p>
    <w:p>
      <w:pPr>
        <w:spacing w:after="0" w:line="139" w:lineRule="exact"/>
        <w:rPr>
          <w:sz w:val="20"/>
          <w:szCs w:val="20"/>
          <w:color w:val="auto"/>
        </w:rPr>
      </w:pPr>
    </w:p>
    <w:p>
      <w:pPr>
        <w:ind w:right="160" w:firstLine="456"/>
        <w:spacing w:after="0" w:line="273" w:lineRule="auto"/>
        <w:rPr>
          <w:sz w:val="20"/>
          <w:szCs w:val="20"/>
          <w:color w:val="auto"/>
        </w:rPr>
      </w:pPr>
      <w:r>
        <w:rPr>
          <w:rFonts w:ascii="Arial" w:cs="Arial" w:eastAsia="Arial" w:hAnsi="Arial"/>
          <w:sz w:val="12"/>
          <w:szCs w:val="12"/>
          <w:color w:val="auto"/>
        </w:rPr>
        <w:t>We believe that most of our Floating Rate Loan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360"/>
        <w:spacing w:after="0" w:line="241" w:lineRule="auto"/>
        <w:rPr>
          <w:sz w:val="20"/>
          <w:szCs w:val="20"/>
          <w:color w:val="auto"/>
        </w:rPr>
      </w:pPr>
      <w:r>
        <w:rPr>
          <w:rFonts w:ascii="Arial" w:cs="Arial" w:eastAsia="Arial" w:hAnsi="Arial"/>
          <w:sz w:val="14"/>
          <w:szCs w:val="14"/>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7"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Economic recessions or downturns could impair our portfolio companies and harm our operating results.</w:t>
      </w:r>
    </w:p>
    <w:p>
      <w:pPr>
        <w:spacing w:after="0" w:line="71"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fail to make follow-on investments in our portfolio companies, this could materially impair the value of our portfolio.</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55"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50"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15" w:lineRule="exact"/>
        <w:rPr>
          <w:sz w:val="20"/>
          <w:szCs w:val="20"/>
          <w:color w:val="auto"/>
        </w:rPr>
      </w:pPr>
    </w:p>
    <w:p>
      <w:pPr>
        <w:ind w:right="660"/>
        <w:spacing w:after="0" w:line="241" w:lineRule="auto"/>
        <w:rPr>
          <w:sz w:val="20"/>
          <w:szCs w:val="20"/>
          <w:color w:val="auto"/>
        </w:rPr>
      </w:pPr>
      <w:r>
        <w:rPr>
          <w:rFonts w:ascii="Arial" w:cs="Arial" w:eastAsia="Arial" w:hAnsi="Arial"/>
          <w:sz w:val="14"/>
          <w:szCs w:val="14"/>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57"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37" w:lineRule="exact"/>
        <w:rPr>
          <w:sz w:val="20"/>
          <w:szCs w:val="20"/>
          <w:color w:val="auto"/>
        </w:rPr>
      </w:pPr>
    </w:p>
    <w:p>
      <w:pPr>
        <w:ind w:right="160"/>
        <w:spacing w:after="0" w:line="321" w:lineRule="auto"/>
        <w:rPr>
          <w:sz w:val="20"/>
          <w:szCs w:val="20"/>
          <w:color w:val="auto"/>
        </w:rPr>
      </w:pPr>
      <w:r>
        <w:rPr>
          <w:rFonts w:ascii="Arial" w:cs="Arial" w:eastAsia="Arial" w:hAnsi="Arial"/>
          <w:sz w:val="12"/>
          <w:szCs w:val="12"/>
          <w:b w:val="1"/>
          <w:b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1"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effect of global climate change may impact the operations of our portfolio companies.</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portfolio companies may incur debt that ranks equally with, or senior to, our investments in such companies.</w:t>
      </w:r>
    </w:p>
    <w:p>
      <w:pPr>
        <w:spacing w:after="0" w:line="71" w:lineRule="exact"/>
        <w:rPr>
          <w:sz w:val="20"/>
          <w:szCs w:val="20"/>
          <w:color w:val="auto"/>
        </w:rPr>
      </w:pPr>
    </w:p>
    <w:p>
      <w:pPr>
        <w:ind w:right="140" w:firstLine="456"/>
        <w:spacing w:after="0" w:line="270" w:lineRule="auto"/>
        <w:rPr>
          <w:sz w:val="20"/>
          <w:szCs w:val="20"/>
          <w:color w:val="auto"/>
        </w:rPr>
      </w:pPr>
      <w:r>
        <w:rPr>
          <w:rFonts w:ascii="Arial" w:cs="Arial" w:eastAsia="Arial" w:hAnsi="Arial"/>
          <w:sz w:val="12"/>
          <w:szCs w:val="12"/>
          <w:color w:val="auto"/>
        </w:rPr>
        <w:t>We invest primarily in Floating Rate Loans issued by our portfolio companies. The portfolio companies usually may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incentive fee may induce the Investment Adviser to make speculative investments.</w:t>
      </w:r>
    </w:p>
    <w:p>
      <w:pPr>
        <w:spacing w:after="0" w:line="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3"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make investments that cause our shareholders to bear investment advisory fees and other expenses on such investments in addition to our management fees and expenses.</w:t>
      </w:r>
    </w:p>
    <w:p>
      <w:pPr>
        <w:spacing w:after="0" w:line="94"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obligated to pay our Investment Adviser incentive compensation even if we incur a loss.</w:t>
      </w:r>
    </w:p>
    <w:p>
      <w:pPr>
        <w:spacing w:after="0" w:line="71" w:lineRule="exact"/>
        <w:rPr>
          <w:sz w:val="20"/>
          <w:szCs w:val="20"/>
          <w:color w:val="auto"/>
        </w:rPr>
      </w:pPr>
    </w:p>
    <w:p>
      <w:pPr>
        <w:ind w:right="100" w:firstLine="342"/>
        <w:spacing w:after="0" w:line="278" w:lineRule="auto"/>
        <w:rPr>
          <w:sz w:val="20"/>
          <w:szCs w:val="20"/>
          <w:color w:val="auto"/>
        </w:rPr>
      </w:pPr>
      <w:r>
        <w:rPr>
          <w:rFonts w:ascii="Arial" w:cs="Arial" w:eastAsia="Arial" w:hAnsi="Arial"/>
          <w:sz w:val="12"/>
          <w:szCs w:val="12"/>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investments in foreign securities may involve significant risks in addition to the risks inherent in U.S. investments.</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0"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expose ourselves to risks if we engage in hedging transactions.</w:t>
      </w:r>
    </w:p>
    <w:p>
      <w:pPr>
        <w:spacing w:after="0" w:line="71"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22"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is a risk that our stockholders may not receive distributions or that our distributions may not grow over time.</w:t>
      </w:r>
    </w:p>
    <w:p>
      <w:pPr>
        <w:spacing w:after="0" w:line="71"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in our shares may involve an above average degree of risk.</w:t>
      </w:r>
    </w:p>
    <w:p>
      <w:pPr>
        <w:spacing w:after="0" w:line="71"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allocate the net proceeds from any offering of our securities in ways with which you may not agree.</w:t>
      </w:r>
    </w:p>
    <w:p>
      <w:pPr>
        <w:spacing w:after="0" w:line="71"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shares may trade at discounts from net asset value or at premiums that are unsustainable over the long term.</w:t>
      </w:r>
    </w:p>
    <w:p>
      <w:pPr>
        <w:spacing w:after="0" w:line="71"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Shares of BDC’s may trade at a market price that is less than the net asset value that is attributable to those shares. Our shares may trade above and below our net asset value, or NAV. Our shares traded on the NASDAQ Global Select Market at $10.55 and $11.75 as of September 30, 2011 and March 31, 2012, respectively. Our NAV was $13.44 and $14.12 as of September 30, 2011 and March 31,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market price of our common stock may fluctuate significantly.</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44"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significant volatility in the market price and trading volume of securities of BDCs or other companies in our sector, which are not necessarily related to the operating performance of these companies;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loss of RIC status;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economic trends and other external factors;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231"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unable to invest the net proceeds raised from offerings on acceptable terms, which would harm our financial condition and operating results.</w:t>
      </w:r>
    </w:p>
    <w:p>
      <w:pPr>
        <w:spacing w:after="0" w:line="71"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substantial amounts of our securities may have an adverse effect on the market price of our securities.</w:t>
      </w:r>
    </w:p>
    <w:p>
      <w:pPr>
        <w:spacing w:after="0" w:line="71"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 may have current tax liabilities on distributions you reinvest in our common stock.</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is a risk that our common stockholders may receive our stock as dividends in which case they may be required to pay taxes in excess of the cash they receive.</w:t>
      </w:r>
    </w:p>
    <w:p>
      <w:pPr>
        <w:spacing w:after="0" w:line="71"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line="234" w:lineRule="auto"/>
        <w:rPr>
          <w:sz w:val="20"/>
          <w:szCs w:val="20"/>
          <w:color w:val="auto"/>
        </w:rPr>
      </w:pPr>
      <w:r>
        <w:rPr>
          <w:rFonts w:ascii="Arial" w:cs="Arial" w:eastAsia="Arial" w:hAnsi="Arial"/>
          <w:sz w:val="14"/>
          <w:szCs w:val="14"/>
          <w:b w:val="1"/>
          <w:b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22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will allow us to access the capital markets in a way that we were previously unable to as a result of restrictions that, absent stockholder approval, apply to BDCs under the 1940 Act.</w:t>
      </w:r>
    </w:p>
    <w:p>
      <w:pPr>
        <w:spacing w:after="0" w:line="220"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incur significant costs as a result of being a publicly traded company.</w:t>
      </w:r>
    </w:p>
    <w:p>
      <w:pPr>
        <w:spacing w:after="0" w:line="71"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and other rules implemented by the SEC and the listing standards of the NASDAQ.</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Provisions of the Maryland General Corporation Law and of our charter and bylaws could deter takeover attempts and have an adverse impact on the price of our common stock.</w:t>
      </w:r>
    </w:p>
    <w:p>
      <w:pPr>
        <w:spacing w:after="0" w:line="94"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40"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40" w:lineRule="exact"/>
        <w:rPr>
          <w:sz w:val="20"/>
          <w:szCs w:val="20"/>
          <w:color w:val="auto"/>
        </w:rPr>
      </w:pPr>
    </w:p>
    <w:p>
      <w:pPr>
        <w:jc w:val="center"/>
        <w:ind w:left="300" w:right="400"/>
        <w:spacing w:after="0" w:line="459"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 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FORWARD-LOOKING STATEMENTS</w:t>
      </w:r>
    </w:p>
    <w:p>
      <w:pPr>
        <w:spacing w:after="0" w:line="152"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color w:val="auto"/>
        </w:rPr>
        <w:t>This prospectus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58"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50"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our prospectus entitled “Risk Factors” and elsewhere.</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3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or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USE OF PROCEEDS</w:t>
      </w:r>
    </w:p>
    <w:p>
      <w:pPr>
        <w:spacing w:after="0" w:line="152"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purposes. Any supplements to this prospectus relating to an offering may more fully identify the use of the proceeds from such offering.</w:t>
      </w:r>
    </w:p>
    <w:p>
      <w:pPr>
        <w:spacing w:after="0" w:line="94"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As of March 31, 2012, we had $47.8 million in borrowings outstanding under our $100.0 million Credit Facility. Borrowings under our Credit Facility bear interest at a commercial paper rate that approximates LIBOR plus 225 basis points per annum for the first three years, or the revolving period, and the rate resets to LIBOR plus 425 basis points for the remaining two years. At March 31, 2012, the interest rate at that time was 2.54%. The Credit Facility is a revolving facility with a stated maturity date of June 23, 2016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for more information.</w:t>
      </w:r>
    </w:p>
    <w:p>
      <w:pPr>
        <w:spacing w:after="0" w:line="140"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SELECTED FINANCIAL DATA</w:t>
      </w:r>
    </w:p>
    <w:p>
      <w:pPr>
        <w:spacing w:after="0" w:line="152"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six months ended March 31, 2012 are derived from our unaudited Consolidated Financial Statements. The selected financial data for the period from March 4, 2011 (commencement of operations) through September 30, 2011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(Dollar amounts in thousands, except per share data)</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Operations data:</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expenses before debt issuance costs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(loss) gain</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Net increase (decrease) in net assets resulting from operations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data:</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(at period end)</w:t>
      </w:r>
    </w:p>
    <w:p>
      <w:pPr>
        <w:spacing w:after="0"/>
        <w:rPr>
          <w:sz w:val="20"/>
          <w:szCs w:val="20"/>
          <w:color w:val="auto"/>
        </w:rPr>
      </w:pPr>
      <w:r>
        <w:rPr>
          <w:rFonts w:ascii="Arial" w:cs="Arial" w:eastAsia="Arial" w:hAnsi="Arial"/>
          <w:sz w:val="14"/>
          <w:szCs w:val="14"/>
          <w:color w:val="auto"/>
        </w:rPr>
        <w:t>Net investment income</w:t>
      </w:r>
      <w:r>
        <w:rPr>
          <w:rFonts w:ascii="Arial" w:cs="Arial" w:eastAsia="Arial" w:hAnsi="Arial"/>
          <w:sz w:val="22"/>
          <w:szCs w:val="22"/>
          <w:color w:val="auto"/>
          <w:vertAlign w:val="superscript"/>
        </w:rPr>
        <w:t>(2)</w:t>
      </w:r>
    </w:p>
    <w:p>
      <w:pPr>
        <w:spacing w:after="0" w:line="205" w:lineRule="auto"/>
        <w:rPr>
          <w:sz w:val="20"/>
          <w:szCs w:val="20"/>
          <w:color w:val="auto"/>
        </w:rPr>
      </w:pPr>
      <w:r>
        <w:rPr>
          <w:rFonts w:ascii="Arial" w:cs="Arial" w:eastAsia="Arial" w:hAnsi="Arial"/>
          <w:sz w:val="14"/>
          <w:szCs w:val="14"/>
          <w:color w:val="auto"/>
        </w:rPr>
        <w:t>Net realized and unrealized (loss) gain</w:t>
      </w:r>
      <w:r>
        <w:rPr>
          <w:rFonts w:ascii="Arial" w:cs="Arial" w:eastAsia="Arial" w:hAnsi="Arial"/>
          <w:sz w:val="22"/>
          <w:szCs w:val="22"/>
          <w:color w:val="auto"/>
          <w:vertAlign w:val="superscript"/>
        </w:rPr>
        <w:t>(2)</w:t>
      </w:r>
    </w:p>
    <w:p>
      <w:pPr>
        <w:spacing w:after="0"/>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Distributions declared</w:t>
      </w:r>
      <w:r>
        <w:rPr>
          <w:rFonts w:ascii="Arial" w:cs="Arial" w:eastAsia="Arial" w:hAnsi="Arial"/>
          <w:sz w:val="22"/>
          <w:szCs w:val="22"/>
          <w:color w:val="auto"/>
          <w:vertAlign w:val="superscript"/>
        </w:rPr>
        <w:t>(2),(3)</w:t>
      </w:r>
    </w:p>
    <w:p>
      <w:pPr>
        <w:spacing w:after="0"/>
        <w:rPr>
          <w:sz w:val="20"/>
          <w:szCs w:val="20"/>
          <w:color w:val="auto"/>
        </w:rPr>
      </w:pPr>
      <w:r>
        <w:rPr>
          <w:rFonts w:ascii="Arial" w:cs="Arial" w:eastAsia="Arial" w:hAnsi="Arial"/>
          <w:sz w:val="12"/>
          <w:szCs w:val="12"/>
          <w:b w:val="1"/>
          <w:bCs w:val="1"/>
          <w:color w:val="auto"/>
        </w:rPr>
        <w:t>Consolidated Statement of Assets and Liabilities data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 period end):</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portfolio</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Borrowings outstanding</w:t>
      </w:r>
      <w:r>
        <w:rPr>
          <w:rFonts w:ascii="Arial" w:cs="Arial" w:eastAsia="Arial" w:hAnsi="Arial"/>
          <w:sz w:val="22"/>
          <w:szCs w:val="22"/>
          <w:color w:val="auto"/>
          <w:vertAlign w:val="superscript"/>
        </w:rPr>
        <w:t>(4)</w:t>
      </w:r>
    </w:p>
    <w:p>
      <w:pPr>
        <w:spacing w:after="0"/>
        <w:rPr>
          <w:sz w:val="20"/>
          <w:szCs w:val="20"/>
          <w:color w:val="auto"/>
        </w:rPr>
      </w:pPr>
      <w:r>
        <w:rPr>
          <w:rFonts w:ascii="Arial" w:cs="Arial" w:eastAsia="Arial" w:hAnsi="Arial"/>
          <w:sz w:val="12"/>
          <w:szCs w:val="12"/>
          <w:color w:val="auto"/>
        </w:rPr>
        <w:t>Payable for investments purchased and unfunded investments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Total net asset value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data:</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Total return</w:t>
      </w:r>
      <w:r>
        <w:rPr>
          <w:rFonts w:ascii="Arial" w:cs="Arial" w:eastAsia="Arial" w:hAnsi="Arial"/>
          <w:sz w:val="22"/>
          <w:szCs w:val="22"/>
          <w:color w:val="auto"/>
          <w:vertAlign w:val="superscript"/>
        </w:rPr>
        <w:t>(5)</w:t>
      </w:r>
    </w:p>
    <w:p>
      <w:pPr>
        <w:spacing w:after="0" w:line="224" w:lineRule="auto"/>
        <w:rPr>
          <w:sz w:val="20"/>
          <w:szCs w:val="20"/>
          <w:color w:val="auto"/>
        </w:rPr>
      </w:pPr>
      <w:r>
        <w:rPr>
          <w:rFonts w:ascii="Arial" w:cs="Arial" w:eastAsia="Arial" w:hAnsi="Arial"/>
          <w:sz w:val="14"/>
          <w:szCs w:val="14"/>
          <w:color w:val="auto"/>
        </w:rPr>
        <w:t>Number of portfolio companies (at period end)</w:t>
      </w:r>
      <w:r>
        <w:rPr>
          <w:rFonts w:ascii="Arial" w:cs="Arial" w:eastAsia="Arial" w:hAnsi="Arial"/>
          <w:sz w:val="22"/>
          <w:szCs w:val="22"/>
          <w:color w:val="auto"/>
          <w:vertAlign w:val="superscript"/>
        </w:rPr>
        <w:t>(6)</w:t>
      </w:r>
    </w:p>
    <w:p>
      <w:pPr>
        <w:spacing w:after="0" w:line="220" w:lineRule="auto"/>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For the period from</w:t>
            </w:r>
          </w:p>
        </w:tc>
      </w:tr>
      <w:tr>
        <w:trPr>
          <w:trHeight w:val="149"/>
        </w:trPr>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March 4, 2011</w:t>
            </w:r>
          </w:p>
        </w:tc>
      </w:tr>
      <w:tr>
        <w:trPr>
          <w:trHeight w:val="149"/>
        </w:trPr>
        <w:tc>
          <w:tcPr>
            <w:tcW w:w="2380" w:type="dxa"/>
            <w:vAlign w:val="bottom"/>
            <w:gridSpan w:val="3"/>
          </w:tcPr>
          <w:p>
            <w:pPr>
              <w:jc w:val="right"/>
              <w:ind w:right="1340"/>
              <w:spacing w:after="0" w:line="149" w:lineRule="exact"/>
              <w:rPr>
                <w:sz w:val="20"/>
                <w:szCs w:val="20"/>
                <w:color w:val="auto"/>
              </w:rPr>
            </w:pPr>
            <w:r>
              <w:rPr>
                <w:rFonts w:ascii="Arial" w:cs="Arial" w:eastAsia="Arial" w:hAnsi="Arial"/>
                <w:sz w:val="14"/>
                <w:szCs w:val="14"/>
                <w:b w:val="1"/>
                <w:bCs w:val="1"/>
                <w:color w:val="auto"/>
                <w:w w:val="85"/>
              </w:rPr>
              <w:t>Six Months ended</w:t>
            </w:r>
          </w:p>
        </w:tc>
        <w:tc>
          <w:tcPr>
            <w:tcW w:w="1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r>
      <w:tr>
        <w:trPr>
          <w:trHeight w:val="161"/>
        </w:trPr>
        <w:tc>
          <w:tcPr>
            <w:tcW w:w="238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94"/>
              </w:rPr>
              <w:t>March 31, 2012</w:t>
            </w:r>
          </w:p>
        </w:tc>
        <w:tc>
          <w:tcPr>
            <w:tcW w:w="1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through September 30, 2011</w:t>
            </w:r>
          </w:p>
        </w:tc>
      </w:tr>
      <w:tr>
        <w:trPr>
          <w:trHeight w:val="385"/>
        </w:trPr>
        <w:tc>
          <w:tcPr>
            <w:tcW w:w="34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5,411</w:t>
            </w:r>
          </w:p>
        </w:tc>
        <w:tc>
          <w:tcPr>
            <w:tcW w:w="1340" w:type="dxa"/>
            <w:vAlign w:val="bottom"/>
          </w:tcPr>
          <w:p>
            <w:pPr>
              <w:spacing w:after="0"/>
              <w:rPr>
                <w:sz w:val="24"/>
                <w:szCs w:val="24"/>
                <w:color w:val="auto"/>
              </w:rPr>
            </w:pPr>
          </w:p>
        </w:tc>
        <w:tc>
          <w:tcPr>
            <w:tcW w:w="2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2,947</w:t>
            </w:r>
          </w:p>
        </w:tc>
        <w:tc>
          <w:tcPr>
            <w:tcW w:w="160" w:type="dxa"/>
            <w:vAlign w:val="bottom"/>
          </w:tcPr>
          <w:p>
            <w:pPr>
              <w:spacing w:after="0"/>
              <w:rPr>
                <w:sz w:val="24"/>
                <w:szCs w:val="24"/>
                <w:color w:val="auto"/>
              </w:rPr>
            </w:pPr>
          </w:p>
        </w:tc>
      </w:tr>
      <w:tr>
        <w:trPr>
          <w:trHeight w:val="260"/>
        </w:trPr>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2,491</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4"/>
                <w:szCs w:val="14"/>
                <w:color w:val="auto"/>
              </w:rPr>
              <w:t>1,260</w:t>
            </w:r>
            <w:r>
              <w:rPr>
                <w:rFonts w:ascii="Arial" w:cs="Arial" w:eastAsia="Arial" w:hAnsi="Arial"/>
                <w:sz w:val="22"/>
                <w:szCs w:val="22"/>
                <w:color w:val="auto"/>
                <w:vertAlign w:val="superscript"/>
              </w:rPr>
              <w:t>(1)</w:t>
            </w:r>
          </w:p>
        </w:tc>
      </w:tr>
      <w:tr>
        <w:trPr>
          <w:trHeight w:val="172"/>
        </w:trPr>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2,920</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320</w:t>
            </w:r>
          </w:p>
        </w:tc>
        <w:tc>
          <w:tcPr>
            <w:tcW w:w="160" w:type="dxa"/>
            <w:vAlign w:val="bottom"/>
          </w:tcPr>
          <w:p>
            <w:pPr>
              <w:spacing w:after="0"/>
              <w:rPr>
                <w:sz w:val="14"/>
                <w:szCs w:val="14"/>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4,710</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(3,793)</w:t>
            </w: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7,630</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(3,473)</w:t>
            </w:r>
          </w:p>
        </w:tc>
      </w:tr>
      <w:tr>
        <w:trPr>
          <w:trHeight w:val="378"/>
        </w:trPr>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14.12</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13.44</w:t>
            </w:r>
          </w:p>
        </w:tc>
        <w:tc>
          <w:tcPr>
            <w:tcW w:w="1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0.43</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0.69</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(0.56)</w:t>
            </w: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(0.51)</w:t>
            </w: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0.44</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0.25</w:t>
            </w:r>
          </w:p>
        </w:tc>
        <w:tc>
          <w:tcPr>
            <w:tcW w:w="160" w:type="dxa"/>
            <w:vAlign w:val="bottom"/>
          </w:tcPr>
          <w:p>
            <w:pPr>
              <w:spacing w:after="0"/>
              <w:rPr>
                <w:sz w:val="18"/>
                <w:szCs w:val="18"/>
                <w:color w:val="auto"/>
              </w:rPr>
            </w:pPr>
          </w:p>
        </w:tc>
      </w:tr>
      <w:tr>
        <w:trPr>
          <w:trHeight w:val="581"/>
        </w:trPr>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151,174</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121,075</w:t>
            </w:r>
          </w:p>
        </w:tc>
        <w:tc>
          <w:tcPr>
            <w:tcW w:w="1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146,188</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110,724</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47,561</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24,650</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5,102</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3,313</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96,722</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92,072</w:t>
            </w:r>
          </w:p>
        </w:tc>
        <w:tc>
          <w:tcPr>
            <w:tcW w:w="1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040" w:type="dxa"/>
            <w:vAlign w:val="bottom"/>
            <w:gridSpan w:val="2"/>
          </w:tcPr>
          <w:p>
            <w:pPr>
              <w:jc w:val="right"/>
              <w:ind w:right="1220"/>
              <w:spacing w:after="0"/>
              <w:rPr>
                <w:sz w:val="20"/>
                <w:szCs w:val="20"/>
                <w:color w:val="auto"/>
              </w:rPr>
            </w:pPr>
            <w:r>
              <w:rPr>
                <w:rFonts w:ascii="Arial" w:cs="Arial" w:eastAsia="Arial" w:hAnsi="Arial"/>
                <w:sz w:val="14"/>
                <w:szCs w:val="14"/>
                <w:color w:val="auto"/>
              </w:rPr>
              <w:t>15.75%</w:t>
            </w:r>
          </w:p>
        </w:tc>
        <w:tc>
          <w:tcPr>
            <w:tcW w:w="20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(28.1)%</w:t>
            </w: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40" w:type="dxa"/>
            <w:vAlign w:val="bottom"/>
            <w:gridSpan w:val="2"/>
          </w:tcPr>
          <w:p>
            <w:pPr>
              <w:jc w:val="right"/>
              <w:ind w:right="1220"/>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4"/>
                <w:szCs w:val="14"/>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-3060700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-2786380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-2512060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-2237105</wp:posOffset>
            </wp:positionV>
            <wp:extent cx="724662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-1997075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-1722755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-1448435</wp:posOffset>
            </wp:positionV>
            <wp:extent cx="7246620" cy="231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-1079500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-805180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-530860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-256540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6340" w:space="720"/>
            <w:col w:w="4320"/>
          </w:cols>
          <w:pgMar w:left="240" w:top="459" w:right="279" w:bottom="1440" w:gutter="0" w:footer="0" w:header="0"/>
          <w:type w:val="continuous"/>
        </w:sectPr>
      </w:pPr>
    </w:p>
    <w:p>
      <w:pPr>
        <w:spacing w:after="0" w:line="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Included start-up and organizational costs. Total expenses after debt issuance costs are $2,626.</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which may differ from amounts determined under GAAP.</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Unaudited.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380"/>
          </w:cols>
          <w:pgMar w:left="240" w:top="459" w:right="2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Quarterly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increase in net assets resulting from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increase in net assets resulting from operations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per share at the end of the quarter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Market value per share at the end of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 (loss)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 net assets resulting from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 net assets resulting from operations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per share at the end of the quarter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Market value per share at the end of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28301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From March 4, 2011 (commencement of operations) through March 31, 2011, there was only a seed capital investment.</w:t>
      </w:r>
    </w:p>
    <w:p>
      <w:pPr>
        <w:spacing w:after="0" w:line="15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83"/>
              </w:rPr>
              <w:t>2012</w:t>
            </w:r>
          </w:p>
        </w:tc>
        <w:tc>
          <w:tcPr>
            <w:tcW w:w="900" w:type="dxa"/>
            <w:vAlign w:val="bottom"/>
            <w:tcBorders>
              <w:bottom w:val="single" w:sz="8" w:color="auto"/>
            </w:tcBorders>
          </w:tcPr>
          <w:p>
            <w:pPr>
              <w:spacing w:after="0"/>
              <w:rPr>
                <w:sz w:val="14"/>
                <w:szCs w:val="14"/>
                <w:color w:val="auto"/>
              </w:rPr>
            </w:pPr>
          </w:p>
        </w:tc>
      </w:tr>
      <w:tr>
        <w:trPr>
          <w:trHeight w:val="142"/>
        </w:trPr>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Q2</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Q1</w:t>
            </w:r>
          </w:p>
        </w:tc>
      </w:tr>
      <w:tr>
        <w:trPr>
          <w:trHeight w:val="209"/>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2,944</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2,467</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1,545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1,375</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2,980</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1,730</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4,525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3,105</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0.66</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0.45</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14.12</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13.68</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11.75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10.30</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Q4</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r>
      <w:tr>
        <w:trPr>
          <w:trHeight w:val="209"/>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2,048</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899</w:t>
            </w:r>
          </w:p>
        </w:tc>
        <w:tc>
          <w:tcPr>
            <w:tcW w:w="20" w:type="dxa"/>
            <w:vAlign w:val="bottom"/>
          </w:tcPr>
          <w:p>
            <w:pPr>
              <w:spacing w:after="0"/>
              <w:rPr>
                <w:sz w:val="18"/>
                <w:szCs w:val="18"/>
                <w:color w:val="auto"/>
              </w:rPr>
            </w:pP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1,203</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(883)</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(4,012)</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219</w:t>
            </w:r>
          </w:p>
        </w:tc>
        <w:tc>
          <w:tcPr>
            <w:tcW w:w="20" w:type="dxa"/>
            <w:vAlign w:val="bottom"/>
          </w:tcPr>
          <w:p>
            <w:pPr>
              <w:spacing w:after="0"/>
              <w:rPr>
                <w:sz w:val="18"/>
                <w:szCs w:val="18"/>
                <w:color w:val="auto"/>
              </w:rPr>
            </w:pP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(2,809)</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(664)</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(0.51)</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(0.10)</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13.44</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14.06</w:t>
            </w:r>
          </w:p>
        </w:tc>
        <w:tc>
          <w:tcPr>
            <w:tcW w:w="20" w:type="dxa"/>
            <w:vAlign w:val="bottom"/>
          </w:tcPr>
          <w:p>
            <w:pPr>
              <w:spacing w:after="0"/>
              <w:rPr>
                <w:sz w:val="18"/>
                <w:szCs w:val="18"/>
                <w:color w:val="auto"/>
              </w:rPr>
            </w:pP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10.55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12.69</w:t>
            </w:r>
          </w:p>
        </w:tc>
        <w:tc>
          <w:tcPr>
            <w:tcW w:w="20" w:type="dxa"/>
            <w:vAlign w:val="bottom"/>
          </w:tcPr>
          <w:p>
            <w:pPr>
              <w:spacing w:after="0"/>
              <w:rPr>
                <w:sz w:val="18"/>
                <w:szCs w:val="18"/>
                <w:color w:val="auto"/>
              </w:rPr>
            </w:pPr>
          </w:p>
        </w:tc>
      </w:tr>
    </w:tbl>
    <w:p>
      <w:pPr>
        <w:sectPr>
          <w:pgSz w:w="11900" w:h="16838" w:orient="portrait"/>
          <w:cols w:equalWidth="0" w:num="2">
            <w:col w:w="7940" w:space="720"/>
            <w:col w:w="268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w:t>
      </w:r>
    </w:p>
    <w:p>
      <w:pPr>
        <w:spacing w:after="0" w:line="138"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7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Under normal market conditions, we generally expect that at least 80% of the value of our managed assets will be invested in Floating Rate Loans and other instruments bearing a variable rate of interest which may, from time to time, include cash equivalents invested in money market funds and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range between $1 million and $10 million, on average, although we expect that this investment size will vary proportionately with the size of our capital base.</w:t>
      </w:r>
    </w:p>
    <w:p>
      <w:pPr>
        <w:spacing w:after="0" w:line="36"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60" w:firstLine="456"/>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be treated, and intend to qualify annually, as a RIC under the Code.</w:t>
      </w:r>
    </w:p>
    <w:p>
      <w:pPr>
        <w:spacing w:after="0" w:line="36"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direct or indirect costs and expenses of our operations and transactions, including:</w:t>
      </w:r>
    </w:p>
    <w:p>
      <w:pPr>
        <w:spacing w:after="0" w:line="16"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55" w:lineRule="exact"/>
        <w:rPr>
          <w:rFonts w:ascii="Arial" w:cs="Arial" w:eastAsia="Arial" w:hAnsi="Arial"/>
          <w:sz w:val="14"/>
          <w:szCs w:val="14"/>
          <w:color w:val="auto"/>
        </w:rPr>
      </w:pPr>
    </w:p>
    <w:p>
      <w:pPr>
        <w:ind w:left="540" w:right="380" w:hanging="316"/>
        <w:spacing w:after="0" w:line="239"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fidelity bond, directors and officers/errors and omissions liability insurance and other insurance premiums;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55" w:lineRule="exact"/>
        <w:rPr>
          <w:rFonts w:ascii="Arial" w:cs="Arial" w:eastAsia="Arial" w:hAnsi="Arial"/>
          <w:sz w:val="14"/>
          <w:szCs w:val="14"/>
          <w:color w:val="auto"/>
        </w:rPr>
      </w:pPr>
    </w:p>
    <w:p>
      <w:pPr>
        <w:ind w:left="540" w:right="20" w:hanging="316"/>
        <w:spacing w:after="0" w:line="233"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60" w:firstLine="456"/>
        <w:spacing w:after="0" w:line="318" w:lineRule="auto"/>
        <w:rPr>
          <w:sz w:val="20"/>
          <w:szCs w:val="20"/>
          <w:color w:val="auto"/>
        </w:rPr>
      </w:pPr>
      <w:r>
        <w:rPr>
          <w:rFonts w:ascii="Arial" w:cs="Arial" w:eastAsia="Arial" w:hAnsi="Arial"/>
          <w:sz w:val="12"/>
          <w:szCs w:val="12"/>
          <w:color w:val="auto"/>
        </w:rPr>
        <w:t>The SEC requires that estimated “Total Annual Expenses” be calculated as a percentage of net assets in the table on page 5 of this prospectus rather than as a percentage of total assets. Total assets include assets that have been funded with borrowed money (leverage). For reference, the table below illustrates our estimated “Total Annual Expenses” as a percentage of average total assets:</w:t>
      </w:r>
    </w:p>
    <w:p>
      <w:pPr>
        <w:spacing w:after="0" w:line="92"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20" w:type="dxa"/>
            <w:vAlign w:val="bottom"/>
          </w:tcPr>
          <w:p>
            <w:pPr>
              <w:ind w:left="1860"/>
              <w:spacing w:after="0"/>
              <w:rPr>
                <w:sz w:val="20"/>
                <w:szCs w:val="20"/>
                <w:color w:val="auto"/>
              </w:rPr>
            </w:pPr>
            <w:r>
              <w:rPr>
                <w:rFonts w:ascii="Arial" w:cs="Arial" w:eastAsia="Arial" w:hAnsi="Arial"/>
                <w:sz w:val="14"/>
                <w:szCs w:val="14"/>
                <w:b w:val="1"/>
                <w:bCs w:val="1"/>
                <w:color w:val="auto"/>
                <w:w w:val="94"/>
              </w:rPr>
              <w:t>Estimated Annual Expenses (as a Percentage of Average Total Assets)</w:t>
            </w: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Base management fees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1.00 %</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9"/>
        </w:trPr>
        <w:tc>
          <w:tcPr>
            <w:tcW w:w="6340" w:type="dxa"/>
            <w:vAlign w:val="bottom"/>
            <w:gridSpan w:val="2"/>
          </w:tcPr>
          <w:p>
            <w:pPr>
              <w:spacing w:after="0"/>
              <w:rPr>
                <w:sz w:val="20"/>
                <w:szCs w:val="20"/>
                <w:color w:val="auto"/>
              </w:rPr>
            </w:pPr>
            <w:r>
              <w:rPr>
                <w:rFonts w:ascii="Arial" w:cs="Arial" w:eastAsia="Arial" w:hAnsi="Arial"/>
                <w:sz w:val="14"/>
                <w:szCs w:val="14"/>
                <w:color w:val="auto"/>
              </w:rPr>
              <w:t>Incentive fees payable under the Investment Management Agreement</w:t>
            </w:r>
          </w:p>
        </w:tc>
        <w:tc>
          <w:tcPr>
            <w:tcW w:w="1000" w:type="dxa"/>
            <w:vAlign w:val="bottom"/>
          </w:tcPr>
          <w:p>
            <w:pPr>
              <w:jc w:val="right"/>
              <w:spacing w:after="0"/>
              <w:rPr>
                <w:sz w:val="20"/>
                <w:szCs w:val="20"/>
                <w:color w:val="auto"/>
              </w:rPr>
            </w:pPr>
            <w:r>
              <w:rPr>
                <w:rFonts w:ascii="Arial" w:cs="Arial" w:eastAsia="Arial" w:hAnsi="Arial"/>
                <w:sz w:val="14"/>
                <w:szCs w:val="14"/>
                <w:color w:val="auto"/>
              </w:rPr>
              <w:t>0.12 %</w:t>
            </w:r>
          </w:p>
        </w:tc>
        <w:tc>
          <w:tcPr>
            <w:tcW w:w="420" w:type="dxa"/>
            <w:vAlign w:val="bottom"/>
          </w:tcPr>
          <w:p>
            <w:pPr>
              <w:jc w:val="right"/>
              <w:ind w:right="64"/>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payments on borrowed funds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1.01 %</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1.50 %</w:t>
            </w:r>
          </w:p>
        </w:tc>
        <w:tc>
          <w:tcPr>
            <w:tcW w:w="420" w:type="dxa"/>
            <w:vAlign w:val="bottom"/>
          </w:tcPr>
          <w:p>
            <w:pPr>
              <w:jc w:val="right"/>
              <w:ind w:right="6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annual expenses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3.63 %</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hanging="332"/>
        <w:spacing w:after="0" w:line="239"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20" w:hanging="332"/>
        <w:spacing w:after="0" w:line="265"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March 31, 2012,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gains incentive fees. As of March 31, 2012, our unrealized capital gains exceeded our cumulative realized and unrealized capital losses and we accrued a capital gains incentive fee of $0.1 million in accordance with GAAP. However, “Incentive fees payable under the Investment Management Agreement” does not include an accrual for capital gains incentive fee because no capital gains incentive fee was payable under our Investment Management Agreement as of March 31, 2012. As we cannot predict our future net investment income or capital gains, the incentive fee paid in future years, if any, may be substantially different than the fee earned during the three months ended March 31, 2012. For more detailed information about the incentive fee, please see “Certain Relationships and Transactions —Investment Management Agreement” for more information.</w:t>
      </w:r>
    </w:p>
    <w:p>
      <w:pPr>
        <w:spacing w:after="0" w:line="42" w:lineRule="exact"/>
        <w:rPr>
          <w:rFonts w:ascii="Arial" w:cs="Arial" w:eastAsia="Arial" w:hAnsi="Arial"/>
          <w:sz w:val="12"/>
          <w:szCs w:val="12"/>
          <w:color w:val="auto"/>
        </w:rPr>
      </w:pPr>
    </w:p>
    <w:p>
      <w:pPr>
        <w:ind w:left="340" w:right="40" w:hanging="332"/>
        <w:spacing w:after="0" w:line="228"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March 31, 2012, we had $47.8 million in borrowings outstanding under our $100.0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59" w:lineRule="exact"/>
        <w:rPr>
          <w:rFonts w:ascii="Arial" w:cs="Arial" w:eastAsia="Arial" w:hAnsi="Arial"/>
          <w:sz w:val="14"/>
          <w:szCs w:val="14"/>
          <w:color w:val="auto"/>
        </w:rPr>
      </w:pPr>
    </w:p>
    <w:p>
      <w:pPr>
        <w:ind w:left="340" w:right="20" w:hanging="332"/>
        <w:spacing w:after="0" w:line="28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2012. See the Consolidated Statement of Operations in our Consolidated Financial Statements.</w:t>
      </w:r>
    </w:p>
    <w:p>
      <w:pPr>
        <w:spacing w:after="0" w:line="29" w:lineRule="exact"/>
        <w:rPr>
          <w:rFonts w:ascii="Arial" w:cs="Arial" w:eastAsia="Arial" w:hAnsi="Arial"/>
          <w:sz w:val="12"/>
          <w:szCs w:val="12"/>
          <w:color w:val="auto"/>
        </w:rPr>
      </w:pPr>
    </w:p>
    <w:p>
      <w:pPr>
        <w:ind w:left="340" w:right="140" w:hanging="332"/>
        <w:spacing w:after="0" w:line="273"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March 31, 2012.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71" w:lineRule="exact"/>
        <w:rPr>
          <w:sz w:val="20"/>
          <w:szCs w:val="20"/>
          <w:color w:val="auto"/>
        </w:rPr>
      </w:pPr>
    </w:p>
    <w:p>
      <w:pPr>
        <w:ind w:right="220" w:firstLine="456"/>
        <w:spacing w:after="0" w:line="273" w:lineRule="auto"/>
        <w:rPr>
          <w:sz w:val="20"/>
          <w:szCs w:val="20"/>
          <w:color w:val="auto"/>
        </w:rPr>
      </w:pPr>
      <w:r>
        <w:rPr>
          <w:rFonts w:ascii="Arial" w:cs="Arial" w:eastAsia="Arial" w:hAnsi="Arial"/>
          <w:sz w:val="12"/>
          <w:szCs w:val="12"/>
          <w:color w:val="auto"/>
        </w:rPr>
        <w:t>The discussion of our financial condition and results of operation is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6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3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60"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480" w:hanging="334"/>
        <w:spacing w:after="0" w:line="239" w:lineRule="auto"/>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senior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ind w:left="680" w:right="160" w:hanging="334"/>
        <w:spacing w:after="0" w:line="288" w:lineRule="auto"/>
        <w:tabs>
          <w:tab w:leader="none" w:pos="6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29" w:lineRule="exact"/>
        <w:rPr>
          <w:rFonts w:ascii="Arial" w:cs="Arial" w:eastAsia="Arial" w:hAnsi="Arial"/>
          <w:sz w:val="12"/>
          <w:szCs w:val="12"/>
          <w:color w:val="auto"/>
        </w:rPr>
      </w:pPr>
    </w:p>
    <w:p>
      <w:pPr>
        <w:ind w:left="680" w:right="100" w:hanging="334"/>
        <w:spacing w:after="0" w:line="239" w:lineRule="auto"/>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640" w:hanging="334"/>
        <w:spacing w:after="0" w:line="239" w:lineRule="auto"/>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board of directors discusses the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100" w:right="700" w:hanging="634"/>
        <w:spacing w:after="0" w:line="318" w:lineRule="auto"/>
        <w:tabs>
          <w:tab w:leader="none" w:pos="10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To the extent we invest in derivative instruments in the future, such instruments would be valued at fair value in accordance with our valuation policy.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2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w:t>
      </w:r>
    </w:p>
    <w:p>
      <w:pPr>
        <w:spacing w:after="0" w:line="23" w:lineRule="exact"/>
        <w:rPr>
          <w:sz w:val="20"/>
          <w:szCs w:val="20"/>
          <w:color w:val="auto"/>
        </w:rPr>
      </w:pPr>
    </w:p>
    <w:p>
      <w:pPr>
        <w:ind w:right="380" w:firstLine="8"/>
        <w:spacing w:after="0" w:line="297" w:lineRule="auto"/>
        <w:tabs>
          <w:tab w:leader="none" w:pos="27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Consistent with our valuation policy, we evaluate the source of inputs, including any markets in which our investments are trading, in determining fair value. See Note 2 to our Consolidated Financial Statements.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In accordance with Accounting Standards Update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3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u w:val="single" w:color="auto"/>
          <w:color w:val="auto"/>
        </w:rPr>
        <w:t>Asset Category</w:t>
      </w:r>
    </w:p>
    <w:p>
      <w:pPr>
        <w:spacing w:after="0" w:line="13" w:lineRule="exact"/>
        <w:rPr>
          <w:sz w:val="20"/>
          <w:szCs w:val="20"/>
          <w:color w:val="auto"/>
        </w:rPr>
      </w:pPr>
    </w:p>
    <w:p>
      <w:pPr>
        <w:ind w:left="680" w:hanging="215"/>
        <w:spacing w:after="0" w:line="222" w:lineRule="auto"/>
        <w:rPr>
          <w:sz w:val="20"/>
          <w:szCs w:val="20"/>
          <w:color w:val="auto"/>
        </w:rPr>
      </w:pPr>
      <w:r>
        <w:rPr>
          <w:rFonts w:ascii="Arial" w:cs="Arial" w:eastAsia="Arial" w:hAnsi="Arial"/>
          <w:sz w:val="14"/>
          <w:szCs w:val="14"/>
          <w:color w:val="auto"/>
        </w:rPr>
        <w:t>First lien, second lien, subordinated debt/corporate notes and preferred and common equity</w:t>
      </w:r>
    </w:p>
    <w:p>
      <w:pPr>
        <w:spacing w:after="0" w:line="1" w:lineRule="exact"/>
        <w:rPr>
          <w:sz w:val="20"/>
          <w:szCs w:val="20"/>
          <w:color w:val="auto"/>
        </w:rPr>
      </w:pPr>
    </w:p>
    <w:p>
      <w:pPr>
        <w:ind w:left="680" w:hanging="215"/>
        <w:spacing w:after="0" w:line="221" w:lineRule="auto"/>
        <w:rPr>
          <w:sz w:val="20"/>
          <w:szCs w:val="20"/>
          <w:color w:val="auto"/>
        </w:rPr>
      </w:pPr>
      <w:r>
        <w:rPr>
          <w:rFonts w:ascii="Arial" w:cs="Arial" w:eastAsia="Arial" w:hAnsi="Arial"/>
          <w:sz w:val="14"/>
          <w:szCs w:val="14"/>
          <w:color w:val="auto"/>
        </w:rPr>
        <w:t>First lien, second lien, subordinated debt/corporate notes and preferred and common equity</w:t>
      </w:r>
    </w:p>
    <w:p>
      <w:pPr>
        <w:ind w:left="460"/>
        <w:spacing w:after="0"/>
        <w:rPr>
          <w:sz w:val="20"/>
          <w:szCs w:val="20"/>
          <w:color w:val="auto"/>
        </w:rPr>
      </w:pPr>
      <w:r>
        <w:rPr>
          <w:rFonts w:ascii="Arial" w:cs="Arial" w:eastAsia="Arial" w:hAnsi="Arial"/>
          <w:sz w:val="14"/>
          <w:szCs w:val="14"/>
          <w:color w:val="auto"/>
        </w:rPr>
        <w:t>Long-Term Credit Facility</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Range of</w:t>
            </w:r>
          </w:p>
        </w:tc>
      </w:tr>
      <w:tr>
        <w:trPr>
          <w:trHeight w:val="149"/>
        </w:trPr>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Values/</w:t>
            </w:r>
          </w:p>
        </w:tc>
      </w:t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Valuation Techniques</w:t>
            </w: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Unobservable Inputs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Input</w:t>
            </w:r>
          </w:p>
        </w:tc>
      </w:tr>
      <w:tr>
        <w:trPr>
          <w:trHeight w:val="166"/>
        </w:trPr>
        <w:tc>
          <w:tcPr>
            <w:tcW w:w="60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90%</w:t>
            </w:r>
          </w:p>
        </w:tc>
        <w:tc>
          <w:tcPr>
            <w:tcW w:w="480" w:type="dxa"/>
            <w:vAlign w:val="bottom"/>
          </w:tcPr>
          <w:p>
            <w:pPr>
              <w:spacing w:after="0"/>
              <w:rPr>
                <w:sz w:val="14"/>
                <w:szCs w:val="14"/>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Market approach</w:t>
            </w:r>
          </w:p>
        </w:tc>
        <w:tc>
          <w:tcPr>
            <w:tcW w:w="500" w:type="dxa"/>
            <w:vAlign w:val="bottom"/>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Broker/Dealer bids</w:t>
            </w:r>
          </w:p>
        </w:tc>
        <w:tc>
          <w:tcPr>
            <w:tcW w:w="500" w:type="dxa"/>
            <w:vAlign w:val="bottom"/>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1 - 9</w:t>
            </w:r>
          </w:p>
        </w:tc>
      </w:tr>
      <w:tr>
        <w:trPr>
          <w:trHeight w:val="249"/>
        </w:trPr>
        <w:tc>
          <w:tcPr>
            <w:tcW w:w="600" w:type="dxa"/>
            <w:vAlign w:val="bottom"/>
          </w:tcPr>
          <w:p>
            <w:pPr>
              <w:jc w:val="right"/>
              <w:ind w:right="72"/>
              <w:spacing w:after="0"/>
              <w:rPr>
                <w:sz w:val="20"/>
                <w:szCs w:val="20"/>
                <w:color w:val="auto"/>
              </w:rPr>
            </w:pPr>
            <w:r>
              <w:rPr>
                <w:rFonts w:ascii="Arial" w:cs="Arial" w:eastAsia="Arial" w:hAnsi="Arial"/>
                <w:sz w:val="14"/>
                <w:szCs w:val="14"/>
                <w:color w:val="auto"/>
              </w:rPr>
              <w:t>10%</w:t>
            </w:r>
          </w:p>
        </w:tc>
        <w:tc>
          <w:tcPr>
            <w:tcW w:w="480" w:type="dxa"/>
            <w:vAlign w:val="bottom"/>
          </w:tcPr>
          <w:p>
            <w:pPr>
              <w:spacing w:after="0"/>
              <w:rPr>
                <w:sz w:val="21"/>
                <w:szCs w:val="21"/>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color w:val="auto"/>
                <w:w w:val="89"/>
              </w:rPr>
              <w:t>Market comparable /</w:t>
            </w: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color w:val="auto"/>
                <w:w w:val="94"/>
              </w:rPr>
              <w:t>EBITDA</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7.6x – 10.7x</w:t>
            </w:r>
          </w:p>
        </w:tc>
      </w:tr>
      <w:tr>
        <w:trPr>
          <w:trHeight w:val="149"/>
        </w:trPr>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8"/>
              </w:rPr>
              <w:t>Enterprise value</w:t>
            </w:r>
          </w:p>
        </w:tc>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0"/>
              </w:rPr>
              <w:t>multiples</w:t>
            </w:r>
          </w:p>
        </w:tc>
        <w:tc>
          <w:tcPr>
            <w:tcW w:w="680" w:type="dxa"/>
            <w:vAlign w:val="bottom"/>
          </w:tcPr>
          <w:p>
            <w:pPr>
              <w:spacing w:after="0"/>
              <w:rPr>
                <w:sz w:val="12"/>
                <w:szCs w:val="12"/>
                <w:color w:val="auto"/>
              </w:rPr>
            </w:pPr>
          </w:p>
        </w:tc>
      </w:tr>
      <w:tr>
        <w:trPr>
          <w:trHeight w:val="149"/>
        </w:trPr>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9"/>
              </w:rPr>
              <w:t>Market comparable /</w:t>
            </w:r>
          </w:p>
        </w:tc>
        <w:tc>
          <w:tcPr>
            <w:tcW w:w="17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7"/>
              </w:rPr>
              <w:t>Discount rate</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7"/>
              </w:rPr>
              <w:t>3.5%</w:t>
            </w:r>
          </w:p>
        </w:tc>
      </w:tr>
      <w:tr>
        <w:trPr>
          <w:trHeight w:val="172"/>
        </w:trPr>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color w:val="auto"/>
                <w:w w:val="86"/>
              </w:rPr>
              <w:t>Income approach</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-573405</wp:posOffset>
            </wp:positionV>
            <wp:extent cx="666369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63690" cy="18859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-196215</wp:posOffset>
            </wp:positionV>
            <wp:extent cx="666369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63690" cy="18859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5020" w:space="720"/>
            <w:col w:w="5680"/>
          </w:cols>
          <w:pgMar w:left="240" w:top="459" w:right="239" w:bottom="1440" w:gutter="0" w:footer="0" w:header="0"/>
          <w:type w:val="continuous"/>
        </w:sectPr>
      </w:pPr>
    </w:p>
    <w:p>
      <w:pPr>
        <w:ind w:right="40" w:firstLine="456"/>
        <w:spacing w:after="0" w:line="266"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2012, we had a net change in unrealized (appreciation) depreciation of $(0.1) million and $0.2 million, respectively. As of March 31, 2012 and September 30, 2011, the Credit Facility had unrealized depreciation of $0.2 million and zero, respectively. We use one or more nationally recognized independent valuation services firm to measure the fair value of the Credit Facility in a manner consistent with the valuation process that the board of directors uses to value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are capitalized, and we then amortize such amounts as interest income or expense as applicable.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6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69"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intend to elect to be taxed as a RIC under Subchapter M of the Code. In order to qualify as a RIC and not be subject to corporate-level tax on income,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4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52"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As of March 31, 2012, our portfolio totaled $146.2 million and consisted of $126.3 million of senior secured loans, $7.1 million of second lien secured debt, $12.8 million of subordinated debt and preferred and common equity investments. Our portfolio consisted of 85% variable-rate investments (including 80% with a LIBOR or prime floor) and 15% fixed-rate investments. Overall, the portfolio had net unrealized depreciation of less than $0.1 million. Our overall portfolio consisted of 51 companies with an average investment size of $2.9 million, a weighted average yield on debt investments of 8.6%, and was invested 86% in senior secured loans, 5% in second lien secured debt and 9% in subordinated debt, preferred and common equity investments.</w:t>
      </w:r>
    </w:p>
    <w:p>
      <w:pPr>
        <w:spacing w:after="0" w:line="117"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As of September 30, 2011, our portfolio totaled $110.7 million and consisted of $94.3 million of senior secured loans, $9.3 million of second lien secured debt,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w:t>
      </w:r>
    </w:p>
    <w:p>
      <w:pPr>
        <w:spacing w:after="0" w:line="117"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For the three months ended March 31, 2012, we invested $32.9 million in 12 new portfolio companies with a weighted average yield on debt investments of 8.9%. Sales and repayments of investments for the three months ended March 31, 2012 totaled $19.3 million. For the six months ended March 31, 2012, we invested $72.2 million in 25 new portfolio companies and 2 existing portfolio companies with a weighted average yield on debt investments of 9.2%. Sales and repayments of investments for the six months ended March 31, 2012 totaled $41.6 million.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six months ended March 31, 2012.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Investment income for the three and six months ended March 31, 2012 was $2.9 million and $5.4 million, respectively, and was primarily attributable to $2.3 million and $4.3 million from senior secured loans, $0.3 million and $0.6 million from second lien secured debt investments and $0.3 million and $0.5 million from subordinated debt investments, respectively. We continue to find attractive investment opportunities and intend to continue to rotate out of lower yielding investments to higher yielding investments.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69" w:lineRule="exact"/>
        <w:rPr>
          <w:sz w:val="20"/>
          <w:szCs w:val="20"/>
          <w:color w:val="auto"/>
        </w:rPr>
      </w:pPr>
    </w:p>
    <w:p>
      <w:pPr>
        <w:ind w:right="380" w:firstLine="456"/>
        <w:spacing w:after="0" w:line="288" w:lineRule="auto"/>
        <w:rPr>
          <w:sz w:val="20"/>
          <w:szCs w:val="20"/>
          <w:color w:val="auto"/>
        </w:rPr>
      </w:pPr>
      <w:r>
        <w:rPr>
          <w:rFonts w:ascii="Arial" w:cs="Arial" w:eastAsia="Arial" w:hAnsi="Arial"/>
          <w:sz w:val="12"/>
          <w:szCs w:val="12"/>
          <w:color w:val="auto"/>
        </w:rPr>
        <w:t>Expenses for the three and six months ended March 31, 2012 totaled $1.4 million and $2.5 million, respectively. Base management fees for the same period totaled $0.4 million and $0.7 million, performance-based incentive fees totaled $0.2 million and $0.2 million, Credit Facility expenses totaled $0.3 million and $0.6 million and general and administrative expenses totaled $0.5 million and $1.0 million, respectively. We expect our Credit Facility expenses and management fees to continue to increase as a result of growth in our portfolio.</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investment income totaled $1.5 million and $2.9 million, or $0.23 and $0.43 per share, for the three and six months ended March 31, 2012,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Sales and repayments of investments for the three and six months ended March 31, 2012 totaled $19.3 million and $41.6 million and realized gains totaled $0.1 million and $0.4 million, respectively, due to sales and repayments of our debt investments.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6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For the three and six months ended March 31, 2012, we reported unrealized appreciation on investments of $3.0 million and $4.1 million, respectively. As of March 31, 2012 and September 30, 2011, net unrealized depreciation on investments totaled less than $0.1 million and $4.1 million, respectively.</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For the three and six months ended March 31, 2012, our long-term Credit Facility had a change in unrealized (appreciation) depreciation of $(0.1) million and $0.2 million, respectively. As of March 31, 2012 and September 30, 2011, net unrealized depreciation on our long-term Credit Facility totaled $0.2 million and zero,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in Net Assets Resulting from Operations</w:t>
      </w:r>
    </w:p>
    <w:p>
      <w:pPr>
        <w:spacing w:after="0" w:line="69"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Net increase in net assets resulting from operations totaled $4.5 million and $7.6 million, or $0.66 and $1.12 per share, respectively, for the three and six months ended March 31, 2012. This increase in net assets from operations was due to the continued growth in net investment income as a result of growth in our portfolio and appreciation on our investments.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Set forth below are our results of operations for the period from March 4, 2011 (commencement of operations) to September 30, 2011.</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Income</w:t>
      </w:r>
    </w:p>
    <w:p>
      <w:pPr>
        <w:spacing w:after="0" w:line="71" w:lineRule="exact"/>
        <w:rPr>
          <w:sz w:val="20"/>
          <w:szCs w:val="20"/>
          <w:color w:val="auto"/>
        </w:rPr>
      </w:pPr>
    </w:p>
    <w:p>
      <w:pPr>
        <w:jc w:val="both"/>
        <w:ind w:right="140" w:firstLine="342"/>
        <w:spacing w:after="0" w:line="233" w:lineRule="auto"/>
        <w:rPr>
          <w:sz w:val="20"/>
          <w:szCs w:val="20"/>
          <w:color w:val="auto"/>
        </w:rPr>
      </w:pPr>
      <w:r>
        <w:rPr>
          <w:rFonts w:ascii="Arial" w:cs="Arial" w:eastAsia="Arial" w:hAnsi="Arial"/>
          <w:sz w:val="14"/>
          <w:szCs w:val="14"/>
          <w:color w:val="auto"/>
        </w:rPr>
        <w:t>Investment income for the period March 4, 2011 (commencement of operations) to September 30, 2011, was $2.9 million, and was attributable to $2.4 million from senior secured loan investments, $0.4 million from second lien secured debt investments and $0.1 million from subordinated debt investments. We continue to deploy capital from our new Credit Facility to grow both our portfolio and investment income over time.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right="40" w:firstLine="342"/>
        <w:spacing w:after="0" w:line="233" w:lineRule="auto"/>
        <w:rPr>
          <w:sz w:val="20"/>
          <w:szCs w:val="20"/>
          <w:color w:val="auto"/>
        </w:rPr>
      </w:pPr>
      <w:r>
        <w:rPr>
          <w:rFonts w:ascii="Arial" w:cs="Arial" w:eastAsia="Arial" w:hAnsi="Arial"/>
          <w:sz w:val="14"/>
          <w:szCs w:val="14"/>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Investment Income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investment income totaled $0.3 million or $0.05 per share for the period March 4, 2011 (commencement of operations) to September 30, 2011.</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Realized Gains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Sales and repayments of long-term investments for the period March 4, 2011 (commencement of operations) to September 30, 2011 totaled $33.2 million and net realized gains totaled $0.3 million.</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Unrealized Appreciation or Depreciation on Investments and Credit Facility</w:t>
      </w:r>
    </w:p>
    <w:p>
      <w:pPr>
        <w:spacing w:after="0" w:line="71"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Net unrealized depreciation on investments totaled $4.1 million for the period March 4, 2011 (commencement of operations) to September 30, 2011. There was no change in unrealized (appreciation) depreciation on credit facility for the same period. Credit market conditions have weakened and while lowering our net asset value could increase our risk adjusted returns on new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Decrease in Net Assets Resulting From Operations</w:t>
      </w:r>
    </w:p>
    <w:p>
      <w:pPr>
        <w:spacing w:after="0" w:line="71"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Net decrease in net assets resulting from operations totaled $3.5 million, or $0.51 per share for the period March 4, 2011 (commencement of operations) to September 30, 2011. The decrease in net assets is primarily the result of unrealized losses on our investments.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2"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Our liquidity and capital resources are derived from our initial public offering, Credit Facility, cash flows from operations, including investment sales and repayments, and income earned. Our primary use of funds from operations includes investments in portfolio companies and payments of dividends and operating expenses, including management fees. We have used, and expect to continue to use, our Credit Facility proceeds, the rotation of our portfolio and proceeds from public and private offerings of securities to finance our investment objectives.</w:t>
      </w:r>
    </w:p>
    <w:p>
      <w:pPr>
        <w:spacing w:after="0" w:line="11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On June 23, 2011, we entered into the Credit Facility with affiliates of SunTrust Bank, or the Lender, an asset-backed commercial paper conduit administered by STRH. The Credit Facility allows us to borrow up to $100.0 million and contains an accordion feature whereby the Credit Facility can be expanded to $600.0 million, subject to satisfaction of certain conditions. As of March 31, 2012 and September 30, 2011, we had $47.8 million and $24.7 million of outstanding borrowings under the Credit Facility, had an interest rate of 2.54% and 2.53%, excluding the 0.50% undrawn commitment fee.</w:t>
      </w:r>
    </w:p>
    <w:p>
      <w:pPr>
        <w:spacing w:after="0" w:line="111" w:lineRule="exact"/>
        <w:rPr>
          <w:sz w:val="20"/>
          <w:szCs w:val="20"/>
          <w:color w:val="auto"/>
        </w:rPr>
      </w:pPr>
    </w:p>
    <w:p>
      <w:pPr>
        <w:ind w:right="60" w:firstLine="342"/>
        <w:spacing w:after="0" w:line="288" w:lineRule="auto"/>
        <w:rPr>
          <w:sz w:val="20"/>
          <w:szCs w:val="20"/>
          <w:color w:val="auto"/>
        </w:rPr>
      </w:pPr>
      <w:r>
        <w:rPr>
          <w:rFonts w:ascii="Arial" w:cs="Arial" w:eastAsia="Arial" w:hAnsi="Arial"/>
          <w:sz w:val="12"/>
          <w:szCs w:val="12"/>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firstLine="342"/>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U.S. GAAP (for example, fair value, as defined under ASC 820, is not required to be used for assets or liabilities for such compliance reporting). For a complete list of such covenants, see our report on Form 8-K, filed June 29, 2011. As of March 31, 2012, we were in compliance with our covenants relating to our Credit Facility.</w:t>
      </w:r>
    </w:p>
    <w:p>
      <w:pPr>
        <w:spacing w:after="0" w:line="120" w:lineRule="exact"/>
        <w:rPr>
          <w:sz w:val="20"/>
          <w:szCs w:val="20"/>
          <w:color w:val="auto"/>
        </w:rPr>
      </w:pPr>
    </w:p>
    <w:p>
      <w:pPr>
        <w:ind w:right="140" w:firstLine="342"/>
        <w:spacing w:after="0" w:line="228"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40" w:lineRule="exact"/>
        <w:rPr>
          <w:sz w:val="20"/>
          <w:szCs w:val="20"/>
          <w:color w:val="auto"/>
        </w:rPr>
      </w:pPr>
    </w:p>
    <w:p>
      <w:pPr>
        <w:ind w:right="40" w:firstLine="342"/>
        <w:spacing w:after="0" w:line="230"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139" w:lineRule="exact"/>
        <w:rPr>
          <w:sz w:val="20"/>
          <w:szCs w:val="20"/>
          <w:color w:val="auto"/>
        </w:rPr>
      </w:pPr>
    </w:p>
    <w:p>
      <w:pPr>
        <w:ind w:right="200" w:firstLine="342"/>
        <w:spacing w:after="0" w:line="288" w:lineRule="auto"/>
        <w:rPr>
          <w:sz w:val="20"/>
          <w:szCs w:val="20"/>
          <w:color w:val="auto"/>
        </w:rPr>
      </w:pPr>
      <w:r>
        <w:rPr>
          <w:rFonts w:ascii="Arial" w:cs="Arial" w:eastAsia="Arial" w:hAnsi="Arial"/>
          <w:sz w:val="12"/>
          <w:szCs w:val="12"/>
          <w:color w:val="auto"/>
        </w:rPr>
        <w:t>We may raise equity or debt capital through both registered offerings and by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w:t>
      </w:r>
    </w:p>
    <w:p>
      <w:pPr>
        <w:spacing w:after="0" w:line="111" w:lineRule="exact"/>
        <w:rPr>
          <w:sz w:val="20"/>
          <w:szCs w:val="20"/>
          <w:color w:val="auto"/>
        </w:rPr>
      </w:pPr>
    </w:p>
    <w:p>
      <w:pPr>
        <w:ind w:right="60" w:firstLine="342"/>
        <w:spacing w:after="0" w:line="239" w:lineRule="auto"/>
        <w:rPr>
          <w:sz w:val="20"/>
          <w:szCs w:val="20"/>
          <w:color w:val="auto"/>
        </w:rPr>
      </w:pPr>
      <w:r>
        <w:rPr>
          <w:rFonts w:ascii="Arial" w:cs="Arial" w:eastAsia="Arial" w:hAnsi="Arial"/>
          <w:sz w:val="14"/>
          <w:szCs w:val="14"/>
          <w:color w:val="auto"/>
        </w:rPr>
        <w:t>At March 31, 2012, we had cash equivalents of $3.8 million available for investing and general corporate purposes. We believe our liquidity and capital resources are sufficient to take advantage of market opportunities.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Our operating activities used cash of $23.3 million for the six months ended March 31, 2012, and our financing activities provided net cash proceeds of $20.2 million for the same period. Our operating activities used cash primarily for net investing that was provided from net draws under the Credit Facility.</w:t>
      </w:r>
    </w:p>
    <w:p>
      <w:pPr>
        <w:spacing w:after="0" w:line="139"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At September 30, 2011, we had cash equivalents of $7.0 million available for investing and general corporate purposes. We believe our liquidity and capital resources are sufficient to take advantage of market opportunities.</w:t>
      </w:r>
    </w:p>
    <w:p>
      <w:pPr>
        <w:spacing w:after="0" w:line="58"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investing that was provided from, primarily, proceeds from our initial public offering of common stock and draws under the Credit Facility.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summary of our significant contractual payment obligations including, but not limited to, borrowings under our Credit Facility maturing in June 2016 and other contractual obligations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Payments due by period (in millions)</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5 years</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400" w:type="dxa"/>
            <w:vAlign w:val="bottom"/>
            <w:tcBorders>
              <w:bottom w:val="single" w:sz="8" w:color="CCEEFF"/>
            </w:tcBorders>
          </w:tcPr>
          <w:p>
            <w:pPr>
              <w:spacing w:after="0"/>
              <w:rPr>
                <w:sz w:val="11"/>
                <w:szCs w:val="11"/>
                <w:color w:val="auto"/>
              </w:rPr>
            </w:pPr>
          </w:p>
        </w:tc>
        <w:tc>
          <w:tcPr>
            <w:tcW w:w="35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Credit Facility</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47.8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line="217" w:lineRule="exact"/>
              <w:rPr>
                <w:sz w:val="20"/>
                <w:szCs w:val="20"/>
                <w:color w:val="auto"/>
              </w:rPr>
            </w:pPr>
            <w:r>
              <w:rPr>
                <w:rFonts w:ascii="Arial" w:cs="Arial" w:eastAsia="Arial" w:hAnsi="Arial"/>
                <w:sz w:val="14"/>
                <w:szCs w:val="14"/>
                <w:color w:val="auto"/>
              </w:rPr>
              <w:t>Unfunded investments</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contractual obligations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tcBorders>
              <w:bottom w:val="single" w:sz="8" w:color="auto"/>
            </w:tcBorders>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Unfunded debt investments described in the Consolidated Statements of Assets and Liabilities represent unfunded delayed draws on investments in subordinated debt investments.</w:t>
      </w:r>
    </w:p>
    <w:p>
      <w:pPr>
        <w:spacing w:after="0" w:line="92"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approved by the board of directors, including a majority of our independent directors, in March 2011, PennantPark Investment Advisers serves as our Investment Adviser in accordance with the terms of the Investment Management Agreement. Payments under our Investment Management Agreement in each reporting period are equal to: (1) a management fee equal to a percentage of the value of our gross assets and (2) an incentive fee based on our performance.</w:t>
      </w:r>
    </w:p>
    <w:p>
      <w:pPr>
        <w:spacing w:after="0" w:line="11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Under our Administration Agreement approved by the board of directors, including a majority of our independent directors, in March 2011,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40"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currently engage in no off-balance sheet arrangements, including any risk management of commodity pricing or other hedging practices.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During the three and six months ended March 31, 2012, we declared distributions of $0.225 and $0.435 per share, respectively, for total distributions of $1.5 million and $3.0 million, respectively. During the period March 4, 2011 (commencement of operations) to September 30, 2011, we declared to stockholders distributions of $ 0.25 per share for total distributions of $1.7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distribute monthly distributions to our stockholders. Our monthly distributions, if any, are determined by our board of directors.</w:t>
      </w:r>
    </w:p>
    <w:p>
      <w:pPr>
        <w:spacing w:after="0" w:line="150"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2" w:lineRule="exact"/>
        <w:rPr>
          <w:sz w:val="20"/>
          <w:szCs w:val="20"/>
          <w:color w:val="auto"/>
        </w:rPr>
      </w:pPr>
    </w:p>
    <w:p>
      <w:pPr>
        <w:jc w:val="both"/>
        <w:ind w:right="60" w:firstLine="456"/>
        <w:spacing w:after="0" w:line="239"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39" w:lineRule="exact"/>
        <w:rPr>
          <w:sz w:val="20"/>
          <w:szCs w:val="20"/>
          <w:color w:val="auto"/>
        </w:rPr>
      </w:pPr>
    </w:p>
    <w:p>
      <w:pPr>
        <w:jc w:val="both"/>
        <w:ind w:right="8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9"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52"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We are subject to financial market risks, including changes in interest rates. As of March 31, 2012, our portfolio consisted of 85% variable-rate investments (including 80% with a LIBOR or prime floor) and 15% fixed-rate investments. The variable-rate loans are usually based on a floating LIBOR rate and typically have durations of three months after which they reset to current market interest rates. Variable-rate investments subject to a floor generally reset by reference to the current market index after one to six months only if the index exceeds the floor. In regards to variable-rate instruments with a floor, we do not benefit from increases in interest rates until such rates exceed the floor and thereafter benefit from market rates above any such floor.</w:t>
      </w:r>
    </w:p>
    <w:p>
      <w:pPr>
        <w:spacing w:after="0" w:line="117"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Assuming that the most recent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7"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SENIOR SECURITIES</w:t>
      </w:r>
    </w:p>
    <w:p>
      <w:pPr>
        <w:spacing w:after="0" w:line="152"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Information about our senior securities is shown in the following table as of March 31, 2012 and September 30, 2011. The information as of September 30,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Asset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Involuntary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Coverage</w:t>
            </w:r>
          </w:p>
        </w:tc>
        <w:tc>
          <w:tcPr>
            <w:tcW w:w="1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Preference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1800" w:type="dxa"/>
            <w:vAlign w:val="bottom"/>
            <w:gridSpan w:val="2"/>
          </w:tcPr>
          <w:p>
            <w:pPr>
              <w:jc w:val="center"/>
              <w:ind w:right="100"/>
              <w:spacing w:after="0" w:line="189" w:lineRule="exact"/>
              <w:rPr>
                <w:sz w:val="20"/>
                <w:szCs w:val="20"/>
                <w:color w:val="auto"/>
              </w:rPr>
            </w:pPr>
            <w:r>
              <w:rPr>
                <w:rFonts w:ascii="Arial" w:cs="Arial" w:eastAsia="Arial" w:hAnsi="Arial"/>
                <w:sz w:val="13"/>
                <w:szCs w:val="13"/>
                <w:b w:val="1"/>
                <w:bCs w:val="1"/>
                <w:color w:val="auto"/>
                <w:w w:val="93"/>
              </w:rPr>
              <w:t xml:space="preserve">Per Unit </w:t>
            </w:r>
            <w:r>
              <w:rPr>
                <w:rFonts w:ascii="Arial" w:cs="Arial" w:eastAsia="Arial" w:hAnsi="Arial"/>
                <w:sz w:val="21"/>
                <w:szCs w:val="21"/>
                <w:b w:val="1"/>
                <w:bCs w:val="1"/>
                <w:color w:val="auto"/>
                <w:w w:val="93"/>
                <w:vertAlign w:val="superscript"/>
              </w:rPr>
              <w:t>(3)</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Credit Facility</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Arial" w:cs="Arial" w:eastAsia="Arial" w:hAnsi="Arial"/>
                <w:sz w:val="14"/>
                <w:szCs w:val="14"/>
                <w:color w:val="auto"/>
              </w:rPr>
              <w:t>Fiscal 2012 (as of March 31, 2012)</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$47,800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3"/>
              </w:rPr>
              <w:t>$3,018</w:t>
            </w:r>
          </w:p>
        </w:tc>
        <w:tc>
          <w:tcPr>
            <w:tcW w:w="120" w:type="dxa"/>
            <w:vAlign w:val="bottom"/>
          </w:tcPr>
          <w:p>
            <w:pPr>
              <w:spacing w:after="0"/>
              <w:rPr>
                <w:sz w:val="14"/>
                <w:szCs w:val="14"/>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N/A</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Fiscal 2011 (as of September 30, 2011)</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$24,650</w:t>
            </w:r>
          </w:p>
        </w:tc>
        <w:tc>
          <w:tcPr>
            <w:tcW w:w="12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3"/>
              </w:rPr>
              <w:t>$4,735</w:t>
            </w:r>
          </w:p>
        </w:tc>
        <w:tc>
          <w:tcPr>
            <w:tcW w:w="12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4"/>
              </w:rPr>
              <w:t>N/A</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0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gridSpan w:val="2"/>
            <w:vMerge w:val="continue"/>
            <w:shd w:val="clear" w:color="auto" w:fill="CCEEFF"/>
          </w:tcPr>
          <w:p>
            <w:pPr>
              <w:spacing w:after="0"/>
              <w:rPr>
                <w:sz w:val="3"/>
                <w:szCs w:val="3"/>
                <w:color w:val="auto"/>
              </w:rPr>
            </w:pPr>
          </w:p>
        </w:tc>
        <w:tc>
          <w:tcPr>
            <w:tcW w:w="160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ind w:left="460" w:hanging="452"/>
        <w:spacing w:after="0" w:line="221"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 to which such class of senior security would be entitled upon the involuntary liquidation of the issuer in preference to any security junior to it.</w:t>
      </w: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OBLIGATIONS AND INDEBTEDNESS</w:t>
      </w:r>
    </w:p>
    <w:p>
      <w:pPr>
        <w:spacing w:after="0" w:line="15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connection with our initial public offering of our common stock, the Investment Adviser paid to the underwriters 2% of the sales load, or $2.1 million in the aggregate.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15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 for our common stock, the closing sale price as a percentage of NAV, and quarterly dividends per share since shares of our common stock began being regularly quoted on the NASDAQ Global Select Market. On May 8, 2012, the last reported closing price of our common stock was $11.90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Closing Sales Price</w:t>
            </w:r>
          </w:p>
        </w:tc>
        <w:tc>
          <w:tcPr>
            <w:tcW w:w="1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Discount of High Sales</w:t>
            </w:r>
          </w:p>
        </w:tc>
        <w:tc>
          <w:tcPr>
            <w:tcW w:w="1660" w:type="dxa"/>
            <w:vAlign w:val="bottom"/>
          </w:tcPr>
          <w:p>
            <w:pPr>
              <w:jc w:val="right"/>
              <w:ind w:right="173"/>
              <w:spacing w:after="0"/>
              <w:rPr>
                <w:sz w:val="20"/>
                <w:szCs w:val="20"/>
                <w:color w:val="auto"/>
              </w:rPr>
            </w:pPr>
            <w:r>
              <w:rPr>
                <w:rFonts w:ascii="Arial" w:cs="Arial" w:eastAsia="Arial" w:hAnsi="Arial"/>
                <w:sz w:val="14"/>
                <w:szCs w:val="14"/>
                <w:b w:val="1"/>
                <w:bCs w:val="1"/>
                <w:color w:val="auto"/>
                <w:w w:val="93"/>
              </w:rPr>
              <w:t>Discount of Low Sales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76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w w:val="85"/>
              </w:rPr>
              <w:t>Price to</w:t>
            </w:r>
          </w:p>
        </w:tc>
        <w:tc>
          <w:tcPr>
            <w:tcW w:w="1660" w:type="dxa"/>
            <w:vAlign w:val="bottom"/>
            <w:vMerge w:val="restart"/>
          </w:tcPr>
          <w:p>
            <w:pPr>
              <w:jc w:val="right"/>
              <w:ind w:right="593"/>
              <w:spacing w:after="0" w:line="135" w:lineRule="exact"/>
              <w:rPr>
                <w:sz w:val="20"/>
                <w:szCs w:val="20"/>
                <w:color w:val="auto"/>
              </w:rPr>
            </w:pPr>
            <w:r>
              <w:rPr>
                <w:rFonts w:ascii="Arial" w:cs="Arial" w:eastAsia="Arial" w:hAnsi="Arial"/>
                <w:sz w:val="14"/>
                <w:szCs w:val="14"/>
                <w:b w:val="1"/>
                <w:bCs w:val="1"/>
                <w:color w:val="auto"/>
              </w:rPr>
              <w:t>Price to</w:t>
            </w:r>
          </w:p>
        </w:tc>
        <w:tc>
          <w:tcPr>
            <w:tcW w:w="200" w:type="dxa"/>
            <w:vAlign w:val="bottom"/>
          </w:tcPr>
          <w:p>
            <w:pPr>
              <w:spacing w:after="0"/>
              <w:rPr>
                <w:sz w:val="5"/>
                <w:szCs w:val="5"/>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restart"/>
          </w:tcPr>
          <w:p>
            <w:pPr>
              <w:jc w:val="right"/>
              <w:ind w:right="192"/>
              <w:spacing w:after="0" w:line="223" w:lineRule="exact"/>
              <w:rPr>
                <w:sz w:val="20"/>
                <w:szCs w:val="20"/>
                <w:color w:val="auto"/>
              </w:rPr>
            </w:pPr>
            <w:r>
              <w:rPr>
                <w:rFonts w:ascii="Arial" w:cs="Arial" w:eastAsia="Arial" w:hAnsi="Arial"/>
                <w:sz w:val="14"/>
                <w:szCs w:val="14"/>
                <w:b w:val="1"/>
                <w:bCs w:val="1"/>
                <w:color w:val="auto"/>
              </w:rPr>
              <w:t xml:space="preserve">NAV </w:t>
            </w:r>
            <w:r>
              <w:rPr>
                <w:rFonts w:ascii="Arial" w:cs="Arial" w:eastAsia="Arial" w:hAnsi="Arial"/>
                <w:sz w:val="22"/>
                <w:szCs w:val="22"/>
                <w:b w:val="1"/>
                <w:bCs w:val="1"/>
                <w:color w:val="auto"/>
                <w:vertAlign w:val="superscript"/>
              </w:rPr>
              <w:t>(1)</w:t>
            </w:r>
          </w:p>
        </w:tc>
        <w:tc>
          <w:tcPr>
            <w:tcW w:w="1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176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2"/>
              </w:rPr>
              <w:t xml:space="preserve">NAV </w:t>
            </w:r>
            <w:r>
              <w:rPr>
                <w:rFonts w:ascii="Arial" w:cs="Arial" w:eastAsia="Arial" w:hAnsi="Arial"/>
                <w:sz w:val="20"/>
                <w:szCs w:val="20"/>
                <w:b w:val="1"/>
                <w:bCs w:val="1"/>
                <w:color w:val="auto"/>
                <w:w w:val="92"/>
                <w:vertAlign w:val="superscript"/>
              </w:rPr>
              <w:t>(2)</w:t>
            </w:r>
          </w:p>
        </w:tc>
        <w:tc>
          <w:tcPr>
            <w:tcW w:w="1660" w:type="dxa"/>
            <w:vAlign w:val="bottom"/>
          </w:tcPr>
          <w:p>
            <w:pPr>
              <w:jc w:val="right"/>
              <w:ind w:right="593"/>
              <w:spacing w:after="0" w:line="176" w:lineRule="exact"/>
              <w:rPr>
                <w:sz w:val="20"/>
                <w:szCs w:val="20"/>
                <w:color w:val="auto"/>
              </w:rPr>
            </w:pPr>
            <w:r>
              <w:rPr>
                <w:rFonts w:ascii="Arial" w:cs="Arial" w:eastAsia="Arial" w:hAnsi="Arial"/>
                <w:sz w:val="13"/>
                <w:szCs w:val="13"/>
                <w:b w:val="1"/>
                <w:bCs w:val="1"/>
                <w:color w:val="auto"/>
              </w:rPr>
              <w:t xml:space="preserve">NAV </w:t>
            </w:r>
            <w:r>
              <w:rPr>
                <w:rFonts w:ascii="Arial" w:cs="Arial" w:eastAsia="Arial" w:hAnsi="Arial"/>
                <w:sz w:val="20"/>
                <w:szCs w:val="20"/>
                <w:b w:val="1"/>
                <w:bCs w:val="1"/>
                <w:color w:val="auto"/>
                <w:vertAlign w:val="superscript"/>
              </w:rPr>
              <w:t>(2)</w:t>
            </w:r>
          </w:p>
        </w:tc>
        <w:tc>
          <w:tcPr>
            <w:tcW w:w="2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142"/>
        </w:trPr>
        <w:tc>
          <w:tcPr>
            <w:tcW w:w="3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Ending September 30, 2012</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Third Fiscal Quarter (May 8, 2012)</w:t>
            </w:r>
          </w:p>
        </w:tc>
        <w:tc>
          <w:tcPr>
            <w:tcW w:w="3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N/A</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11.90</w:t>
            </w:r>
          </w:p>
        </w:tc>
        <w:tc>
          <w:tcPr>
            <w:tcW w:w="3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11.50</w:t>
            </w:r>
          </w:p>
        </w:tc>
        <w:tc>
          <w:tcPr>
            <w:tcW w:w="180" w:type="dxa"/>
            <w:vAlign w:val="bottom"/>
          </w:tcPr>
          <w:p>
            <w:pPr>
              <w:spacing w:after="0"/>
              <w:rPr>
                <w:sz w:val="12"/>
                <w:szCs w:val="12"/>
                <w:color w:val="auto"/>
              </w:rPr>
            </w:pPr>
          </w:p>
        </w:tc>
        <w:tc>
          <w:tcPr>
            <w:tcW w:w="1760" w:type="dxa"/>
            <w:vAlign w:val="bottom"/>
            <w:gridSpan w:val="2"/>
          </w:tcPr>
          <w:p>
            <w:pPr>
              <w:ind w:left="1240"/>
              <w:spacing w:after="0" w:line="149" w:lineRule="exact"/>
              <w:rPr>
                <w:sz w:val="20"/>
                <w:szCs w:val="20"/>
                <w:color w:val="auto"/>
              </w:rPr>
            </w:pPr>
            <w:r>
              <w:rPr>
                <w:rFonts w:ascii="Arial" w:cs="Arial" w:eastAsia="Arial" w:hAnsi="Arial"/>
                <w:sz w:val="14"/>
                <w:szCs w:val="14"/>
                <w:color w:val="auto"/>
              </w:rPr>
              <w:t>N/A%</w:t>
            </w:r>
          </w:p>
        </w:tc>
        <w:tc>
          <w:tcPr>
            <w:tcW w:w="16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1"/>
                <w:szCs w:val="11"/>
                <w:color w:val="auto"/>
              </w:rPr>
              <w:t>0.155</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Fiscal Quarter</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14.12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12.10</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0.225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First Fiscal Quarter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13.68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11.03</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10.01</w:t>
            </w:r>
          </w:p>
        </w:tc>
        <w:tc>
          <w:tcPr>
            <w:tcW w:w="18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2"/>
                <w:szCs w:val="12"/>
                <w:color w:val="auto"/>
              </w:rPr>
            </w:pPr>
          </w:p>
        </w:tc>
        <w:tc>
          <w:tcPr>
            <w:tcW w:w="166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27</w:t>
            </w:r>
          </w:p>
        </w:tc>
        <w:tc>
          <w:tcPr>
            <w:tcW w:w="200" w:type="dxa"/>
            <w:vAlign w:val="bottom"/>
          </w:tcPr>
          <w:p>
            <w:pPr>
              <w:spacing w:after="0"/>
              <w:rPr>
                <w:sz w:val="12"/>
                <w:szCs w:val="12"/>
                <w:color w:val="auto"/>
              </w:rPr>
            </w:pP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rPr>
              <w:t>0.210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Ending September 30, 2011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Fourth Fiscal Quarter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13.44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12.85</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10.34</w:t>
            </w:r>
          </w:p>
        </w:tc>
        <w:tc>
          <w:tcPr>
            <w:tcW w:w="18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166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2"/>
                <w:szCs w:val="12"/>
                <w:color w:val="auto"/>
              </w:rPr>
            </w:pP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rPr>
              <w:t>0.200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Third Fiscal Quarter</w:t>
            </w:r>
            <w:r>
              <w:rPr>
                <w:rFonts w:ascii="Arial" w:cs="Arial" w:eastAsia="Arial" w:hAnsi="Arial"/>
                <w:sz w:val="17"/>
                <w:szCs w:val="17"/>
                <w:color w:val="auto"/>
                <w:vertAlign w:val="superscript"/>
              </w:rPr>
              <w:t>(4)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14.06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13.70</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12.27</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0.050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left="460" w:right="500" w:hanging="452"/>
        <w:spacing w:after="0" w:line="230"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this prospectus for more information.</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the discount (difference between NAV and relevant closing price) to the high or low closing sales price divided by the quarter end NAV.</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Dividend of $0.080 is payable on June 1, 2012 to stockholders of record as of May 22, 2012.</w:t>
      </w:r>
    </w:p>
    <w:p>
      <w:pPr>
        <w:ind w:left="460" w:hanging="452"/>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From April 9, 2011 (commencement of trading) to June 30, 2011.</w:t>
      </w:r>
    </w:p>
    <w:p>
      <w:pPr>
        <w:spacing w:after="0" w:line="138" w:lineRule="exact"/>
        <w:rPr>
          <w:sz w:val="20"/>
          <w:szCs w:val="20"/>
          <w:color w:val="auto"/>
        </w:rPr>
      </w:pPr>
    </w:p>
    <w:p>
      <w:pPr>
        <w:ind w:right="80" w:firstLine="342"/>
        <w:spacing w:after="0" w:line="278" w:lineRule="auto"/>
        <w:rPr>
          <w:sz w:val="20"/>
          <w:szCs w:val="20"/>
          <w:color w:val="auto"/>
        </w:rPr>
      </w:pPr>
      <w:r>
        <w:rPr>
          <w:rFonts w:ascii="Arial" w:cs="Arial" w:eastAsia="Arial" w:hAnsi="Arial"/>
          <w:sz w:val="12"/>
          <w:szCs w:val="12"/>
          <w:color w:val="auto"/>
        </w:rPr>
        <w:t>Shares of BDCs may trade at a market price that is less than the NAV that is attributable to those shares. Our shares have traded and may continue to trade below our NAV. Our shares traded on the NASDAQ Global Select Market at $11.75 and $10.55 as of March 31, 2012 and September 30, 2011, respectively. Our NAV was $14.12 and $13.44, as of March 31, 2012 and September 30, 2011,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SALES OF COMMON STOCK BELOW NET ASSET VALUE</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8"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effect that an offering below NAV per share would have on our stockholders, including the potential dilution they would experience as a result of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 per share by which the offering price per share and the net proceeds per share are less than the most recently determined NAV per share;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relationship of recent market prices of our common stock to NAV per share and the potential impact of the offering on the market price per share of our common stock;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Whether the estimated offering price would closely approximate the market value of our shares, less distributing commissions or discounts, and would not be below current market price;</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potential market impact of being able to raise capital in the current financial market;</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nature of any new investors anticipated to acquire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anticipated rate of return on and quality, type and availability of investments;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leverage available to us both before and after the offering and other borrowing terms;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potential investment opportunities available relative to the potential dilutive effect of additional capital at the time of the offering.</w:t>
      </w:r>
    </w:p>
    <w:p>
      <w:pPr>
        <w:spacing w:after="0" w:line="15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us or from the offering of common stock at premium to NAV per share.</w:t>
      </w:r>
    </w:p>
    <w:p>
      <w:pPr>
        <w:spacing w:after="0" w:line="94"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Sales by us of our common stock at a discount from NAV pose potential risks for our existing stockholders whether or not they participate in the offering, as well as for new investors who participate in the offering.</w:t>
      </w:r>
    </w:p>
    <w:p>
      <w:pPr>
        <w:spacing w:after="0" w:line="139" w:lineRule="exact"/>
        <w:rPr>
          <w:sz w:val="20"/>
          <w:szCs w:val="20"/>
          <w:color w:val="auto"/>
        </w:rPr>
      </w:pPr>
    </w:p>
    <w:p>
      <w:pPr>
        <w:ind w:firstLine="342"/>
        <w:spacing w:after="0" w:line="262" w:lineRule="auto"/>
        <w:rPr>
          <w:sz w:val="20"/>
          <w:szCs w:val="20"/>
          <w:color w:val="auto"/>
        </w:rPr>
      </w:pPr>
      <w:r>
        <w:rPr>
          <w:rFonts w:ascii="Arial" w:cs="Arial" w:eastAsia="Arial" w:hAnsi="Arial"/>
          <w:sz w:val="12"/>
          <w:szCs w:val="12"/>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3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4"/>
          <w:szCs w:val="14"/>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8"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existing stockholders who do not purchase any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existing stockholders who purchase a relatively small amount of shares in the offering or a relatively large amount of shares in the offering;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new investors who become stockholders by purchasing shares in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do not Participate in the Offering</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9"/>
              </w:rPr>
              <w:t>Example 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10% Offering</w:t>
            </w:r>
          </w:p>
        </w:tc>
        <w:tc>
          <w:tcPr>
            <w:tcW w:w="10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Prior to Sale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at 10% Discount</w:t>
            </w:r>
          </w:p>
        </w:tc>
        <w:tc>
          <w:tcPr>
            <w:tcW w:w="10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Below NAV</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3"/>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i w:val="1"/>
                <w:iCs w:val="1"/>
                <w:color w:val="auto"/>
              </w:rPr>
              <w:t>Offering Price</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9.52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8.47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Decrease to NAV</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5.00 %</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1,100,000</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1,200,000</w:t>
            </w: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20.00 %</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NAV per share</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0.95%</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(17.00)%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NAV held by stockholder A</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w w:val="93"/>
              </w:rPr>
              <w:t>Total investment by stockholder A (assumed to be $10.00 per share)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dilution to stockholder A (total NAV less total investment)</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NAV per share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89"/>
              </w:rPr>
              <w:t>Investment per share held by stockholder A (assumed to be $10.00 per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share on shares held prior to sale)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Dilution per share held by stockholder A (NAV per share less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97"/>
              </w:rPr>
              <w:t>Percentage dilution to stockholder A (dilution per share divided by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42</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Participate in the Offering</w:t>
      </w:r>
    </w:p>
    <w:p>
      <w:pPr>
        <w:spacing w:after="0" w:line="69"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w:t>
      </w:r>
    </w:p>
    <w:p>
      <w:pPr>
        <w:spacing w:after="0" w:line="1" w:lineRule="exact"/>
        <w:rPr>
          <w:sz w:val="20"/>
          <w:szCs w:val="20"/>
          <w:color w:val="auto"/>
        </w:rPr>
      </w:pPr>
    </w:p>
    <w:p>
      <w:pPr>
        <w:ind w:firstLine="8"/>
        <w:spacing w:after="0" w:line="277" w:lineRule="auto"/>
        <w:tabs>
          <w:tab w:leader="none" w:pos="191" w:val="left"/>
        </w:tabs>
        <w:numPr>
          <w:ilvl w:val="0"/>
          <w:numId w:val="23"/>
        </w:numPr>
        <w:rPr>
          <w:rFonts w:ascii="Arial" w:cs="Arial" w:eastAsia="Arial" w:hAnsi="Arial"/>
          <w:sz w:val="12"/>
          <w:szCs w:val="12"/>
          <w:color w:val="auto"/>
        </w:rPr>
      </w:pPr>
      <w:r>
        <w:rPr>
          <w:rFonts w:ascii="Arial" w:cs="Arial" w:eastAsia="Arial" w:hAnsi="Arial"/>
          <w:sz w:val="12"/>
          <w:szCs w:val="12"/>
          <w:color w:val="auto"/>
        </w:rPr>
        <w:t>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proceeds per share to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investment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(dilution)/accretion to stockholder A (total NAV less total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Investment per share held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(Dilution)/accretion per share held by stockholder A (NAV per share less investment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8" w:lineRule="exact"/>
        <w:rPr>
          <w:sz w:val="20"/>
          <w:szCs w:val="20"/>
          <w:color w:val="auto"/>
        </w:rPr>
      </w:pPr>
    </w:p>
    <w:p>
      <w:pPr>
        <w:ind w:left="440" w:right="60"/>
        <w:spacing w:after="0" w:line="239" w:lineRule="auto"/>
        <w:rPr>
          <w:sz w:val="20"/>
          <w:szCs w:val="20"/>
          <w:color w:val="auto"/>
        </w:rPr>
      </w:pPr>
      <w:r>
        <w:rPr>
          <w:rFonts w:ascii="Arial" w:cs="Arial" w:eastAsia="Arial" w:hAnsi="Arial"/>
          <w:sz w:val="14"/>
          <w:szCs w:val="14"/>
          <w:color w:val="auto"/>
        </w:rPr>
        <w:t>Percentage (dilution)/accretion to stockholder A (dilution/accretion per share divided by investment per share)</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50% Participation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8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1,200,000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(3.30)%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0.92%</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1.08%</w:t>
            </w:r>
          </w:p>
        </w:tc>
        <w:tc>
          <w:tcPr>
            <w:tcW w:w="58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106,370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6.37%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125,710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108,470</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8.47%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125,410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(2,100)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9.86</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(1.40)%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(0.19)</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0.02</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bl>
    <w:p>
      <w:pPr>
        <w:sectPr>
          <w:pgSz w:w="11900" w:h="16838" w:orient="portrait"/>
          <w:cols w:equalWidth="0" w:num="2">
            <w:col w:w="6100" w:space="440"/>
            <w:col w:w="488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New Investors</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7"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offering proceeds per share to issuer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 to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investment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 to stockholder A (total NAV less total investment)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per share held by stockholder A</w:t>
      </w:r>
    </w:p>
    <w:p>
      <w:pPr>
        <w:spacing w:after="0" w:line="55" w:lineRule="exact"/>
        <w:rPr>
          <w:sz w:val="20"/>
          <w:szCs w:val="20"/>
          <w:color w:val="auto"/>
        </w:rPr>
      </w:pPr>
    </w:p>
    <w:p>
      <w:pPr>
        <w:ind w:left="440"/>
        <w:spacing w:after="0" w:line="239" w:lineRule="auto"/>
        <w:rPr>
          <w:sz w:val="20"/>
          <w:szCs w:val="20"/>
          <w:color w:val="auto"/>
        </w:rPr>
      </w:pPr>
      <w:r>
        <w:rPr>
          <w:rFonts w:ascii="Arial" w:cs="Arial" w:eastAsia="Arial" w:hAnsi="Arial"/>
          <w:sz w:val="14"/>
          <w:szCs w:val="14"/>
          <w:color w:val="auto"/>
        </w:rPr>
        <w:t>Dilution per share held by stockholder A (NAV per share less investment per share)</w:t>
      </w:r>
    </w:p>
    <w:p>
      <w:pPr>
        <w:spacing w:after="0" w:line="44" w:lineRule="exact"/>
        <w:rPr>
          <w:sz w:val="20"/>
          <w:szCs w:val="20"/>
          <w:color w:val="auto"/>
        </w:rPr>
      </w:pPr>
    </w:p>
    <w:p>
      <w:pPr>
        <w:ind w:left="440" w:right="320"/>
        <w:spacing w:after="0" w:line="239" w:lineRule="auto"/>
        <w:rPr>
          <w:sz w:val="20"/>
          <w:szCs w:val="20"/>
          <w:color w:val="auto"/>
        </w:rPr>
      </w:pPr>
      <w:r>
        <w:rPr>
          <w:rFonts w:ascii="Arial" w:cs="Arial" w:eastAsia="Arial" w:hAnsi="Arial"/>
          <w:sz w:val="14"/>
          <w:szCs w:val="14"/>
          <w:color w:val="auto"/>
        </w:rPr>
        <w:t>Percentage dilution to stockholder A (dilution per share divided by investment per share)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89"/>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2"/>
              </w:rPr>
              <w:t>Prior to Sale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at 10% Discount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9"/>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2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w w:val="99"/>
              </w:rPr>
              <w:t>1,100,000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10.00 %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20.00 %</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(0.90)%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0.09%</w:t>
            </w: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0.17%</w:t>
            </w: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4,990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19,340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16,940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390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2,400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0.39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4.10 %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14.17 %</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44</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-2854960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-2580640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-2305685</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-2031365</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-1757045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-1482725</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-1208405</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-934085</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-659130</wp:posOffset>
            </wp:positionV>
            <wp:extent cx="7246620" cy="2317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2">
            <w:col w:w="4380" w:space="280"/>
            <w:col w:w="676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1"/>
        </w:trPr>
        <w:tc>
          <w:tcPr>
            <w:tcW w:w="6480" w:type="dxa"/>
            <w:vAlign w:val="bottom"/>
            <w:gridSpan w:val="2"/>
            <w:vMerge w:val="continue"/>
          </w:tcPr>
          <w:p>
            <w:pPr>
              <w:spacing w:after="0"/>
              <w:rPr>
                <w:sz w:val="14"/>
                <w:szCs w:val="14"/>
                <w:color w:val="auto"/>
              </w:rPr>
            </w:pPr>
          </w:p>
        </w:tc>
        <w:tc>
          <w:tcPr>
            <w:tcW w:w="2180" w:type="dxa"/>
            <w:vAlign w:val="bottom"/>
            <w:gridSpan w:val="2"/>
          </w:tcPr>
          <w:p>
            <w:pPr>
              <w:ind w:left="200"/>
              <w:spacing w:after="0"/>
              <w:rPr>
                <w:sz w:val="20"/>
                <w:szCs w:val="20"/>
                <w:color w:val="auto"/>
              </w:rPr>
            </w:pPr>
            <w:r>
              <w:rPr>
                <w:rFonts w:ascii="Arial" w:cs="Arial" w:eastAsia="Arial" w:hAnsi="Arial"/>
                <w:sz w:val="14"/>
                <w:szCs w:val="14"/>
                <w:b w:val="1"/>
                <w:bCs w:val="1"/>
                <w:color w:val="auto"/>
              </w:rPr>
              <w:t>Payment Dates</w:t>
            </w: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190"/>
        </w:trPr>
        <w:tc>
          <w:tcPr>
            <w:tcW w:w="55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Fiscal year ending September 30, 2012</w:t>
            </w: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May 22, 2012</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June 1, 2012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April 20, 2012</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May 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March 22, 2012</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April 1, 2012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February 20, 2012</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March 1,2012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January 20, 2012</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February 1, 2012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December 23,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January 3,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November 21, 2011</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December 1, 2011</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October 21,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November 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8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0.590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5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Fiscal year ending September 30, 2011*</w:t>
            </w:r>
          </w:p>
        </w:tc>
        <w:tc>
          <w:tcPr>
            <w:tcW w:w="1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September 23, 2011</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October 3, 2011</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August 22,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September 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July 22, 2011</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August 1, 2011</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June 24,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July 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0.050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8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0.250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43478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07"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note 7 to our Consolidated Financial Statements as of September 30, 2011.</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distribute monthly distributions to our stockholders. Our monthly distributions, if any, are determined by our board of directors.</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2"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9" w:lineRule="exact"/>
        <w:rPr>
          <w:sz w:val="20"/>
          <w:szCs w:val="20"/>
          <w:color w:val="auto"/>
        </w:rPr>
      </w:pPr>
    </w:p>
    <w:p>
      <w:pPr>
        <w:jc w:val="both"/>
        <w:ind w:right="14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 Park Floating Rate Capital Ltd.</w:t>
      </w:r>
    </w:p>
    <w:p>
      <w:pPr>
        <w:spacing w:after="0" w:line="7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jc w:val="both"/>
        <w:ind w:right="60" w:firstLine="456"/>
        <w:spacing w:after="0" w:line="273" w:lineRule="auto"/>
        <w:rPr>
          <w:sz w:val="20"/>
          <w:szCs w:val="20"/>
          <w:color w:val="auto"/>
        </w:rPr>
      </w:pPr>
      <w:r>
        <w:rPr>
          <w:rFonts w:ascii="Arial" w:cs="Arial" w:eastAsia="Arial" w:hAnsi="Arial"/>
          <w:sz w:val="12"/>
          <w:szCs w:val="12"/>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which may, from time to time, include cash equivalents invested in money market funds and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3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BDC under the 1940 Act. In addition, for tax purposes we intend to be treated, and intend to qualify annually, as a RIC under the Code.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$1.8 billion in 182 companies with over 100 different financial sponsors through its managed funds.</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 —Risks Relating to our Business and Structure—There are significant potential conflicts of interest which could impact our investment returns” for more information.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w:t>
      </w:r>
    </w:p>
    <w:p>
      <w:pPr>
        <w:spacing w:after="0" w:line="55" w:lineRule="exact"/>
        <w:rPr>
          <w:sz w:val="20"/>
          <w:szCs w:val="20"/>
          <w:color w:val="auto"/>
        </w:rPr>
      </w:pPr>
    </w:p>
    <w:p>
      <w:pPr>
        <w:jc w:val="both"/>
        <w:ind w:left="540" w:right="220" w:hanging="316"/>
        <w:spacing w:after="0" w:line="234"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increasing difficulty in raising debt through the capital markets. </w:t>
      </w:r>
      <w:r>
        <w:rPr>
          <w:rFonts w:ascii="Arial" w:cs="Arial" w:eastAsia="Arial" w:hAnsi="Arial"/>
          <w:sz w:val="14"/>
          <w:szCs w:val="14"/>
          <w:color w:val="auto"/>
        </w:rPr>
        <w:t>While many middle-market companies formerly were able to raise funds by</w:t>
      </w:r>
      <w:r>
        <w:rPr>
          <w:rFonts w:ascii="Arial" w:cs="Arial" w:eastAsia="Arial" w:hAnsi="Arial"/>
          <w:sz w:val="14"/>
          <w:szCs w:val="14"/>
          <w:b w:val="1"/>
          <w:bCs w:val="1"/>
          <w:color w:val="auto"/>
        </w:rPr>
        <w:t xml:space="preserve"> </w:t>
      </w:r>
      <w:r>
        <w:rPr>
          <w:rFonts w:ascii="Arial" w:cs="Arial" w:eastAsia="Arial" w:hAnsi="Arial"/>
          <w:sz w:val="14"/>
          <w:szCs w:val="14"/>
          <w:color w:val="auto"/>
        </w:rPr>
        <w:t>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rFonts w:ascii="Arial" w:cs="Arial" w:eastAsia="Arial" w:hAnsi="Arial"/>
          <w:sz w:val="14"/>
          <w:szCs w:val="14"/>
          <w:color w:val="auto"/>
        </w:rPr>
      </w:pPr>
    </w:p>
    <w:p>
      <w:pPr>
        <w:ind w:left="540" w:hanging="316"/>
        <w:spacing w:after="0" w:line="24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raising debt in private markets. </w:t>
      </w:r>
      <w:r>
        <w:rPr>
          <w:rFonts w:ascii="Arial" w:cs="Arial" w:eastAsia="Arial" w:hAnsi="Arial"/>
          <w:sz w:val="14"/>
          <w:szCs w:val="14"/>
          <w:color w:val="auto"/>
        </w:rPr>
        <w:t>Banks, finance companies, hedge funds and CLO funds have withdrawn capital from the middle-market</w:t>
      </w:r>
      <w:r>
        <w:rPr>
          <w:rFonts w:ascii="Arial" w:cs="Arial" w:eastAsia="Arial" w:hAnsi="Arial"/>
          <w:sz w:val="14"/>
          <w:szCs w:val="14"/>
          <w:b w:val="1"/>
          <w:bCs w:val="1"/>
          <w:color w:val="auto"/>
        </w:rPr>
        <w:t xml:space="preserve"> </w:t>
      </w:r>
      <w:r>
        <w:rPr>
          <w:rFonts w:ascii="Arial" w:cs="Arial" w:eastAsia="Arial" w:hAnsi="Arial"/>
          <w:sz w:val="14"/>
          <w:szCs w:val="14"/>
          <w:color w:val="auto"/>
        </w:rPr>
        <w:t>resulting in opportunities for alternative funding sources.</w:t>
      </w:r>
    </w:p>
    <w:p>
      <w:pPr>
        <w:spacing w:after="0" w:line="54" w:lineRule="exact"/>
        <w:rPr>
          <w:rFonts w:ascii="Arial" w:cs="Arial" w:eastAsia="Arial" w:hAnsi="Arial"/>
          <w:sz w:val="14"/>
          <w:szCs w:val="14"/>
          <w:color w:val="auto"/>
        </w:rPr>
      </w:pPr>
    </w:p>
    <w:p>
      <w:pPr>
        <w:ind w:left="540" w:right="280" w:hanging="316"/>
        <w:spacing w:after="0" w:line="234"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the current credit market dislocation for middle-market companies improves the risk-adjusted returns of our investments. </w:t>
      </w:r>
      <w:r>
        <w:rPr>
          <w:rFonts w:ascii="Arial" w:cs="Arial" w:eastAsia="Arial" w:hAnsi="Arial"/>
          <w:sz w:val="14"/>
          <w:szCs w:val="14"/>
          <w:color w:val="auto"/>
        </w:rPr>
        <w:t>In the current credit environment, market</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participants have reduced lending to middle-market and non-investment grade borrowers. As a result, there is less competition in our market, more conservative capital structures, higher yields and stronger covenants.</w:t>
      </w:r>
    </w:p>
    <w:p>
      <w:pPr>
        <w:spacing w:after="0" w:line="55" w:lineRule="exact"/>
        <w:rPr>
          <w:rFonts w:ascii="Arial" w:cs="Arial" w:eastAsia="Arial" w:hAnsi="Arial"/>
          <w:sz w:val="14"/>
          <w:szCs w:val="14"/>
          <w:color w:val="auto"/>
        </w:rPr>
      </w:pPr>
    </w:p>
    <w:p>
      <w:pPr>
        <w:ind w:left="540" w:right="100" w:hanging="316"/>
        <w:spacing w:after="0" w:line="23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4"/>
          <w:szCs w:val="14"/>
          <w:color w:val="auto"/>
        </w:rPr>
        <w:t>We expect that private</w:t>
      </w:r>
      <w:r>
        <w:rPr>
          <w:rFonts w:ascii="Arial" w:cs="Arial" w:eastAsia="Arial" w:hAnsi="Arial"/>
          <w:sz w:val="14"/>
          <w:szCs w:val="14"/>
          <w:b w:val="1"/>
          <w:bCs w:val="1"/>
          <w:color w:val="auto"/>
        </w:rPr>
        <w:t xml:space="preserve"> </w:t>
      </w:r>
      <w:r>
        <w:rPr>
          <w:rFonts w:ascii="Arial" w:cs="Arial" w:eastAsia="Arial" w:hAnsi="Arial"/>
          <w:sz w:val="14"/>
          <w:szCs w:val="14"/>
          <w:color w:val="auto"/>
        </w:rPr>
        <w:t>equity firms will continue to be active investors in middle-market companies. 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5" w:lineRule="exact"/>
        <w:rPr>
          <w:rFonts w:ascii="Arial" w:cs="Arial" w:eastAsia="Arial" w:hAnsi="Arial"/>
          <w:sz w:val="14"/>
          <w:szCs w:val="14"/>
          <w:color w:val="auto"/>
        </w:rPr>
      </w:pPr>
    </w:p>
    <w:p>
      <w:pPr>
        <w:ind w:left="540" w:right="60" w:hanging="316"/>
        <w:spacing w:after="0" w:line="24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refinancing. </w:t>
      </w:r>
      <w:r>
        <w:rPr>
          <w:rFonts w:ascii="Arial" w:cs="Arial" w:eastAsia="Arial" w:hAnsi="Arial"/>
          <w:sz w:val="14"/>
          <w:szCs w:val="14"/>
          <w:color w:val="auto"/>
        </w:rPr>
        <w:t>A high volume of financings were completed between the years 2004 and 2007, which will come due in the next</w:t>
      </w:r>
      <w:r>
        <w:rPr>
          <w:rFonts w:ascii="Arial" w:cs="Arial" w:eastAsia="Arial" w:hAnsi="Arial"/>
          <w:sz w:val="14"/>
          <w:szCs w:val="14"/>
          <w:b w:val="1"/>
          <w:bCs w:val="1"/>
          <w:color w:val="auto"/>
        </w:rPr>
        <w:t xml:space="preserve"> </w:t>
      </w:r>
      <w:r>
        <w:rPr>
          <w:rFonts w:ascii="Arial" w:cs="Arial" w:eastAsia="Arial" w:hAnsi="Arial"/>
          <w:sz w:val="14"/>
          <w:szCs w:val="14"/>
          <w:color w:val="auto"/>
        </w:rPr>
        <w:t>few years. We believe this supply of opportunities coupled with a lack of demand offers attractive risk-adjusted returns to investors.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believe that we have the following competitive advantages over other capital providers in middle-market companies: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 Experienced Management Team</w:t>
      </w:r>
    </w:p>
    <w:p>
      <w:pPr>
        <w:spacing w:after="0" w:line="6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b) Disciplined Investment Approach with Strong Value Orientation</w:t>
      </w:r>
    </w:p>
    <w:p>
      <w:pPr>
        <w:spacing w:after="0" w:line="69"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2"/>
          <w:szCs w:val="12"/>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3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for more information.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69" w:lineRule="exact"/>
        <w:rPr>
          <w:sz w:val="20"/>
          <w:szCs w:val="20"/>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 Ability to Source and Evaluate Transactions through our Investment Adviser’s Research Capability and Established Network</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d) Flexible Transaction Structuring</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58"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e) Longer Investment Horizon with Attractive Publicly-Traded Model</w:t>
      </w:r>
    </w:p>
    <w:p>
      <w:pPr>
        <w:spacing w:after="0" w:line="69"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Unlike private equity and venture capital funds, we are not subject to standard periodic capital return requirements. Such requirements typically stipulate that funds raised by a private equity or venture capital firms,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CLOs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36"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right="100" w:firstLine="342"/>
        <w:spacing w:after="0" w:line="265" w:lineRule="auto"/>
        <w:rPr>
          <w:sz w:val="20"/>
          <w:szCs w:val="20"/>
          <w:color w:val="auto"/>
        </w:rPr>
      </w:pPr>
      <w:r>
        <w:rPr>
          <w:rFonts w:ascii="Arial" w:cs="Arial" w:eastAsia="Arial" w:hAnsi="Arial"/>
          <w:sz w:val="12"/>
          <w:szCs w:val="12"/>
          <w:color w:val="auto"/>
        </w:rPr>
        <w:t>We maintain a five-year, $100.0 million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$47.8 million outstanding with a weighted average interest rate of 2.54%, excluding the unused commitment fee of</w:t>
      </w:r>
    </w:p>
    <w:p>
      <w:pPr>
        <w:spacing w:after="0" w:line="1" w:lineRule="exact"/>
        <w:rPr>
          <w:sz w:val="20"/>
          <w:szCs w:val="20"/>
          <w:color w:val="auto"/>
        </w:rPr>
      </w:pPr>
    </w:p>
    <w:p>
      <w:pPr>
        <w:ind w:right="200"/>
        <w:spacing w:after="0" w:line="230" w:lineRule="auto"/>
        <w:rPr>
          <w:sz w:val="20"/>
          <w:szCs w:val="20"/>
          <w:color w:val="auto"/>
        </w:rPr>
      </w:pPr>
      <w:r>
        <w:rPr>
          <w:rFonts w:ascii="Arial" w:cs="Arial" w:eastAsia="Arial" w:hAnsi="Arial"/>
          <w:sz w:val="14"/>
          <w:szCs w:val="14"/>
          <w:color w:val="auto"/>
        </w:rPr>
        <w:t>0.50%, as of March 31, 2012.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INVESTMENT OBJECTIVES AND POLICIES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Policy Overview</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seek to create a diversified portfolio primarily of Floating Rate Loans by generally targeting an investment size of $1 million to $10 million in securities, on average, of U.S. middle-market private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39"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Over time, we expect that our portfolio will continue to consist primarily of Floating Rate Loans in qualifying assets such as private or thinly traded or small market-capitalization, public U.S.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0"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Selection Criteria</w:t>
      </w:r>
    </w:p>
    <w:p>
      <w:pPr>
        <w:spacing w:after="0" w:line="71"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Leading and defensible competitive market positions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stable borrowers with positive cash flow</w:t>
      </w:r>
    </w:p>
    <w:p>
      <w:pPr>
        <w:spacing w:after="0" w:line="6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Proven management teams</w:t>
      </w:r>
    </w:p>
    <w:p>
      <w:pPr>
        <w:spacing w:after="0" w:line="6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equity sponsorship</w:t>
      </w:r>
    </w:p>
    <w:p>
      <w:pPr>
        <w:spacing w:after="0" w:line="69"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in different borrowers and industries</w:t>
      </w:r>
    </w:p>
    <w:p>
      <w:pPr>
        <w:spacing w:after="0" w:line="6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Investment Adviser seeks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Viable exit strategy</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markets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Diligence</w:t>
      </w:r>
    </w:p>
    <w:p>
      <w:pPr>
        <w:spacing w:after="0" w:line="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due diligence typically includes:</w:t>
      </w:r>
    </w:p>
    <w:p>
      <w:pPr>
        <w:spacing w:after="0" w:line="69" w:lineRule="exact"/>
        <w:rPr>
          <w:sz w:val="20"/>
          <w:szCs w:val="20"/>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of loan documents;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background checks;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research relating to the company’s management, industry, markets, products and services and competitors.</w:t>
      </w:r>
    </w:p>
    <w:p>
      <w:pPr>
        <w:spacing w:after="0" w:line="150"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139" w:lineRule="exact"/>
        <w:rPr>
          <w:sz w:val="20"/>
          <w:szCs w:val="20"/>
          <w:color w:val="auto"/>
        </w:rPr>
      </w:pPr>
    </w:p>
    <w:p>
      <w:pPr>
        <w:ind w:right="160" w:firstLine="456"/>
        <w:spacing w:after="0" w:line="265" w:lineRule="auto"/>
        <w:rPr>
          <w:sz w:val="20"/>
          <w:szCs w:val="20"/>
          <w:color w:val="auto"/>
        </w:rPr>
      </w:pPr>
      <w:r>
        <w:rPr>
          <w:rFonts w:ascii="Arial" w:cs="Arial" w:eastAsia="Arial" w:hAnsi="Arial"/>
          <w:sz w:val="12"/>
          <w:szCs w:val="12"/>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1" w:lineRule="exact"/>
        <w:rPr>
          <w:sz w:val="20"/>
          <w:szCs w:val="20"/>
          <w:color w:val="auto"/>
        </w:rPr>
      </w:pPr>
    </w:p>
    <w:p>
      <w:pPr>
        <w:ind w:right="40" w:firstLine="8"/>
        <w:spacing w:after="0" w:line="230" w:lineRule="auto"/>
        <w:tabs>
          <w:tab w:leader="none" w:pos="191"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39"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Under normal market conditions, we expect that at least 80% of our Managed Assets will be invested in Floating Rate Loans and other instruments bearing a variable rate of interest which may, from time to time, include cash equivalents invested in money market funds and variable rate derivative instruments. This policy is not fundamental and may be changed by our board of directors with at least 60 days prior written notice provided to stockholders.</w:t>
      </w:r>
    </w:p>
    <w:p>
      <w:pPr>
        <w:spacing w:after="0" w:line="139"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The Investment Adviser seeks to achieve our investment objectives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274"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Structure</w:t>
      </w:r>
    </w:p>
    <w:p>
      <w:pPr>
        <w:spacing w:after="0" w:line="71"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94" w:lineRule="exact"/>
        <w:rPr>
          <w:sz w:val="20"/>
          <w:szCs w:val="20"/>
          <w:color w:val="auto"/>
        </w:rPr>
      </w:pPr>
    </w:p>
    <w:p>
      <w:pPr>
        <w:ind w:right="140" w:firstLine="342"/>
        <w:spacing w:after="0" w:line="239" w:lineRule="auto"/>
        <w:rPr>
          <w:sz w:val="20"/>
          <w:szCs w:val="20"/>
          <w:color w:val="auto"/>
        </w:rPr>
      </w:pPr>
      <w:r>
        <w:rPr>
          <w:rFonts w:ascii="Arial" w:cs="Arial" w:eastAsia="Arial" w:hAnsi="Arial"/>
          <w:sz w:val="14"/>
          <w:szCs w:val="14"/>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20" w:firstLine="342"/>
        <w:spacing w:after="0" w:line="288" w:lineRule="auto"/>
        <w:rPr>
          <w:sz w:val="20"/>
          <w:szCs w:val="20"/>
          <w:color w:val="auto"/>
        </w:rPr>
      </w:pPr>
      <w:r>
        <w:rPr>
          <w:rFonts w:ascii="Arial" w:cs="Arial" w:eastAsia="Arial" w:hAnsi="Arial"/>
          <w:sz w:val="12"/>
          <w:szCs w:val="12"/>
          <w:color w:val="auto"/>
        </w:rPr>
        <w:t>Certain Floating Rate Loans may have interest-only payments in the early years, cash or PIK payments with amortization of principal deferred to the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1" w:lineRule="exact"/>
        <w:rPr>
          <w:sz w:val="20"/>
          <w:szCs w:val="20"/>
          <w:color w:val="auto"/>
        </w:rPr>
      </w:pPr>
    </w:p>
    <w:p>
      <w:pPr>
        <w:ind w:right="100" w:firstLine="342"/>
        <w:spacing w:after="0" w:line="233" w:lineRule="auto"/>
        <w:rPr>
          <w:sz w:val="20"/>
          <w:szCs w:val="20"/>
          <w:color w:val="auto"/>
        </w:rPr>
      </w:pPr>
      <w:r>
        <w:rPr>
          <w:rFonts w:ascii="Arial" w:cs="Arial" w:eastAsia="Arial" w:hAnsi="Arial"/>
          <w:sz w:val="14"/>
          <w:szCs w:val="14"/>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58" w:lineRule="exact"/>
        <w:rPr>
          <w:sz w:val="20"/>
          <w:szCs w:val="20"/>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and potential equity appreciation) that compensates us for credit risk;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68" w:lineRule="exact"/>
        <w:rPr>
          <w:rFonts w:ascii="Arial" w:cs="Arial" w:eastAsia="Arial" w:hAnsi="Arial"/>
          <w:sz w:val="14"/>
          <w:szCs w:val="14"/>
          <w:color w:val="auto"/>
        </w:rPr>
      </w:pPr>
    </w:p>
    <w:p>
      <w:pPr>
        <w:jc w:val="both"/>
        <w:ind w:left="540" w:right="160" w:hanging="316"/>
        <w:spacing w:after="0" w:line="318" w:lineRule="auto"/>
        <w:tabs>
          <w:tab w:leader="none" w:pos="5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94"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Ongoing Relationships with Portfolio Companies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6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69" w:lineRule="exact"/>
        <w:rPr>
          <w:sz w:val="20"/>
          <w:szCs w:val="20"/>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Assessment of success in adhering to portfolio company’s business plan and compliance with covenants;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Periodic or regular contact with portfolio company management and, if appropriate, the financial or strategic sponsor, to discuss financial position, requirement and accomplishments;</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Review of monthly and quarterly financial statements and financial projections of portfolio companies.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6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We offer managerial assistance to our portfolio companies. As a BDC, we are required to make available such managerial assistance within the meaning of section 55 of the 1940 Act. See “Regulation”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Staffing</w:t>
      </w:r>
    </w:p>
    <w:p>
      <w:pPr>
        <w:spacing w:after="0" w:line="6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Consolidated Portfolio</w:t>
      </w:r>
    </w:p>
    <w:p>
      <w:pPr>
        <w:spacing w:after="0" w:line="71"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60"/>
              <w:spacing w:after="0"/>
              <w:rPr>
                <w:sz w:val="20"/>
                <w:szCs w:val="20"/>
                <w:color w:val="auto"/>
              </w:rPr>
            </w:pPr>
            <w:r>
              <w:rPr>
                <w:rFonts w:ascii="Arial" w:cs="Arial" w:eastAsia="Arial" w:hAnsi="Arial"/>
                <w:sz w:val="14"/>
                <w:szCs w:val="14"/>
                <w:color w:val="auto"/>
              </w:rPr>
              <w:t>Aerospace and Defense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Energy / Utilities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60"/>
              <w:spacing w:after="0"/>
              <w:rPr>
                <w:sz w:val="20"/>
                <w:szCs w:val="20"/>
                <w:color w:val="auto"/>
              </w:rPr>
            </w:pPr>
            <w:r>
              <w:rPr>
                <w:rFonts w:ascii="Arial" w:cs="Arial" w:eastAsia="Arial" w:hAnsi="Arial"/>
                <w:sz w:val="14"/>
                <w:szCs w:val="14"/>
                <w:color w:val="auto"/>
              </w:rPr>
              <w:t>Auto Sector</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Environmental Services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Broadcasting and Entertainment</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Financial Services</w:t>
            </w:r>
          </w:p>
        </w:tc>
      </w:tr>
      <w:tr>
        <w:trPr>
          <w:trHeight w:val="270"/>
        </w:trPr>
        <w:tc>
          <w:tcPr>
            <w:tcW w:w="3860" w:type="dxa"/>
            <w:vAlign w:val="bottom"/>
            <w:gridSpan w:val="2"/>
          </w:tcPr>
          <w:p>
            <w:pPr>
              <w:spacing w:after="0"/>
              <w:rPr>
                <w:sz w:val="20"/>
                <w:szCs w:val="20"/>
                <w:color w:val="auto"/>
              </w:rPr>
            </w:pPr>
            <w:r>
              <w:rPr>
                <w:rFonts w:ascii="Arial" w:cs="Arial" w:eastAsia="Arial" w:hAnsi="Arial"/>
                <w:sz w:val="14"/>
                <w:szCs w:val="14"/>
                <w:color w:val="auto"/>
              </w:rPr>
              <w:t>•  Buildings and Real Estate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Grocery</w:t>
            </w:r>
          </w:p>
        </w:tc>
      </w:tr>
      <w:tr>
        <w:trPr>
          <w:trHeight w:val="270"/>
        </w:trPr>
        <w:tc>
          <w:tcPr>
            <w:tcW w:w="3860" w:type="dxa"/>
            <w:vAlign w:val="bottom"/>
            <w:gridSpan w:val="2"/>
          </w:tcPr>
          <w:p>
            <w:pPr>
              <w:spacing w:after="0"/>
              <w:rPr>
                <w:sz w:val="20"/>
                <w:szCs w:val="20"/>
                <w:color w:val="auto"/>
              </w:rPr>
            </w:pPr>
            <w:r>
              <w:rPr>
                <w:rFonts w:ascii="Arial" w:cs="Arial" w:eastAsia="Arial" w:hAnsi="Arial"/>
                <w:sz w:val="14"/>
                <w:szCs w:val="14"/>
                <w:color w:val="auto"/>
              </w:rPr>
              <w:t>•  Beverage, Food and Tobacco</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Healthcare, Education and Childcare</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High Tech Industries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Cable Television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w w:val="88"/>
              </w:rPr>
              <w:t>Home &amp; Office Furnishings, Housewares &amp; Durable Consumer Products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Cargo Transportation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Hotels, Motels, Inns and Gaming</w:t>
            </w:r>
          </w:p>
        </w:tc>
      </w:tr>
      <w:tr>
        <w:trPr>
          <w:trHeight w:val="270"/>
        </w:trPr>
        <w:tc>
          <w:tcPr>
            <w:tcW w:w="3860" w:type="dxa"/>
            <w:vAlign w:val="bottom"/>
            <w:gridSpan w:val="2"/>
          </w:tcPr>
          <w:p>
            <w:pPr>
              <w:spacing w:after="0"/>
              <w:rPr>
                <w:sz w:val="20"/>
                <w:szCs w:val="20"/>
                <w:color w:val="auto"/>
              </w:rPr>
            </w:pPr>
            <w:r>
              <w:rPr>
                <w:rFonts w:ascii="Arial" w:cs="Arial" w:eastAsia="Arial" w:hAnsi="Arial"/>
                <w:sz w:val="14"/>
                <w:szCs w:val="14"/>
                <w:color w:val="auto"/>
              </w:rPr>
              <w:t>•  Chemicals, Plastics and Rubber</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Insurance</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Communications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Leisure, Amusement, Motion Picture, Entertainment</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Consumer Goods: Durable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Logistics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Consumer Goods: Non-Durable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Manufacturing / Basic Industries</w:t>
            </w:r>
          </w:p>
        </w:tc>
      </w:tr>
      <w:tr>
        <w:trPr>
          <w:trHeight w:val="257"/>
        </w:trPr>
        <w:tc>
          <w:tcPr>
            <w:tcW w:w="3860" w:type="dxa"/>
            <w:vAlign w:val="bottom"/>
            <w:gridSpan w:val="2"/>
          </w:tcPr>
          <w:p>
            <w:pPr>
              <w:spacing w:after="0"/>
              <w:rPr>
                <w:sz w:val="20"/>
                <w:szCs w:val="20"/>
                <w:color w:val="auto"/>
              </w:rPr>
            </w:pPr>
            <w:r>
              <w:rPr>
                <w:rFonts w:ascii="Arial" w:cs="Arial" w:eastAsia="Arial" w:hAnsi="Arial"/>
                <w:sz w:val="14"/>
                <w:szCs w:val="14"/>
                <w:color w:val="auto"/>
              </w:rPr>
              <w:t>•  Containers Packaging &amp; Glass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Media</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Distribution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Oil and Gas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Diversified/Conglomerate Manufacturing</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Personal, Food and Miscellaneous Services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Diversified/Conglomerate Services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Printing and Publishing</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Education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Retail Stores</w:t>
            </w:r>
          </w:p>
        </w:tc>
      </w:tr>
      <w:tr>
        <w:trPr>
          <w:trHeight w:val="257"/>
        </w:trPr>
        <w:tc>
          <w:tcPr>
            <w:tcW w:w="1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Telecommunications</w:t>
            </w:r>
          </w:p>
        </w:tc>
      </w:tr>
      <w:tr>
        <w:trPr>
          <w:trHeight w:val="297"/>
        </w:trPr>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00" w:type="dxa"/>
            <w:vAlign w:val="bottom"/>
          </w:tcPr>
          <w:p>
            <w:pPr>
              <w:ind w:left="1440"/>
              <w:spacing w:after="0"/>
              <w:rPr>
                <w:sz w:val="20"/>
                <w:szCs w:val="20"/>
                <w:color w:val="auto"/>
              </w:rPr>
            </w:pPr>
            <w:r>
              <w:rPr>
                <w:rFonts w:ascii="Arial" w:cs="Arial" w:eastAsia="Arial" w:hAnsi="Arial"/>
                <w:sz w:val="14"/>
                <w:szCs w:val="14"/>
                <w:color w:val="auto"/>
              </w:rPr>
              <w:t>52</w:t>
            </w:r>
          </w:p>
        </w:tc>
        <w:tc>
          <w:tcPr>
            <w:tcW w:w="404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equivalents) as of:</w:t>
      </w:r>
    </w:p>
    <w:p>
      <w:pPr>
        <w:sectPr>
          <w:pgSz w:w="11900" w:h="16838" w:orient="portrait"/>
          <w:cols w:equalWidth="0" w:num="1">
            <w:col w:w="11420"/>
          </w:cols>
          <w:pgMar w:left="240" w:top="459" w:right="239" w:bottom="1440" w:gutter="0" w:footer="0" w:header="0"/>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0" w:type="dxa"/>
            <w:vAlign w:val="bottom"/>
          </w:tcPr>
          <w:p>
            <w:pPr>
              <w:spacing w:after="0"/>
              <w:rPr>
                <w:sz w:val="1"/>
                <w:szCs w:val="1"/>
                <w:color w:val="auto"/>
              </w:rPr>
            </w:pPr>
          </w:p>
        </w:tc>
      </w:tr>
      <w:tr>
        <w:trPr>
          <w:trHeight w:val="161"/>
        </w:trPr>
        <w:tc>
          <w:tcPr>
            <w:tcW w:w="4540" w:type="dxa"/>
            <w:vAlign w:val="bottom"/>
            <w:gridSpan w:val="3"/>
            <w:vMerge w:val="continue"/>
          </w:tcPr>
          <w:p>
            <w:pPr>
              <w:spacing w:after="0"/>
              <w:rPr>
                <w:sz w:val="14"/>
                <w:szCs w:val="14"/>
                <w:color w:val="auto"/>
              </w:rPr>
            </w:pPr>
          </w:p>
        </w:tc>
        <w:tc>
          <w:tcPr>
            <w:tcW w:w="740" w:type="dxa"/>
            <w:vAlign w:val="bottom"/>
          </w:tcPr>
          <w:p>
            <w:pPr>
              <w:ind w:left="240"/>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3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60" w:type="dxa"/>
            <w:vAlign w:val="bottom"/>
          </w:tcPr>
          <w:p>
            <w:pPr>
              <w:spacing w:after="0"/>
              <w:rPr>
                <w:sz w:val="20"/>
                <w:szCs w:val="20"/>
                <w:color w:val="auto"/>
              </w:rPr>
            </w:pPr>
            <w:r>
              <w:rPr>
                <w:rFonts w:ascii="Arial" w:cs="Arial" w:eastAsia="Arial" w:hAnsi="Arial"/>
                <w:sz w:val="14"/>
                <w:szCs w:val="14"/>
                <w:color w:val="auto"/>
              </w:rPr>
              <w:t>Instant Web, Inc.</w:t>
            </w:r>
          </w:p>
        </w:tc>
        <w:tc>
          <w:tcPr>
            <w:tcW w:w="560" w:type="dxa"/>
            <w:vAlign w:val="bottom"/>
            <w:vMerge w:val="continue"/>
          </w:tcPr>
          <w:p>
            <w:pPr>
              <w:spacing w:after="0"/>
              <w:rPr>
                <w:sz w:val="14"/>
                <w:szCs w:val="14"/>
                <w:color w:val="auto"/>
              </w:rPr>
            </w:pPr>
          </w:p>
        </w:tc>
        <w:tc>
          <w:tcPr>
            <w:tcW w:w="1460" w:type="dxa"/>
            <w:vAlign w:val="bottom"/>
            <w:gridSpan w:val="2"/>
          </w:tcPr>
          <w:p>
            <w:pPr>
              <w:ind w:left="660"/>
              <w:spacing w:after="0"/>
              <w:rPr>
                <w:sz w:val="20"/>
                <w:szCs w:val="20"/>
                <w:color w:val="auto"/>
              </w:rPr>
            </w:pPr>
            <w:r>
              <w:rPr>
                <w:rFonts w:ascii="Arial" w:cs="Arial" w:eastAsia="Arial" w:hAnsi="Arial"/>
                <w:sz w:val="14"/>
                <w:szCs w:val="14"/>
                <w:color w:val="auto"/>
              </w:rPr>
              <w:t>4%</w:t>
            </w:r>
          </w:p>
        </w:tc>
        <w:tc>
          <w:tcPr>
            <w:tcW w:w="3740" w:type="dxa"/>
            <w:vAlign w:val="bottom"/>
          </w:tcPr>
          <w:p>
            <w:pPr>
              <w:spacing w:after="0"/>
              <w:rPr>
                <w:sz w:val="20"/>
                <w:szCs w:val="20"/>
                <w:color w:val="auto"/>
              </w:rPr>
            </w:pPr>
            <w:r>
              <w:rPr>
                <w:rFonts w:ascii="Arial" w:cs="Arial" w:eastAsia="Arial" w:hAnsi="Arial"/>
                <w:sz w:val="14"/>
                <w:szCs w:val="14"/>
                <w:color w:val="auto"/>
              </w:rPr>
              <w:t>Ernest Health, Inc.</w:t>
            </w:r>
          </w:p>
        </w:tc>
        <w:tc>
          <w:tcPr>
            <w:tcW w:w="0" w:type="dxa"/>
            <w:vAlign w:val="bottom"/>
          </w:tcPr>
          <w:p>
            <w:pPr>
              <w:spacing w:after="0"/>
              <w:rPr>
                <w:sz w:val="1"/>
                <w:szCs w:val="1"/>
                <w:color w:val="auto"/>
              </w:rPr>
            </w:pPr>
          </w:p>
        </w:tc>
      </w:tr>
      <w:tr>
        <w:trPr>
          <w:trHeight w:val="178"/>
        </w:trPr>
        <w:tc>
          <w:tcPr>
            <w:tcW w:w="454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4</w:t>
            </w:r>
          </w:p>
        </w:tc>
        <w:tc>
          <w:tcPr>
            <w:tcW w:w="7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Instant Web, Inc.</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rPr>
                <w:sz w:val="20"/>
                <w:szCs w:val="20"/>
                <w:color w:val="auto"/>
              </w:rPr>
            </w:pPr>
            <w:r>
              <w:rPr>
                <w:rFonts w:ascii="Arial" w:cs="Arial" w:eastAsia="Arial" w:hAnsi="Arial"/>
                <w:sz w:val="14"/>
                <w:szCs w:val="14"/>
                <w:color w:val="auto"/>
              </w:rPr>
              <w:t>Mood Media Corporation</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4</w:t>
            </w:r>
          </w:p>
        </w:tc>
        <w:tc>
          <w:tcPr>
            <w:tcW w:w="7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K2 Pure Solutions NoCal, L.P.</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rPr>
                <w:sz w:val="20"/>
                <w:szCs w:val="20"/>
                <w:color w:val="auto"/>
              </w:rPr>
            </w:pPr>
            <w:r>
              <w:rPr>
                <w:rFonts w:ascii="Arial" w:cs="Arial" w:eastAsia="Arial" w:hAnsi="Arial"/>
                <w:sz w:val="14"/>
                <w:szCs w:val="14"/>
                <w:color w:val="auto"/>
              </w:rPr>
              <w:t>Trusthouse Services Group, Inc.</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4</w:t>
            </w:r>
          </w:p>
        </w:tc>
        <w:tc>
          <w:tcPr>
            <w:tcW w:w="7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Mood Media Corporation</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4"/>
                <w:szCs w:val="14"/>
                <w:color w:val="auto"/>
              </w:rPr>
              <w:t>KIK Custom Products Inc.</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Trusthouse Services Group, Inc.</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C.H.I. Overhead Doors, Inc.</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4"/>
                <w:szCs w:val="14"/>
                <w:color w:val="auto"/>
              </w:rPr>
              <w:t>National Healing Corporation</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KIK Custom Products Inc.</w:t>
            </w: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Arial" w:cs="Arial" w:eastAsia="Arial" w:hAnsi="Arial"/>
                <w:sz w:val="14"/>
                <w:szCs w:val="14"/>
                <w:color w:val="auto"/>
              </w:rPr>
              <w:t>Rocket Software, Inc.</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Triple Point Technology, Inc.</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rPr>
                <w:sz w:val="20"/>
                <w:szCs w:val="20"/>
                <w:color w:val="auto"/>
              </w:rPr>
            </w:pPr>
            <w:r>
              <w:rPr>
                <w:rFonts w:ascii="Arial" w:cs="Arial" w:eastAsia="Arial" w:hAnsi="Arial"/>
                <w:sz w:val="14"/>
                <w:szCs w:val="14"/>
                <w:color w:val="auto"/>
              </w:rPr>
              <w:t>Viamedia Services Corp.</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Viamedia Services Corp.</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rPr>
                <w:sz w:val="20"/>
                <w:szCs w:val="20"/>
                <w:color w:val="auto"/>
              </w:rPr>
            </w:pPr>
            <w:r>
              <w:rPr>
                <w:rFonts w:ascii="Arial" w:cs="Arial" w:eastAsia="Arial" w:hAnsi="Arial"/>
                <w:sz w:val="14"/>
                <w:szCs w:val="14"/>
                <w:color w:val="auto"/>
              </w:rPr>
              <w:t>Yonkers Racing Corporation</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Yonkers Racing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7246620"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w:t>
            </w:r>
          </w:p>
        </w:tc>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9"/>
              </w:rPr>
              <w:t>March 31,</w:t>
            </w:r>
          </w:p>
        </w:tc>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161"/>
        </w:trPr>
        <w:tc>
          <w:tcPr>
            <w:tcW w:w="4520" w:type="dxa"/>
            <w:vAlign w:val="bottom"/>
            <w:gridSpan w:val="3"/>
            <w:vMerge w:val="continue"/>
          </w:tcPr>
          <w:p>
            <w:pPr>
              <w:spacing w:after="0"/>
              <w:rPr>
                <w:sz w:val="14"/>
                <w:szCs w:val="14"/>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Business Services</w:t>
            </w:r>
          </w:p>
        </w:tc>
        <w:tc>
          <w:tcPr>
            <w:tcW w:w="560" w:type="dxa"/>
            <w:vAlign w:val="bottom"/>
            <w:vMerge w:val="continue"/>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color w:val="auto"/>
              </w:rPr>
              <w:t>10%</w:t>
            </w:r>
          </w:p>
        </w:tc>
        <w:tc>
          <w:tcPr>
            <w:tcW w:w="3780" w:type="dxa"/>
            <w:vAlign w:val="bottom"/>
          </w:tcPr>
          <w:p>
            <w:pPr>
              <w:spacing w:after="0"/>
              <w:rPr>
                <w:sz w:val="20"/>
                <w:szCs w:val="20"/>
                <w:color w:val="auto"/>
              </w:rPr>
            </w:pPr>
            <w:r>
              <w:rPr>
                <w:rFonts w:ascii="Arial" w:cs="Arial" w:eastAsia="Arial" w:hAnsi="Arial"/>
                <w:sz w:val="14"/>
                <w:szCs w:val="14"/>
                <w:color w:val="auto"/>
              </w:rPr>
              <w:t>Business Services</w:t>
            </w:r>
          </w:p>
        </w:tc>
        <w:tc>
          <w:tcPr>
            <w:tcW w:w="0" w:type="dxa"/>
            <w:vAlign w:val="bottom"/>
          </w:tcPr>
          <w:p>
            <w:pPr>
              <w:spacing w:after="0"/>
              <w:rPr>
                <w:sz w:val="1"/>
                <w:szCs w:val="1"/>
                <w:color w:val="auto"/>
              </w:rPr>
            </w:pPr>
          </w:p>
        </w:tc>
      </w:tr>
      <w:tr>
        <w:trPr>
          <w:trHeight w:val="178"/>
        </w:trPr>
        <w:tc>
          <w:tcPr>
            <w:tcW w:w="4520" w:type="dxa"/>
            <w:vAlign w:val="bottom"/>
            <w:gridSpan w:val="3"/>
          </w:tcPr>
          <w:p>
            <w:pPr>
              <w:spacing w:after="0"/>
              <w:rPr>
                <w:sz w:val="20"/>
                <w:szCs w:val="20"/>
                <w:color w:val="auto"/>
              </w:rPr>
            </w:pPr>
            <w:r>
              <w:rPr>
                <w:rFonts w:ascii="Arial" w:cs="Arial" w:eastAsia="Arial" w:hAnsi="Arial"/>
                <w:sz w:val="14"/>
                <w:szCs w:val="14"/>
                <w:color w:val="auto"/>
              </w:rPr>
              <w:t>Beverage, Food and Tobacco</w:t>
            </w: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7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Healthcare and Pharmaceuticals</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High Tech Industries</w:t>
            </w: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Media: Advertising, Printing and Publishing</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Media: Advertising, Printing and Publishing</w:t>
            </w: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Hotel, Gaming and Leisure</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Media: Diversified and Production</w:t>
            </w: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Consumer Goods: Durable</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Telecommunications</w:t>
            </w: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Media: Diversified and Production</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Consumer Goods: Non-Durable</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Beverage, Food and Tobacco</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Chemicals, Plastics and Rubber</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Chemicals, Plastics and Rubber</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Healthcare and Pharmaceuticals</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Telecommunications</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Hotel, Gaming and Leisure</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Automotive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-942340</wp:posOffset>
            </wp:positionV>
            <wp:extent cx="7246620"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120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220"/>
        <w:spacing w:after="0"/>
        <w:rPr>
          <w:sz w:val="20"/>
          <w:szCs w:val="20"/>
          <w:color w:val="auto"/>
        </w:rPr>
      </w:pPr>
      <w:r>
        <w:rPr>
          <w:rFonts w:ascii="Arial" w:cs="Arial" w:eastAsia="Arial" w:hAnsi="Arial"/>
          <w:sz w:val="11"/>
          <w:szCs w:val="11"/>
          <w:b w:val="1"/>
          <w:bCs w:val="1"/>
          <w:color w:val="auto"/>
        </w:rPr>
        <w:t>September 30,</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2011</w:t>
      </w:r>
    </w:p>
    <w:p>
      <w:pPr>
        <w:ind w:left="820"/>
        <w:spacing w:after="0"/>
        <w:rPr>
          <w:sz w:val="20"/>
          <w:szCs w:val="20"/>
          <w:color w:val="auto"/>
        </w:rPr>
      </w:pPr>
      <w:r>
        <w:rPr>
          <w:rFonts w:ascii="Arial" w:cs="Arial" w:eastAsia="Arial" w:hAnsi="Arial"/>
          <w:sz w:val="12"/>
          <w:szCs w:val="12"/>
          <w:color w:val="auto"/>
        </w:rPr>
        <w:t>6%</w:t>
      </w:r>
    </w:p>
    <w:p>
      <w:pPr>
        <w:spacing w:after="0" w:line="4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6</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8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188" w:lineRule="exact"/>
        <w:rPr>
          <w:sz w:val="20"/>
          <w:szCs w:val="20"/>
          <w:color w:val="auto"/>
        </w:rPr>
      </w:pPr>
    </w:p>
    <w:p>
      <w:pPr>
        <w:jc w:val="center"/>
        <w:ind w:right="220"/>
        <w:spacing w:after="0"/>
        <w:rPr>
          <w:sz w:val="20"/>
          <w:szCs w:val="20"/>
          <w:color w:val="auto"/>
        </w:rPr>
      </w:pPr>
      <w:r>
        <w:rPr>
          <w:rFonts w:ascii="Arial" w:cs="Arial" w:eastAsia="Arial" w:hAnsi="Arial"/>
          <w:sz w:val="11"/>
          <w:szCs w:val="11"/>
          <w:b w:val="1"/>
          <w:bCs w:val="1"/>
          <w:color w:val="auto"/>
        </w:rPr>
        <w:t>September 30,</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2011</w:t>
      </w:r>
    </w:p>
    <w:p>
      <w:pPr>
        <w:jc w:val="right"/>
        <w:ind w:right="40"/>
        <w:spacing w:after="0"/>
        <w:rPr>
          <w:sz w:val="20"/>
          <w:szCs w:val="20"/>
          <w:color w:val="auto"/>
        </w:rPr>
      </w:pPr>
      <w:r>
        <w:rPr>
          <w:rFonts w:ascii="Arial" w:cs="Arial" w:eastAsia="Arial" w:hAnsi="Arial"/>
          <w:sz w:val="14"/>
          <w:szCs w:val="14"/>
          <w:color w:val="auto"/>
        </w:rPr>
        <w:t>10%</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10</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10</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9</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8</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8</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7</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6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150" w:lineRule="exact"/>
        <w:rPr>
          <w:sz w:val="20"/>
          <w:szCs w:val="20"/>
          <w:color w:val="auto"/>
        </w:rPr>
      </w:pPr>
    </w:p>
    <w:p>
      <w:pPr>
        <w:sectPr>
          <w:pgSz w:w="11900" w:h="16838" w:orient="portrait"/>
          <w:cols w:equalWidth="0" w:num="2">
            <w:col w:w="9740" w:space="640"/>
            <w:col w:w="1040"/>
          </w:cols>
          <w:pgMar w:left="240" w:top="459" w:right="239" w:bottom="1440" w:gutter="0" w:footer="0" w:header="0"/>
          <w:type w:val="continuous"/>
        </w:sectPr>
      </w:pPr>
    </w:p>
    <w:p>
      <w:pPr>
        <w:ind w:right="40" w:firstLine="456"/>
        <w:spacing w:after="0" w:line="265" w:lineRule="auto"/>
        <w:rPr>
          <w:sz w:val="20"/>
          <w:szCs w:val="20"/>
          <w:color w:val="auto"/>
        </w:rPr>
      </w:pPr>
      <w:r>
        <w:rPr>
          <w:rFonts w:ascii="Arial" w:cs="Arial" w:eastAsia="Arial" w:hAnsi="Arial"/>
          <w:sz w:val="12"/>
          <w:szCs w:val="12"/>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Accordingly, they may have obligations to investors in PennantPark Investment Corporation,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39"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As of March 31, 2012, our portfolio consisted of 51 companies and was invested 86% in senior secured loans, 5% in second lien secured debt and 9% in subordinated debt and preferred and common equity investments.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March 31, 2012, there was no portfolio company in which we have made an investment that represents greater than 5% of our total assets.</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PORTFOLIO COMPANIES</w:t>
      </w:r>
    </w:p>
    <w:p>
      <w:pPr>
        <w:spacing w:after="0" w:line="152"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The following is a listing of each portfolio company or its affiliate, together referred to as portfolio companies, in which we had an investment at March 31, 2012.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or accretion. For additional information see our “Consolidated Schedule of Investments” in our Consolidated Financial Statements included elsewhere in this prospectus.</w:t>
      </w:r>
    </w:p>
    <w:p>
      <w:pPr>
        <w:spacing w:after="0" w:line="13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portfolio companies are presented in three categories: “Companies 5% or less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All of Funding I’s investments are pledged as collateral under our Credit Facility. Unless otherwise noted, we held no voting board membership on any of our portfolio companies.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Borders>
              <w:top w:val="single" w:sz="8" w:color="auto"/>
              <w:bottom w:val="single" w:sz="8" w:color="CCEEFF"/>
            </w:tcBorders>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Companies 5% or Less Owned</w:t>
            </w:r>
          </w:p>
        </w:tc>
        <w:tc>
          <w:tcPr>
            <w:tcW w:w="2160" w:type="dxa"/>
            <w:vAlign w:val="bottom"/>
            <w:tcBorders>
              <w:top w:val="single" w:sz="8" w:color="CCEEFF"/>
              <w:bottom w:val="single" w:sz="8" w:color="CCEEFF"/>
            </w:tcBorders>
            <w:shd w:val="clear" w:color="auto" w:fill="CCEEFF"/>
          </w:tcPr>
          <w:p>
            <w:pPr>
              <w:spacing w:after="0"/>
              <w:rPr>
                <w:sz w:val="14"/>
                <w:szCs w:val="14"/>
                <w:color w:val="auto"/>
              </w:rPr>
            </w:pPr>
          </w:p>
        </w:tc>
        <w:tc>
          <w:tcPr>
            <w:tcW w:w="24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Affinion Group Holdings,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100 Connecticut Avenue</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Norwalk, CT 06850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Airvana Network Solutions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 Alpha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Chelmsford, MA 01824</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Aspen Dental Management,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281 Sanders Creek Parkway</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East Syracuse, NY 13057</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Autoparts Holdings Limited</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39 Old Ridgebury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Danbury, CT 06810</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Blue Coat Systems,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420 North Mary Ave</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Sunnyvale, CA 94085</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C.H.I. Overhead Doors,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Consumer Goods: 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1485 Sunrise Drive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Arthur, IL 61911</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DCS Business Services,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333 North Canyon Parkway, Suite 100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Livermore, CA 94551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Document Technologies,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First Lien Secured Debt 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Two Ravinia Dr. Suite 850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Atlanta, GA 30346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DS Waters Of America,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5660 New Northside Drive, Suite 500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Atlanta, GA 30328</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EAG,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810 Kifer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Sunnyvale, CA 94086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Fundtech (US FT HOLDCO,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30 Montgomery St., Suite 501</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Jersey City, NJ 07302</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Global Tel*Link Corporation</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12021 Sunset Hills Road, Suite 100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Reston, VA 20190</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Gundle/SLT Environmental,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Environmental Industries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19103 Gundle Road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Houston, TX 77073</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72"/>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Harmony Foods Corporation</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Beverage, Food and Tobacco</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2200 Delaware Avenue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Santa Cruz, CA 95060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HMK Intermediate Holding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1000 South Oyster Bay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Hicksville, NY 11801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IDQ Holdings,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2901 West Kingsley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Garland, TX 75041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Insight Global,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4170 Ashford Dunwoody Road Suite 580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Atlanta, GA 30319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Instant Web, Inc.</w:t>
            </w:r>
          </w:p>
        </w:tc>
        <w:tc>
          <w:tcPr>
            <w:tcW w:w="252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jc w:val="center"/>
              <w:ind w:right="120"/>
              <w:spacing w:after="0" w:line="139"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7951 Powers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Chanhassen, MN 55317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Soho Centre,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260 Queen St.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W. Toronto, 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KIK Custom Products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 Macintosh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Concord, ON L4K 4L5</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Canada</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Lonestar Intermediate Super Holdings,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648 Grassmere Park,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Nasville, TN 37211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Medpace Intermediateco,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4620 Wesley Avenue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Cincinnati, OH 45212</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Mood Media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20 York Mills Road, 6th Floor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Toronto, ON M2P 2C2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MOSAID Technologies Incorporated</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 Hines Road, Suite 203</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Ottawa, Ontario, Canada</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K2K 2X1</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Wound Care (National Healing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4850 T-Rex Avenue,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Boca Raton, FL 33431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25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shd w:val="clear" w:color="auto" w:fill="CCEEFF"/>
          </w:tcPr>
          <w:p>
            <w:pPr>
              <w:jc w:val="center"/>
              <w:ind w:right="120"/>
              <w:spacing w:after="0" w:line="122"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Potter’s Holdings II, L.P.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300 Lindenwood Drive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Valleybrooke Corporate Center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Malvern, PA 19355-1740</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Pro Mach,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Capital Equipment</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6279 Tri-Ridge Boulevard Suite 410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Loveland, OH 45140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Renaissance Learning,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Media: Broadcasting and Subscription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2911 Peach Street, PO Box 8036</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Wisconsin Rapids, WI</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580" w:type="dxa"/>
            <w:vAlign w:val="bottom"/>
            <w:gridSpan w:val="2"/>
          </w:tcPr>
          <w:p>
            <w:pPr>
              <w:spacing w:after="0"/>
              <w:rPr>
                <w:sz w:val="20"/>
                <w:szCs w:val="20"/>
                <w:color w:val="auto"/>
              </w:rPr>
            </w:pPr>
            <w:r>
              <w:rPr>
                <w:rFonts w:ascii="Arial" w:cs="Arial" w:eastAsia="Arial" w:hAnsi="Arial"/>
                <w:sz w:val="14"/>
                <w:szCs w:val="14"/>
                <w:color w:val="auto"/>
              </w:rPr>
              <w:t>54495-8036</w:t>
            </w: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ROC Finance LLC and ROC Finance 1 Corp.</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Hotels, Gaming and Leisure</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Campus Maritus, 1086</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Woodward Avenue, Detroit, MI 48226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Rocket Software,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High Tech Industries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275 Grove Street</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Newton, MA 02466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Securus Technologies,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14651 Dallas Parkway, Suite 600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Dallas, TX 75254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Sensus USA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0"/>
              </w:rPr>
              <w:t>Utilities: Water</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8609 Six Forks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Raleigh, NC 27615</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80" w:type="dxa"/>
            <w:vAlign w:val="bottom"/>
            <w:gridSpan w:val="2"/>
          </w:tcPr>
          <w:p>
            <w:pPr>
              <w:spacing w:after="0" w:line="122" w:lineRule="exact"/>
              <w:rPr>
                <w:sz w:val="20"/>
                <w:szCs w:val="20"/>
                <w:color w:val="auto"/>
              </w:rPr>
            </w:pPr>
            <w:r>
              <w:rPr>
                <w:rFonts w:ascii="Arial" w:cs="Arial" w:eastAsia="Arial" w:hAnsi="Arial"/>
                <w:sz w:val="14"/>
                <w:szCs w:val="14"/>
                <w:color w:val="auto"/>
              </w:rPr>
              <w:t>Seven Seas Cruises</w:t>
            </w:r>
          </w:p>
        </w:tc>
        <w:tc>
          <w:tcPr>
            <w:tcW w:w="2520" w:type="dxa"/>
            <w:vAlign w:val="bottom"/>
            <w:gridSpan w:val="2"/>
          </w:tcPr>
          <w:p>
            <w:pPr>
              <w:jc w:val="center"/>
              <w:ind w:right="100"/>
              <w:spacing w:after="0" w:line="122"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00"/>
              <w:spacing w:after="0" w:line="122"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4700" w:type="dxa"/>
            <w:vAlign w:val="bottom"/>
            <w:gridSpan w:val="3"/>
          </w:tcPr>
          <w:p>
            <w:pPr>
              <w:spacing w:after="0" w:line="165" w:lineRule="exact"/>
              <w:rPr>
                <w:sz w:val="20"/>
                <w:szCs w:val="20"/>
                <w:color w:val="auto"/>
              </w:rPr>
            </w:pPr>
            <w:r>
              <w:rPr>
                <w:rFonts w:ascii="Arial" w:cs="Arial" w:eastAsia="Arial" w:hAnsi="Arial"/>
                <w:sz w:val="12"/>
                <w:szCs w:val="12"/>
                <w:color w:val="auto"/>
              </w:rPr>
              <w:t>R.L., 8300 NW 33</w:t>
            </w:r>
            <w:r>
              <w:rPr>
                <w:rFonts w:ascii="Arial" w:cs="Arial" w:eastAsia="Arial" w:hAnsi="Arial"/>
                <w:sz w:val="19"/>
                <w:szCs w:val="19"/>
                <w:color w:val="auto"/>
                <w:vertAlign w:val="superscript"/>
              </w:rPr>
              <w:t>rd</w:t>
            </w:r>
            <w:r>
              <w:rPr>
                <w:rFonts w:ascii="Arial" w:cs="Arial" w:eastAsia="Arial" w:hAnsi="Arial"/>
                <w:sz w:val="12"/>
                <w:szCs w:val="12"/>
                <w:color w:val="auto"/>
              </w:rPr>
              <w:t xml:space="preserve"> Street, Suite 308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Miami, FL 33122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Sotera Defense Solutions,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3"/>
              </w:rPr>
              <w:t>Aerospace and Defense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Farm Credit Drive, Suite 2300,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Tank Intermediate Holding Corp.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4365 Steiner Stret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St. Bonifacius, MN 55375</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Tekelec Global,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5200 Paramount Parkway</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Common Equity</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Morrisville, NC 27560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Terex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Capital Equipment</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200 Nyala Farm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Westport, CT 06880</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Triple Point Technology,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301 Riverside Avenue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Westport, CT 06880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87"/>
              </w:rPr>
              <w:t>0.2%</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2201 Water Ridge Parkway, Suite 320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Preferred Equity</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Charlotte, NC 28217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Common Equity</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Unifrax I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Capital Equipment</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2351 Whirlpool Street,</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Niagara Falls, NY 14305-2413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Univita Health,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8601 North Scottsdale Road, Suite 335,</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Scottsdale, AZ 85253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U.S. HealthWorks Holding Company,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25124 Springfield Ct., Suite 200,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Valencia, CA 91355</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Valitas Health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12647 Olive Boulevard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St. Louis, MO 63141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Vantage Specialties,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Chemicals, Plastic and Rubber</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3938 Porett Drive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Gurnee, IL 60031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Viamedia Services Corp.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220 Lexington Green Circle,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Lexington, KY 40503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Virtual Radiologic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11995 Singletree Lane, Suite 500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W3 CO.</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Energy: Oil and Gas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ind w:left="540"/>
              <w:spacing w:after="0" w:line="131" w:lineRule="exact"/>
              <w:rPr>
                <w:sz w:val="20"/>
                <w:szCs w:val="20"/>
                <w:color w:val="auto"/>
              </w:rPr>
            </w:pPr>
            <w:r>
              <w:rPr>
                <w:rFonts w:ascii="Arial" w:cs="Arial" w:eastAsia="Arial" w:hAnsi="Arial"/>
                <w:sz w:val="14"/>
                <w:szCs w:val="14"/>
                <w:color w:val="auto"/>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11111 Wilcrest Green Drive, Suite 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77042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Water Pik,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Consumer Goods: Durable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1730 East Prospect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Fort Collins, CO 80553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WCA Waste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Environmental Industries</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1330 Post Oak Blvd, 30th Floor</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Yonkers Racing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Hotels, Gaming and Leisure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810 Yonkers Avenue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Yonkers, NY 10704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5176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(1) Voting ownership percentage refers only to common equity, preferred equity and warrants held, if any.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 March 31, 2012 and September 30, 2011.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3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88"/>
              </w:rPr>
              <w:t>March 31, 2012</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September 30,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30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jc w:val="right"/>
              <w:ind w:right="1040"/>
              <w:spacing w:after="0"/>
              <w:rPr>
                <w:sz w:val="20"/>
                <w:szCs w:val="20"/>
                <w:color w:val="auto"/>
              </w:rPr>
            </w:pPr>
            <w:r>
              <w:rPr>
                <w:rFonts w:ascii="Arial" w:cs="Arial" w:eastAsia="Arial" w:hAnsi="Arial"/>
                <w:sz w:val="14"/>
                <w:szCs w:val="14"/>
                <w:color w:val="auto"/>
              </w:rPr>
              <w:t>10%</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Beverage, Food and Tobacco</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8</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High Tech Industries</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8</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Media: Advertising, Printing and Publishing</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7</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Media: Diversified and Production</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7</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Telecommunications</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7</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Non-Durable</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6</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Chemicals, Plastics and Rubber</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6</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Healthcare and Pharmaceuticals</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6</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Hotel, Gaming and Leisure</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6</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Durable</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5</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Consumer Services</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5</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Capital Equipment</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4</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Automotive</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3</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Containers, Packaging and Glass</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3</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Environmental Industries</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3</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Aerospace and Defense</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2</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All Other</w:t>
            </w:r>
          </w:p>
        </w:tc>
        <w:tc>
          <w:tcPr>
            <w:tcW w:w="4080" w:type="dxa"/>
            <w:vAlign w:val="bottom"/>
            <w:gridSpan w:val="2"/>
          </w:tcPr>
          <w:p>
            <w:pPr>
              <w:spacing w:after="0"/>
              <w:rPr>
                <w:sz w:val="12"/>
                <w:szCs w:val="12"/>
                <w:color w:val="auto"/>
              </w:rPr>
            </w:pPr>
          </w:p>
        </w:tc>
        <w:tc>
          <w:tcPr>
            <w:tcW w:w="2060" w:type="dxa"/>
            <w:vAlign w:val="bottom"/>
            <w:gridSpan w:val="2"/>
          </w:tcPr>
          <w:p>
            <w:pPr>
              <w:jc w:val="right"/>
              <w:ind w:right="1160"/>
              <w:spacing w:after="0" w:line="149" w:lineRule="exact"/>
              <w:rPr>
                <w:sz w:val="20"/>
                <w:szCs w:val="20"/>
                <w:color w:val="auto"/>
              </w:rPr>
            </w:pPr>
            <w:r>
              <w:rPr>
                <w:rFonts w:ascii="Arial" w:cs="Arial" w:eastAsia="Arial" w:hAnsi="Arial"/>
                <w:sz w:val="14"/>
                <w:szCs w:val="14"/>
                <w:color w:val="auto"/>
              </w:rPr>
              <w:t>4</w:t>
            </w:r>
          </w:p>
        </w:tc>
        <w:tc>
          <w:tcPr>
            <w:tcW w:w="1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080" w:type="dxa"/>
            <w:vAlign w:val="bottom"/>
            <w:gridSpan w:val="2"/>
            <w:shd w:val="clear" w:color="auto" w:fill="CCEEFF"/>
          </w:tcPr>
          <w:p>
            <w:pPr>
              <w:spacing w:after="0"/>
              <w:rPr>
                <w:sz w:val="12"/>
                <w:szCs w:val="12"/>
                <w:color w:val="auto"/>
              </w:rPr>
            </w:pPr>
          </w:p>
        </w:tc>
        <w:tc>
          <w:tcPr>
            <w:tcW w:w="2060" w:type="dxa"/>
            <w:vAlign w:val="bottom"/>
            <w:gridSpan w:val="2"/>
            <w:shd w:val="clear" w:color="auto" w:fill="CCEEFF"/>
          </w:tcPr>
          <w:p>
            <w:pPr>
              <w:jc w:val="right"/>
              <w:ind w:right="1040"/>
              <w:spacing w:after="0" w:line="149" w:lineRule="exact"/>
              <w:rPr>
                <w:sz w:val="20"/>
                <w:szCs w:val="20"/>
                <w:color w:val="auto"/>
              </w:rPr>
            </w:pPr>
            <w:r>
              <w:rPr>
                <w:rFonts w:ascii="Arial" w:cs="Arial" w:eastAsia="Arial" w:hAnsi="Arial"/>
                <w:sz w:val="14"/>
                <w:szCs w:val="14"/>
                <w:color w:val="auto"/>
              </w:rPr>
              <w:t>100%</w:t>
            </w:r>
          </w:p>
        </w:tc>
        <w:tc>
          <w:tcPr>
            <w:tcW w:w="1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80" w:type="dxa"/>
            <w:vAlign w:val="bottom"/>
            <w:vMerge w:val="restart"/>
          </w:tcPr>
          <w:p>
            <w:pPr>
              <w:jc w:val="right"/>
              <w:ind w:right="1252"/>
              <w:spacing w:after="0"/>
              <w:rPr>
                <w:sz w:val="20"/>
                <w:szCs w:val="20"/>
                <w:color w:val="auto"/>
              </w:rPr>
            </w:pPr>
            <w:r>
              <w:rPr>
                <w:rFonts w:ascii="Arial" w:cs="Arial" w:eastAsia="Arial" w:hAnsi="Arial"/>
                <w:sz w:val="14"/>
                <w:szCs w:val="14"/>
                <w:color w:val="auto"/>
              </w:rPr>
              <w:t>57</w:t>
            </w:r>
          </w:p>
        </w:tc>
        <w:tc>
          <w:tcPr>
            <w:tcW w:w="1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Our business and affairs are managed under the direction of our board of directors. The board of directors currently consists of five members,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Information regarding the board of directors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Director</w:t>
            </w:r>
          </w:p>
        </w:tc>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5"/>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Since</w:t>
            </w: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Adam K. Bernstein</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Marshall Brozost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Jeffrey Flug</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Samuel L. Katz</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Chairman of the Board and Chief Executive Officer</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executive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Aviv Efrat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Financial Officer and Treasurer</w:t>
            </w:r>
          </w:p>
        </w:tc>
      </w:tr>
      <w:tr>
        <w:trPr>
          <w:trHeight w:val="44"/>
        </w:trPr>
        <w:tc>
          <w:tcPr>
            <w:tcW w:w="5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Guy F. Talarico</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56</w:t>
            </w:r>
          </w:p>
        </w:tc>
        <w:tc>
          <w:tcPr>
            <w:tcW w:w="12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Compliance Officer</w:t>
            </w:r>
          </w:p>
        </w:tc>
      </w:tr>
      <w:tr>
        <w:trPr>
          <w:trHeight w:val="44"/>
        </w:trPr>
        <w:tc>
          <w:tcPr>
            <w:tcW w:w="5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executive offices are located at 590 Madison Avenue, 15th Floor, New York, New York 10022.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Composition and Leadership Structure</w:t>
      </w:r>
    </w:p>
    <w:p>
      <w:pPr>
        <w:spacing w:after="0" w:line="69"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1940 Act requires that at least a majority of our directors not be “interested persons” (as defined in the 1940 Act) of the Company. Currently, four of our five directors are Independent Directors; however the Chairman of our board of directors is our Chief Executive Officer and therefore an interested person of us. The Independent Directors believe that the combined positions of our Chief Executive Officer and Chairman of the board of directors results in greater efficiencies in managing us by eliminating the need to transfer substantial information quickly and repeatedly between the Chief Executive Officer and the Chairman and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Risk Oversight Role</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58"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As described below in more detail under “Audit Committee” and “Nominating and Corporate Governance Committee,” the board of directors’ Audit Committee and Nominating and Corporate Governance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456"/>
        <w:spacing w:after="0" w:line="265" w:lineRule="auto"/>
        <w:rPr>
          <w:sz w:val="20"/>
          <w:szCs w:val="20"/>
          <w:color w:val="auto"/>
        </w:rPr>
      </w:pPr>
      <w:r>
        <w:rPr>
          <w:rFonts w:ascii="Arial" w:cs="Arial" w:eastAsia="Arial" w:hAnsi="Arial"/>
          <w:sz w:val="12"/>
          <w:szCs w:val="12"/>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w:t>
      </w:r>
    </w:p>
    <w:p>
      <w:pPr>
        <w:spacing w:after="0" w:line="1" w:lineRule="exact"/>
        <w:rPr>
          <w:sz w:val="20"/>
          <w:szCs w:val="20"/>
          <w:color w:val="auto"/>
        </w:rPr>
      </w:pPr>
    </w:p>
    <w:p>
      <w:pPr>
        <w:jc w:val="both"/>
        <w:ind w:right="80" w:firstLine="8"/>
        <w:spacing w:after="0" w:line="227" w:lineRule="auto"/>
        <w:tabs>
          <w:tab w:leader="none" w:pos="191"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on a periodic basis, generally quarterly.</w:t>
      </w:r>
    </w:p>
    <w:p>
      <w:pPr>
        <w:spacing w:after="0" w:line="58"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We believe that the board of directors’ role in risk oversight is effective and appropriate given the extensive regulation to which we are already subject ro as a BDC. Specifically, as a BDC, we must comply with certain regulatory requirements that control the levels of risk in its business and operations. For example, our ability to incur indebtedness is limited such that its asset coverage must equal at least 200% immediately after each time we incur indebtedness,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6"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36"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believe that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of,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Biographical Information</w:t>
      </w:r>
    </w:p>
    <w:p>
      <w:pPr>
        <w:spacing w:after="0" w:line="71"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section 2(a)(19) of the 1940 Act.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Independent Directors</w:t>
      </w:r>
    </w:p>
    <w:p>
      <w:pPr>
        <w:spacing w:after="0" w:line="6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Adam K. Bernstein (48), Director. Mr. Bernstein became a Director of PennantPark Floating Rate Capital Ltd. and PennantPark Investment Corporation in October 2010 and February 2007,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58"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Marshall Brozost (44), Director. Mr. Brozost became a Director of PennantPark Floating Rate Capital Ltd. and PennantPark Investment Corporation in October 2010 and February 2007, respectively.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58"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Jeffrey Flug (49), Director. Mr. Flug became a Director of PennantPark Floating Rate Capital Ltd. and PennantPark Investment Corporation in October 2010 and February 2007, respectively. Since 2009, Mr. Flug is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6"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Samuel L. Katz (46), Director. Mr. Katz became a Director of PennantPark Floating Rate Capital Ltd. and PennantPark Investment Corporation in October 2010 and February 2007, respectively.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Interested Director</w:t>
      </w:r>
    </w:p>
    <w:p>
      <w:pPr>
        <w:spacing w:after="0" w:line="69"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Arthur H. Penn (48), Founder, Chief Executive Officer and Chairman of the board of directors. Mr. Penn became the Chief Executive Officer and a Director of PennantPark Floating Rate Capital Ltd. and PennantPark Investment Corporation at their inception in October 2010 and January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 and Officer who are not Directors</w:t>
      </w:r>
    </w:p>
    <w:p>
      <w:pPr>
        <w:spacing w:after="0" w:line="6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Aviv Efrat (48),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36" w:lineRule="exact"/>
        <w:rPr>
          <w:sz w:val="20"/>
          <w:szCs w:val="20"/>
          <w:color w:val="auto"/>
        </w:rPr>
      </w:pPr>
    </w:p>
    <w:p>
      <w:pPr>
        <w:ind w:right="240" w:firstLine="456"/>
        <w:spacing w:after="0" w:line="228" w:lineRule="auto"/>
        <w:rPr>
          <w:sz w:val="20"/>
          <w:szCs w:val="20"/>
          <w:color w:val="auto"/>
        </w:rPr>
      </w:pPr>
      <w:r>
        <w:rPr>
          <w:rFonts w:ascii="Arial" w:cs="Arial" w:eastAsia="Arial" w:hAnsi="Arial"/>
          <w:sz w:val="14"/>
          <w:szCs w:val="14"/>
          <w:color w:val="auto"/>
        </w:rPr>
        <w:t>Guy F. Talarico (56), Chief Compliance Officer. Mr. Talarico became the Chief Compliance Officer of PennantPark Floating Rate Capital Ltd. and PennantPark Investment Corporation in 2011 and 2008,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71" w:lineRule="exact"/>
        <w:rPr>
          <w:sz w:val="20"/>
          <w:szCs w:val="20"/>
          <w:color w:val="auto"/>
        </w:rPr>
      </w:pPr>
    </w:p>
    <w:p>
      <w:pPr>
        <w:ind w:right="380" w:firstLine="456"/>
        <w:spacing w:after="0" w:line="233" w:lineRule="auto"/>
        <w:rPr>
          <w:sz w:val="20"/>
          <w:szCs w:val="20"/>
          <w:color w:val="auto"/>
        </w:rPr>
      </w:pPr>
      <w:r>
        <w:rPr>
          <w:rFonts w:ascii="Arial" w:cs="Arial" w:eastAsia="Arial" w:hAnsi="Arial"/>
          <w:sz w:val="14"/>
          <w:szCs w:val="14"/>
          <w:color w:val="auto"/>
        </w:rPr>
        <w:t>For the partial fiscal year ended September 30, 2011, we held four board of directors’ meetings and two Audit Committee meetings. All directors attended at least 75% of the aggregate number of meetings of the board of directors and of the respective committees on which they served. We requires each director to make a diligent effort to attend all board of directors and committee meetings, and encourage directors to attend the annual meeting of stockholders.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71"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 xml:space="preserve">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our auditors the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p>
    <w:p>
      <w:pPr>
        <w:spacing w:after="0" w:line="120"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22"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Charters;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69"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of Directors</w:t>
      </w:r>
    </w:p>
    <w:p>
      <w:pPr>
        <w:spacing w:after="0" w:line="6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following table shows information regarding the compensation paid by the Company, to our directors for the partial fiscal year ended September 30, 2011. No compensation is paid directly by the Company to any interested director or executive officer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9"/>
              </w:rPr>
              <w:t>PennantPark Floating Rate Capital Ltd.</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6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4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85"/>
              </w:rPr>
              <w:t>Pension or</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6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Aggregate</w:t>
            </w:r>
          </w:p>
        </w:tc>
        <w:tc>
          <w:tcPr>
            <w:tcW w:w="800" w:type="dxa"/>
            <w:vAlign w:val="bottom"/>
          </w:tcPr>
          <w:p>
            <w:pPr>
              <w:spacing w:after="0"/>
              <w:rPr>
                <w:sz w:val="12"/>
                <w:szCs w:val="12"/>
                <w:color w:val="auto"/>
              </w:rPr>
            </w:pPr>
          </w:p>
        </w:tc>
        <w:tc>
          <w:tcPr>
            <w:tcW w:w="19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retirement</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800" w:type="dxa"/>
            <w:vAlign w:val="bottom"/>
          </w:tcPr>
          <w:p>
            <w:pPr>
              <w:spacing w:after="0"/>
              <w:rPr>
                <w:sz w:val="12"/>
                <w:szCs w:val="12"/>
                <w:color w:val="auto"/>
              </w:rPr>
            </w:pPr>
          </w:p>
        </w:tc>
        <w:tc>
          <w:tcPr>
            <w:tcW w:w="19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benefits</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6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from the</w:t>
            </w:r>
          </w:p>
        </w:tc>
        <w:tc>
          <w:tcPr>
            <w:tcW w:w="800" w:type="dxa"/>
            <w:vAlign w:val="bottom"/>
          </w:tcPr>
          <w:p>
            <w:pPr>
              <w:spacing w:after="0"/>
              <w:rPr>
                <w:sz w:val="11"/>
                <w:szCs w:val="11"/>
                <w:color w:val="auto"/>
              </w:rPr>
            </w:pPr>
          </w:p>
        </w:tc>
        <w:tc>
          <w:tcPr>
            <w:tcW w:w="1940" w:type="dxa"/>
            <w:vAlign w:val="bottom"/>
            <w:gridSpan w:val="2"/>
          </w:tcPr>
          <w:p>
            <w:pPr>
              <w:jc w:val="center"/>
              <w:ind w:right="96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9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Company</w:t>
            </w:r>
          </w:p>
        </w:tc>
        <w:tc>
          <w:tcPr>
            <w:tcW w:w="800" w:type="dxa"/>
            <w:vAlign w:val="bottom"/>
          </w:tcPr>
          <w:p>
            <w:pPr>
              <w:spacing w:after="0"/>
              <w:rPr>
                <w:sz w:val="15"/>
                <w:szCs w:val="15"/>
                <w:color w:val="auto"/>
              </w:rPr>
            </w:pPr>
          </w:p>
        </w:tc>
        <w:tc>
          <w:tcPr>
            <w:tcW w:w="1940" w:type="dxa"/>
            <w:vAlign w:val="bottom"/>
            <w:gridSpan w:val="2"/>
          </w:tcPr>
          <w:p>
            <w:pPr>
              <w:jc w:val="right"/>
              <w:ind w:right="960"/>
              <w:spacing w:after="0" w:line="176" w:lineRule="exact"/>
              <w:rPr>
                <w:sz w:val="20"/>
                <w:szCs w:val="20"/>
                <w:color w:val="auto"/>
              </w:rPr>
            </w:pPr>
            <w:r>
              <w:rPr>
                <w:rFonts w:ascii="Arial" w:cs="Arial" w:eastAsia="Arial" w:hAnsi="Arial"/>
                <w:sz w:val="13"/>
                <w:szCs w:val="13"/>
                <w:b w:val="1"/>
                <w:bCs w:val="1"/>
                <w:color w:val="auto"/>
                <w:w w:val="88"/>
              </w:rPr>
              <w:t>of our expense</w:t>
            </w:r>
            <w:r>
              <w:rPr>
                <w:rFonts w:ascii="Arial" w:cs="Arial" w:eastAsia="Arial" w:hAnsi="Arial"/>
                <w:sz w:val="20"/>
                <w:szCs w:val="20"/>
                <w:b w:val="1"/>
                <w:bCs w:val="1"/>
                <w:color w:val="auto"/>
                <w:w w:val="88"/>
                <w:vertAlign w:val="superscript"/>
              </w:rPr>
              <w:t>(1)</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director/officer</w:t>
            </w:r>
          </w:p>
        </w:tc>
      </w:tr>
      <w:tr>
        <w:trPr>
          <w:trHeight w:val="142"/>
        </w:trPr>
        <w:tc>
          <w:tcPr>
            <w:tcW w:w="6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Independent directors</w:t>
            </w:r>
          </w:p>
        </w:tc>
        <w:tc>
          <w:tcPr>
            <w:tcW w:w="7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6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Adam K. Bernstein</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$30,625</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$30,625</w:t>
            </w: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Marshall Brozost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60" w:type="dxa"/>
            <w:vAlign w:val="bottom"/>
            <w:shd w:val="clear" w:color="auto" w:fill="CCEEFF"/>
          </w:tcPr>
          <w:p>
            <w:pPr>
              <w:spacing w:after="0"/>
              <w:rPr>
                <w:sz w:val="12"/>
                <w:szCs w:val="12"/>
                <w:color w:val="auto"/>
              </w:rPr>
            </w:pPr>
          </w:p>
        </w:tc>
      </w:tr>
      <w:tr>
        <w:trPr>
          <w:trHeight w:val="149"/>
        </w:trPr>
        <w:tc>
          <w:tcPr>
            <w:tcW w:w="6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Jeffrey Flug</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$31,875</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$31,875</w:t>
            </w: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Samuel L. Katz</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60" w:type="dxa"/>
            <w:vAlign w:val="bottom"/>
            <w:shd w:val="clear" w:color="auto" w:fill="CCEEFF"/>
          </w:tcPr>
          <w:p>
            <w:pPr>
              <w:spacing w:after="0"/>
              <w:rPr>
                <w:sz w:val="12"/>
                <w:szCs w:val="12"/>
                <w:color w:val="auto"/>
              </w:rPr>
            </w:pPr>
          </w:p>
        </w:tc>
      </w:tr>
      <w:tr>
        <w:trPr>
          <w:trHeight w:val="149"/>
        </w:trPr>
        <w:tc>
          <w:tcPr>
            <w:tcW w:w="6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Arthur H. Penn</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None</w:t>
            </w: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r>
        <w:trPr>
          <w:trHeight w:val="149"/>
        </w:trPr>
        <w:tc>
          <w:tcPr>
            <w:tcW w:w="6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1"/>
                <w:szCs w:val="11"/>
                <w:color w:val="auto"/>
              </w:rPr>
              <w:t>Aviv Efrat</w:t>
            </w:r>
            <w:r>
              <w:rPr>
                <w:rFonts w:ascii="Arial" w:cs="Arial" w:eastAsia="Arial" w:hAnsi="Arial"/>
                <w:sz w:val="17"/>
                <w:szCs w:val="17"/>
                <w:color w:val="auto"/>
                <w:vertAlign w:val="superscript"/>
              </w:rPr>
              <w:t>(2)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None</w:t>
            </w: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460" w:hanging="452"/>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Efrat is an employee of PennantPark Investment Administration, LLC.</w:t>
      </w:r>
    </w:p>
    <w:p>
      <w:pPr>
        <w:spacing w:after="0" w:line="138" w:lineRule="exact"/>
        <w:rPr>
          <w:sz w:val="20"/>
          <w:szCs w:val="20"/>
          <w:color w:val="auto"/>
        </w:rPr>
      </w:pPr>
    </w:p>
    <w:p>
      <w:pPr>
        <w:ind w:right="120" w:firstLine="342"/>
        <w:spacing w:after="0" w:line="270" w:lineRule="auto"/>
        <w:rPr>
          <w:sz w:val="20"/>
          <w:szCs w:val="20"/>
          <w:color w:val="auto"/>
        </w:rPr>
      </w:pPr>
      <w:r>
        <w:rPr>
          <w:rFonts w:ascii="Arial" w:cs="Arial" w:eastAsia="Arial" w:hAnsi="Arial"/>
          <w:sz w:val="12"/>
          <w:szCs w:val="12"/>
          <w:color w:val="auto"/>
        </w:rPr>
        <w:t>Each Independent Director receives an annual payment of $50,000 for services performed on behalf of us as a director. The Independent Directors also receive $1,250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Portfolio Managers, or Senior Investment Professionals, Biographical Information.</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Adviser has three experienced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22"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1"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3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managing our investments, as of March 31, 2012 our portfolio managers also managed investments on behalf of the following entity: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120" w:type="dxa"/>
            <w:vAlign w:val="bottom"/>
          </w:tcPr>
          <w:p>
            <w:pPr>
              <w:spacing w:after="0"/>
              <w:rPr>
                <w:sz w:val="15"/>
                <w:szCs w:val="15"/>
                <w:color w:val="auto"/>
              </w:rPr>
            </w:pPr>
          </w:p>
        </w:tc>
        <w:tc>
          <w:tcPr>
            <w:tcW w:w="5820" w:type="dxa"/>
            <w:vAlign w:val="bottom"/>
          </w:tcPr>
          <w:p>
            <w:pPr>
              <w:jc w:val="right"/>
              <w:ind w:right="4712"/>
              <w:spacing w:after="0"/>
              <w:rPr>
                <w:sz w:val="20"/>
                <w:szCs w:val="20"/>
                <w:color w:val="auto"/>
              </w:rPr>
            </w:pPr>
            <w:r>
              <w:rPr>
                <w:rFonts w:ascii="Arial" w:cs="Arial" w:eastAsia="Arial" w:hAnsi="Arial"/>
                <w:sz w:val="14"/>
                <w:szCs w:val="14"/>
                <w:b w:val="1"/>
                <w:bCs w:val="1"/>
                <w:color w:val="auto"/>
                <w:w w:val="85"/>
              </w:rPr>
              <w:t>Investment Focus</w:t>
            </w:r>
          </w:p>
        </w:tc>
        <w:tc>
          <w:tcPr>
            <w:tcW w:w="0" w:type="dxa"/>
            <w:vAlign w:val="bottom"/>
          </w:tcPr>
          <w:p>
            <w:pPr>
              <w:spacing w:after="0"/>
              <w:rPr>
                <w:sz w:val="1"/>
                <w:szCs w:val="1"/>
                <w:color w:val="auto"/>
              </w:rPr>
            </w:pPr>
          </w:p>
        </w:tc>
      </w:tr>
      <w:tr>
        <w:trPr>
          <w:trHeight w:val="28"/>
        </w:trPr>
        <w:tc>
          <w:tcPr>
            <w:tcW w:w="31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00" w:type="dxa"/>
            <w:vAlign w:val="bottom"/>
          </w:tcPr>
          <w:p>
            <w:pPr>
              <w:ind w:left="40"/>
              <w:spacing w:after="0" w:line="131" w:lineRule="exact"/>
              <w:rPr>
                <w:sz w:val="20"/>
                <w:szCs w:val="20"/>
                <w:color w:val="auto"/>
              </w:rPr>
            </w:pPr>
            <w:r>
              <w:rPr>
                <w:rFonts w:ascii="Arial" w:cs="Arial" w:eastAsia="Arial" w:hAnsi="Arial"/>
                <w:sz w:val="10"/>
                <w:szCs w:val="10"/>
                <w:color w:val="auto"/>
              </w:rPr>
              <w:t>PennantPark Investment Corporation</w:t>
            </w:r>
            <w:r>
              <w:rPr>
                <w:rFonts w:ascii="Arial" w:cs="Arial" w:eastAsia="Arial" w:hAnsi="Arial"/>
                <w:sz w:val="15"/>
                <w:szCs w:val="15"/>
                <w:color w:val="auto"/>
                <w:vertAlign w:val="superscript"/>
              </w:rPr>
              <w:t>(1)</w:t>
            </w:r>
          </w:p>
        </w:tc>
        <w:tc>
          <w:tcPr>
            <w:tcW w:w="100" w:type="dxa"/>
            <w:vAlign w:val="bottom"/>
            <w:vMerge w:val="continue"/>
          </w:tcPr>
          <w:p>
            <w:pPr>
              <w:spacing w:after="0"/>
              <w:rPr>
                <w:sz w:val="11"/>
                <w:szCs w:val="11"/>
                <w:color w:val="auto"/>
              </w:rPr>
            </w:pPr>
          </w:p>
        </w:tc>
        <w:tc>
          <w:tcPr>
            <w:tcW w:w="1260" w:type="dxa"/>
            <w:vAlign w:val="bottom"/>
          </w:tcPr>
          <w:p>
            <w:pPr>
              <w:ind w:left="40"/>
              <w:spacing w:after="0" w:line="131" w:lineRule="exact"/>
              <w:rPr>
                <w:sz w:val="20"/>
                <w:szCs w:val="20"/>
                <w:color w:val="auto"/>
              </w:rPr>
            </w:pPr>
            <w:r>
              <w:rPr>
                <w:rFonts w:ascii="Arial" w:cs="Arial" w:eastAsia="Arial" w:hAnsi="Arial"/>
                <w:sz w:val="14"/>
                <w:szCs w:val="14"/>
                <w:color w:val="auto"/>
                <w:w w:val="85"/>
              </w:rPr>
              <w:t>Business development</w:t>
            </w:r>
          </w:p>
        </w:tc>
        <w:tc>
          <w:tcPr>
            <w:tcW w:w="120" w:type="dxa"/>
            <w:vAlign w:val="bottom"/>
          </w:tcPr>
          <w:p>
            <w:pPr>
              <w:spacing w:after="0"/>
              <w:rPr>
                <w:sz w:val="11"/>
                <w:szCs w:val="11"/>
                <w:color w:val="auto"/>
              </w:rPr>
            </w:pPr>
          </w:p>
        </w:tc>
        <w:tc>
          <w:tcPr>
            <w:tcW w:w="5820" w:type="dxa"/>
            <w:vAlign w:val="bottom"/>
          </w:tcPr>
          <w:p>
            <w:pPr>
              <w:jc w:val="right"/>
              <w:ind w:right="272"/>
              <w:spacing w:after="0" w:line="131" w:lineRule="exact"/>
              <w:rPr>
                <w:sz w:val="20"/>
                <w:szCs w:val="20"/>
                <w:color w:val="auto"/>
              </w:rPr>
            </w:pPr>
            <w:r>
              <w:rPr>
                <w:rFonts w:ascii="Arial" w:cs="Arial" w:eastAsia="Arial" w:hAnsi="Arial"/>
                <w:sz w:val="14"/>
                <w:szCs w:val="14"/>
                <w:color w:val="auto"/>
                <w:w w:val="88"/>
              </w:rPr>
              <w:t>Primarily in U.S. middle-market companies in the form of senior secured loans, mezzanine debt and</w:t>
            </w: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Arial" w:cs="Arial" w:eastAsia="Arial" w:hAnsi="Arial"/>
                <w:sz w:val="14"/>
                <w:szCs w:val="14"/>
                <w:color w:val="auto"/>
              </w:rPr>
              <w:t>company</w:t>
            </w:r>
          </w:p>
        </w:tc>
        <w:tc>
          <w:tcPr>
            <w:tcW w:w="5940" w:type="dxa"/>
            <w:vAlign w:val="bottom"/>
            <w:gridSpan w:val="2"/>
          </w:tcPr>
          <w:p>
            <w:pPr>
              <w:jc w:val="right"/>
              <w:ind w:right="4712"/>
              <w:spacing w:after="0"/>
              <w:rPr>
                <w:sz w:val="20"/>
                <w:szCs w:val="20"/>
                <w:color w:val="auto"/>
              </w:rPr>
            </w:pPr>
            <w:r>
              <w:rPr>
                <w:rFonts w:ascii="Arial" w:cs="Arial" w:eastAsia="Arial" w:hAnsi="Arial"/>
                <w:sz w:val="14"/>
                <w:szCs w:val="14"/>
                <w:color w:val="auto"/>
                <w:w w:val="95"/>
              </w:rPr>
              <w:t>equity investments.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97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59" w:lineRule="exact"/>
        <w:rPr>
          <w:sz w:val="20"/>
          <w:szCs w:val="20"/>
          <w:color w:val="auto"/>
        </w:rPr>
      </w:pPr>
    </w:p>
    <w:p>
      <w:pPr>
        <w:ind w:left="5640" w:right="1260" w:hanging="5632"/>
        <w:spacing w:after="0" w:line="459" w:lineRule="auto"/>
        <w:tabs>
          <w:tab w:leader="none" w:pos="21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management and incentive fees for PennantPark Investment Corporation are based on the gross assets and performance of PennantPark Investment Corporation. 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ind w:right="80" w:firstLine="37"/>
        <w:spacing w:after="0" w:line="306" w:lineRule="auto"/>
        <w:rPr>
          <w:sz w:val="20"/>
          <w:szCs w:val="20"/>
          <w:color w:val="auto"/>
        </w:rPr>
      </w:pPr>
      <w:r>
        <w:rPr>
          <w:rFonts w:ascii="Arial" w:cs="Arial" w:eastAsia="Arial" w:hAnsi="Arial"/>
          <w:sz w:val="11"/>
          <w:szCs w:val="11"/>
          <w:b w:val="1"/>
          <w:bCs w:val="1"/>
          <w:color w:val="auto"/>
        </w:rPr>
        <w:t>Gross Assets ($ in millions)</w:t>
      </w:r>
    </w:p>
    <w:p>
      <w:pPr>
        <w:ind w:left="480"/>
        <w:spacing w:after="0"/>
        <w:rPr>
          <w:sz w:val="20"/>
          <w:szCs w:val="20"/>
          <w:color w:val="auto"/>
        </w:rPr>
      </w:pPr>
      <w:r>
        <w:rPr>
          <w:rFonts w:ascii="Arial" w:cs="Arial" w:eastAsia="Arial" w:hAnsi="Arial"/>
          <w:sz w:val="12"/>
          <w:szCs w:val="12"/>
          <w:color w:val="auto"/>
        </w:rPr>
        <w:t>$936</w:t>
      </w:r>
    </w:p>
    <w:p>
      <w:pPr>
        <w:sectPr>
          <w:pgSz w:w="11900" w:h="16838" w:orient="portrait"/>
          <w:cols w:equalWidth="0" w:num="2">
            <w:col w:w="10400" w:space="160"/>
            <w:col w:w="86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CONTROL PERSONS AND PRINCIPAL STOCKHOLDERS</w:t>
      </w:r>
    </w:p>
    <w:p>
      <w:pPr>
        <w:spacing w:after="0" w:line="152"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following table sets forth, as of May 8, 2012,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right"/>
              <w:ind w:right="47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20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(2)</w:t>
            </w:r>
          </w:p>
        </w:tc>
        <w:tc>
          <w:tcPr>
            <w:tcW w:w="1940" w:type="dxa"/>
            <w:vAlign w:val="bottom"/>
            <w:gridSpan w:val="2"/>
          </w:tcPr>
          <w:p>
            <w:pPr>
              <w:ind w:left="700"/>
              <w:spacing w:after="0" w:line="149" w:lineRule="exact"/>
              <w:rPr>
                <w:sz w:val="20"/>
                <w:szCs w:val="20"/>
                <w:color w:val="auto"/>
              </w:rPr>
            </w:pPr>
            <w:r>
              <w:rPr>
                <w:rFonts w:ascii="Arial" w:cs="Arial" w:eastAsia="Arial" w:hAnsi="Arial"/>
                <w:sz w:val="14"/>
                <w:szCs w:val="14"/>
                <w:b w:val="1"/>
                <w:bCs w:val="1"/>
                <w:color w:val="auto"/>
              </w:rPr>
              <w:t>Shares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02"/>
        </w:trPr>
        <w:tc>
          <w:tcPr>
            <w:tcW w:w="562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940" w:type="dxa"/>
            <w:vAlign w:val="bottom"/>
            <w:gridSpan w:val="2"/>
          </w:tcPr>
          <w:p>
            <w:pPr>
              <w:ind w:left="720"/>
              <w:spacing w:after="0"/>
              <w:rPr>
                <w:sz w:val="20"/>
                <w:szCs w:val="20"/>
                <w:color w:val="auto"/>
              </w:rPr>
            </w:pPr>
            <w:r>
              <w:rPr>
                <w:rFonts w:ascii="Arial" w:cs="Arial" w:eastAsia="Arial" w:hAnsi="Arial"/>
                <w:sz w:val="14"/>
                <w:szCs w:val="14"/>
                <w:b w:val="1"/>
                <w:bCs w:val="1"/>
                <w:color w:val="auto"/>
              </w:rPr>
              <w:t>owned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Morgan Stanley and Co. Inc.</w:t>
            </w:r>
          </w:p>
        </w:tc>
        <w:tc>
          <w:tcPr>
            <w:tcW w:w="12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1585 Broadway</w:t>
            </w:r>
          </w:p>
        </w:tc>
        <w:tc>
          <w:tcPr>
            <w:tcW w:w="204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413,892</w:t>
            </w: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 York, NY 10036-8293</w:t>
            </w:r>
          </w:p>
        </w:tc>
        <w:tc>
          <w:tcPr>
            <w:tcW w:w="1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Independent Directors</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Adam K. Bernstein</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Marshall Brozost</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Jeffrey Flug</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Samuel L. Katz</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29,500</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Interested director</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2"/>
          </w:tcPr>
          <w:p>
            <w:pPr>
              <w:ind w:left="420"/>
              <w:spacing w:after="0" w:line="189" w:lineRule="exact"/>
              <w:rPr>
                <w:sz w:val="20"/>
                <w:szCs w:val="20"/>
                <w:color w:val="auto"/>
              </w:rPr>
            </w:pPr>
            <w:r>
              <w:rPr>
                <w:rFonts w:ascii="Arial" w:cs="Arial" w:eastAsia="Arial" w:hAnsi="Arial"/>
                <w:sz w:val="13"/>
                <w:szCs w:val="13"/>
                <w:color w:val="auto"/>
              </w:rPr>
              <w:t>Arthur H. Penn</w:t>
            </w:r>
            <w:r>
              <w:rPr>
                <w:rFonts w:ascii="Arial" w:cs="Arial" w:eastAsia="Arial" w:hAnsi="Arial"/>
                <w:sz w:val="21"/>
                <w:szCs w:val="21"/>
                <w:color w:val="auto"/>
                <w:vertAlign w:val="superscript"/>
              </w:rPr>
              <w:t>(3),(4)</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Executive officer</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Aviv Efrat</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5,750</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 directors and executive officer as a group (6 persons)</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40,917</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5176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8"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667 shares held by PennantPark Investment Advisers, LLC.</w:t>
      </w:r>
    </w:p>
    <w:p>
      <w:pPr>
        <w:spacing w:after="0" w:line="10" w:lineRule="exact"/>
        <w:rPr>
          <w:rFonts w:ascii="Arial" w:cs="Arial" w:eastAsia="Arial" w:hAnsi="Arial"/>
          <w:sz w:val="12"/>
          <w:szCs w:val="12"/>
          <w:color w:val="auto"/>
        </w:rPr>
      </w:pPr>
    </w:p>
    <w:p>
      <w:pPr>
        <w:ind w:left="420" w:right="100" w:hanging="412"/>
        <w:spacing w:after="0" w:line="225"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Investment Adviser paid to the Company’s underwriters 2% of the sales load, or $2.1 million in the aggregate, with respect to the initial public offering and exercise of the over-allotment option of shares of the Company’s common stock. PennantPark Floating Rate Capital, Ltd., and indirectly our stockholders, is obligated to repay this amount if certain conditions occur. If one or more of these conditions does not occur on or before April 7, 2014, we will not be obligated to repay this amount. We will repay such amount to the Investment Adviser in cash, and the Investment Adviser has agreed to use such payment to purchase shares of common stock of the Company in the secondary market.</w:t>
      </w:r>
    </w:p>
    <w:p>
      <w:pPr>
        <w:spacing w:after="0" w:line="46"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 Range of Securities Beneficially Owned by Directors, Officers and Senior Investment Professionals</w:t>
      </w:r>
    </w:p>
    <w:p>
      <w:pPr>
        <w:spacing w:after="0" w:line="150"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The following table sets forth the dollar range of our common stock beneficially owned by each of our directors, officers and senior investment professionals as of May 8, 2012. Information as to the beneficial ownerships is based on information furnished to us by such persons. We are not part of a “family of investment companies,” as that term is defined in the 1940 Act.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600" w:type="dxa"/>
            <w:vAlign w:val="bottom"/>
          </w:tcPr>
          <w:p>
            <w:pPr>
              <w:spacing w:after="0"/>
              <w:rPr>
                <w:sz w:val="22"/>
                <w:szCs w:val="22"/>
                <w:color w:val="auto"/>
              </w:rPr>
            </w:pPr>
          </w:p>
        </w:tc>
        <w:tc>
          <w:tcPr>
            <w:tcW w:w="4320" w:type="dxa"/>
            <w:vAlign w:val="bottom"/>
            <w:gridSpan w:val="7"/>
          </w:tcPr>
          <w:p>
            <w:pPr>
              <w:jc w:val="right"/>
              <w:ind w:right="412"/>
              <w:spacing w:after="0"/>
              <w:rPr>
                <w:sz w:val="20"/>
                <w:szCs w:val="20"/>
                <w:color w:val="auto"/>
              </w:rPr>
            </w:pPr>
            <w:r>
              <w:rPr>
                <w:rFonts w:ascii="Arial" w:cs="Arial" w:eastAsia="Arial" w:hAnsi="Arial"/>
                <w:sz w:val="14"/>
                <w:szCs w:val="14"/>
                <w:b w:val="1"/>
                <w:bCs w:val="1"/>
                <w:color w:val="auto"/>
              </w:rPr>
              <w:t>Dollar Range of the Common Stock of each Company</w:t>
            </w:r>
            <w:r>
              <w:rPr>
                <w:rFonts w:ascii="Arial" w:cs="Arial" w:eastAsia="Arial" w:hAnsi="Arial"/>
                <w:sz w:val="22"/>
                <w:szCs w:val="22"/>
                <w:b w:val="1"/>
                <w:bCs w:val="1"/>
                <w:color w:val="auto"/>
                <w:vertAlign w:val="superscript"/>
              </w:rPr>
              <w:t>(1)</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220" w:type="dxa"/>
            <w:vAlign w:val="bottom"/>
          </w:tcPr>
          <w:p>
            <w:pPr>
              <w:spacing w:after="0"/>
              <w:rPr>
                <w:sz w:val="11"/>
                <w:szCs w:val="11"/>
                <w:color w:val="auto"/>
              </w:rPr>
            </w:pPr>
          </w:p>
        </w:tc>
        <w:tc>
          <w:tcPr>
            <w:tcW w:w="1840" w:type="dxa"/>
            <w:vAlign w:val="bottom"/>
            <w:tcBorders>
              <w:top w:val="single" w:sz="8" w:color="auto"/>
            </w:tcBorders>
            <w:gridSpan w:val="3"/>
          </w:tcPr>
          <w:p>
            <w:pPr>
              <w:jc w:val="center"/>
              <w:ind w:right="540"/>
              <w:spacing w:after="0" w:line="136" w:lineRule="exact"/>
              <w:rPr>
                <w:sz w:val="20"/>
                <w:szCs w:val="20"/>
                <w:color w:val="auto"/>
              </w:rPr>
            </w:pPr>
            <w:r>
              <w:rPr>
                <w:rFonts w:ascii="Arial" w:cs="Arial" w:eastAsia="Arial" w:hAnsi="Arial"/>
                <w:sz w:val="14"/>
                <w:szCs w:val="14"/>
                <w:b w:val="1"/>
                <w:bCs w:val="1"/>
                <w:color w:val="auto"/>
                <w:w w:val="87"/>
              </w:rPr>
              <w:t>PennantPark Floating</w:t>
            </w:r>
          </w:p>
        </w:tc>
        <w:tc>
          <w:tcPr>
            <w:tcW w:w="2000" w:type="dxa"/>
            <w:vAlign w:val="bottom"/>
            <w:tcBorders>
              <w:top w:val="single" w:sz="8" w:color="auto"/>
            </w:tcBorders>
            <w:gridSpan w:val="4"/>
          </w:tcPr>
          <w:p>
            <w:pPr>
              <w:jc w:val="center"/>
              <w:ind w:right="560"/>
              <w:spacing w:after="0" w:line="136" w:lineRule="exact"/>
              <w:rPr>
                <w:sz w:val="20"/>
                <w:szCs w:val="20"/>
                <w:color w:val="auto"/>
              </w:rPr>
            </w:pPr>
            <w:r>
              <w:rPr>
                <w:rFonts w:ascii="Arial" w:cs="Arial" w:eastAsia="Arial" w:hAnsi="Arial"/>
                <w:sz w:val="14"/>
                <w:szCs w:val="14"/>
                <w:b w:val="1"/>
                <w:bCs w:val="1"/>
                <w:color w:val="auto"/>
                <w:w w:val="88"/>
              </w:rPr>
              <w:t>PennantPark Investment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Independent Directors</w:t>
            </w:r>
          </w:p>
        </w:tc>
        <w:tc>
          <w:tcPr>
            <w:tcW w:w="18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Rate Capital Ltd.</w:t>
            </w:r>
          </w:p>
        </w:tc>
        <w:tc>
          <w:tcPr>
            <w:tcW w:w="20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Corporation</w:t>
            </w:r>
          </w:p>
        </w:tc>
        <w:tc>
          <w:tcPr>
            <w:tcW w:w="10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top w:val="single" w:sz="8" w:color="CCEEFF"/>
            </w:tcBorders>
            <w:gridSpan w:val="2"/>
            <w:shd w:val="clear" w:color="auto" w:fill="CCEEFF"/>
          </w:tcPr>
          <w:p>
            <w:pPr>
              <w:ind w:left="420"/>
              <w:spacing w:after="0" w:line="142" w:lineRule="exact"/>
              <w:rPr>
                <w:sz w:val="20"/>
                <w:szCs w:val="20"/>
                <w:color w:val="auto"/>
              </w:rPr>
            </w:pPr>
            <w:r>
              <w:rPr>
                <w:rFonts w:ascii="Arial" w:cs="Arial" w:eastAsia="Arial" w:hAnsi="Arial"/>
                <w:sz w:val="11"/>
                <w:szCs w:val="11"/>
                <w:color w:val="auto"/>
              </w:rPr>
              <w:t>Adam K. Bernstein</w:t>
            </w:r>
            <w:r>
              <w:rPr>
                <w:rFonts w:ascii="Arial" w:cs="Arial" w:eastAsia="Arial" w:hAnsi="Arial"/>
                <w:sz w:val="16"/>
                <w:szCs w:val="16"/>
                <w:color w:val="auto"/>
                <w:vertAlign w:val="superscript"/>
              </w:rPr>
              <w:t>(2)</w:t>
            </w:r>
          </w:p>
        </w:tc>
        <w:tc>
          <w:tcPr>
            <w:tcW w:w="130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$ 50,001 - $ 100,000</w:t>
            </w:r>
          </w:p>
        </w:tc>
        <w:tc>
          <w:tcPr>
            <w:tcW w:w="5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$500,001 - $</w:t>
            </w:r>
          </w:p>
        </w:tc>
        <w:tc>
          <w:tcPr>
            <w:tcW w:w="6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86"/>
              </w:rPr>
              <w:t>1,000,000</w:t>
            </w:r>
          </w:p>
        </w:tc>
        <w:tc>
          <w:tcPr>
            <w:tcW w:w="54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gridSpan w:val="2"/>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Marshall Brozost</w:t>
            </w:r>
          </w:p>
        </w:tc>
        <w:tc>
          <w:tcPr>
            <w:tcW w:w="184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89"/>
              </w:rPr>
              <w:t>None</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$100,001 - $</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500,000</w:t>
            </w:r>
          </w:p>
        </w:tc>
        <w:tc>
          <w:tcPr>
            <w:tcW w:w="540" w:type="dxa"/>
            <w:vAlign w:val="bottom"/>
          </w:tcPr>
          <w:p>
            <w:pPr>
              <w:spacing w:after="0"/>
              <w:rPr>
                <w:sz w:val="12"/>
                <w:szCs w:val="12"/>
                <w:color w:val="auto"/>
              </w:rPr>
            </w:pPr>
          </w:p>
        </w:tc>
        <w:tc>
          <w:tcPr>
            <w:tcW w:w="18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$100,001 - $  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Jeffrey Flug</w:t>
            </w:r>
          </w:p>
        </w:tc>
        <w:tc>
          <w:tcPr>
            <w:tcW w:w="1840" w:type="dxa"/>
            <w:vAlign w:val="bottom"/>
            <w:gridSpan w:val="3"/>
            <w:shd w:val="clear" w:color="auto" w:fill="CCEEFF"/>
          </w:tcPr>
          <w:p>
            <w:pPr>
              <w:jc w:val="center"/>
              <w:ind w:right="540"/>
              <w:spacing w:after="0" w:line="149" w:lineRule="exact"/>
              <w:rPr>
                <w:sz w:val="20"/>
                <w:szCs w:val="20"/>
                <w:color w:val="auto"/>
              </w:rPr>
            </w:pPr>
            <w:r>
              <w:rPr>
                <w:rFonts w:ascii="Arial" w:cs="Arial" w:eastAsia="Arial" w:hAnsi="Arial"/>
                <w:sz w:val="14"/>
                <w:szCs w:val="14"/>
                <w:color w:val="auto"/>
                <w:w w:val="89"/>
              </w:rPr>
              <w:t>None</w:t>
            </w:r>
          </w:p>
        </w:tc>
        <w:tc>
          <w:tcPr>
            <w:tcW w:w="2000" w:type="dxa"/>
            <w:vAlign w:val="bottom"/>
            <w:gridSpan w:val="4"/>
            <w:shd w:val="clear" w:color="auto" w:fill="CCEEFF"/>
          </w:tcPr>
          <w:p>
            <w:pPr>
              <w:jc w:val="center"/>
              <w:ind w:right="540"/>
              <w:spacing w:after="0" w:line="149" w:lineRule="exact"/>
              <w:rPr>
                <w:sz w:val="20"/>
                <w:szCs w:val="20"/>
                <w:color w:val="auto"/>
              </w:rPr>
            </w:pPr>
            <w:r>
              <w:rPr>
                <w:rFonts w:ascii="Arial" w:cs="Arial" w:eastAsia="Arial" w:hAnsi="Arial"/>
                <w:sz w:val="14"/>
                <w:szCs w:val="14"/>
                <w:color w:val="auto"/>
                <w:w w:val="86"/>
              </w:rPr>
              <w:t>Over $1,000,000</w:t>
            </w:r>
          </w:p>
        </w:tc>
        <w:tc>
          <w:tcPr>
            <w:tcW w:w="180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Samuel L. Katz</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88"/>
              </w:rPr>
              <w:t>$ 100,001-$ 500,000</w:t>
            </w:r>
          </w:p>
        </w:tc>
        <w:tc>
          <w:tcPr>
            <w:tcW w:w="540" w:type="dxa"/>
            <w:vAlign w:val="bottom"/>
          </w:tcPr>
          <w:p>
            <w:pPr>
              <w:spacing w:after="0"/>
              <w:rPr>
                <w:sz w:val="14"/>
                <w:szCs w:val="14"/>
                <w:color w:val="auto"/>
              </w:rPr>
            </w:pPr>
          </w:p>
        </w:tc>
        <w:tc>
          <w:tcPr>
            <w:tcW w:w="2000" w:type="dxa"/>
            <w:vAlign w:val="bottom"/>
            <w:gridSpan w:val="4"/>
          </w:tcPr>
          <w:p>
            <w:pPr>
              <w:jc w:val="center"/>
              <w:ind w:right="540"/>
              <w:spacing w:after="0"/>
              <w:rPr>
                <w:sz w:val="20"/>
                <w:szCs w:val="20"/>
                <w:color w:val="auto"/>
              </w:rPr>
            </w:pPr>
            <w:r>
              <w:rPr>
                <w:rFonts w:ascii="Arial" w:cs="Arial" w:eastAsia="Arial" w:hAnsi="Arial"/>
                <w:sz w:val="14"/>
                <w:szCs w:val="14"/>
                <w:color w:val="auto"/>
                <w:w w:val="86"/>
              </w:rPr>
              <w:t>Over $1,000,000</w:t>
            </w:r>
          </w:p>
        </w:tc>
        <w:tc>
          <w:tcPr>
            <w:tcW w:w="1800" w:type="dxa"/>
            <w:vAlign w:val="bottom"/>
            <w:gridSpan w:val="2"/>
          </w:tcPr>
          <w:p>
            <w:pPr>
              <w:jc w:val="right"/>
              <w:ind w:right="372"/>
              <w:spacing w:after="0"/>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(3),(4)</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88"/>
              </w:rPr>
              <w:t>$1 - $10,000</w:t>
            </w:r>
          </w:p>
        </w:tc>
        <w:tc>
          <w:tcPr>
            <w:tcW w:w="540" w:type="dxa"/>
            <w:vAlign w:val="bottom"/>
          </w:tcPr>
          <w:p>
            <w:pPr>
              <w:spacing w:after="0"/>
              <w:rPr>
                <w:sz w:val="22"/>
                <w:szCs w:val="22"/>
                <w:color w:val="auto"/>
              </w:rPr>
            </w:pPr>
          </w:p>
        </w:tc>
        <w:tc>
          <w:tcPr>
            <w:tcW w:w="2000" w:type="dxa"/>
            <w:vAlign w:val="bottom"/>
            <w:gridSpan w:val="4"/>
          </w:tcPr>
          <w:p>
            <w:pPr>
              <w:jc w:val="center"/>
              <w:ind w:right="540"/>
              <w:spacing w:after="0"/>
              <w:rPr>
                <w:sz w:val="20"/>
                <w:szCs w:val="20"/>
                <w:color w:val="auto"/>
              </w:rPr>
            </w:pPr>
            <w:r>
              <w:rPr>
                <w:rFonts w:ascii="Arial" w:cs="Arial" w:eastAsia="Arial" w:hAnsi="Arial"/>
                <w:sz w:val="14"/>
                <w:szCs w:val="14"/>
                <w:color w:val="auto"/>
                <w:w w:val="86"/>
              </w:rPr>
              <w:t>Over $1,000,000</w:t>
            </w:r>
          </w:p>
        </w:tc>
        <w:tc>
          <w:tcPr>
            <w:tcW w:w="1800" w:type="dxa"/>
            <w:vAlign w:val="bottom"/>
            <w:gridSpan w:val="2"/>
          </w:tcPr>
          <w:p>
            <w:pPr>
              <w:jc w:val="right"/>
              <w:ind w:right="372"/>
              <w:spacing w:after="0"/>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Aviv Efrat</w:t>
            </w:r>
          </w:p>
        </w:tc>
        <w:tc>
          <w:tcPr>
            <w:tcW w:w="600" w:type="dxa"/>
            <w:vAlign w:val="bottom"/>
          </w:tcPr>
          <w:p>
            <w:pPr>
              <w:jc w:val="right"/>
              <w:spacing w:after="0"/>
              <w:rPr>
                <w:sz w:val="20"/>
                <w:szCs w:val="20"/>
                <w:color w:val="auto"/>
              </w:rPr>
            </w:pPr>
            <w:r>
              <w:rPr>
                <w:rFonts w:ascii="Arial" w:cs="Arial" w:eastAsia="Arial" w:hAnsi="Arial"/>
                <w:sz w:val="14"/>
                <w:szCs w:val="14"/>
                <w:color w:val="auto"/>
              </w:rPr>
              <w:t>$ 50,001</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w w:val="84"/>
              </w:rPr>
              <w:t>- $ 100,000</w:t>
            </w:r>
          </w:p>
        </w:tc>
        <w:tc>
          <w:tcPr>
            <w:tcW w:w="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9"/>
              </w:rPr>
              <w:t>$100,001</w:t>
            </w:r>
          </w:p>
        </w:tc>
        <w:tc>
          <w:tcPr>
            <w:tcW w:w="180" w:type="dxa"/>
            <w:vAlign w:val="bottom"/>
          </w:tcPr>
          <w:p>
            <w:pPr>
              <w:jc w:val="right"/>
              <w:spacing w:after="0"/>
              <w:rPr>
                <w:sz w:val="20"/>
                <w:szCs w:val="20"/>
                <w:color w:val="auto"/>
              </w:rPr>
            </w:pPr>
            <w:r>
              <w:rPr>
                <w:rFonts w:ascii="Arial" w:cs="Arial" w:eastAsia="Arial" w:hAnsi="Arial"/>
                <w:sz w:val="14"/>
                <w:szCs w:val="14"/>
                <w:color w:val="auto"/>
                <w:w w:val="85"/>
              </w:rPr>
              <w:t>- $</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500,000</w:t>
            </w:r>
          </w:p>
        </w:tc>
        <w:tc>
          <w:tcPr>
            <w:tcW w:w="540" w:type="dxa"/>
            <w:vAlign w:val="bottom"/>
          </w:tcPr>
          <w:p>
            <w:pPr>
              <w:spacing w:after="0"/>
              <w:rPr>
                <w:sz w:val="14"/>
                <w:szCs w:val="14"/>
                <w:color w:val="auto"/>
              </w:rPr>
            </w:pPr>
          </w:p>
        </w:tc>
        <w:tc>
          <w:tcPr>
            <w:tcW w:w="1800" w:type="dxa"/>
            <w:vAlign w:val="bottom"/>
            <w:gridSpan w:val="2"/>
          </w:tcPr>
          <w:p>
            <w:pPr>
              <w:jc w:val="right"/>
              <w:ind w:right="192"/>
              <w:spacing w:after="0"/>
              <w:rPr>
                <w:sz w:val="20"/>
                <w:szCs w:val="20"/>
                <w:color w:val="auto"/>
              </w:rPr>
            </w:pPr>
            <w:r>
              <w:rPr>
                <w:rFonts w:ascii="Arial" w:cs="Arial" w:eastAsia="Arial" w:hAnsi="Arial"/>
                <w:sz w:val="14"/>
                <w:szCs w:val="14"/>
                <w:color w:val="auto"/>
              </w:rPr>
              <w:t>$500,001 - $ 1,000,000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Investment Professionals</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Jose A. Briones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5"/>
              </w:rPr>
              <w:t>$100,001</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4"/>
              </w:rPr>
              <w:t>- $ 500,000</w:t>
            </w:r>
          </w:p>
        </w:tc>
        <w:tc>
          <w:tcPr>
            <w:tcW w:w="5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9"/>
              </w:rPr>
              <w:t>$100,001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85"/>
              </w:rPr>
              <w:t>- $</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500,000</w:t>
            </w:r>
          </w:p>
        </w:tc>
        <w:tc>
          <w:tcPr>
            <w:tcW w:w="54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$100,001 - $</w:t>
            </w:r>
          </w:p>
        </w:tc>
        <w:tc>
          <w:tcPr>
            <w:tcW w:w="72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86"/>
              </w:rPr>
              <w:t>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Salvatore Giannetti III</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$100,001</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4"/>
              </w:rPr>
              <w:t>- $ 500,000</w:t>
            </w: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500,000</w:t>
            </w: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$100,001 - $</w:t>
            </w:r>
          </w:p>
        </w:tc>
        <w:tc>
          <w:tcPr>
            <w:tcW w:w="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6"/>
              </w:rPr>
              <w:t>500,000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P. Whitridge Williams, Jr.</w:t>
            </w:r>
          </w:p>
        </w:tc>
        <w:tc>
          <w:tcPr>
            <w:tcW w:w="600" w:type="dxa"/>
            <w:vAlign w:val="bottom"/>
          </w:tcPr>
          <w:p>
            <w:pPr>
              <w:jc w:val="right"/>
              <w:spacing w:after="0"/>
              <w:rPr>
                <w:sz w:val="20"/>
                <w:szCs w:val="20"/>
                <w:color w:val="auto"/>
              </w:rPr>
            </w:pPr>
            <w:r>
              <w:rPr>
                <w:rFonts w:ascii="Arial" w:cs="Arial" w:eastAsia="Arial" w:hAnsi="Arial"/>
                <w:sz w:val="14"/>
                <w:szCs w:val="14"/>
                <w:color w:val="auto"/>
                <w:w w:val="95"/>
              </w:rPr>
              <w:t>$100,001</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w w:val="84"/>
              </w:rPr>
              <w:t>- $ 500,000</w:t>
            </w:r>
          </w:p>
        </w:tc>
        <w:tc>
          <w:tcPr>
            <w:tcW w:w="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9"/>
              </w:rPr>
              <w:t>$500,001</w:t>
            </w:r>
          </w:p>
        </w:tc>
        <w:tc>
          <w:tcPr>
            <w:tcW w:w="180" w:type="dxa"/>
            <w:vAlign w:val="bottom"/>
          </w:tcPr>
          <w:p>
            <w:pPr>
              <w:jc w:val="right"/>
              <w:spacing w:after="0"/>
              <w:rPr>
                <w:sz w:val="20"/>
                <w:szCs w:val="20"/>
                <w:color w:val="auto"/>
              </w:rPr>
            </w:pPr>
            <w:r>
              <w:rPr>
                <w:rFonts w:ascii="Arial" w:cs="Arial" w:eastAsia="Arial" w:hAnsi="Arial"/>
                <w:sz w:val="14"/>
                <w:szCs w:val="14"/>
                <w:color w:val="auto"/>
                <w:w w:val="85"/>
              </w:rPr>
              <w:t>- $</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w w:val="86"/>
              </w:rPr>
              <w:t>1,000,000</w:t>
            </w:r>
          </w:p>
        </w:tc>
        <w:tc>
          <w:tcPr>
            <w:tcW w:w="540" w:type="dxa"/>
            <w:vAlign w:val="bottom"/>
          </w:tcPr>
          <w:p>
            <w:pPr>
              <w:spacing w:after="0"/>
              <w:rPr>
                <w:sz w:val="14"/>
                <w:szCs w:val="14"/>
                <w:color w:val="auto"/>
              </w:rPr>
            </w:pPr>
          </w:p>
        </w:tc>
        <w:tc>
          <w:tcPr>
            <w:tcW w:w="1800" w:type="dxa"/>
            <w:vAlign w:val="bottom"/>
            <w:gridSpan w:val="2"/>
          </w:tcPr>
          <w:p>
            <w:pPr>
              <w:jc w:val="right"/>
              <w:ind w:right="192"/>
              <w:spacing w:after="0"/>
              <w:rPr>
                <w:sz w:val="20"/>
                <w:szCs w:val="20"/>
                <w:color w:val="auto"/>
              </w:rPr>
            </w:pPr>
            <w:r>
              <w:rPr>
                <w:rFonts w:ascii="Arial" w:cs="Arial" w:eastAsia="Arial" w:hAnsi="Arial"/>
                <w:sz w:val="14"/>
                <w:szCs w:val="14"/>
                <w:color w:val="auto"/>
              </w:rPr>
              <w:t>$500,001 - $ 1,000,000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23152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7"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line="221"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ind w:left="220" w:hanging="212"/>
        <w:spacing w:after="0" w:line="225"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Investment Adviser paid to the Company’s underwriters 2% of the sales load, or $2.1 million in the aggregate, with respect to the initial public offering and exercise of the over-allotment option of shares of the Company’s common stock. PennantPark Floating Rate Capital, Ltd., and indirectly our stockholders, is obligated to repay this amount if certain conditions occur. If one or more of these conditions does not occur on or before April 7, 2014, we will not be obligated to repay this amount. We will repay such amount to the Investment Adviser in cash, and the Investment Adviser has agreed to use such payment to purchase shares of common stock of the Company in the secondary market.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CERTAIN RELATIONSHIPS AND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Management Agreement</w:t>
      </w:r>
    </w:p>
    <w:p>
      <w:pPr>
        <w:spacing w:after="0" w:line="71" w:lineRule="exact"/>
        <w:rPr>
          <w:sz w:val="20"/>
          <w:szCs w:val="20"/>
          <w:color w:val="auto"/>
        </w:rPr>
      </w:pPr>
    </w:p>
    <w:p>
      <w:pPr>
        <w:jc w:val="both"/>
        <w:ind w:right="60" w:firstLine="456"/>
        <w:spacing w:after="0" w:line="273" w:lineRule="auto"/>
        <w:rPr>
          <w:sz w:val="20"/>
          <w:szCs w:val="20"/>
          <w:color w:val="auto"/>
        </w:rPr>
      </w:pPr>
      <w:r>
        <w:rPr>
          <w:rFonts w:ascii="Arial" w:cs="Arial" w:eastAsia="Arial" w:hAnsi="Arial"/>
          <w:sz w:val="12"/>
          <w:szCs w:val="12"/>
          <w:color w:val="auto"/>
        </w:rPr>
        <w:t>PennantPark Floating Rate Capital Ltd. has entered into the Investment Management Agreement with the Investment Adviser under which the Investment Adviser, subject to the overall supervision of Company’s board of directors, manages the day-to-day operations of and provides investment advisory services to the Company. Mr. Penn, our Chairman and Chief Executive Officer, is the managing member and a senior investment professional of, and has a financial and controlling interests in PennantPark Investment Advisers. The Company,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9" w:lineRule="exact"/>
        <w:rPr>
          <w:sz w:val="20"/>
          <w:szCs w:val="20"/>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closes and monitors the investments we make.</w:t>
      </w:r>
    </w:p>
    <w:p>
      <w:pPr>
        <w:spacing w:after="0" w:line="15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components-a base management fee and an incentive fee, collectively, Management Fees.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69" w:lineRule="exact"/>
        <w:rPr>
          <w:sz w:val="20"/>
          <w:szCs w:val="20"/>
          <w:color w:val="auto"/>
        </w:rPr>
      </w:pPr>
    </w:p>
    <w:p>
      <w:pPr>
        <w:ind w:right="60" w:firstLine="456"/>
        <w:spacing w:after="0" w:line="266"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and/or temporary draws on the Credit Facility,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2012, and for the period March 4, 2011 (commencement of operations) to September 30, 2011, the Investment Adviser earned base management fees of $0.4 million, $0.7 million and $0.4 million, respectively, from us.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right="2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and six months ended March 31, 2012, resulted in an accrual of less than $0.1 million.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following is a graphical representation of calculation of quarterly incentive fee based on Net Investment Income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3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222885</wp:posOffset>
            </wp:positionV>
            <wp:extent cx="2195195" cy="394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951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Percentage of pre-incentive fee net investment income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allocated to income-related portion of incentive fee</w:t>
      </w:r>
    </w:p>
    <w:p>
      <w:pPr>
        <w:spacing w:after="0" w:line="138"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These calculations will be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the Investment Adviser with respect to Pre-Incentive Fee Net Investment Income.</w:t>
      </w:r>
    </w:p>
    <w:p>
      <w:pPr>
        <w:spacing w:after="0" w:line="11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March 31, 2012 was calculated for a period of shorter than twelve calendar months to take into account any realized capital gains computed net of all realized capital losses and unrealized capital depreciation from our inception. The performance based incentive fee on capital gains due to our Investment Adviser as calculated under the Investment Management Agreement (as described above) for the three and six months ended March 31, 2012 and for the period from March 4, 2011 (commencement of operations) to September 30, 2011 resulted in no accrual.</w:t>
      </w:r>
    </w:p>
    <w:p>
      <w:pPr>
        <w:spacing w:after="0" w:line="122"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GAAP and the Investment Management Agreement (as described above) for the three and six months ended March 31, 2012 resulted in an accrual of $0.1 million. For the period from March 4, 2011 (commencement of operations) to September 30, 2011, our unrealized and realized capital gains did not exceed our cumulative realized and unrealized losses and resulted in no accrual under GAAP.</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1.25%</w:t>
      </w:r>
    </w:p>
    <w:p>
      <w:pPr>
        <w:ind w:left="460"/>
        <w:spacing w:after="0" w:line="180" w:lineRule="auto"/>
        <w:rPr>
          <w:sz w:val="20"/>
          <w:szCs w:val="20"/>
          <w:color w:val="auto"/>
        </w:rPr>
      </w:pPr>
      <w:r>
        <w:rPr>
          <w:rFonts w:ascii="Arial" w:cs="Arial" w:eastAsia="Arial" w:hAnsi="Arial"/>
          <w:sz w:val="13"/>
          <w:szCs w:val="13"/>
          <w:color w:val="auto"/>
        </w:rPr>
        <w:t>Hurdle</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net investment income does not exceed hurdle; therefore there is no incentive fee.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2.70%</w:t>
      </w:r>
    </w:p>
    <w:p>
      <w:pPr>
        <w:ind w:left="460"/>
        <w:spacing w:after="0" w:line="223" w:lineRule="auto"/>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190" w:lineRule="exact"/>
        <w:rPr>
          <w:sz w:val="20"/>
          <w:szCs w:val="20"/>
          <w:color w:val="auto"/>
        </w:rPr>
      </w:pPr>
    </w:p>
    <w:p>
      <w:pPr>
        <w:ind w:left="920"/>
        <w:spacing w:after="0"/>
        <w:tabs>
          <w:tab w:leader="none" w:pos="24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2"/>
          <w:szCs w:val="12"/>
          <w:color w:val="auto"/>
        </w:rPr>
        <w:t>= 50% X Pre-Incentive Fee Net Investment Income, subject to “catch-up”</w:t>
      </w:r>
    </w:p>
    <w:p>
      <w:pPr>
        <w:spacing w:after="0" w:line="15" w:lineRule="exact"/>
        <w:rPr>
          <w:sz w:val="20"/>
          <w:szCs w:val="20"/>
          <w:color w:val="auto"/>
        </w:rPr>
      </w:pPr>
    </w:p>
    <w:p>
      <w:pPr>
        <w:ind w:left="2580" w:hanging="101"/>
        <w:spacing w:after="0"/>
        <w:tabs>
          <w:tab w:leader="none" w:pos="2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50% X (2.25% - 1.75%)</w:t>
      </w:r>
    </w:p>
    <w:p>
      <w:pPr>
        <w:spacing w:after="0" w:line="28" w:lineRule="exact"/>
        <w:rPr>
          <w:rFonts w:ascii="Arial" w:cs="Arial" w:eastAsia="Arial" w:hAnsi="Arial"/>
          <w:sz w:val="14"/>
          <w:szCs w:val="14"/>
          <w:color w:val="auto"/>
        </w:rPr>
      </w:pPr>
    </w:p>
    <w:p>
      <w:pPr>
        <w:ind w:left="2580" w:hanging="101"/>
        <w:spacing w:after="0"/>
        <w:tabs>
          <w:tab w:leader="none" w:pos="2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0.25%</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 (including interest, distributions, fees, etc.) = 4.00%</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rPr>
          <w:sz w:val="20"/>
          <w:szCs w:val="20"/>
          <w:color w:val="auto"/>
        </w:rPr>
      </w:pPr>
      <w:r>
        <w:rPr>
          <w:rFonts w:ascii="Arial" w:cs="Arial" w:eastAsia="Arial" w:hAnsi="Arial"/>
          <w:sz w:val="12"/>
          <w:szCs w:val="12"/>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 0.20%</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2914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01" w:hanging="101"/>
        <w:spacing w:after="0"/>
        <w:tabs>
          <w:tab w:leader="none" w:pos="101" w:val="left"/>
        </w:tabs>
        <w:numPr>
          <w:ilvl w:val="0"/>
          <w:numId w:val="39"/>
        </w:numPr>
        <w:rPr>
          <w:rFonts w:ascii="Arial" w:cs="Arial" w:eastAsia="Arial" w:hAnsi="Arial"/>
          <w:sz w:val="13"/>
          <w:szCs w:val="13"/>
          <w:color w:val="auto"/>
        </w:rPr>
      </w:pPr>
      <w:r>
        <w:rPr>
          <w:rFonts w:ascii="Arial" w:cs="Arial" w:eastAsia="Arial" w:hAnsi="Arial"/>
          <w:sz w:val="13"/>
          <w:szCs w:val="13"/>
          <w:color w:val="auto"/>
        </w:rPr>
        <w:t>20% X Pre-Incentive Fee Net Investment Income, subject to “catch-up”</w:t>
      </w:r>
      <w:r>
        <w:rPr>
          <w:rFonts w:ascii="Arial" w:cs="Arial" w:eastAsia="Arial" w:hAnsi="Arial"/>
          <w:sz w:val="21"/>
          <w:szCs w:val="21"/>
          <w:color w:val="auto"/>
          <w:vertAlign w:val="superscript"/>
        </w:rPr>
        <w:t>(4)</w:t>
      </w:r>
    </w:p>
    <w:p>
      <w:pPr>
        <w:ind w:left="1" w:right="4220" w:hanging="1"/>
        <w:spacing w:after="0" w:line="295" w:lineRule="auto"/>
        <w:tabs>
          <w:tab w:leader="none" w:pos="111" w:val="left"/>
        </w:tabs>
        <w:numPr>
          <w:ilvl w:val="0"/>
          <w:numId w:val="39"/>
        </w:numPr>
        <w:rPr>
          <w:rFonts w:ascii="Arial" w:cs="Arial" w:eastAsia="Arial" w:hAnsi="Arial"/>
          <w:sz w:val="14"/>
          <w:szCs w:val="14"/>
          <w:color w:val="auto"/>
        </w:rPr>
      </w:pPr>
      <w:r>
        <w:rPr>
          <w:rFonts w:ascii="Arial" w:cs="Arial" w:eastAsia="Arial" w:hAnsi="Arial"/>
          <w:sz w:val="14"/>
          <w:szCs w:val="14"/>
          <w:color w:val="auto"/>
        </w:rPr>
        <w:t>50% X “catch-up” + (20% x (Pre-Incentive Fee Net Investment Income - 2.9167%)) =2.9167%-1.75% =1.1667%</w:t>
      </w:r>
    </w:p>
    <w:p>
      <w:pPr>
        <w:spacing w:after="0" w:line="159" w:lineRule="exact"/>
        <w:rPr>
          <w:rFonts w:ascii="Arial" w:cs="Arial" w:eastAsia="Arial" w:hAnsi="Arial"/>
          <w:sz w:val="14"/>
          <w:szCs w:val="14"/>
          <w:color w:val="auto"/>
        </w:rPr>
      </w:pPr>
    </w:p>
    <w:p>
      <w:pPr>
        <w:ind w:left="1" w:right="6180"/>
        <w:spacing w:after="0" w:line="281" w:lineRule="auto"/>
        <w:rPr>
          <w:rFonts w:ascii="Arial" w:cs="Arial" w:eastAsia="Arial" w:hAnsi="Arial"/>
          <w:sz w:val="14"/>
          <w:szCs w:val="14"/>
          <w:color w:val="auto"/>
        </w:rPr>
      </w:pPr>
      <w:r>
        <w:rPr>
          <w:rFonts w:ascii="Arial" w:cs="Arial" w:eastAsia="Arial" w:hAnsi="Arial"/>
          <w:sz w:val="14"/>
          <w:szCs w:val="14"/>
          <w:color w:val="auto"/>
        </w:rPr>
        <w:t>=(50% X 1.1667%) + (20% X (3.55% -2.9167%)) =0.5833% + (20% X 0.6333%)</w:t>
      </w:r>
    </w:p>
    <w:p>
      <w:pPr>
        <w:spacing w:after="0" w:line="1" w:lineRule="exact"/>
        <w:rPr>
          <w:rFonts w:ascii="Arial" w:cs="Arial" w:eastAsia="Arial" w:hAnsi="Arial"/>
          <w:sz w:val="14"/>
          <w:szCs w:val="14"/>
          <w:color w:val="auto"/>
        </w:rPr>
      </w:pPr>
    </w:p>
    <w:p>
      <w:pPr>
        <w:ind w:left="1" w:right="7700"/>
        <w:spacing w:after="0" w:line="298" w:lineRule="auto"/>
        <w:rPr>
          <w:rFonts w:ascii="Arial" w:cs="Arial" w:eastAsia="Arial" w:hAnsi="Arial"/>
          <w:sz w:val="14"/>
          <w:szCs w:val="14"/>
          <w:color w:val="auto"/>
        </w:rPr>
      </w:pPr>
      <w:r>
        <w:rPr>
          <w:rFonts w:ascii="Arial" w:cs="Arial" w:eastAsia="Arial" w:hAnsi="Arial"/>
          <w:sz w:val="14"/>
          <w:szCs w:val="14"/>
          <w:color w:val="auto"/>
        </w:rPr>
        <w:t>=0.5833% + 0.1267% =0.71%</w:t>
      </w:r>
    </w:p>
    <w:p>
      <w:pPr>
        <w:spacing w:after="0" w:line="200" w:lineRule="exact"/>
        <w:rPr>
          <w:sz w:val="20"/>
          <w:szCs w:val="20"/>
          <w:color w:val="auto"/>
        </w:rPr>
      </w:pPr>
    </w:p>
    <w:p>
      <w:pPr>
        <w:sectPr>
          <w:pgSz w:w="11900" w:h="16838" w:orient="portrait"/>
          <w:cols w:equalWidth="0" w:num="2">
            <w:col w:w="1759" w:space="720"/>
            <w:col w:w="8881"/>
          </w:cols>
          <w:pgMar w:left="240" w:top="459" w:right="299" w:bottom="1440" w:gutter="0" w:footer="0" w:header="0"/>
          <w:type w:val="continuous"/>
        </w:sectPr>
      </w:pPr>
    </w:p>
    <w:p>
      <w:pPr>
        <w:spacing w:after="0" w:line="102" w:lineRule="exact"/>
        <w:rPr>
          <w:sz w:val="20"/>
          <w:szCs w:val="20"/>
          <w:color w:val="auto"/>
        </w:rPr>
      </w:pPr>
    </w:p>
    <w:p>
      <w:pPr>
        <w:ind w:left="380" w:hanging="325"/>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21"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ind w:left="380" w:hanging="372"/>
        <w:spacing w:after="0" w:line="230"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ind w:left="460"/>
        <w:spacing w:after="0" w:line="221" w:lineRule="auto"/>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ind w:left="460"/>
        <w:spacing w:after="0" w:line="221" w:lineRule="auto"/>
        <w:rPr>
          <w:sz w:val="20"/>
          <w:szCs w:val="20"/>
          <w:color w:val="auto"/>
        </w:rPr>
      </w:pPr>
      <w:r>
        <w:rPr>
          <w:rFonts w:ascii="Arial" w:cs="Arial" w:eastAsia="Arial" w:hAnsi="Arial"/>
          <w:sz w:val="14"/>
          <w:szCs w:val="14"/>
          <w:color w:val="auto"/>
        </w:rPr>
        <w:t>Year 3: FMV of Investment B determined to be $25 million</w:t>
      </w:r>
    </w:p>
    <w:p>
      <w:pPr>
        <w:ind w:left="460"/>
        <w:spacing w:after="0"/>
        <w:rPr>
          <w:sz w:val="20"/>
          <w:szCs w:val="20"/>
          <w:color w:val="auto"/>
        </w:rPr>
      </w:pPr>
      <w:r>
        <w:rPr>
          <w:rFonts w:ascii="Arial" w:cs="Arial" w:eastAsia="Arial" w:hAnsi="Arial"/>
          <w:sz w:val="14"/>
          <w:szCs w:val="14"/>
          <w:color w:val="auto"/>
        </w:rPr>
        <w:t>Year 4: Investment B sold for $31 million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2: $6 million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3: None</w:t>
      </w:r>
    </w:p>
    <w:p>
      <w:pPr>
        <w:spacing w:after="0" w:line="69" w:lineRule="exact"/>
        <w:rPr>
          <w:sz w:val="20"/>
          <w:szCs w:val="20"/>
          <w:color w:val="auto"/>
        </w:rPr>
      </w:pPr>
    </w:p>
    <w:p>
      <w:pPr>
        <w:ind w:left="460" w:right="2220"/>
        <w:spacing w:after="0" w:line="239"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4: $200,000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360"/>
          </w:cols>
          <w:pgMar w:left="240" w:top="459" w:right="29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Assumptions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Year 1: $20 million investment made in Company A (“Investment A”), $30 million investment made in Company B (“Investment B”) and $25 million investment made in Company C (“Investment C”)</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FMV of Investment B determined to be $35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Investment B sold for $20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$5 million capital gains incentive fee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$1.4 million capital gains incentive fee</w:t>
      </w:r>
      <w:r>
        <w:rPr>
          <w:rFonts w:ascii="Arial" w:cs="Arial" w:eastAsia="Arial" w:hAnsi="Arial"/>
          <w:sz w:val="22"/>
          <w:szCs w:val="22"/>
          <w:color w:val="auto"/>
          <w:vertAlign w:val="superscript"/>
        </w:rPr>
        <w:t>( 1)</w:t>
      </w:r>
    </w:p>
    <w:p>
      <w:pPr>
        <w:ind w:left="360"/>
        <w:spacing w:after="0" w:line="230"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None</w:t>
      </w:r>
    </w:p>
    <w:p>
      <w:pPr>
        <w:spacing w:after="0" w:line="69" w:lineRule="exact"/>
        <w:rPr>
          <w:sz w:val="20"/>
          <w:szCs w:val="20"/>
          <w:color w:val="auto"/>
        </w:rPr>
      </w:pPr>
    </w:p>
    <w:p>
      <w:pPr>
        <w:ind w:left="360" w:right="180"/>
        <w:spacing w:after="0" w:line="239" w:lineRule="auto"/>
        <w:rPr>
          <w:sz w:val="20"/>
          <w:szCs w:val="20"/>
          <w:color w:val="auto"/>
        </w:rPr>
      </w:pPr>
      <w:r>
        <w:rPr>
          <w:rFonts w:ascii="Arial" w:cs="Arial" w:eastAsia="Arial" w:hAnsi="Arial"/>
          <w:sz w:val="14"/>
          <w:szCs w:val="14"/>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6" w:lineRule="exact"/>
        <w:rPr>
          <w:sz w:val="20"/>
          <w:szCs w:val="20"/>
          <w:color w:val="auto"/>
        </w:rPr>
      </w:pPr>
    </w:p>
    <w:p>
      <w:pPr>
        <w:ind w:left="580" w:right="40" w:hanging="572"/>
        <w:spacing w:after="0" w:line="195" w:lineRule="auto"/>
        <w:tabs>
          <w:tab w:leader="none" w:pos="58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Duration and Termination</w:t>
      </w:r>
    </w:p>
    <w:p>
      <w:pPr>
        <w:spacing w:after="0" w:line="7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The Investment Management Agreement was approved by our board of directors, including a majority of our directors who are not interested persons of us, in March 2011. Unless terminated earlier as described below, the Investment Management Agreement will continue in effect for a period of two years through March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w:t>
      </w:r>
    </w:p>
    <w:p>
      <w:pPr>
        <w:spacing w:after="0" w:line="111" w:lineRule="exact"/>
        <w:rPr>
          <w:sz w:val="20"/>
          <w:szCs w:val="20"/>
          <w:color w:val="auto"/>
        </w:rPr>
      </w:pPr>
    </w:p>
    <w:p>
      <w:pPr>
        <w:ind w:right="60" w:firstLine="456"/>
        <w:spacing w:after="0" w:line="288" w:lineRule="auto"/>
        <w:rPr>
          <w:sz w:val="20"/>
          <w:szCs w:val="20"/>
          <w:color w:val="auto"/>
        </w:rPr>
      </w:pPr>
      <w:r>
        <w:rPr>
          <w:rFonts w:ascii="Arial" w:cs="Arial" w:eastAsia="Arial" w:hAnsi="Arial"/>
          <w:sz w:val="12"/>
          <w:szCs w:val="12"/>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69"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Administration Agreement</w:t>
      </w:r>
    </w:p>
    <w:p>
      <w:pPr>
        <w:spacing w:after="0" w:line="71"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and six months ended March 31, 2012 and for the period March 4, 2011 (commencement of operations) to September 30, 2011, the Investment Adviser and Administrator were reimbursed $0.1 million, $0.1 million and $0.1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w:t>
      </w:r>
    </w:p>
    <w:p>
      <w:pPr>
        <w:spacing w:after="0" w:line="69"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The Administration Agreement was approved by our board of directors, including a majority of our independent directors who are not interested persons of us, in March 2011. Unless terminated earlier as described below, our Administration Agreement will continue in effect for a period of two years through March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Administration Agreement may be terminated by either party without penalty upon not more than 60 days’ written notice to the other.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 Agreement</w:t>
      </w:r>
    </w:p>
    <w:p>
      <w:pPr>
        <w:spacing w:after="0" w:line="7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load advance</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DETERMINATION OF NET ASSET VALUE</w:t>
      </w:r>
    </w:p>
    <w:p>
      <w:pPr>
        <w:spacing w:after="0" w:line="71"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The net asset value per share of our outstanding shares of common stock is determined quarterly by dividing the value of total assets minus liabilities by the total number of shares outstanding.</w:t>
      </w:r>
    </w:p>
    <w:p>
      <w:pPr>
        <w:spacing w:after="0" w:line="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As a business development company,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3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80" w:hanging="334"/>
        <w:spacing w:after="0" w:line="239"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680" w:right="180" w:hanging="334"/>
        <w:spacing w:after="0" w:line="233"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680" w:right="140" w:hanging="334"/>
        <w:spacing w:after="0" w:line="239"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440" w:hanging="334"/>
        <w:spacing w:after="0" w:line="239"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independent valuation firms and the audit committee.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 the extent we invest in derivative instruments in the future, such instruments would be valued at fair value in accordance with our valuation policy.</w:t>
      </w:r>
    </w:p>
    <w:p>
      <w:pPr>
        <w:spacing w:after="0" w:line="15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Determinations In Connection With Offerings</w:t>
      </w:r>
    </w:p>
    <w:p>
      <w:pPr>
        <w:spacing w:after="0" w:line="71"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0" w:lineRule="exact"/>
        <w:rPr>
          <w:sz w:val="20"/>
          <w:szCs w:val="20"/>
          <w:color w:val="auto"/>
        </w:rPr>
      </w:pPr>
    </w:p>
    <w:p>
      <w:pPr>
        <w:ind w:left="540" w:hanging="316"/>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net asset value of our common stock disclosed in the most recent periodic report that we filed with the SEC;</w:t>
      </w:r>
    </w:p>
    <w:p>
      <w:pPr>
        <w:spacing w:after="0" w:line="55" w:lineRule="exact"/>
        <w:rPr>
          <w:rFonts w:ascii="Arial" w:cs="Arial" w:eastAsia="Arial" w:hAnsi="Arial"/>
          <w:sz w:val="14"/>
          <w:szCs w:val="14"/>
          <w:color w:val="auto"/>
        </w:rPr>
      </w:pPr>
    </w:p>
    <w:p>
      <w:pPr>
        <w:ind w:left="540" w:right="160" w:hanging="316"/>
        <w:spacing w:after="0" w:line="233"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4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and we may undertake such an offering. See “Sales Of Common Stock Below Net Asset Value” for more information.</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20"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We may, however, subject to the requirements of the 1940 Act, issue subscription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276"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DIVIDEND REINVESTMENT PLAN</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40"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Those stockholders whose shares are held by a broker or other financial intermediary may receive dividends and other distributions in cash by notifying their broker or other financial intermediary of their election.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1"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 xml:space="preserve">Participants may terminate their accounts under the plan by notifying the plan administrator via its website at </w:t>
      </w:r>
      <w:r>
        <w:rPr>
          <w:rFonts w:ascii="Arial" w:cs="Arial" w:eastAsia="Arial" w:hAnsi="Arial"/>
          <w:sz w:val="14"/>
          <w:szCs w:val="14"/>
          <w:i w:val="1"/>
          <w:iCs w:val="1"/>
          <w:u w:val="single" w:color="auto"/>
          <w:color w:val="auto"/>
        </w:rPr>
        <w:t>www.amstock.com</w:t>
      </w:r>
      <w:r>
        <w:rPr>
          <w:rFonts w:ascii="Arial" w:cs="Arial" w:eastAsia="Arial" w:hAnsi="Arial"/>
          <w:sz w:val="14"/>
          <w:szCs w:val="14"/>
          <w:color w:val="auto"/>
        </w:rPr>
        <w:t xml:space="preserve"> or by filling out the transaction request form located at bottom of their statement and sending it to the plan administrator.</w:t>
      </w:r>
    </w:p>
    <w:p>
      <w:pPr>
        <w:spacing w:after="0" w:line="139" w:lineRule="exact"/>
        <w:rPr>
          <w:sz w:val="20"/>
          <w:szCs w:val="20"/>
          <w:color w:val="auto"/>
        </w:rPr>
      </w:pPr>
    </w:p>
    <w:p>
      <w:pPr>
        <w:ind w:right="220" w:firstLine="456"/>
        <w:spacing w:after="0" w:line="233" w:lineRule="auto"/>
        <w:rPr>
          <w:sz w:val="20"/>
          <w:szCs w:val="20"/>
          <w:color w:val="auto"/>
        </w:rPr>
      </w:pPr>
      <w:r>
        <w:rPr>
          <w:rFonts w:ascii="Arial" w:cs="Arial" w:eastAsia="Arial" w:hAnsi="Arial"/>
          <w:sz w:val="14"/>
          <w:szCs w:val="14"/>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P.O. Box 922, Wall Street Station, New York, New York 10269, or by the plan administrator’s Interactive Voice Response System at 1-877-322-4951.</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CAPITAL STOCK</w:t>
      </w:r>
    </w:p>
    <w:p>
      <w:pPr>
        <w:spacing w:after="0" w:line="152"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Stock</w:t>
      </w:r>
    </w:p>
    <w:p>
      <w:pPr>
        <w:spacing w:after="0" w:line="71"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As of May 8, 2012,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last reported closing market price of our common stock on May 8, 2012 was $11.90 per share. As of May 8, 2011, we had 3 stockholders of record.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gridSpan w:val="2"/>
          </w:tcPr>
          <w:p>
            <w:pPr>
              <w:ind w:left="460"/>
              <w:spacing w:after="0"/>
              <w:rPr>
                <w:sz w:val="20"/>
                <w:szCs w:val="20"/>
                <w:color w:val="auto"/>
              </w:rPr>
            </w:pPr>
            <w:r>
              <w:rPr>
                <w:rFonts w:ascii="Arial" w:cs="Arial" w:eastAsia="Arial" w:hAnsi="Arial"/>
                <w:sz w:val="14"/>
                <w:szCs w:val="14"/>
                <w:color w:val="auto"/>
              </w:rPr>
              <w:t>The following are our outstanding classes of securities as of May 8, 2012:</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2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24"/>
                <w:szCs w:val="2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16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par value $0.001 per share</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6,850,667</w:t>
            </w:r>
          </w:p>
        </w:tc>
      </w:tr>
      <w:tr>
        <w:trPr>
          <w:trHeight w:val="44"/>
        </w:trPr>
        <w:tc>
          <w:tcPr>
            <w:tcW w:w="5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2"/>
          <w:szCs w:val="12"/>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71" w:lineRule="exact"/>
        <w:rPr>
          <w:sz w:val="20"/>
          <w:szCs w:val="20"/>
          <w:color w:val="auto"/>
        </w:rPr>
      </w:pPr>
    </w:p>
    <w:p>
      <w:pPr>
        <w:ind w:right="160" w:firstLine="456"/>
        <w:spacing w:after="0" w:line="266" w:lineRule="auto"/>
        <w:rPr>
          <w:sz w:val="20"/>
          <w:szCs w:val="20"/>
          <w:color w:val="auto"/>
        </w:rPr>
      </w:pPr>
      <w:r>
        <w:rPr>
          <w:rFonts w:ascii="Arial" w:cs="Arial" w:eastAsia="Arial" w:hAnsi="Arial"/>
          <w:sz w:val="12"/>
          <w:szCs w:val="12"/>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on Liability of Directors and Officers; Indemnification and Advance of Expenses</w:t>
      </w:r>
    </w:p>
    <w:p>
      <w:pPr>
        <w:spacing w:after="0" w:line="7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2"/>
          <w:szCs w:val="12"/>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36"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42" w:lineRule="exact"/>
        <w:rPr>
          <w:sz w:val="20"/>
          <w:szCs w:val="20"/>
          <w:color w:val="auto"/>
        </w:rPr>
      </w:pPr>
    </w:p>
    <w:p>
      <w:pPr>
        <w:ind w:right="100" w:firstLine="456"/>
        <w:spacing w:after="0" w:line="262" w:lineRule="auto"/>
        <w:rPr>
          <w:sz w:val="20"/>
          <w:szCs w:val="20"/>
          <w:color w:val="auto"/>
        </w:rPr>
      </w:pPr>
      <w:r>
        <w:rPr>
          <w:rFonts w:ascii="Arial" w:cs="Arial" w:eastAsia="Arial" w:hAnsi="Arial"/>
          <w:sz w:val="12"/>
          <w:szCs w:val="12"/>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w:t>
      </w:r>
    </w:p>
    <w:p>
      <w:pPr>
        <w:spacing w:after="0" w:line="2" w:lineRule="exact"/>
        <w:rPr>
          <w:sz w:val="20"/>
          <w:szCs w:val="20"/>
          <w:color w:val="auto"/>
        </w:rPr>
      </w:pPr>
    </w:p>
    <w:p>
      <w:pPr>
        <w:ind w:right="40" w:firstLine="8"/>
        <w:spacing w:after="0" w:line="268" w:lineRule="auto"/>
        <w:tabs>
          <w:tab w:leader="none" w:pos="184"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 of the Maryland General Corporation Law and our Charter and Bylaws</w:t>
      </w:r>
    </w:p>
    <w:p>
      <w:pPr>
        <w:spacing w:after="0" w:line="71"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6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Our board of directors is divided into three classes of directors serving staggered three-year terms. The terms of the first, second and third classes will expire in 2013, 2013, and 2014, respectively, and in each case, those directors will serve until their successors are duly elected and qualify. Beginning in 2013, upon expiration of their current terms, directors of each will be elected to serve for three-year terms or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of directors</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charter and bylaws provide that the affirmative vote of the holders of a majority of the outstanding shares of stock entitled to vote in the election of directors is required to elect a director. Pursuant to the charter, our board of directors may amend the bylaws to alter the vote required to elect directors.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Number of directors; vacancies; removal</w:t>
      </w:r>
    </w:p>
    <w:p>
      <w:pPr>
        <w:spacing w:after="0" w:line="6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until the next annual meeting and until a successor is elected and qualifies, subject to any applicable requirements of the 1940 Act.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Our charter provides that a director may be removed only for cause, as defined in our charter, and then only by the affirmative vote of at least two-thirds of the votes entitled to be cast in the election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Action by stockholders</w:t>
      </w:r>
    </w:p>
    <w:p>
      <w:pPr>
        <w:spacing w:after="0" w:line="69"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Advance notice provisions for stockholder nominations and stockholder proposals</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2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Calling of special meetings of stockholders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Approval of extraordinary corporate action; amendment of charter and bylaws</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charter and bylaws provide that the board of directors will have the exclusive power to adopt, alter or repeal any provision of our bylaws and to make new bylaws.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appraisal rights</w:t>
      </w:r>
    </w:p>
    <w:p>
      <w:pPr>
        <w:spacing w:after="0" w:line="69"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Control share acquisitions</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6" w:lineRule="exact"/>
        <w:rPr>
          <w:sz w:val="20"/>
          <w:szCs w:val="20"/>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one-tenth or more but less than one-third;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one-third or more but less than a majority;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majority or more of all voting power.</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2" w:lineRule="exact"/>
        <w:rPr>
          <w:sz w:val="20"/>
          <w:szCs w:val="20"/>
          <w:color w:val="auto"/>
        </w:rPr>
      </w:pPr>
    </w:p>
    <w:p>
      <w:pPr>
        <w:ind w:right="340" w:firstLine="456"/>
        <w:spacing w:after="0" w:line="233" w:lineRule="auto"/>
        <w:rPr>
          <w:sz w:val="20"/>
          <w:szCs w:val="20"/>
          <w:color w:val="auto"/>
        </w:rPr>
      </w:pPr>
      <w:r>
        <w:rPr>
          <w:rFonts w:ascii="Arial" w:cs="Arial" w:eastAsia="Arial" w:hAnsi="Arial"/>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58"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41"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58" w:lineRule="exact"/>
        <w:rPr>
          <w:sz w:val="20"/>
          <w:szCs w:val="20"/>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person who beneficially owns 10% or more of the voting power of the corporation’s shares; or</w:t>
      </w:r>
    </w:p>
    <w:p>
      <w:pPr>
        <w:spacing w:after="0" w:line="55"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8"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8" w:lineRule="exact"/>
        <w:rPr>
          <w:sz w:val="20"/>
          <w:szCs w:val="20"/>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80% of the votes entitled to be cast by holders of outstanding shares of voting stock of the corporation; and</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58"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58"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Conflict with 1940 Act</w:t>
      </w:r>
    </w:p>
    <w:p>
      <w:pPr>
        <w:spacing w:after="0" w:line="69"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PREFERRED STOCK</w:t>
      </w:r>
    </w:p>
    <w:p>
      <w:pPr>
        <w:spacing w:after="0" w:line="152"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any series of preferred stock that we may issue, our board of directors will determine and the prospectus supplement relating to such series will describe:</w:t>
      </w:r>
    </w:p>
    <w:p>
      <w:pPr>
        <w:spacing w:after="0" w:line="69" w:lineRule="exact"/>
        <w:rPr>
          <w:sz w:val="20"/>
          <w:szCs w:val="20"/>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designation and number of shares of such series;</w:t>
      </w:r>
    </w:p>
    <w:p>
      <w:pPr>
        <w:spacing w:after="0" w:line="55" w:lineRule="exact"/>
        <w:rPr>
          <w:rFonts w:ascii="Arial" w:cs="Arial" w:eastAsia="Arial" w:hAnsi="Arial"/>
          <w:sz w:val="14"/>
          <w:szCs w:val="14"/>
          <w:color w:val="auto"/>
        </w:rPr>
      </w:pPr>
    </w:p>
    <w:p>
      <w:pPr>
        <w:ind w:left="540" w:right="40" w:hanging="316"/>
        <w:spacing w:after="0" w:line="239"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provisions relating to convertibility or exchangeability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rights and preferences, if any, of holders of shares of such series upon our liquidation, dissolution or winding up of our affairs;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voting powers, if any, of the holders of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provisions relating to the redemption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limitations on our ability to pay dividends or make distributions on, or acquire or redeem, other securities while shares of such series are outstanding;</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conditions or restrictions on our ability to issue additional shares of such series or other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other relative power, preferences and participating, optional or special rights of shares of such series, and the qualifications, limitations or restrictions thereof.</w:t>
      </w:r>
    </w:p>
    <w:p>
      <w:pPr>
        <w:spacing w:after="0" w:line="150"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WARRANTS</w:t>
      </w:r>
    </w:p>
    <w:p>
      <w:pPr>
        <w:spacing w:after="0" w:line="152"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3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prospectus supplement will describe the particular terms of any series of warrants we may issue, including the following:</w:t>
      </w:r>
    </w:p>
    <w:p>
      <w:pPr>
        <w:spacing w:after="0" w:line="69" w:lineRule="exact"/>
        <w:rPr>
          <w:sz w:val="20"/>
          <w:szCs w:val="20"/>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title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aggregate number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price or prices at which such warrants will be issued;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currency or currencies, including composite currencies, in which the price of such warrants may be payable;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if applicable, the designation and terms of the securities with which the warrants are issued and the number of warrants issued with each such security or each principal amount of such security;</w:t>
      </w:r>
    </w:p>
    <w:p>
      <w:pPr>
        <w:spacing w:after="0" w:line="78" w:lineRule="exact"/>
        <w:rPr>
          <w:rFonts w:ascii="Arial" w:cs="Arial" w:eastAsia="Arial" w:hAnsi="Arial"/>
          <w:sz w:val="12"/>
          <w:szCs w:val="12"/>
          <w:color w:val="auto"/>
        </w:rPr>
      </w:pPr>
    </w:p>
    <w:p>
      <w:pPr>
        <w:ind w:left="540" w:right="300" w:hanging="316"/>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3" w:lineRule="exact"/>
        <w:rPr>
          <w:rFonts w:ascii="Arial" w:cs="Arial" w:eastAsia="Arial" w:hAnsi="Arial"/>
          <w:sz w:val="14"/>
          <w:szCs w:val="14"/>
          <w:color w:val="auto"/>
        </w:rPr>
      </w:pPr>
    </w:p>
    <w:p>
      <w:pPr>
        <w:ind w:left="540" w:right="200" w:hanging="316"/>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date on which the right to exercise such warrants shall commence and the date on which such right will expire;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whether such warrants will be issued in registered form or bearer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the minimum or maximum amount of such warrants which may be exercised at any one time;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the date on and after which such warrants and the related securities will be separately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information with respect to book-entry procedures,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terms of the securities issuable upon exercise of the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other terms of such warrants, including terms, procedures and limitations relating to the exchange and exercise of such warrants.</w:t>
      </w:r>
    </w:p>
    <w:p>
      <w:pPr>
        <w:spacing w:after="0" w:line="150"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3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1"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SUBSCRIPTION RIGHTS</w:t>
      </w:r>
    </w:p>
    <w:p>
      <w:pPr>
        <w:spacing w:after="0" w:line="152"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applicable prospectus supplement would describe the following terms of subscription rights in respect of which this prospectus is being delivered:</w:t>
      </w:r>
    </w:p>
    <w:p>
      <w:pPr>
        <w:spacing w:after="0" w:line="69" w:lineRule="exact"/>
        <w:rPr>
          <w:sz w:val="20"/>
          <w:szCs w:val="20"/>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title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exercise price or a formula for the determination of the exercise price for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number or a formula for the determination of the number of such subscription rights issued to each stockholder;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extent to which such subscription rights are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a discussion of the material U.S. federal income tax considerations applicable to the issuance or exercise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date on which the right to exercise such subscription rights would commence, and the date on which such rights shall expire (subject to any extension);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extent to which such subscription rights include an over-subscription privilege with respect to unsubscribed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the material terms of any standby underwriting or other purchase arrangement that we may enter into in connection with the subscription rights offering;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any other terms of such subscription rights, including terms, procedures and limitations relating to the exchange and exercise of such subscription rights.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of Subscription Rights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3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DEBT SECURITIES</w:t>
      </w:r>
    </w:p>
    <w:p>
      <w:pPr>
        <w:spacing w:after="0" w:line="15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7"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prospectus supplement, which will accompany this prospectus, will describe the particular series of debt securities being offered by including:</w:t>
      </w:r>
    </w:p>
    <w:p>
      <w:pPr>
        <w:spacing w:after="0" w:line="55" w:lineRule="exact"/>
        <w:rPr>
          <w:sz w:val="20"/>
          <w:szCs w:val="20"/>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designation or title of the series of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total principal amount of the series of debt securities and whether or not the offering may be reopened for additional securities of that series and on what terms;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percentage of the principal amount at which the series of debt securities will be offered;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date or dates on which principal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rate or rates (which may be either fixed or variable) and/or the method of determining such rate or rates of interest,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date or dates from which any interest will accrue, or the method of determining such date or dates, and the date or dates on which any interest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terms for redemption, extension or early repayment,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currencies in which the series of debt securities are issued and payable;</w:t>
      </w:r>
    </w:p>
    <w:p>
      <w:pPr>
        <w:spacing w:after="0" w:line="14"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place or places, if any, other than or in addition to The City of New York, of payment, transfer, conversion and/or exchange of the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denominations in which the offered debt securities will be issued;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provision for any sinking fund;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restrictive covenants;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Events of Default;</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the series of debt securities are issuable in certificated form;</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provisions for defeasance or covenant defeasance;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special federal income tax implications, including, if applicable, federal income tax considerations relating to original issue discount;</w:t>
      </w:r>
    </w:p>
    <w:p>
      <w:pPr>
        <w:spacing w:after="0" w:line="1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provisions for convertibility or exchangeability of the debt securities into or for any other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the debt securities are subject to subordination and the terms of such subordination;</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listing, if any, on a securities exchange; and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other terms.</w:t>
      </w:r>
    </w:p>
    <w:p>
      <w:pPr>
        <w:spacing w:after="0" w:line="150"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The debt securities may be secured or unsecured obligations. Under the provisions of the 1940 Act, we are permitted, as a BDC,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71"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3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indenture does not contain any provisions that give you protection in the event we issue a large amount of debt or we are acquired by another entity.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58"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8"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and Exchange</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Registered Form</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Book-Entry Holders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1" w:lineRule="exact"/>
        <w:rPr>
          <w:sz w:val="20"/>
          <w:szCs w:val="20"/>
          <w:color w:val="auto"/>
        </w:rPr>
      </w:pPr>
    </w:p>
    <w:p>
      <w:pPr>
        <w:ind w:right="240" w:firstLine="456"/>
        <w:spacing w:after="0" w:line="230" w:lineRule="auto"/>
        <w:rPr>
          <w:sz w:val="20"/>
          <w:szCs w:val="20"/>
          <w:color w:val="auto"/>
        </w:rPr>
      </w:pPr>
      <w:r>
        <w:rPr>
          <w:rFonts w:ascii="Arial" w:cs="Arial" w:eastAsia="Arial" w:hAnsi="Arial"/>
          <w:sz w:val="14"/>
          <w:szCs w:val="14"/>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3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Street Name Holders</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39"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2"/>
          <w:szCs w:val="12"/>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Holders</w:t>
      </w:r>
    </w:p>
    <w:p>
      <w:pPr>
        <w:spacing w:after="0" w:line="69"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39"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3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Indirect Holders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you hold debt securities through a bank, broker or other financial institution, either in book-entry form or in street name, we urge you to check with that institution to find out:</w:t>
      </w:r>
    </w:p>
    <w:p>
      <w:pPr>
        <w:spacing w:after="0" w:line="69" w:lineRule="exact"/>
        <w:rPr>
          <w:sz w:val="20"/>
          <w:szCs w:val="20"/>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how it handles securities payments and notices;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it imposes fees or charges;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how it would handle a request for the holders’ consent, if ever required;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whether and how you can instruct it to send you debt securities registered in your own name so you can be a holder, if that is permitted in the future for a particular series of debt securities;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how it would exercise rights under the debt securities if there were a default or other event triggering the need for holders to act to protect their interests;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if the debt securities are in book-entry form, how the depositary’s rules and procedures will affect these matters.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Global Securities</w:t>
      </w:r>
    </w:p>
    <w:p>
      <w:pPr>
        <w:spacing w:after="0" w:line="7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39" w:lineRule="exact"/>
        <w:rPr>
          <w:sz w:val="20"/>
          <w:szCs w:val="20"/>
          <w:color w:val="auto"/>
        </w:rPr>
      </w:pPr>
    </w:p>
    <w:p>
      <w:pPr>
        <w:jc w:val="both"/>
        <w:ind w:right="200" w:firstLine="456"/>
        <w:spacing w:after="0" w:line="233" w:lineRule="auto"/>
        <w:rPr>
          <w:sz w:val="20"/>
          <w:szCs w:val="20"/>
          <w:color w:val="auto"/>
        </w:rPr>
      </w:pPr>
      <w:r>
        <w:rPr>
          <w:rFonts w:ascii="Arial" w:cs="Arial" w:eastAsia="Arial" w:hAnsi="Arial"/>
          <w:sz w:val="14"/>
          <w:szCs w:val="14"/>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3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Global Securities</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debt securities are issued only in the form of a global security, an investor should be aware of the following:</w:t>
      </w:r>
    </w:p>
    <w:p>
      <w:pPr>
        <w:spacing w:after="0" w:line="69" w:lineRule="exact"/>
        <w:rPr>
          <w:sz w:val="20"/>
          <w:szCs w:val="20"/>
          <w:color w:val="auto"/>
        </w:rPr>
      </w:pPr>
    </w:p>
    <w:p>
      <w:pPr>
        <w:ind w:left="540" w:right="34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43" w:lineRule="exact"/>
        <w:rPr>
          <w:rFonts w:ascii="Arial" w:cs="Arial" w:eastAsia="Arial" w:hAnsi="Arial"/>
          <w:sz w:val="14"/>
          <w:szCs w:val="14"/>
          <w:color w:val="auto"/>
        </w:rPr>
      </w:pPr>
    </w:p>
    <w:p>
      <w:pPr>
        <w:ind w:left="540" w:right="28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 investor may not be able to sell interests in the debt securities to some insurance companies and other institutions that are required by law to own their securities in non-book-entry form;</w:t>
      </w:r>
    </w:p>
    <w:p>
      <w:pPr>
        <w:spacing w:after="0" w:line="78" w:lineRule="exact"/>
        <w:rPr>
          <w:rFonts w:ascii="Arial" w:cs="Arial" w:eastAsia="Arial" w:hAnsi="Arial"/>
          <w:sz w:val="12"/>
          <w:szCs w:val="12"/>
          <w:color w:val="auto"/>
        </w:rPr>
      </w:pPr>
    </w:p>
    <w:p>
      <w:pPr>
        <w:ind w:left="540" w:right="2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43" w:lineRule="exact"/>
        <w:rPr>
          <w:rFonts w:ascii="Arial" w:cs="Arial" w:eastAsia="Arial" w:hAnsi="Arial"/>
          <w:sz w:val="14"/>
          <w:szCs w:val="14"/>
          <w:color w:val="auto"/>
        </w:rPr>
      </w:pPr>
    </w:p>
    <w:p>
      <w:pPr>
        <w:ind w:left="540" w:right="260" w:hanging="316"/>
        <w:spacing w:after="0" w:line="317" w:lineRule="auto"/>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ind w:left="540" w:hanging="316"/>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if we redeem less than all the debt securities of a particular series being redeemed, DTC’s practice is to determine by lot the amount to be redeemed from each of its participants holding that series;</w:t>
      </w:r>
    </w:p>
    <w:p>
      <w:pPr>
        <w:spacing w:after="0" w:line="78" w:lineRule="exact"/>
        <w:rPr>
          <w:rFonts w:ascii="Arial" w:cs="Arial" w:eastAsia="Arial" w:hAnsi="Arial"/>
          <w:sz w:val="12"/>
          <w:szCs w:val="12"/>
          <w:color w:val="auto"/>
        </w:rPr>
      </w:pPr>
    </w:p>
    <w:p>
      <w:pPr>
        <w:ind w:left="540" w:right="40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3" w:lineRule="exact"/>
        <w:rPr>
          <w:rFonts w:ascii="Arial" w:cs="Arial" w:eastAsia="Arial" w:hAnsi="Arial"/>
          <w:sz w:val="14"/>
          <w:szCs w:val="14"/>
          <w:color w:val="auto"/>
        </w:rPr>
      </w:pPr>
    </w:p>
    <w:p>
      <w:pPr>
        <w:ind w:left="540" w:right="46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3" w:lineRule="exact"/>
        <w:rPr>
          <w:rFonts w:ascii="Arial" w:cs="Arial" w:eastAsia="Arial" w:hAnsi="Arial"/>
          <w:sz w:val="14"/>
          <w:szCs w:val="14"/>
          <w:color w:val="auto"/>
        </w:rPr>
      </w:pPr>
    </w:p>
    <w:p>
      <w:pPr>
        <w:ind w:left="540" w:right="100" w:hanging="316"/>
        <w:spacing w:after="0" w:line="233"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Situations when a Global Security Will Be Terminated</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special situations for termination of a global security are as follows:</w:t>
      </w:r>
    </w:p>
    <w:p>
      <w:pPr>
        <w:spacing w:after="0" w:line="69" w:lineRule="exact"/>
        <w:rPr>
          <w:sz w:val="20"/>
          <w:szCs w:val="20"/>
          <w:color w:val="auto"/>
        </w:rPr>
      </w:pPr>
    </w:p>
    <w:p>
      <w:pPr>
        <w:ind w:left="540" w:hanging="316"/>
        <w:spacing w:after="0"/>
        <w:tabs>
          <w:tab w:leader="none" w:pos="5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if the depositary notifies us that it is unwilling, unable or no longer qualified to continue as depositary for that global security, and we are unable to appoint another institution to act as depositary;</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if we notify the trustee that we wish to terminate that global security; or</w:t>
      </w:r>
    </w:p>
    <w:p>
      <w:pPr>
        <w:spacing w:after="0" w:line="55" w:lineRule="exact"/>
        <w:rPr>
          <w:rFonts w:ascii="Arial" w:cs="Arial" w:eastAsia="Arial" w:hAnsi="Arial"/>
          <w:sz w:val="14"/>
          <w:szCs w:val="14"/>
          <w:color w:val="auto"/>
        </w:rPr>
      </w:pPr>
    </w:p>
    <w:p>
      <w:pPr>
        <w:ind w:left="540" w:right="38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20"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and Paying Agents</w:t>
      </w:r>
    </w:p>
    <w:p>
      <w:pPr>
        <w:spacing w:after="0" w:line="71" w:lineRule="exact"/>
        <w:rPr>
          <w:sz w:val="20"/>
          <w:szCs w:val="20"/>
          <w:color w:val="auto"/>
        </w:rPr>
      </w:pPr>
    </w:p>
    <w:p>
      <w:pPr>
        <w:jc w:val="both"/>
        <w:ind w:right="40" w:firstLine="456"/>
        <w:spacing w:after="0" w:line="278" w:lineRule="auto"/>
        <w:rPr>
          <w:sz w:val="20"/>
          <w:szCs w:val="20"/>
          <w:color w:val="auto"/>
        </w:rPr>
      </w:pPr>
      <w:r>
        <w:rPr>
          <w:rFonts w:ascii="Arial" w:cs="Arial" w:eastAsia="Arial" w:hAnsi="Arial"/>
          <w:sz w:val="12"/>
          <w:szCs w:val="12"/>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Global Securities</w:t>
      </w:r>
    </w:p>
    <w:p>
      <w:pPr>
        <w:spacing w:after="0" w:line="69" w:lineRule="exact"/>
        <w:rPr>
          <w:sz w:val="20"/>
          <w:szCs w:val="20"/>
          <w:color w:val="auto"/>
        </w:rPr>
      </w:pPr>
    </w:p>
    <w:p>
      <w:pPr>
        <w:jc w:val="both"/>
        <w:ind w:right="420" w:firstLine="456"/>
        <w:spacing w:after="0" w:line="233" w:lineRule="auto"/>
        <w:rPr>
          <w:sz w:val="20"/>
          <w:szCs w:val="20"/>
          <w:color w:val="auto"/>
        </w:rPr>
      </w:pPr>
      <w:r>
        <w:rPr>
          <w:rFonts w:ascii="Arial" w:cs="Arial" w:eastAsia="Arial" w:hAnsi="Arial"/>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Certificated Securities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 When Offices Are Closed</w:t>
      </w:r>
    </w:p>
    <w:p>
      <w:pPr>
        <w:spacing w:after="0" w:line="69"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Book-entry and other indirect holders should consult their banks or brokers for information on how they will receive payments on their debt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Events of Default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You will have rights if an Event of Default occurs in respect of the debt securities of your series and is not cured, as described later in this subsection.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term “Event of Default” in respect of the debt securities of your series means any of the following:</w:t>
      </w:r>
    </w:p>
    <w:p>
      <w:pPr>
        <w:spacing w:after="0" w:line="69" w:lineRule="exact"/>
        <w:rPr>
          <w:sz w:val="20"/>
          <w:szCs w:val="20"/>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do not pay the principal of, or any premium on, a debt security of the series within five days of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do not pay interest on a debt security of the series within 30 days of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do not deposit any sinking fund payment in respect of debt securities of the series on its due date and we do not cure this default within five days;</w:t>
      </w:r>
    </w:p>
    <w:p>
      <w:pPr>
        <w:spacing w:after="0" w:line="55" w:lineRule="exact"/>
        <w:rPr>
          <w:rFonts w:ascii="Arial" w:cs="Arial" w:eastAsia="Arial" w:hAnsi="Arial"/>
          <w:sz w:val="14"/>
          <w:szCs w:val="14"/>
          <w:color w:val="auto"/>
        </w:rPr>
      </w:pPr>
    </w:p>
    <w:p>
      <w:pPr>
        <w:ind w:left="540" w:right="80" w:hanging="316"/>
        <w:spacing w:after="0" w:line="239"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file for bankruptcy or certain other events of bankruptcy, insolvency or reorganization occur;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other Event of Default in respect of debt securities of the series described in the prospectus supplement occurs.</w:t>
      </w:r>
    </w:p>
    <w:p>
      <w:pPr>
        <w:spacing w:after="0" w:line="150"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Remedies if an Event of Default Occurs</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40" w:firstLine="456"/>
        <w:spacing w:after="0" w:line="278" w:lineRule="auto"/>
        <w:rPr>
          <w:sz w:val="20"/>
          <w:szCs w:val="20"/>
          <w:color w:val="auto"/>
        </w:rPr>
      </w:pPr>
      <w:r>
        <w:rPr>
          <w:rFonts w:ascii="Arial" w:cs="Arial" w:eastAsia="Arial" w:hAnsi="Arial"/>
          <w:sz w:val="12"/>
          <w:szCs w:val="12"/>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7"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8" w:lineRule="exact"/>
        <w:rPr>
          <w:sz w:val="20"/>
          <w:szCs w:val="20"/>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you must give the trustee written notice that an Event of Default has occurred and remains uncured;</w:t>
      </w:r>
    </w:p>
    <w:p>
      <w:pPr>
        <w:spacing w:after="0" w:line="55" w:lineRule="exact"/>
        <w:rPr>
          <w:rFonts w:ascii="Arial" w:cs="Arial" w:eastAsia="Arial" w:hAnsi="Arial"/>
          <w:sz w:val="14"/>
          <w:szCs w:val="14"/>
          <w:color w:val="auto"/>
        </w:rPr>
      </w:pPr>
    </w:p>
    <w:p>
      <w:pPr>
        <w:ind w:left="540" w:right="360" w:hanging="316"/>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trustee must not have taken action for 60 days after receipt of the above notice and offer of indemnity;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holders of a majority in principal amount of the debt securities must not have given the trustee a direction inconsistent with the above notice during that 60-day period.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However, you are entitled at any time to bring a lawsuit for the payment of money due on your debt securities on or after the due date.</w:t>
      </w:r>
    </w:p>
    <w:p>
      <w:pPr>
        <w:spacing w:after="0" w:line="148" w:lineRule="exact"/>
        <w:rPr>
          <w:sz w:val="20"/>
          <w:szCs w:val="20"/>
          <w:color w:val="auto"/>
        </w:rPr>
      </w:pPr>
    </w:p>
    <w:p>
      <w:pPr>
        <w:ind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3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Waiver of Default</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Merger or Consolidation</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8" w:lineRule="exact"/>
        <w:rPr>
          <w:sz w:val="20"/>
          <w:szCs w:val="20"/>
          <w:color w:val="auto"/>
        </w:rPr>
      </w:pPr>
    </w:p>
    <w:p>
      <w:pPr>
        <w:ind w:left="540" w:right="40" w:hanging="316"/>
        <w:spacing w:after="0" w:line="278" w:lineRule="auto"/>
        <w:tabs>
          <w:tab w:leader="none" w:pos="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5" w:lineRule="exact"/>
        <w:rPr>
          <w:rFonts w:ascii="Arial" w:cs="Arial" w:eastAsia="Arial" w:hAnsi="Arial"/>
          <w:sz w:val="12"/>
          <w:szCs w:val="12"/>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alternatively, we must be the surviving company;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immediately after the transaction no event of default will exist;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must deliver certain certificates and documents to the trustee;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must satisfy any other requirements specified in the prospectus supplement relating to a particular series of debt securities.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or Waiver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are three types of changes we can make to the indenture and the debt securities issued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Your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First, there are changes that we cannot make to your debt securities without your specific approval. The following is a list of those types of changes:</w:t>
      </w:r>
    </w:p>
    <w:p>
      <w:pPr>
        <w:spacing w:after="0" w:line="55" w:lineRule="exact"/>
        <w:rPr>
          <w:sz w:val="20"/>
          <w:szCs w:val="20"/>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change the stated maturity of the principal of or interest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any amounts due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the amount of principal payable upon acceleration of the maturity of a security following a default;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at any time after a change of control has occurred, reduce the premium payable upon a change of control;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change the place or currency of payment on a debt security (except as otherwise described in the prospectus or prospectus supplement);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impair your right to sue for payment;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adversely affect any right to convert or exchange a debt security in accordance with its terms;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modify or amend the indenture;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waive compliance with certain provisions of the indenture or to waive certain defaults;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change any obligation we have to pay additional amounts.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Not Requiring Approval</w:t>
      </w:r>
    </w:p>
    <w:p>
      <w:pPr>
        <w:spacing w:after="0" w:line="69"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Majority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other change to the indenture and the debt securities would require the following approval:</w:t>
      </w:r>
    </w:p>
    <w:p>
      <w:pPr>
        <w:spacing w:after="0" w:line="55" w:lineRule="exact"/>
        <w:rPr>
          <w:sz w:val="20"/>
          <w:szCs w:val="20"/>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if the change affects only one series of debt securities, it must be approved by the holders of a majority in principal amount of that series; and</w:t>
      </w:r>
    </w:p>
    <w:p>
      <w:pPr>
        <w:spacing w:after="0" w:line="55" w:lineRule="exact"/>
        <w:rPr>
          <w:rFonts w:ascii="Arial" w:cs="Arial" w:eastAsia="Arial" w:hAnsi="Arial"/>
          <w:sz w:val="14"/>
          <w:szCs w:val="14"/>
          <w:color w:val="auto"/>
        </w:rPr>
      </w:pPr>
    </w:p>
    <w:p>
      <w:pPr>
        <w:ind w:left="540" w:right="180" w:hanging="316"/>
        <w:spacing w:after="0" w:line="239"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each case, the required approval must be given by written consent.</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 Modification or Waiver—Changes Requiring Your Approval.”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80"/>
          </w:cols>
          <w:pgMar w:left="240" w:top="459" w:right="3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Further Details Concerning Voting</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When taking a vote, we will use the following rules to decide how much principal to attribute to a debt security:</w:t>
      </w:r>
    </w:p>
    <w:p>
      <w:pPr>
        <w:spacing w:after="0" w:line="69" w:lineRule="exact"/>
        <w:rPr>
          <w:sz w:val="20"/>
          <w:szCs w:val="20"/>
          <w:color w:val="auto"/>
        </w:rPr>
      </w:pPr>
    </w:p>
    <w:p>
      <w:pPr>
        <w:ind w:left="540" w:right="40" w:hanging="316"/>
        <w:spacing w:after="0" w:line="239" w:lineRule="auto"/>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original issue discount securities, we will use the principal amount that would be due and payable on the voting date if the maturity of these debt securities were accelerated to that date because of a default;</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for debt securities whose principal amount is not known (for example, because it is based on an index), we will use a special rule for that debt security described in the prospectus supplement; and</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debt securities denominated in one or more foreign currencies, we will use the U.S. dollar equivalent.</w:t>
      </w:r>
    </w:p>
    <w:p>
      <w:pPr>
        <w:spacing w:after="0" w:line="15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8" w:lineRule="exact"/>
        <w:rPr>
          <w:sz w:val="20"/>
          <w:szCs w:val="20"/>
          <w:color w:val="auto"/>
        </w:rPr>
      </w:pPr>
    </w:p>
    <w:p>
      <w:pPr>
        <w:ind w:right="460"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Defeasance</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Covenant Defeasance</w:t>
      </w:r>
    </w:p>
    <w:p>
      <w:pPr>
        <w:spacing w:after="0" w:line="69"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58" w:lineRule="exact"/>
        <w:rPr>
          <w:sz w:val="20"/>
          <w:szCs w:val="20"/>
          <w:color w:val="auto"/>
        </w:rPr>
      </w:pPr>
    </w:p>
    <w:p>
      <w:pPr>
        <w:ind w:left="540" w:right="100" w:hanging="316"/>
        <w:spacing w:after="0" w:line="317" w:lineRule="auto"/>
        <w:tabs>
          <w:tab w:leader="none" w:pos="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ind w:left="540" w:right="120" w:hanging="316"/>
        <w:spacing w:after="0" w:line="239"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Full Defeasance</w:t>
      </w:r>
    </w:p>
    <w:p>
      <w:pPr>
        <w:spacing w:after="0" w:line="69" w:lineRule="exact"/>
        <w:rPr>
          <w:sz w:val="20"/>
          <w:szCs w:val="20"/>
          <w:color w:val="auto"/>
        </w:rPr>
      </w:pPr>
    </w:p>
    <w:p>
      <w:pPr>
        <w:ind w:right="660" w:firstLine="456"/>
        <w:spacing w:after="0" w:line="239" w:lineRule="auto"/>
        <w:rPr>
          <w:sz w:val="20"/>
          <w:szCs w:val="20"/>
          <w:color w:val="auto"/>
        </w:rPr>
      </w:pPr>
      <w:r>
        <w:rPr>
          <w:rFonts w:ascii="Arial" w:cs="Arial" w:eastAsia="Arial" w:hAnsi="Arial"/>
          <w:sz w:val="14"/>
          <w:szCs w:val="14"/>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8" w:lineRule="exact"/>
        <w:rPr>
          <w:sz w:val="20"/>
          <w:szCs w:val="20"/>
          <w:color w:val="auto"/>
        </w:rPr>
      </w:pPr>
    </w:p>
    <w:p>
      <w:pPr>
        <w:ind w:left="540" w:right="100" w:hanging="316"/>
        <w:spacing w:after="0" w:line="317" w:lineRule="auto"/>
        <w:tabs>
          <w:tab w:leader="none" w:pos="5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ind w:left="540" w:right="80" w:hanging="316"/>
        <w:spacing w:after="0" w:line="278" w:lineRule="auto"/>
        <w:tabs>
          <w:tab w:leader="none" w:pos="5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2" w:lineRule="exact"/>
        <w:rPr>
          <w:rFonts w:ascii="Arial" w:cs="Arial" w:eastAsia="Arial" w:hAnsi="Arial"/>
          <w:sz w:val="12"/>
          <w:szCs w:val="12"/>
          <w:color w:val="auto"/>
        </w:rPr>
      </w:pPr>
    </w:p>
    <w:p>
      <w:pPr>
        <w:ind w:left="540" w:right="540" w:hanging="316"/>
        <w:spacing w:after="0" w:line="239"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 Exchange and Transfer of Certificated Registered Securities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registered debt securities cease to be issued in book-entry form, they will be issued:</w:t>
      </w:r>
    </w:p>
    <w:p>
      <w:pPr>
        <w:spacing w:after="0" w:line="55" w:lineRule="exact"/>
        <w:rPr>
          <w:sz w:val="20"/>
          <w:szCs w:val="20"/>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only in fully registered certificated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without interest coupons;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unless we indicate otherwise in the prospectus supplement, in denominations of $1,000 and amounts that are multiples of $1,000.</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Holders may exchange their certificated securities for debt securities of smaller denominations or combined into fewer debt securities of larger denominations, as long as the total principal amount is not changed.</w:t>
      </w:r>
    </w:p>
    <w:p>
      <w:pPr>
        <w:spacing w:after="0" w:line="139"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3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3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Resignation of Trustee</w:t>
      </w:r>
    </w:p>
    <w:p>
      <w:pPr>
        <w:spacing w:after="0" w:line="71"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Indenture Provisions—Subordination</w:t>
      </w:r>
    </w:p>
    <w:p>
      <w:pPr>
        <w:spacing w:after="0" w:line="7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By reason of this subordination, in the event of a distribution of our assets upon our insolvency, certain of our senior creditors may recover more, ratably, than holders of any subordinated debt securities.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 indenture provides that these subordination provisions will not apply to money and securities held in trust under the defeasance provisions of the indenture.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Indebtedness is defined in the indenture as the principal of (and premium, if any) and unpaid interest on:</w:t>
      </w:r>
    </w:p>
    <w:p>
      <w:pPr>
        <w:spacing w:after="0" w:line="69" w:lineRule="exact"/>
        <w:rPr>
          <w:sz w:val="20"/>
          <w:szCs w:val="20"/>
          <w:color w:val="auto"/>
        </w:rPr>
      </w:pPr>
    </w:p>
    <w:p>
      <w:pPr>
        <w:ind w:left="540" w:right="100" w:hanging="316"/>
        <w:spacing w:after="0" w:line="233"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4" w:lineRule="exact"/>
        <w:rPr>
          <w:rFonts w:ascii="Arial" w:cs="Arial" w:eastAsia="Arial" w:hAnsi="Arial"/>
          <w:sz w:val="14"/>
          <w:szCs w:val="14"/>
          <w:color w:val="auto"/>
        </w:rPr>
      </w:pPr>
    </w:p>
    <w:p>
      <w:pPr>
        <w:ind w:left="540" w:hanging="316"/>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renewals, extensions, modifications and refinancings of any of this indebtedness.</w:t>
      </w:r>
    </w:p>
    <w:p>
      <w:pPr>
        <w:spacing w:after="0" w:line="150"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Trustee under the Indenture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use American Stock Transfer &amp; Trust Company, LLC to serve as the trustee under the indenture.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Considerations Relating to Foreign Currencies</w:t>
      </w:r>
    </w:p>
    <w:p>
      <w:pPr>
        <w:spacing w:after="0" w:line="71"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REGULATION</w:t>
      </w:r>
    </w:p>
    <w:p>
      <w:pPr>
        <w:spacing w:after="0" w:line="15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Qualifying Assets</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2" w:lineRule="exact"/>
        <w:rPr>
          <w:sz w:val="20"/>
          <w:szCs w:val="20"/>
          <w:color w:val="auto"/>
        </w:rPr>
      </w:pPr>
    </w:p>
    <w:p>
      <w:pPr>
        <w:ind w:left="680" w:right="20" w:hanging="334"/>
        <w:spacing w:after="0" w:line="233" w:lineRule="auto"/>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4" w:lineRule="exact"/>
        <w:rPr>
          <w:rFonts w:ascii="Arial" w:cs="Arial" w:eastAsia="Arial" w:hAnsi="Arial"/>
          <w:sz w:val="14"/>
          <w:szCs w:val="14"/>
          <w:color w:val="auto"/>
        </w:rPr>
      </w:pPr>
    </w:p>
    <w:p>
      <w:pPr>
        <w:ind w:left="1380" w:hanging="346"/>
        <w:spacing w:after="0"/>
        <w:tabs>
          <w:tab w:leader="none" w:pos="13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55" w:lineRule="exact"/>
        <w:rPr>
          <w:rFonts w:ascii="Arial" w:cs="Arial" w:eastAsia="Arial" w:hAnsi="Arial"/>
          <w:sz w:val="14"/>
          <w:szCs w:val="14"/>
          <w:color w:val="auto"/>
        </w:rPr>
      </w:pPr>
    </w:p>
    <w:p>
      <w:pPr>
        <w:ind w:left="1380" w:hanging="346"/>
        <w:spacing w:after="0" w:line="239" w:lineRule="auto"/>
        <w:tabs>
          <w:tab w:leader="none" w:pos="13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3" w:lineRule="exact"/>
        <w:rPr>
          <w:rFonts w:ascii="Arial" w:cs="Arial" w:eastAsia="Arial" w:hAnsi="Arial"/>
          <w:sz w:val="14"/>
          <w:szCs w:val="14"/>
          <w:color w:val="auto"/>
        </w:rPr>
      </w:pPr>
    </w:p>
    <w:p>
      <w:pPr>
        <w:ind w:left="1380" w:right="520" w:hanging="346"/>
        <w:spacing w:after="0" w:line="239" w:lineRule="auto"/>
        <w:tabs>
          <w:tab w:leader="none" w:pos="13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43" w:lineRule="exact"/>
        <w:rPr>
          <w:rFonts w:ascii="Arial" w:cs="Arial" w:eastAsia="Arial" w:hAnsi="Arial"/>
          <w:sz w:val="14"/>
          <w:szCs w:val="14"/>
          <w:color w:val="auto"/>
        </w:rPr>
      </w:pPr>
    </w:p>
    <w:p>
      <w:pPr>
        <w:ind w:left="680" w:hanging="334"/>
        <w:spacing w:after="0"/>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55" w:lineRule="exact"/>
        <w:rPr>
          <w:rFonts w:ascii="Arial" w:cs="Arial" w:eastAsia="Arial" w:hAnsi="Arial"/>
          <w:sz w:val="14"/>
          <w:szCs w:val="14"/>
          <w:color w:val="auto"/>
        </w:rPr>
      </w:pPr>
    </w:p>
    <w:p>
      <w:pPr>
        <w:ind w:left="680" w:right="60" w:hanging="334"/>
        <w:spacing w:after="0" w:line="233" w:lineRule="auto"/>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44" w:lineRule="exact"/>
        <w:rPr>
          <w:rFonts w:ascii="Arial" w:cs="Arial" w:eastAsia="Arial" w:hAnsi="Arial"/>
          <w:sz w:val="14"/>
          <w:szCs w:val="14"/>
          <w:color w:val="auto"/>
        </w:rPr>
      </w:pPr>
    </w:p>
    <w:p>
      <w:pPr>
        <w:ind w:left="680" w:right="60" w:hanging="334"/>
        <w:spacing w:after="0" w:line="239" w:lineRule="auto"/>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43" w:lineRule="exact"/>
        <w:rPr>
          <w:rFonts w:ascii="Arial" w:cs="Arial" w:eastAsia="Arial" w:hAnsi="Arial"/>
          <w:sz w:val="14"/>
          <w:szCs w:val="14"/>
          <w:color w:val="auto"/>
        </w:rPr>
      </w:pPr>
    </w:p>
    <w:p>
      <w:pPr>
        <w:ind w:left="680" w:hanging="334"/>
        <w:spacing w:after="0"/>
        <w:tabs>
          <w:tab w:leader="none" w:pos="6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78" w:lineRule="exact"/>
        <w:rPr>
          <w:rFonts w:ascii="Arial" w:cs="Arial" w:eastAsia="Arial" w:hAnsi="Arial"/>
          <w:sz w:val="12"/>
          <w:szCs w:val="12"/>
          <w:color w:val="auto"/>
        </w:rPr>
      </w:pPr>
    </w:p>
    <w:p>
      <w:pPr>
        <w:ind w:left="680" w:hanging="334"/>
        <w:spacing w:after="0"/>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Managerial Assistance to Portfolio Companies</w:t>
      </w:r>
    </w:p>
    <w:p>
      <w:pPr>
        <w:spacing w:after="0" w:line="71"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Temporary Investments</w:t>
      </w:r>
    </w:p>
    <w:p>
      <w:pPr>
        <w:spacing w:after="0" w:line="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Securities</w:t>
      </w:r>
    </w:p>
    <w:p>
      <w:pPr>
        <w:spacing w:after="0" w:line="7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will affect our ability to, and the way in which we, raise additional capital.”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Joint Code of Ethics and Code of Conduct</w:t>
      </w:r>
    </w:p>
    <w:p>
      <w:pPr>
        <w:spacing w:after="0" w:line="7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 xml:space="preserve">We and PennantPark Investment Advisers have adopted a joint code of ethics pursuant to Rule 17j-1 under the 1940 Act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You may also obtain a copy of our joint code of ethics, after paying a duplicating fee, by electronic request at the following email address: publicinfo@sec.gov, or by writing the SEC’s Public Reference Section, 100 F Street, N.E., Washington, D.C. 20549.</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Voting Policies and Procedures</w:t>
      </w:r>
    </w:p>
    <w:p>
      <w:pPr>
        <w:spacing w:after="0" w:line="71" w:lineRule="exact"/>
        <w:rPr>
          <w:sz w:val="20"/>
          <w:szCs w:val="20"/>
          <w:color w:val="auto"/>
        </w:rPr>
      </w:pPr>
    </w:p>
    <w:p>
      <w:pPr>
        <w:ind w:right="200" w:firstLine="456"/>
        <w:spacing w:after="0" w:line="233"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Introduction</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Policies</w:t>
      </w:r>
    </w:p>
    <w:p>
      <w:pPr>
        <w:spacing w:after="0" w:line="69"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proxy voting decisions are made by the senior officers who are responsible for monitoring each of clients’ investments. To ensure that our vote is not the product of a conflict of interest, we require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that: (1) anyone involved in the decision making process disclose to our Chief Compliance Officer any potential conflict that he or she is aware of and any contact that he or she has had with any interested party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regarding a proxy vote; and (2) employees involved in the decision making process or vote administration are prohibited from revealing how we intend to vote on a proposal in order to reduce any attempted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Voting Records</w:t>
      </w:r>
    </w:p>
    <w:p>
      <w:pPr>
        <w:spacing w:after="0" w:line="69" w:lineRule="exact"/>
        <w:rPr>
          <w:sz w:val="20"/>
          <w:szCs w:val="20"/>
          <w:color w:val="auto"/>
        </w:rPr>
      </w:pPr>
    </w:p>
    <w:p>
      <w:pPr>
        <w:ind w:right="140" w:firstLine="456"/>
        <w:spacing w:after="0" w:line="248" w:lineRule="auto"/>
        <w:rPr>
          <w:sz w:val="20"/>
          <w:szCs w:val="20"/>
          <w:color w:val="auto"/>
        </w:rPr>
      </w:pPr>
      <w:r>
        <w:rPr>
          <w:rFonts w:ascii="Arial" w:cs="Arial" w:eastAsia="Arial" w:hAnsi="Arial"/>
          <w:sz w:val="14"/>
          <w:szCs w:val="14"/>
          <w:color w:val="auto"/>
        </w:rPr>
        <w:t>You may obtain information about how we voted proxies by calling us collect at (212) 905-1000 or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New York 10022.</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Protection Principles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3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 xml:space="preserve">Our privacy protection policies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 addition, the privacy policy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filed as an exhibit to our annual report on Form 10-K (File No. 814-00891 filed on November 17, 2011). You may also obtain copies of our privacy policy, after paying a duplicating fee, by</w:t>
      </w:r>
      <w:r>
        <w:rPr>
          <w:rFonts w:ascii="Arial" w:cs="Arial" w:eastAsia="Arial" w:hAnsi="Arial"/>
          <w:sz w:val="12"/>
          <w:szCs w:val="12"/>
          <w:i w:val="1"/>
          <w:iCs w:val="1"/>
          <w:color w:val="auto"/>
        </w:rPr>
        <w:t xml:space="preserve"> </w:t>
      </w:r>
      <w:r>
        <w:rPr>
          <w:rFonts w:ascii="Arial" w:cs="Arial" w:eastAsia="Arial" w:hAnsi="Arial"/>
          <w:sz w:val="12"/>
          <w:szCs w:val="12"/>
          <w:color w:val="auto"/>
        </w:rPr>
        <w:t>electronic request at the following email address: publicinfo@sec.gov, or by writing the SEC’s Public Reference Section, 100 F Street, N.E., Washington, D.C. 20549.</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7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50" w:lineRule="exact"/>
        <w:rPr>
          <w:sz w:val="20"/>
          <w:szCs w:val="20"/>
          <w:color w:val="auto"/>
        </w:rPr>
      </w:pPr>
    </w:p>
    <w:p>
      <w:pPr>
        <w:jc w:val="both"/>
        <w:ind w:right="20" w:firstLine="456"/>
        <w:spacing w:after="0" w:line="233"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Sarbanes-Oxley Act of 2002</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Sarbanes-Oxley Act imposes several regulatory requirements on publicly held companies and their insiders. Many of these requirements affect us.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example:</w:t>
      </w:r>
    </w:p>
    <w:p>
      <w:pPr>
        <w:spacing w:after="0" w:line="69" w:lineRule="exact"/>
        <w:rPr>
          <w:sz w:val="20"/>
          <w:szCs w:val="20"/>
          <w:color w:val="auto"/>
        </w:rPr>
      </w:pPr>
    </w:p>
    <w:p>
      <w:pPr>
        <w:ind w:left="540" w:hanging="316"/>
        <w:spacing w:after="0"/>
        <w:tabs>
          <w:tab w:leader="none" w:pos="5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pursuant to Rule 13a-14 of the Exchange Act, our Chief Executive Officer and Chief Financial Officer must certify the accuracy of the financial statements contained in our periodic reports;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55" w:lineRule="exact"/>
        <w:rPr>
          <w:rFonts w:ascii="Arial" w:cs="Arial" w:eastAsia="Arial" w:hAnsi="Arial"/>
          <w:sz w:val="14"/>
          <w:szCs w:val="14"/>
          <w:color w:val="auto"/>
        </w:rPr>
      </w:pPr>
    </w:p>
    <w:p>
      <w:pPr>
        <w:ind w:left="540" w:right="180" w:hanging="316"/>
        <w:spacing w:after="0" w:line="239" w:lineRule="auto"/>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43" w:lineRule="exact"/>
        <w:rPr>
          <w:rFonts w:ascii="Arial" w:cs="Arial" w:eastAsia="Arial" w:hAnsi="Arial"/>
          <w:sz w:val="14"/>
          <w:szCs w:val="14"/>
          <w:color w:val="auto"/>
        </w:rPr>
      </w:pPr>
    </w:p>
    <w:p>
      <w:pPr>
        <w:ind w:left="540" w:hanging="316"/>
        <w:spacing w:after="0" w:line="233" w:lineRule="auto"/>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2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BROKERAGE ALLOCATIONS AND OTHER PRACTICES</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MATERIAL U.S. FEDERAL INCOME TAX CONSIDERATIONS</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“U.S. stockholder” generally is a beneficial owner of shares of our common stock that is for U.S. federal income tax purposes:</w:t>
      </w:r>
    </w:p>
    <w:p>
      <w:pPr>
        <w:spacing w:after="0" w:line="55" w:lineRule="exact"/>
        <w:rPr>
          <w:sz w:val="20"/>
          <w:szCs w:val="20"/>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citizen or individual resident of the United States;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 corporation, or other entity treated as a corporation for U.S. federal income tax purposes, created or organized in or under the laws of the United States or any state thereof or the District of Columbia;</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trust or an estate, the income of which is subject to U.S. federal income taxation regardless of its source; or</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 trust over whose administration a court within the United States has primary supervision and all substantial decisions of which are under the control of one or more U.S. fiduciaries.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“Non-U.S. stockholder” is a beneficial owner of shares of our common stock that is neither a U.S. stockholder nor a partnership for U.S. federal income tax purposes.</w:t>
      </w:r>
    </w:p>
    <w:p>
      <w:pPr>
        <w:spacing w:after="0" w:line="150" w:lineRule="exact"/>
        <w:rPr>
          <w:sz w:val="20"/>
          <w:szCs w:val="20"/>
          <w:color w:val="auto"/>
        </w:rPr>
      </w:pPr>
    </w:p>
    <w:p>
      <w:pPr>
        <w:ind w:right="280" w:firstLine="456"/>
        <w:spacing w:after="0" w:line="233" w:lineRule="auto"/>
        <w:rPr>
          <w:sz w:val="20"/>
          <w:szCs w:val="20"/>
          <w:color w:val="auto"/>
        </w:rPr>
      </w:pPr>
      <w:r>
        <w:rPr>
          <w:rFonts w:ascii="Arial" w:cs="Arial" w:eastAsia="Arial" w:hAnsi="Arial"/>
          <w:sz w:val="14"/>
          <w:szCs w:val="14"/>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39" w:lineRule="exact"/>
        <w:rPr>
          <w:sz w:val="20"/>
          <w:szCs w:val="20"/>
          <w:color w:val="auto"/>
        </w:rPr>
      </w:pPr>
    </w:p>
    <w:p>
      <w:pPr>
        <w:jc w:val="both"/>
        <w:ind w:right="100" w:firstLine="456"/>
        <w:spacing w:after="0" w:line="233" w:lineRule="auto"/>
        <w:rPr>
          <w:sz w:val="20"/>
          <w:szCs w:val="20"/>
          <w:color w:val="auto"/>
        </w:rPr>
      </w:pPr>
      <w:r>
        <w:rPr>
          <w:rFonts w:ascii="Arial" w:cs="Arial" w:eastAsia="Arial" w:hAnsi="Arial"/>
          <w:sz w:val="14"/>
          <w:szCs w:val="14"/>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in Connection with Holding Securities other than our Common Stock</w:t>
      </w:r>
    </w:p>
    <w:p>
      <w:pPr>
        <w:spacing w:after="0" w:line="71"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to be Taxed as a RIC</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55" w:lineRule="exact"/>
        <w:rPr>
          <w:sz w:val="20"/>
          <w:szCs w:val="20"/>
          <w:color w:val="auto"/>
        </w:rPr>
      </w:pP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55" w:lineRule="exact"/>
        <w:rPr>
          <w:rFonts w:ascii="Arial" w:cs="Arial" w:eastAsia="Arial" w:hAnsi="Arial"/>
          <w:sz w:val="14"/>
          <w:szCs w:val="14"/>
          <w:color w:val="auto"/>
        </w:rPr>
      </w:pPr>
    </w:p>
    <w:p>
      <w:pPr>
        <w:ind w:left="540" w:right="240" w:hanging="316"/>
        <w:spacing w:after="0" w:line="317" w:lineRule="auto"/>
        <w:tabs>
          <w:tab w:leader="none" w:pos="5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diversify our holdings so that at the end of each quarter of the taxable year:</w:t>
      </w:r>
    </w:p>
    <w:p>
      <w:pPr>
        <w:spacing w:after="0" w:line="55" w:lineRule="exact"/>
        <w:rPr>
          <w:rFonts w:ascii="Arial" w:cs="Arial" w:eastAsia="Arial" w:hAnsi="Arial"/>
          <w:sz w:val="14"/>
          <w:szCs w:val="14"/>
          <w:color w:val="auto"/>
        </w:rPr>
      </w:pPr>
    </w:p>
    <w:p>
      <w:pPr>
        <w:ind w:left="1380" w:right="280" w:hanging="346"/>
        <w:spacing w:after="0" w:line="317" w:lineRule="auto"/>
        <w:tabs>
          <w:tab w:leader="none" w:pos="1380" w:val="left"/>
        </w:tabs>
        <w:numPr>
          <w:ilvl w:val="1"/>
          <w:numId w:val="69"/>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ind w:left="1380" w:hanging="346"/>
        <w:spacing w:after="0" w:line="233" w:lineRule="auto"/>
        <w:tabs>
          <w:tab w:leader="none" w:pos="1380" w:val="left"/>
        </w:tabs>
        <w:numPr>
          <w:ilvl w:val="1"/>
          <w:numId w:val="69"/>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as a RIC</w:t>
      </w:r>
    </w:p>
    <w:p>
      <w:pPr>
        <w:spacing w:after="0" w:line="7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40"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7"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Qualify as a RIC</w:t>
      </w:r>
    </w:p>
    <w:p>
      <w:pPr>
        <w:spacing w:after="0" w:line="71"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remainder of this discussion assumes that we qualify as a RIC and have satisfied the Annual Distribution Requirement.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U.S. Stockholders</w:t>
      </w:r>
    </w:p>
    <w:p>
      <w:pPr>
        <w:spacing w:after="0" w:line="71" w:lineRule="exact"/>
        <w:rPr>
          <w:sz w:val="20"/>
          <w:szCs w:val="20"/>
          <w:color w:val="auto"/>
        </w:rPr>
      </w:pPr>
    </w:p>
    <w:p>
      <w:pPr>
        <w:ind w:right="60" w:firstLine="456"/>
        <w:spacing w:after="0" w:line="265" w:lineRule="auto"/>
        <w:rPr>
          <w:sz w:val="20"/>
          <w:szCs w:val="20"/>
          <w:color w:val="auto"/>
        </w:rPr>
      </w:pPr>
      <w:r>
        <w:rPr>
          <w:rFonts w:ascii="Arial" w:cs="Arial" w:eastAsia="Arial" w:hAnsi="Arial"/>
          <w:sz w:val="12"/>
          <w:szCs w:val="12"/>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reported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4"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Although we currently intend to distribute any long-term capital gains at least annually, we may in the future decide to retain some or all of our long-term capital gains, but report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8"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0"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3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0"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of 35% on ordinary income currently payable by individuals through 2012. After 2012, these maximum individual tax rates currently are scheduled to increase to 20% (for long-term capital gain) and 39.6% (for ordinary income). Furthermore, for taxable years beginning after December 31, 2012, an additional 3.8% Medicare tax will be imposed on certain net investment income (including interest, dividends, annuities, royalties, rents and net capital gains) of a U.S. stockholder that is an individual, estate or trust, to the extent that such person’s “modified adjusted gross income” (in the case of an individual) or “adjusted gross income” (in the case of an estate or trust) exceeds a threshold amount.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28"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Non-U.S. Stockholders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39"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and, in the case of a corporate Non-U.S. stockholder, an additional “branch profits” tax at a 30% rate (or a lower rate if provided for by an applicable treaty). In that case, a withholding agent will not be required to withhold federal tax if the Non-U.S. stockholder complies with applicable certification and disclosure requirements. A Non-U.S. stockholder will also be subject to backup withholding unless the stockholder complies with certain certification requirements. Special certification requirements apply to a Non-U.S. stockholder that is a foreign partnership or a foreign trust, and such entities are urged to consult their own tax advisors.</w:t>
      </w:r>
    </w:p>
    <w:p>
      <w:pPr>
        <w:spacing w:after="0" w:line="123" w:lineRule="exact"/>
        <w:rPr>
          <w:sz w:val="20"/>
          <w:szCs w:val="20"/>
          <w:color w:val="auto"/>
        </w:rPr>
      </w:pPr>
    </w:p>
    <w:p>
      <w:pPr>
        <w:ind w:right="360" w:firstLine="456"/>
        <w:spacing w:after="0" w:line="230" w:lineRule="auto"/>
        <w:rPr>
          <w:sz w:val="20"/>
          <w:szCs w:val="20"/>
          <w:color w:val="auto"/>
        </w:rPr>
      </w:pPr>
      <w:r>
        <w:rPr>
          <w:rFonts w:ascii="Arial" w:cs="Arial" w:eastAsia="Arial" w:hAnsi="Arial"/>
          <w:sz w:val="14"/>
          <w:szCs w:val="14"/>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 or, in the case of an individual, the stockholder is present in the United States for 183 days or more during a taxable year.</w:t>
      </w:r>
    </w:p>
    <w:p>
      <w:pPr>
        <w:spacing w:after="0" w:line="13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After December 31, 2013, withholding at a rate of 30% on dividends in respect of, and (after 2014)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may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3" w:lineRule="exact"/>
        <w:rPr>
          <w:sz w:val="20"/>
          <w:szCs w:val="20"/>
          <w:color w:val="auto"/>
        </w:rPr>
      </w:pPr>
    </w:p>
    <w:p>
      <w:pPr>
        <w:ind w:right="140" w:firstLine="456"/>
        <w:spacing w:after="0" w:line="288" w:lineRule="auto"/>
        <w:rPr>
          <w:sz w:val="20"/>
          <w:szCs w:val="20"/>
          <w:color w:val="auto"/>
        </w:rPr>
      </w:pPr>
      <w:r>
        <w:rPr>
          <w:rFonts w:ascii="Arial" w:cs="Arial" w:eastAsia="Arial" w:hAnsi="Arial"/>
          <w:sz w:val="12"/>
          <w:szCs w:val="12"/>
          <w:color w:val="auto"/>
        </w:rPr>
        <w:t>If we distribute our net capital gains in the form of deemed rather than actual distributions (which we may do in the future), a Non-U.S. stockholder may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w:t>
      </w:r>
    </w:p>
    <w:p>
      <w:pPr>
        <w:spacing w:after="0" w:line="111" w:lineRule="exact"/>
        <w:rPr>
          <w:sz w:val="20"/>
          <w:szCs w:val="20"/>
          <w:color w:val="auto"/>
        </w:rPr>
      </w:pPr>
    </w:p>
    <w:p>
      <w:pPr>
        <w:jc w:val="center"/>
        <w:ind w:left="380" w:right="320"/>
        <w:spacing w:after="0" w:line="459" w:lineRule="auto"/>
        <w:rPr>
          <w:sz w:val="20"/>
          <w:szCs w:val="20"/>
          <w:color w:val="auto"/>
        </w:rPr>
      </w:pPr>
      <w:r>
        <w:rPr>
          <w:rFonts w:ascii="Arial" w:cs="Arial" w:eastAsia="Arial" w:hAnsi="Arial"/>
          <w:sz w:val="14"/>
          <w:szCs w:val="14"/>
          <w:color w:val="auto"/>
        </w:rPr>
        <w:t>Non-U.S. persons should consult their own tax advisors with respect to the U.S. federal income tax and withholding tax, and state, local and foreign tax consequences of an investment in the shares. 98</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PLAN OF DISTRIBUTION</w:t>
      </w:r>
    </w:p>
    <w:p>
      <w:pPr>
        <w:spacing w:after="0" w:line="152" w:lineRule="exact"/>
        <w:rPr>
          <w:sz w:val="20"/>
          <w:szCs w:val="20"/>
          <w:color w:val="auto"/>
        </w:rPr>
      </w:pPr>
    </w:p>
    <w:p>
      <w:pPr>
        <w:jc w:val="both"/>
        <w:ind w:right="80" w:firstLine="456"/>
        <w:spacing w:after="0" w:line="233" w:lineRule="auto"/>
        <w:rPr>
          <w:sz w:val="20"/>
          <w:szCs w:val="20"/>
          <w:color w:val="auto"/>
        </w:rPr>
      </w:pPr>
      <w:r>
        <w:rPr>
          <w:rFonts w:ascii="Arial" w:cs="Arial" w:eastAsia="Arial" w:hAnsi="Arial"/>
          <w:sz w:val="14"/>
          <w:szCs w:val="14"/>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8" w:lineRule="exact"/>
        <w:rPr>
          <w:sz w:val="20"/>
          <w:szCs w:val="20"/>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name or names of any underwriters, dealers or agents and the amounts of securities underwritten or purchased by each of them;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offering price of the securities and the proceeds to us and any discounts, commissions or concessions allowed or reallowed or paid to dealers;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any securities exchanges on which the securities may be listed.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offering price and any discounts or concessions allowed or reallowed or paid to dealers may be changed from time to time.</w:t>
      </w:r>
    </w:p>
    <w:p>
      <w:pPr>
        <w:spacing w:after="0" w:line="150"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may sell the securities through agents from time to time. The prospectus supplement will name any agent involved in the offer or sale of the securities and any commissions we pay to them.</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Generally, any agent will be acting on a best efforts basis for the period of its appointment.</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SUB-ADMINISTRATOR, CUSTODIAN, TRANSFER AGENT AND TRUSTEE</w:t>
      </w:r>
    </w:p>
    <w:p>
      <w:pPr>
        <w:spacing w:after="0" w:line="15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P.O. Box 922, Wall Street Station, New York, New York 10269, telephone number: (800) 937-5449. American Stock Transfer &amp; Trust Company, LLC may also serve as trustee for offerings of our debt securities.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Certain legal matters regarding the securities offered by this prospectus will be passed upon for us by Dechert LLP, Washington, D.C., and by Venable LLP, as special Maryland counsel.</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KPMG LLP, our independent registered public accounting firm, is located at 345 Park Avenue, New York, New York 10154.</w:t>
      </w:r>
    </w:p>
    <w:p>
      <w:pPr>
        <w:spacing w:after="0" w:line="150"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consolidated financial statements of PennantPark Floating Rate Capital Ltd. as of September 30, 2011, including the consolidated schedule of investments, and for the period March 4, 2011 (commencement of operations) to September 30, 2011, have been included herein in reliance upon the report of KPMG LLP, independent registered public accounting firm, appearing elsewhere herein, and upon the authority of said firm as experts in accounting and auditing.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0" w:type="dxa"/>
            <w:vAlign w:val="bottom"/>
            <w:gridSpan w:val="10"/>
          </w:tcPr>
          <w:p>
            <w:pPr>
              <w:jc w:val="center"/>
              <w:ind w:right="1320"/>
              <w:spacing w:after="0"/>
              <w:rPr>
                <w:sz w:val="20"/>
                <w:szCs w:val="20"/>
                <w:color w:val="auto"/>
              </w:rPr>
            </w:pPr>
            <w:r>
              <w:rPr>
                <w:rFonts w:ascii="Arial" w:cs="Arial" w:eastAsia="Arial" w:hAnsi="Arial"/>
                <w:sz w:val="14"/>
                <w:szCs w:val="14"/>
                <w:b w:val="1"/>
                <w:bCs w:val="1"/>
                <w:color w:val="auto"/>
                <w:w w:val="97"/>
              </w:rPr>
              <w:t>INDEX TO CONSOLIDATED FINANCIAL STATEMENTS</w:t>
            </w:r>
          </w:p>
        </w:tc>
        <w:tc>
          <w:tcPr>
            <w:tcW w:w="2080" w:type="dxa"/>
            <w:vAlign w:val="bottom"/>
          </w:tcPr>
          <w:p>
            <w:pPr>
              <w:spacing w:after="0"/>
              <w:rPr>
                <w:sz w:val="15"/>
                <w:szCs w:val="15"/>
                <w:color w:val="auto"/>
              </w:rPr>
            </w:pPr>
          </w:p>
        </w:tc>
      </w:tr>
      <w:tr>
        <w:trPr>
          <w:trHeight w:val="513"/>
        </w:trPr>
        <w:tc>
          <w:tcPr>
            <w:tcW w:w="9280" w:type="dxa"/>
            <w:vAlign w:val="bottom"/>
            <w:gridSpan w:val="14"/>
          </w:tcPr>
          <w:p>
            <w:pPr>
              <w:spacing w:after="0"/>
              <w:rPr>
                <w:sz w:val="20"/>
                <w:szCs w:val="20"/>
                <w:color w:val="auto"/>
              </w:rPr>
            </w:pPr>
            <w:r>
              <w:rPr>
                <w:rFonts w:ascii="Arial" w:cs="Arial" w:eastAsia="Arial" w:hAnsi="Arial"/>
                <w:sz w:val="14"/>
                <w:szCs w:val="14"/>
                <w:b w:val="1"/>
                <w:bCs w:val="1"/>
                <w:color w:val="auto"/>
              </w:rPr>
              <w:t>PennantPark Floating Rate Capital Ltd. and subsidiary</w:t>
            </w:r>
          </w:p>
        </w:tc>
        <w:tc>
          <w:tcPr>
            <w:tcW w:w="2080" w:type="dxa"/>
            <w:vAlign w:val="bottom"/>
          </w:tcPr>
          <w:p>
            <w:pPr>
              <w:spacing w:after="0"/>
              <w:rPr>
                <w:sz w:val="24"/>
                <w:szCs w:val="24"/>
                <w:color w:val="auto"/>
              </w:rPr>
            </w:pPr>
          </w:p>
        </w:tc>
      </w:tr>
      <w:tr>
        <w:trPr>
          <w:trHeight w:val="365"/>
        </w:trPr>
        <w:tc>
          <w:tcPr>
            <w:tcW w:w="9280" w:type="dxa"/>
            <w:vAlign w:val="bottom"/>
            <w:gridSpan w:val="14"/>
          </w:tcPr>
          <w:p>
            <w:pPr>
              <w:spacing w:after="0"/>
              <w:rPr>
                <w:sz w:val="20"/>
                <w:szCs w:val="20"/>
                <w:color w:val="auto"/>
              </w:rPr>
            </w:pPr>
            <w:r>
              <w:rPr>
                <w:rFonts w:ascii="Arial" w:cs="Arial" w:eastAsia="Arial" w:hAnsi="Arial"/>
                <w:sz w:val="14"/>
                <w:szCs w:val="14"/>
                <w:b w:val="1"/>
                <w:bCs w:val="1"/>
                <w:color w:val="auto"/>
              </w:rPr>
              <w:t>Annual Financial Statements</w:t>
            </w:r>
          </w:p>
        </w:tc>
        <w:tc>
          <w:tcPr>
            <w:tcW w:w="2080" w:type="dxa"/>
            <w:vAlign w:val="bottom"/>
          </w:tcPr>
          <w:p>
            <w:pPr>
              <w:spacing w:after="0"/>
              <w:rPr>
                <w:sz w:val="24"/>
                <w:szCs w:val="24"/>
                <w:color w:val="auto"/>
              </w:rPr>
            </w:pPr>
          </w:p>
        </w:tc>
      </w:tr>
      <w:tr>
        <w:trPr>
          <w:trHeight w:val="338"/>
        </w:trPr>
        <w:tc>
          <w:tcPr>
            <w:tcW w:w="3180" w:type="dxa"/>
            <w:vAlign w:val="bottom"/>
            <w:tcBorders>
              <w:bottom w:val="single" w:sz="8" w:color="0000EE"/>
            </w:tcBorders>
            <w:gridSpan w:val="3"/>
          </w:tcPr>
          <w:p>
            <w:pPr>
              <w:spacing w:after="0"/>
              <w:rPr>
                <w:rFonts w:ascii="Arial" w:cs="Arial" w:eastAsia="Arial" w:hAnsi="Arial"/>
                <w:sz w:val="14"/>
                <w:szCs w:val="14"/>
                <w:color w:val="0000EE"/>
                <w:w w:val="88"/>
              </w:rPr>
            </w:pPr>
            <w:hyperlink w:anchor="page107">
              <w:r>
                <w:rPr>
                  <w:rFonts w:ascii="Arial" w:cs="Arial" w:eastAsia="Arial" w:hAnsi="Arial"/>
                  <w:sz w:val="14"/>
                  <w:szCs w:val="14"/>
                  <w:color w:val="0000EE"/>
                  <w:w w:val="88"/>
                </w:rPr>
                <w:t>Report of Independent Registered Public Accounting Firm</w:t>
              </w:r>
            </w:hyperlink>
          </w:p>
        </w:tc>
        <w:tc>
          <w:tcPr>
            <w:tcW w:w="6100" w:type="dxa"/>
            <w:vAlign w:val="bottom"/>
            <w:gridSpan w:val="11"/>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08">
              <w:r>
                <w:rPr>
                  <w:rFonts w:ascii="Arial" w:cs="Arial" w:eastAsia="Arial" w:hAnsi="Arial"/>
                  <w:sz w:val="14"/>
                  <w:szCs w:val="14"/>
                  <w:color w:val="0000EE"/>
                </w:rPr>
                <w:t>Consolidated Statement of Assets and Liabilities as of September 30, 2011</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F-3</w:t>
            </w:r>
          </w:p>
        </w:tc>
      </w:tr>
      <w:tr>
        <w:trPr>
          <w:trHeight w:val="20"/>
        </w:trPr>
        <w:tc>
          <w:tcPr>
            <w:tcW w:w="2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09">
              <w:r>
                <w:rPr>
                  <w:rFonts w:ascii="Arial" w:cs="Arial" w:eastAsia="Arial" w:hAnsi="Arial"/>
                  <w:sz w:val="14"/>
                  <w:szCs w:val="14"/>
                  <w:color w:val="0000EE"/>
                </w:rPr>
                <w:t>Consolidated Statement of Operations for the period March 4, 2011 (commencement of operations) to September 30, 2011</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0"/>
        </w:trPr>
        <w:tc>
          <w:tcPr>
            <w:tcW w:w="2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7260" w:type="dxa"/>
            <w:vAlign w:val="bottom"/>
            <w:tcBorders>
              <w:bottom w:val="single" w:sz="8" w:color="0000EE"/>
            </w:tcBorders>
            <w:gridSpan w:val="13"/>
          </w:tcPr>
          <w:p>
            <w:pPr>
              <w:spacing w:after="0"/>
              <w:rPr>
                <w:rFonts w:ascii="Arial" w:cs="Arial" w:eastAsia="Arial" w:hAnsi="Arial"/>
                <w:sz w:val="14"/>
                <w:szCs w:val="14"/>
                <w:color w:val="0000EE"/>
                <w:w w:val="86"/>
              </w:rPr>
            </w:pPr>
            <w:hyperlink w:anchor="page110">
              <w:r>
                <w:rPr>
                  <w:rFonts w:ascii="Arial" w:cs="Arial" w:eastAsia="Arial" w:hAnsi="Arial"/>
                  <w:sz w:val="14"/>
                  <w:szCs w:val="14"/>
                  <w:color w:val="0000EE"/>
                  <w:w w:val="86"/>
                </w:rPr>
                <w:t>Consolidated Statement of Changes in Net Assets for the period March 4, 2011 (commencement of operations) to September 30, 2011</w:t>
              </w:r>
            </w:hyperlink>
          </w:p>
        </w:tc>
        <w:tc>
          <w:tcPr>
            <w:tcW w:w="20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F-5</w:t>
            </w:r>
          </w:p>
        </w:tc>
      </w:tr>
      <w:tr>
        <w:trPr>
          <w:trHeight w:val="345"/>
        </w:trPr>
        <w:tc>
          <w:tcPr>
            <w:tcW w:w="6680" w:type="dxa"/>
            <w:vAlign w:val="bottom"/>
            <w:tcBorders>
              <w:bottom w:val="single" w:sz="8" w:color="0000EE"/>
            </w:tcBorders>
            <w:gridSpan w:val="12"/>
          </w:tcPr>
          <w:p>
            <w:pPr>
              <w:spacing w:after="0"/>
              <w:rPr>
                <w:rFonts w:ascii="Arial" w:cs="Arial" w:eastAsia="Arial" w:hAnsi="Arial"/>
                <w:sz w:val="14"/>
                <w:szCs w:val="14"/>
                <w:color w:val="0000EE"/>
                <w:w w:val="86"/>
              </w:rPr>
            </w:pPr>
            <w:hyperlink w:anchor="page111">
              <w:r>
                <w:rPr>
                  <w:rFonts w:ascii="Arial" w:cs="Arial" w:eastAsia="Arial" w:hAnsi="Arial"/>
                  <w:sz w:val="14"/>
                  <w:szCs w:val="14"/>
                  <w:color w:val="0000EE"/>
                  <w:w w:val="86"/>
                </w:rPr>
                <w:t>Consolidated Statement of Cash Flows for the period March 4, 2011 (commencement of operations) to September 30, 2011</w:t>
              </w:r>
            </w:hyperlink>
          </w:p>
        </w:tc>
        <w:tc>
          <w:tcPr>
            <w:tcW w:w="2600" w:type="dxa"/>
            <w:vAlign w:val="bottom"/>
            <w:gridSpan w:val="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Consolidated Schedule of Investments as of September 30, 2011</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F-7</w:t>
            </w:r>
          </w:p>
        </w:tc>
      </w:tr>
      <w:tr>
        <w:trPr>
          <w:trHeight w:val="345"/>
        </w:trPr>
        <w:tc>
          <w:tcPr>
            <w:tcW w:w="3480" w:type="dxa"/>
            <w:vAlign w:val="bottom"/>
            <w:tcBorders>
              <w:top w:val="single" w:sz="8" w:color="0000EE"/>
            </w:tcBorders>
            <w:gridSpan w:val="4"/>
          </w:tcPr>
          <w:p>
            <w:pPr>
              <w:spacing w:after="0"/>
              <w:rPr>
                <w:rFonts w:ascii="Arial" w:cs="Arial" w:eastAsia="Arial" w:hAnsi="Arial"/>
                <w:sz w:val="14"/>
                <w:szCs w:val="14"/>
                <w:color w:val="0000EE"/>
              </w:rPr>
            </w:pPr>
            <w:hyperlink w:anchor="page115">
              <w:r>
                <w:rPr>
                  <w:rFonts w:ascii="Arial" w:cs="Arial" w:eastAsia="Arial" w:hAnsi="Arial"/>
                  <w:sz w:val="14"/>
                  <w:szCs w:val="14"/>
                  <w:color w:val="0000EE"/>
                </w:rPr>
                <w:t>Notes to the Consolidated Financial Statements</w:t>
              </w:r>
            </w:hyperlink>
          </w:p>
        </w:tc>
        <w:tc>
          <w:tcPr>
            <w:tcW w:w="5800" w:type="dxa"/>
            <w:vAlign w:val="bottom"/>
            <w:gridSpan w:val="10"/>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F-10</w:t>
            </w:r>
          </w:p>
        </w:tc>
      </w:tr>
      <w:tr>
        <w:trPr>
          <w:trHeight w:val="371"/>
        </w:trPr>
        <w:tc>
          <w:tcPr>
            <w:tcW w:w="256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rPr>
              <w:t>Interim Financial Statements</w:t>
            </w:r>
          </w:p>
        </w:tc>
        <w:tc>
          <w:tcPr>
            <w:tcW w:w="6720" w:type="dxa"/>
            <w:vAlign w:val="bottom"/>
            <w:gridSpan w:val="13"/>
          </w:tcPr>
          <w:p>
            <w:pPr>
              <w:spacing w:after="0"/>
              <w:rPr>
                <w:sz w:val="24"/>
                <w:szCs w:val="24"/>
                <w:color w:val="auto"/>
              </w:rPr>
            </w:pPr>
          </w:p>
        </w:tc>
        <w:tc>
          <w:tcPr>
            <w:tcW w:w="2080" w:type="dxa"/>
            <w:vAlign w:val="bottom"/>
          </w:tcPr>
          <w:p>
            <w:pPr>
              <w:spacing w:after="0"/>
              <w:rPr>
                <w:sz w:val="24"/>
                <w:szCs w:val="24"/>
                <w:color w:val="auto"/>
              </w:rPr>
            </w:pPr>
          </w:p>
        </w:tc>
      </w:tr>
      <w:tr>
        <w:trPr>
          <w:trHeight w:val="338"/>
        </w:trPr>
        <w:tc>
          <w:tcPr>
            <w:tcW w:w="3180" w:type="dxa"/>
            <w:vAlign w:val="bottom"/>
            <w:tcBorders>
              <w:bottom w:val="single" w:sz="8" w:color="0000EE"/>
            </w:tcBorders>
            <w:gridSpan w:val="3"/>
          </w:tcPr>
          <w:p>
            <w:pPr>
              <w:spacing w:after="0"/>
              <w:rPr>
                <w:rFonts w:ascii="Arial" w:cs="Arial" w:eastAsia="Arial" w:hAnsi="Arial"/>
                <w:sz w:val="14"/>
                <w:szCs w:val="14"/>
                <w:color w:val="0000EE"/>
                <w:w w:val="88"/>
              </w:rPr>
            </w:pPr>
            <w:hyperlink w:anchor="page127">
              <w:r>
                <w:rPr>
                  <w:rFonts w:ascii="Arial" w:cs="Arial" w:eastAsia="Arial" w:hAnsi="Arial"/>
                  <w:sz w:val="14"/>
                  <w:szCs w:val="14"/>
                  <w:color w:val="0000EE"/>
                  <w:w w:val="88"/>
                </w:rPr>
                <w:t>Report of Independent Registered Public Accounting Firm</w:t>
              </w:r>
            </w:hyperlink>
          </w:p>
        </w:tc>
        <w:tc>
          <w:tcPr>
            <w:tcW w:w="6100" w:type="dxa"/>
            <w:vAlign w:val="bottom"/>
            <w:gridSpan w:val="11"/>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F-22</w:t>
            </w:r>
          </w:p>
        </w:tc>
      </w:tr>
      <w:tr>
        <w:trPr>
          <w:trHeight w:val="345"/>
        </w:trPr>
        <w:tc>
          <w:tcPr>
            <w:tcW w:w="5880" w:type="dxa"/>
            <w:vAlign w:val="bottom"/>
            <w:tcBorders>
              <w:bottom w:val="single" w:sz="8" w:color="0000EE"/>
            </w:tcBorders>
            <w:gridSpan w:val="10"/>
          </w:tcPr>
          <w:p>
            <w:pPr>
              <w:spacing w:after="0"/>
              <w:rPr>
                <w:rFonts w:ascii="Arial" w:cs="Arial" w:eastAsia="Arial" w:hAnsi="Arial"/>
                <w:sz w:val="14"/>
                <w:szCs w:val="14"/>
                <w:color w:val="0000EE"/>
                <w:w w:val="86"/>
              </w:rPr>
            </w:pPr>
            <w:hyperlink w:anchor="page128">
              <w:r>
                <w:rPr>
                  <w:rFonts w:ascii="Arial" w:cs="Arial" w:eastAsia="Arial" w:hAnsi="Arial"/>
                  <w:sz w:val="14"/>
                  <w:szCs w:val="14"/>
                  <w:color w:val="0000EE"/>
                  <w:w w:val="86"/>
                </w:rPr>
                <w:t>Consolidated Statements of Assets and Liabilities as of March 31, 2012 (unaudited) and September 30, 2011</w:t>
              </w:r>
            </w:hyperlink>
          </w:p>
        </w:tc>
        <w:tc>
          <w:tcPr>
            <w:tcW w:w="3400" w:type="dxa"/>
            <w:vAlign w:val="bottom"/>
            <w:gridSpan w:val="4"/>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F-23</w:t>
            </w:r>
          </w:p>
        </w:tc>
      </w:tr>
      <w:tr>
        <w:trPr>
          <w:trHeight w:val="345"/>
        </w:trPr>
        <w:tc>
          <w:tcPr>
            <w:tcW w:w="5520" w:type="dxa"/>
            <w:vAlign w:val="bottom"/>
            <w:tcBorders>
              <w:bottom w:val="single" w:sz="8" w:color="0000EE"/>
            </w:tcBorders>
            <w:gridSpan w:val="8"/>
          </w:tcPr>
          <w:p>
            <w:pPr>
              <w:spacing w:after="0"/>
              <w:rPr>
                <w:rFonts w:ascii="Arial" w:cs="Arial" w:eastAsia="Arial" w:hAnsi="Arial"/>
                <w:sz w:val="14"/>
                <w:szCs w:val="14"/>
                <w:color w:val="0000EE"/>
                <w:w w:val="86"/>
              </w:rPr>
            </w:pPr>
            <w:hyperlink w:anchor="page129">
              <w:r>
                <w:rPr>
                  <w:rFonts w:ascii="Arial" w:cs="Arial" w:eastAsia="Arial" w:hAnsi="Arial"/>
                  <w:sz w:val="14"/>
                  <w:szCs w:val="14"/>
                  <w:color w:val="0000EE"/>
                  <w:w w:val="86"/>
                </w:rPr>
                <w:t>Consolidated Statement of Operations for the three and six months ended March 31, 2012 (unaudited)</w:t>
              </w:r>
            </w:hyperlink>
          </w:p>
        </w:tc>
        <w:tc>
          <w:tcPr>
            <w:tcW w:w="3760" w:type="dxa"/>
            <w:vAlign w:val="bottom"/>
            <w:gridSpan w:val="6"/>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F-24</w:t>
            </w:r>
          </w:p>
        </w:tc>
      </w:tr>
      <w:tr>
        <w:trPr>
          <w:trHeight w:val="345"/>
        </w:trPr>
        <w:tc>
          <w:tcPr>
            <w:tcW w:w="5620" w:type="dxa"/>
            <w:vAlign w:val="bottom"/>
            <w:tcBorders>
              <w:bottom w:val="single" w:sz="8" w:color="0000EE"/>
            </w:tcBorders>
            <w:gridSpan w:val="9"/>
          </w:tcPr>
          <w:p>
            <w:pPr>
              <w:spacing w:after="0"/>
              <w:rPr>
                <w:rFonts w:ascii="Arial" w:cs="Arial" w:eastAsia="Arial" w:hAnsi="Arial"/>
                <w:sz w:val="14"/>
                <w:szCs w:val="14"/>
                <w:color w:val="0000EE"/>
                <w:w w:val="86"/>
              </w:rPr>
            </w:pPr>
            <w:hyperlink w:anchor="page130">
              <w:r>
                <w:rPr>
                  <w:rFonts w:ascii="Arial" w:cs="Arial" w:eastAsia="Arial" w:hAnsi="Arial"/>
                  <w:sz w:val="14"/>
                  <w:szCs w:val="14"/>
                  <w:color w:val="0000EE"/>
                  <w:w w:val="86"/>
                </w:rPr>
                <w:t>Consolidated Statement of Changes in Net Assets for the six months ended March 31, 2012 (unaudited)</w:t>
              </w:r>
            </w:hyperlink>
          </w:p>
        </w:tc>
        <w:tc>
          <w:tcPr>
            <w:tcW w:w="3660" w:type="dxa"/>
            <w:vAlign w:val="bottom"/>
            <w:gridSpan w:val="5"/>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F-25</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31">
              <w:r>
                <w:rPr>
                  <w:rFonts w:ascii="Arial" w:cs="Arial" w:eastAsia="Arial" w:hAnsi="Arial"/>
                  <w:sz w:val="14"/>
                  <w:szCs w:val="14"/>
                  <w:color w:val="0000EE"/>
                </w:rPr>
                <w:t>Consolidated Statement of Cash Flows for the six months ended March 31, 2012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F-26</w:t>
            </w:r>
          </w:p>
        </w:tc>
      </w:tr>
      <w:tr>
        <w:trPr>
          <w:trHeight w:val="20"/>
        </w:trPr>
        <w:tc>
          <w:tcPr>
            <w:tcW w:w="3020" w:type="dxa"/>
            <w:vAlign w:val="bottom"/>
            <w:gridSpan w:val="2"/>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5320" w:type="dxa"/>
            <w:vAlign w:val="bottom"/>
            <w:tcBorders>
              <w:bottom w:val="single" w:sz="8" w:color="0000EE"/>
            </w:tcBorders>
            <w:gridSpan w:val="7"/>
          </w:tcPr>
          <w:p>
            <w:pPr>
              <w:spacing w:after="0"/>
              <w:rPr>
                <w:rFonts w:ascii="Arial" w:cs="Arial" w:eastAsia="Arial" w:hAnsi="Arial"/>
                <w:sz w:val="14"/>
                <w:szCs w:val="14"/>
                <w:color w:val="0000EE"/>
                <w:w w:val="86"/>
              </w:rPr>
            </w:pPr>
            <w:hyperlink w:anchor="page132">
              <w:r>
                <w:rPr>
                  <w:rFonts w:ascii="Arial" w:cs="Arial" w:eastAsia="Arial" w:hAnsi="Arial"/>
                  <w:sz w:val="14"/>
                  <w:szCs w:val="14"/>
                  <w:color w:val="0000EE"/>
                  <w:w w:val="86"/>
                </w:rPr>
                <w:t>Consolidated Schedules of Investments as of March 31, 2012 (unaudited) and September 30, 2011</w:t>
              </w:r>
            </w:hyperlink>
          </w:p>
        </w:tc>
        <w:tc>
          <w:tcPr>
            <w:tcW w:w="3960" w:type="dxa"/>
            <w:vAlign w:val="bottom"/>
            <w:gridSpan w:val="7"/>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F-27</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37">
              <w:r>
                <w:rPr>
                  <w:rFonts w:ascii="Arial" w:cs="Arial" w:eastAsia="Arial" w:hAnsi="Arial"/>
                  <w:sz w:val="14"/>
                  <w:szCs w:val="14"/>
                  <w:color w:val="0000EE"/>
                </w:rPr>
                <w:t>Notes to Consolidated Financial Statements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F-32</w:t>
            </w:r>
          </w:p>
        </w:tc>
      </w:tr>
      <w:tr>
        <w:trPr>
          <w:trHeight w:val="304"/>
        </w:trPr>
        <w:tc>
          <w:tcPr>
            <w:tcW w:w="25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jc w:val="center"/>
              <w:ind w:right="3480"/>
              <w:spacing w:after="0"/>
              <w:rPr>
                <w:sz w:val="20"/>
                <w:szCs w:val="20"/>
                <w:color w:val="auto"/>
              </w:rPr>
            </w:pPr>
            <w:r>
              <w:rPr>
                <w:rFonts w:ascii="Arial" w:cs="Arial" w:eastAsia="Arial" w:hAnsi="Arial"/>
                <w:sz w:val="14"/>
                <w:szCs w:val="14"/>
                <w:color w:val="auto"/>
                <w:w w:val="85"/>
              </w:rPr>
              <w:t>F-1</w:t>
            </w:r>
          </w:p>
        </w:tc>
        <w:tc>
          <w:tcPr>
            <w:tcW w:w="20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have audited the accompanying consolidated statement of assets and liabilities of PennantPark Floating Rate Capital Ltd. and its Subsidiary (collectively referred to as the “Company”), including the consolidated schedule of investments as of September 30, 2011, and the related consolidated statements of operations, changes in net assets, and cash flows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39" w:lineRule="exact"/>
        <w:rPr>
          <w:sz w:val="20"/>
          <w:szCs w:val="20"/>
          <w:color w:val="auto"/>
        </w:rPr>
      </w:pPr>
    </w:p>
    <w:p>
      <w:pPr>
        <w:jc w:val="both"/>
        <w:ind w:right="300" w:firstLine="456"/>
        <w:spacing w:after="0" w:line="23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2011, and the results of their operations and their cash flows for the period March 4, 2011 (commencement of operations) to September 30, 2011, in conformity with U.S. generally accepted accounting principles.</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17, 2011</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left="234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340"/>
        <w:spacing w:after="0"/>
        <w:rPr>
          <w:sz w:val="20"/>
          <w:szCs w:val="20"/>
          <w:color w:val="auto"/>
        </w:rPr>
      </w:pPr>
      <w:r>
        <w:rPr>
          <w:rFonts w:ascii="Arial" w:cs="Arial" w:eastAsia="Arial" w:hAnsi="Arial"/>
          <w:sz w:val="14"/>
          <w:szCs w:val="14"/>
          <w:b w:val="1"/>
          <w:bCs w:val="1"/>
          <w:color w:val="auto"/>
        </w:rPr>
        <w:t>CONSOLIDATED STATEMENT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Investments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Non-controlled, non-affiliated investments, at fair value (cost—$114,829,621)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Cash equivalents (See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Interest receivable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Receivable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Prepaid expenses and other assets</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20" w:hanging="820"/>
        <w:spacing w:after="0"/>
        <w:tabs>
          <w:tab w:leader="none" w:pos="8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110,724,241</w:t>
      </w:r>
    </w:p>
    <w:p>
      <w:pPr>
        <w:spacing w:after="0" w:line="105"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2"/>
          <w:szCs w:val="12"/>
          <w:color w:val="auto"/>
        </w:rPr>
        <w:t>6,987,450</w:t>
      </w:r>
    </w:p>
    <w:p>
      <w:pPr>
        <w:spacing w:after="0" w:line="10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2"/>
          <w:szCs w:val="12"/>
          <w:color w:val="auto"/>
        </w:rPr>
        <w:t>732,695</w:t>
      </w:r>
    </w:p>
    <w:p>
      <w:pPr>
        <w:spacing w:after="0" w:line="105"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2"/>
          <w:szCs w:val="12"/>
          <w:color w:val="auto"/>
        </w:rPr>
        <w:t>2,467,500</w:t>
      </w:r>
    </w:p>
    <w:p>
      <w:pPr>
        <w:spacing w:after="0" w:line="10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2"/>
          <w:szCs w:val="12"/>
          <w:color w:val="auto"/>
        </w:rPr>
        <w:t>163,374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13335</wp:posOffset>
            </wp:positionV>
            <wp:extent cx="9950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2"/>
          <w:szCs w:val="12"/>
          <w:color w:val="auto"/>
        </w:rPr>
        <w:t>121,075,260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13335</wp:posOffset>
            </wp:positionV>
            <wp:extent cx="9950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30480</wp:posOffset>
            </wp:positionV>
            <wp:extent cx="9950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9100" w:space="720"/>
            <w:col w:w="1600"/>
          </w:cols>
          <w:pgMar w:left="240" w:top="459" w:right="239" w:bottom="1440" w:gutter="0" w:footer="0" w:header="0"/>
          <w:type w:val="continuous"/>
        </w:sectPr>
      </w:pPr>
    </w:p>
    <w:p>
      <w:pPr>
        <w:spacing w:after="0"/>
        <w:rPr>
          <w:sz w:val="20"/>
          <w:szCs w:val="20"/>
          <w:color w:val="auto"/>
        </w:rPr>
      </w:pPr>
      <w:r>
        <w:rPr>
          <w:rFonts w:ascii="Arial" w:cs="Arial" w:eastAsia="Arial" w:hAnsi="Arial"/>
          <w:sz w:val="14"/>
          <w:szCs w:val="14"/>
          <w:color w:val="auto"/>
        </w:rPr>
        <w:t>Distributions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Payable for investments purchased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Credit facility payable (cost—$24,650,000), (See Notes 5 and 10)</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Interest payable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Management fee payable (See Note 3)</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Accrued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479,547</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990,000</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2,323,250</w:t>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24,650,000</w:t>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150,246</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266,432</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143,680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-635</wp:posOffset>
            </wp:positionV>
            <wp:extent cx="9950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29,003,155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13335</wp:posOffset>
            </wp:positionV>
            <wp:extent cx="9950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30480</wp:posOffset>
            </wp:positionV>
            <wp:extent cx="9950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10000" w:space="720"/>
            <w:col w:w="700"/>
          </w:cols>
          <w:pgMar w:left="240" w:top="459" w:right="239" w:bottom="1440" w:gutter="0" w:footer="0" w:header="0"/>
          <w:type w:val="continuous"/>
        </w:sectPr>
      </w:pPr>
    </w:p>
    <w:p>
      <w:pPr>
        <w:spacing w:after="0"/>
        <w:rPr>
          <w:sz w:val="20"/>
          <w:szCs w:val="20"/>
          <w:color w:val="auto"/>
        </w:rPr>
      </w:pPr>
      <w:r>
        <w:rPr>
          <w:rFonts w:ascii="Arial" w:cs="Arial" w:eastAsia="Arial" w:hAnsi="Arial"/>
          <w:sz w:val="11"/>
          <w:szCs w:val="11"/>
          <w:color w:val="auto"/>
        </w:rPr>
        <w:t>Common stock, 6,850,667 shares are issued and outstanding. Par value $0.001 per share, 100,000,000 shares authorized.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Paid-in capital in excess of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Distributions in excess of net investment income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Accumulated net 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Net unrealized depreciation on investments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6,851</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97,251,174</w:t>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(1,392,528)</w:t>
      </w:r>
    </w:p>
    <w:p>
      <w:pPr>
        <w:spacing w:after="0" w:line="10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311,988</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13335</wp:posOffset>
            </wp:positionV>
            <wp:extent cx="9950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9960" w:space="720"/>
            <w:col w:w="7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9780" w:type="dxa"/>
            <w:vAlign w:val="bottom"/>
          </w:tcPr>
          <w:p>
            <w:pPr>
              <w:ind w:left="880"/>
              <w:spacing w:after="0"/>
              <w:rPr>
                <w:sz w:val="20"/>
                <w:szCs w:val="20"/>
                <w:color w:val="auto"/>
              </w:rPr>
            </w:pPr>
            <w:r>
              <w:rPr>
                <w:rFonts w:ascii="Arial" w:cs="Arial" w:eastAsia="Arial" w:hAnsi="Arial"/>
                <w:sz w:val="14"/>
                <w:szCs w:val="14"/>
                <w:b w:val="1"/>
                <w:bCs w:val="1"/>
                <w:color w:val="auto"/>
              </w:rPr>
              <w:t>Total net assets</w:t>
            </w:r>
          </w:p>
        </w:tc>
        <w:tc>
          <w:tcPr>
            <w:tcW w:w="4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92,072,105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97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7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b w:val="1"/>
                <w:bCs w:val="1"/>
                <w:color w:val="auto"/>
              </w:rPr>
              <w:t>Total liabilities and net assets</w:t>
            </w: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121,075,260</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80" w:type="dxa"/>
            <w:vAlign w:val="bottom"/>
            <w:vMerge w:val="continue"/>
          </w:tcPr>
          <w:p>
            <w:pPr>
              <w:spacing w:after="0"/>
              <w:rPr>
                <w:sz w:val="15"/>
                <w:szCs w:val="15"/>
                <w:color w:val="auto"/>
              </w:rPr>
            </w:pPr>
          </w:p>
        </w:tc>
        <w:tc>
          <w:tcPr>
            <w:tcW w:w="480" w:type="dxa"/>
            <w:vAlign w:val="bottom"/>
            <w:vMerge w:val="restart"/>
          </w:tcPr>
          <w:p>
            <w:pPr>
              <w:jc w:val="right"/>
              <w:ind w:right="312"/>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13.44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9780" w:type="dxa"/>
            <w:vAlign w:val="bottom"/>
          </w:tcPr>
          <w:p>
            <w:pPr>
              <w:spacing w:after="0"/>
              <w:rPr>
                <w:sz w:val="4"/>
                <w:szCs w:val="4"/>
                <w:color w:val="auto"/>
              </w:rPr>
            </w:pPr>
          </w:p>
        </w:tc>
        <w:tc>
          <w:tcPr>
            <w:tcW w:w="480" w:type="dxa"/>
            <w:vAlign w:val="bottom"/>
            <w:tcBorders>
              <w:bottom w:val="single" w:sz="8" w:color="auto"/>
            </w:tcBorders>
            <w:vMerge w:val="continue"/>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20"/>
          </w:cols>
          <w:pgMar w:left="240" w:top="459" w:right="2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92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920"/>
        <w:spacing w:after="0"/>
        <w:rPr>
          <w:sz w:val="20"/>
          <w:szCs w:val="20"/>
          <w:color w:val="auto"/>
        </w:rPr>
      </w:pPr>
      <w:r>
        <w:rPr>
          <w:rFonts w:ascii="Arial" w:cs="Arial" w:eastAsia="Arial" w:hAnsi="Arial"/>
          <w:sz w:val="14"/>
          <w:szCs w:val="14"/>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635000</wp:posOffset>
            </wp:positionV>
            <wp:extent cx="724662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income: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From 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Interest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Base management fee (See Note 3)</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Interest and expenses on the credit facility (See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Administrative services expenses (See Note 3)</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Expenses before debt issuance costs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Debt issuance costs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Total expenses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Realized and unrealized gain(loss) on investments: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Net realized gain on 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Net unrealized (depreciation) on:</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realized and unrealized loss from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 net assets resulting from operations per common share (See Note 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292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left="2920"/>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19" w:right="60"/>
        <w:spacing w:after="0" w:line="289" w:lineRule="auto"/>
        <w:rPr>
          <w:sz w:val="20"/>
          <w:szCs w:val="20"/>
          <w:color w:val="auto"/>
        </w:rPr>
      </w:pPr>
      <w:r>
        <w:rPr>
          <w:rFonts w:ascii="Arial" w:cs="Arial" w:eastAsia="Arial" w:hAnsi="Arial"/>
          <w:sz w:val="12"/>
          <w:szCs w:val="12"/>
          <w:b w:val="1"/>
          <w:bCs w:val="1"/>
          <w:color w:val="auto"/>
        </w:rPr>
        <w:t>For the period March 4, 2011 (commencement of operations) to September 30, 2011</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2,946,599</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452"/>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365,433</w:t>
            </w:r>
          </w:p>
        </w:tc>
      </w:tr>
      <w:tr>
        <w:trPr>
          <w:trHeight w:val="297"/>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155,913</w:t>
            </w:r>
          </w:p>
        </w:tc>
      </w:tr>
      <w:tr>
        <w:trPr>
          <w:trHeight w:val="284"/>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182,995</w:t>
            </w:r>
          </w:p>
        </w:tc>
      </w:tr>
      <w:tr>
        <w:trPr>
          <w:trHeight w:val="243"/>
        </w:trPr>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556,076</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1,260,417</w:t>
            </w:r>
          </w:p>
        </w:tc>
      </w:tr>
      <w:tr>
        <w:trPr>
          <w:trHeight w:val="243"/>
        </w:trPr>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1,366,043</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2,626,460</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320,139</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506"/>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311,988</w:t>
            </w:r>
          </w:p>
        </w:tc>
      </w:tr>
      <w:tr>
        <w:trPr>
          <w:trHeight w:val="527"/>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(4,105,380)</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(3,793,392)</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(3,473,253)</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(0.51)</w:t>
            </w:r>
          </w:p>
        </w:tc>
      </w:tr>
      <w:tr>
        <w:trPr>
          <w:trHeight w:val="270"/>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0.05</w:t>
            </w:r>
          </w:p>
        </w:tc>
      </w:tr>
    </w:tbl>
    <w:p>
      <w:pPr>
        <w:sectPr>
          <w:pgSz w:w="11900" w:h="16838" w:orient="portrait"/>
          <w:cols w:equalWidth="0" w:num="2">
            <w:col w:w="8520" w:space="720"/>
            <w:col w:w="2100"/>
          </w:cols>
          <w:pgMar w:left="240" w:top="45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62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CONSOLIDATED STATEMENT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decrease in net assets from operations: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realized gain on investments and cash equivalents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Net decrease in net assets resulting from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4" w:lineRule="exact"/>
        <w:rPr>
          <w:sz w:val="20"/>
          <w:szCs w:val="20"/>
          <w:color w:val="auto"/>
        </w:rPr>
      </w:pPr>
    </w:p>
    <w:p>
      <w:pPr>
        <w:jc w:val="center"/>
        <w:ind w:right="7240"/>
        <w:spacing w:after="0"/>
        <w:rPr>
          <w:sz w:val="20"/>
          <w:szCs w:val="20"/>
          <w:color w:val="auto"/>
        </w:rPr>
      </w:pPr>
      <w:r>
        <w:rPr>
          <w:rFonts w:ascii="Arial" w:cs="Arial" w:eastAsia="Arial" w:hAnsi="Arial"/>
          <w:sz w:val="14"/>
          <w:szCs w:val="14"/>
          <w:color w:val="auto"/>
        </w:rPr>
        <w:t>Distributions</w:t>
      </w:r>
    </w:p>
    <w:p>
      <w:pPr>
        <w:spacing w:after="0" w:line="107" w:lineRule="exact"/>
        <w:rPr>
          <w:sz w:val="20"/>
          <w:szCs w:val="20"/>
          <w:color w:val="auto"/>
        </w:rPr>
      </w:pPr>
    </w:p>
    <w:p>
      <w:pPr>
        <w:jc w:val="center"/>
        <w:ind w:right="7260"/>
        <w:spacing w:after="0"/>
        <w:rPr>
          <w:sz w:val="20"/>
          <w:szCs w:val="20"/>
          <w:color w:val="auto"/>
        </w:rPr>
      </w:pPr>
      <w:r>
        <w:rPr>
          <w:rFonts w:ascii="Arial" w:cs="Arial" w:eastAsia="Arial" w:hAnsi="Arial"/>
          <w:sz w:val="12"/>
          <w:szCs w:val="12"/>
          <w:b w:val="1"/>
          <w:bCs w:val="1"/>
          <w:color w:val="auto"/>
        </w:rPr>
        <w:t>Capital share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Issuance of shares of common stock</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Net increase in net assets resulting from capital share transactions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increase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Assets: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End of period</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Distributions in excess of net investment income, at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Share Activity:</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Shares issued from public and private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line="228" w:lineRule="auto"/>
        <w:rPr>
          <w:sz w:val="20"/>
          <w:szCs w:val="20"/>
          <w:color w:val="auto"/>
        </w:rPr>
      </w:pPr>
      <w:r>
        <w:rPr>
          <w:rFonts w:ascii="Arial" w:cs="Arial" w:eastAsia="Arial" w:hAnsi="Arial"/>
          <w:sz w:val="14"/>
          <w:szCs w:val="14"/>
          <w:b w:val="1"/>
          <w:bCs w:val="1"/>
          <w:color w:val="auto"/>
        </w:rPr>
        <w:t>For the period March 4, 2011 (commencement of operations) to</w:t>
      </w:r>
    </w:p>
    <w:p>
      <w:pPr>
        <w:ind w:left="340"/>
        <w:spacing w:after="0"/>
        <w:rPr>
          <w:sz w:val="20"/>
          <w:szCs w:val="20"/>
          <w:color w:val="auto"/>
        </w:rPr>
      </w:pPr>
      <w:r>
        <w:rPr>
          <w:rFonts w:ascii="Arial" w:cs="Arial" w:eastAsia="Arial" w:hAnsi="Arial"/>
          <w:sz w:val="14"/>
          <w:szCs w:val="14"/>
          <w:b w:val="1"/>
          <w:bCs w:val="1"/>
          <w:color w:val="auto"/>
        </w:rPr>
        <w:t>September 30, 2011</w:t>
      </w:r>
    </w:p>
    <w:p>
      <w:pPr>
        <w:spacing w:after="0" w:line="314" w:lineRule="exact"/>
        <w:rPr>
          <w:sz w:val="20"/>
          <w:szCs w:val="20"/>
          <w:color w:val="auto"/>
        </w:rPr>
      </w:pPr>
    </w:p>
    <w:p>
      <w:pPr>
        <w:ind w:left="1340" w:hanging="1317"/>
        <w:spacing w:after="0"/>
        <w:tabs>
          <w:tab w:leader="none" w:pos="13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320,139</w:t>
      </w:r>
    </w:p>
    <w:p>
      <w:pPr>
        <w:spacing w:after="0" w:line="105" w:lineRule="exact"/>
        <w:rPr>
          <w:rFonts w:ascii="Arial" w:cs="Arial" w:eastAsia="Arial" w:hAnsi="Arial"/>
          <w:sz w:val="12"/>
          <w:szCs w:val="12"/>
          <w:color w:val="auto"/>
        </w:rPr>
      </w:pPr>
    </w:p>
    <w:p>
      <w:pPr>
        <w:ind w:left="1340"/>
        <w:spacing w:after="0"/>
        <w:rPr>
          <w:rFonts w:ascii="Arial" w:cs="Arial" w:eastAsia="Arial" w:hAnsi="Arial"/>
          <w:sz w:val="12"/>
          <w:szCs w:val="12"/>
          <w:color w:val="auto"/>
        </w:rPr>
      </w:pPr>
      <w:r>
        <w:rPr>
          <w:rFonts w:ascii="Arial" w:cs="Arial" w:eastAsia="Arial" w:hAnsi="Arial"/>
          <w:sz w:val="12"/>
          <w:szCs w:val="12"/>
          <w:color w:val="auto"/>
        </w:rPr>
        <w:t>311,988</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(3,473,253)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(1,712,667)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2"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102,760,000</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(5,501,975)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97,258,025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1576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24"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92,072,105</w:t>
      </w:r>
    </w:p>
    <w:p>
      <w:pPr>
        <w:spacing w:after="0" w:line="360"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ind w:left="1180" w:hanging="1157"/>
        <w:spacing w:after="0"/>
        <w:tabs>
          <w:tab w:leader="none" w:pos="11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92,072,105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1576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38100</wp:posOffset>
            </wp:positionV>
            <wp:extent cx="11576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1" w:lineRule="exact"/>
        <w:rPr>
          <w:sz w:val="20"/>
          <w:szCs w:val="20"/>
          <w:color w:val="auto"/>
        </w:rPr>
      </w:pPr>
    </w:p>
    <w:p>
      <w:pPr>
        <w:ind w:left="1140" w:hanging="1117"/>
        <w:spacing w:after="0"/>
        <w:tabs>
          <w:tab w:leader="none" w:pos="11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(1,392,528)</w:t>
      </w:r>
    </w:p>
    <w:p>
      <w:pPr>
        <w:spacing w:after="0" w:line="200" w:lineRule="exact"/>
        <w:rPr>
          <w:rFonts w:ascii="Arial" w:cs="Arial" w:eastAsia="Arial" w:hAnsi="Arial"/>
          <w:sz w:val="12"/>
          <w:szCs w:val="12"/>
          <w:color w:val="auto"/>
        </w:rPr>
      </w:pPr>
    </w:p>
    <w:p>
      <w:pPr>
        <w:spacing w:after="0" w:line="202" w:lineRule="exact"/>
        <w:rPr>
          <w:rFonts w:ascii="Arial" w:cs="Arial" w:eastAsia="Arial" w:hAnsi="Arial"/>
          <w:sz w:val="12"/>
          <w:szCs w:val="12"/>
          <w:color w:val="auto"/>
        </w:rPr>
      </w:pPr>
    </w:p>
    <w:p>
      <w:pPr>
        <w:ind w:left="1240"/>
        <w:spacing w:after="0"/>
        <w:rPr>
          <w:rFonts w:ascii="Arial" w:cs="Arial" w:eastAsia="Arial" w:hAnsi="Arial"/>
          <w:sz w:val="12"/>
          <w:szCs w:val="12"/>
          <w:color w:val="auto"/>
        </w:rPr>
      </w:pPr>
      <w:r>
        <w:rPr>
          <w:rFonts w:ascii="Arial" w:cs="Arial" w:eastAsia="Arial" w:hAnsi="Arial"/>
          <w:sz w:val="12"/>
          <w:szCs w:val="12"/>
          <w:color w:val="auto"/>
        </w:rPr>
        <w:t>6,850,667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-328930</wp:posOffset>
            </wp:positionV>
            <wp:extent cx="11576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-311785</wp:posOffset>
            </wp:positionV>
            <wp:extent cx="11576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ectPr>
          <w:pgSz w:w="11900" w:h="16838" w:orient="portrait"/>
          <w:cols w:equalWidth="0" w:num="2">
            <w:col w:w="8820" w:space="720"/>
            <w:col w:w="1780"/>
          </w:cols>
          <w:pgMar w:left="24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62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operating activities: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Adjustments to reconcile net decrease in net assets resulting from operations to net cash used for operating activities: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net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realized gain on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accretion of discount and amortization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Purchase of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Payment-in-kind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Proceeds from disposition of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receivables for investments sold</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unfunded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payables for investments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interest payable on credit facility</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accrued other expenses</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Net cash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Offering costs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Distributions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Borrowings under credit facility (See Note 10)</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Repayments under credit facility (See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Net cash provided by financing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increase in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equivalents, beginning of year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disclosure of cash flow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Interest paid</w:t>
      </w:r>
    </w:p>
    <w:p>
      <w:pPr>
        <w:spacing w:after="0" w:line="200" w:lineRule="exact"/>
        <w:rPr>
          <w:sz w:val="20"/>
          <w:szCs w:val="20"/>
          <w:color w:val="auto"/>
        </w:rPr>
      </w:pPr>
    </w:p>
    <w:p>
      <w:pPr>
        <w:spacing w:after="0" w:line="341"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line="228" w:lineRule="auto"/>
        <w:rPr>
          <w:sz w:val="20"/>
          <w:szCs w:val="20"/>
          <w:color w:val="auto"/>
        </w:rPr>
      </w:pPr>
      <w:r>
        <w:rPr>
          <w:rFonts w:ascii="Arial" w:cs="Arial" w:eastAsia="Arial" w:hAnsi="Arial"/>
          <w:sz w:val="14"/>
          <w:szCs w:val="14"/>
          <w:b w:val="1"/>
          <w:bCs w:val="1"/>
          <w:color w:val="auto"/>
        </w:rPr>
        <w:t>For the period March 4, 2011 (commencement of operations) to</w:t>
      </w:r>
    </w:p>
    <w:p>
      <w:pPr>
        <w:ind w:left="340"/>
        <w:spacing w:after="0"/>
        <w:rPr>
          <w:sz w:val="20"/>
          <w:szCs w:val="20"/>
          <w:color w:val="auto"/>
        </w:rPr>
      </w:pPr>
      <w:r>
        <w:rPr>
          <w:rFonts w:ascii="Arial" w:cs="Arial" w:eastAsia="Arial" w:hAnsi="Arial"/>
          <w:sz w:val="14"/>
          <w:szCs w:val="14"/>
          <w:b w:val="1"/>
          <w:bCs w:val="1"/>
          <w:color w:val="auto"/>
        </w:rPr>
        <w:t>September 30, 2011</w:t>
      </w:r>
    </w:p>
    <w:p>
      <w:pPr>
        <w:spacing w:after="0" w:line="314" w:lineRule="exact"/>
        <w:rPr>
          <w:sz w:val="20"/>
          <w:szCs w:val="20"/>
          <w:color w:val="auto"/>
        </w:rPr>
      </w:pPr>
    </w:p>
    <w:p>
      <w:pPr>
        <w:ind w:left="1140" w:hanging="1117"/>
        <w:spacing w:after="0"/>
        <w:tabs>
          <w:tab w:leader="none" w:pos="11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(3,473,253)</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4,105,380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(311,988)</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(136,975)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(147,545,077)</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(42,074)</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33,206,493</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(732,695)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(2,467,500)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(163,374)</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2,323,250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990,000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150,246</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266,432</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(113,687,455)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2"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102,760,000</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(5,501,975)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(1,233,120)</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29,000,000</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120,674,905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115760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12"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6,987,450</w:t>
      </w:r>
    </w:p>
    <w:p>
      <w:pPr>
        <w:spacing w:after="0" w:line="105"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ind w:left="1240" w:hanging="1217"/>
        <w:spacing w:after="0"/>
        <w:tabs>
          <w:tab w:leader="none" w:pos="12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6,987,450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115760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30480</wp:posOffset>
            </wp:positionV>
            <wp:extent cx="115760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82"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5,556</w:t>
      </w:r>
    </w:p>
    <w:p>
      <w:pPr>
        <w:sectPr>
          <w:pgSz w:w="11900" w:h="16838" w:orient="portrait"/>
          <w:cols w:equalWidth="0" w:num="2">
            <w:col w:w="8820" w:space="720"/>
            <w:col w:w="1780"/>
          </w:cols>
          <w:pgMar w:left="24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center"/>
              <w:ind w:right="233"/>
              <w:spacing w:after="0"/>
              <w:rPr>
                <w:sz w:val="20"/>
                <w:szCs w:val="20"/>
                <w:color w:val="auto"/>
              </w:rPr>
            </w:pPr>
            <w:r>
              <w:rPr>
                <w:rFonts w:ascii="Arial" w:cs="Arial" w:eastAsia="Arial" w:hAnsi="Arial"/>
                <w:sz w:val="14"/>
                <w:szCs w:val="14"/>
                <w:b w:val="1"/>
                <w:bCs w:val="1"/>
                <w:color w:val="auto"/>
                <w:w w:val="83"/>
              </w:rPr>
              <w:t>Basis Point</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88"/>
              </w:rPr>
              <w:t>Spread</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3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jc w:val="right"/>
              <w:ind w:right="52"/>
              <w:spacing w:after="0" w:line="135" w:lineRule="exact"/>
              <w:rPr>
                <w:sz w:val="20"/>
                <w:szCs w:val="20"/>
                <w:color w:val="auto"/>
              </w:rPr>
            </w:pPr>
            <w:r>
              <w:rPr>
                <w:rFonts w:ascii="Arial" w:cs="Arial" w:eastAsia="Arial" w:hAnsi="Arial"/>
                <w:sz w:val="14"/>
                <w:szCs w:val="14"/>
                <w:b w:val="1"/>
                <w:bCs w:val="1"/>
                <w:color w:val="auto"/>
              </w:rPr>
              <w:t>Current</w:t>
            </w:r>
          </w:p>
        </w:tc>
        <w:tc>
          <w:tcPr>
            <w:tcW w:w="360" w:type="dxa"/>
            <w:vAlign w:val="bottom"/>
          </w:tcPr>
          <w:p>
            <w:pPr>
              <w:spacing w:after="0"/>
              <w:rPr>
                <w:sz w:val="11"/>
                <w:szCs w:val="11"/>
                <w:color w:val="auto"/>
              </w:rPr>
            </w:pPr>
          </w:p>
        </w:tc>
        <w:tc>
          <w:tcPr>
            <w:tcW w:w="980" w:type="dxa"/>
            <w:vAlign w:val="bottom"/>
          </w:tcPr>
          <w:p>
            <w:pPr>
              <w:jc w:val="center"/>
              <w:ind w:right="213"/>
              <w:spacing w:after="0" w:line="135" w:lineRule="exact"/>
              <w:rPr>
                <w:sz w:val="20"/>
                <w:szCs w:val="20"/>
                <w:color w:val="auto"/>
              </w:rPr>
            </w:pPr>
            <w:r>
              <w:rPr>
                <w:rFonts w:ascii="Arial" w:cs="Arial" w:eastAsia="Arial" w:hAnsi="Arial"/>
                <w:sz w:val="14"/>
                <w:szCs w:val="14"/>
                <w:b w:val="1"/>
                <w:bCs w:val="1"/>
                <w:color w:val="auto"/>
                <w:w w:val="88"/>
              </w:rPr>
              <w:t>Above</w:t>
            </w:r>
          </w:p>
        </w:tc>
        <w:tc>
          <w:tcPr>
            <w:tcW w:w="72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Par/</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Fair</w:t>
            </w:r>
          </w:p>
        </w:tc>
      </w:tr>
      <w:tr>
        <w:trPr>
          <w:trHeight w:val="176"/>
        </w:trPr>
        <w:tc>
          <w:tcPr>
            <w:tcW w:w="3200" w:type="dxa"/>
            <w:vAlign w:val="bottom"/>
          </w:tcPr>
          <w:p>
            <w:pPr>
              <w:spacing w:after="0"/>
              <w:rPr>
                <w:sz w:val="20"/>
                <w:szCs w:val="20"/>
                <w:color w:val="auto"/>
              </w:rPr>
            </w:pPr>
            <w:r>
              <w:rPr>
                <w:rFonts w:ascii="Arial" w:cs="Arial" w:eastAsia="Arial" w:hAnsi="Arial"/>
                <w:sz w:val="14"/>
                <w:szCs w:val="14"/>
                <w:b w:val="1"/>
                <w:bCs w:val="1"/>
                <w:color w:val="auto"/>
              </w:rPr>
              <w:t>Issuer Name</w:t>
            </w:r>
          </w:p>
        </w:tc>
        <w:tc>
          <w:tcPr>
            <w:tcW w:w="1980" w:type="dxa"/>
            <w:vAlign w:val="bottom"/>
          </w:tcPr>
          <w:p>
            <w:pPr>
              <w:ind w:left="1320"/>
              <w:spacing w:after="0"/>
              <w:rPr>
                <w:sz w:val="20"/>
                <w:szCs w:val="20"/>
                <w:color w:val="auto"/>
              </w:rPr>
            </w:pPr>
            <w:r>
              <w:rPr>
                <w:rFonts w:ascii="Arial" w:cs="Arial" w:eastAsia="Arial" w:hAnsi="Arial"/>
                <w:sz w:val="14"/>
                <w:szCs w:val="14"/>
                <w:b w:val="1"/>
                <w:bCs w:val="1"/>
                <w:color w:val="auto"/>
              </w:rPr>
              <w:t>Maturity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rPr>
              <w:t>Coupon</w:t>
            </w:r>
          </w:p>
        </w:tc>
        <w:tc>
          <w:tcPr>
            <w:tcW w:w="360" w:type="dxa"/>
            <w:vAlign w:val="bottom"/>
          </w:tcPr>
          <w:p>
            <w:pPr>
              <w:spacing w:after="0"/>
              <w:rPr>
                <w:sz w:val="15"/>
                <w:szCs w:val="15"/>
                <w:color w:val="auto"/>
              </w:rPr>
            </w:pPr>
          </w:p>
        </w:tc>
        <w:tc>
          <w:tcPr>
            <w:tcW w:w="980" w:type="dxa"/>
            <w:vAlign w:val="bottom"/>
          </w:tcPr>
          <w:p>
            <w:pPr>
              <w:jc w:val="center"/>
              <w:ind w:right="213"/>
              <w:spacing w:after="0" w:line="176" w:lineRule="exact"/>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20"/>
                <w:szCs w:val="20"/>
                <w:b w:val="1"/>
                <w:bCs w:val="1"/>
                <w:color w:val="auto"/>
                <w:w w:val="92"/>
                <w:vertAlign w:val="superscript"/>
              </w:rPr>
              <w:t>(1)</w:t>
            </w:r>
          </w:p>
        </w:tc>
        <w:tc>
          <w:tcPr>
            <w:tcW w:w="7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(2)</w:t>
            </w:r>
          </w:p>
        </w:tc>
      </w:tr>
      <w:tr>
        <w:trPr>
          <w:trHeight w:val="142"/>
        </w:trPr>
        <w:tc>
          <w:tcPr>
            <w:tcW w:w="51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6"/>
                <w:szCs w:val="16"/>
                <w:b w:val="1"/>
                <w:bCs w:val="1"/>
                <w:color w:val="auto"/>
                <w:vertAlign w:val="superscript"/>
              </w:rPr>
              <w:t>(3),(4)</w:t>
            </w:r>
          </w:p>
        </w:tc>
        <w:tc>
          <w:tcPr>
            <w:tcW w:w="13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Debt—102.4%</w:t>
            </w:r>
          </w:p>
        </w:tc>
        <w:tc>
          <w:tcPr>
            <w:tcW w:w="1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Airvana Network Solutions Inc. </w:t>
            </w:r>
            <w:r>
              <w:rPr>
                <w:rFonts w:ascii="Arial" w:cs="Arial" w:eastAsia="Arial" w:hAnsi="Arial"/>
                <w:sz w:val="21"/>
                <w:szCs w:val="21"/>
                <w:color w:val="auto"/>
                <w:vertAlign w:val="superscript"/>
              </w:rPr>
              <w:t>(11)</w:t>
            </w:r>
          </w:p>
        </w:tc>
        <w:tc>
          <w:tcPr>
            <w:tcW w:w="1980" w:type="dxa"/>
            <w:vAlign w:val="bottom"/>
            <w:shd w:val="clear" w:color="auto" w:fill="CCEEFF"/>
          </w:tcPr>
          <w:p>
            <w:pPr>
              <w:jc w:val="center"/>
              <w:ind w:left="1092"/>
              <w:spacing w:after="0"/>
              <w:rPr>
                <w:sz w:val="20"/>
                <w:szCs w:val="20"/>
                <w:color w:val="auto"/>
              </w:rPr>
            </w:pPr>
            <w:r>
              <w:rPr>
                <w:rFonts w:ascii="Arial" w:cs="Arial" w:eastAsia="Arial" w:hAnsi="Arial"/>
                <w:sz w:val="14"/>
                <w:szCs w:val="14"/>
                <w:color w:val="auto"/>
                <w:w w:val="86"/>
              </w:rPr>
              <w:t>3/25/2015</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Telecommunications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L+800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1,209,524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1,213,365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1,215,571</w:t>
            </w:r>
          </w:p>
        </w:tc>
        <w:tc>
          <w:tcPr>
            <w:tcW w:w="60" w:type="dxa"/>
            <w:vAlign w:val="bottom"/>
            <w:shd w:val="clear" w:color="auto" w:fill="CCEEFF"/>
          </w:tcPr>
          <w:p>
            <w:pPr>
              <w:spacing w:after="0"/>
              <w:rPr>
                <w:sz w:val="16"/>
                <w:szCs w:val="16"/>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Artel, LLC </w:t>
            </w:r>
            <w:r>
              <w:rPr>
                <w:rFonts w:ascii="Arial" w:cs="Arial" w:eastAsia="Arial" w:hAnsi="Arial"/>
                <w:sz w:val="21"/>
                <w:szCs w:val="21"/>
                <w:color w:val="auto"/>
                <w:vertAlign w:val="superscript"/>
              </w:rPr>
              <w:t>(11)</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6/1/2016</w:t>
            </w:r>
          </w:p>
        </w:tc>
        <w:tc>
          <w:tcPr>
            <w:tcW w:w="1320" w:type="dxa"/>
            <w:vAlign w:val="bottom"/>
          </w:tcPr>
          <w:p>
            <w:pPr>
              <w:jc w:val="center"/>
              <w:spacing w:after="0"/>
              <w:rPr>
                <w:sz w:val="20"/>
                <w:szCs w:val="20"/>
                <w:color w:val="auto"/>
              </w:rPr>
            </w:pPr>
            <w:r>
              <w:rPr>
                <w:rFonts w:ascii="Arial" w:cs="Arial" w:eastAsia="Arial" w:hAnsi="Arial"/>
                <w:sz w:val="14"/>
                <w:szCs w:val="14"/>
                <w:color w:val="auto"/>
                <w:w w:val="87"/>
              </w:rPr>
              <w:t>Telecommunications</w:t>
            </w:r>
          </w:p>
        </w:tc>
        <w:tc>
          <w:tcPr>
            <w:tcW w:w="700" w:type="dxa"/>
            <w:vAlign w:val="bottom"/>
          </w:tcPr>
          <w:p>
            <w:pPr>
              <w:jc w:val="right"/>
              <w:spacing w:after="0"/>
              <w:rPr>
                <w:sz w:val="20"/>
                <w:szCs w:val="20"/>
                <w:color w:val="auto"/>
              </w:rPr>
            </w:pPr>
            <w:r>
              <w:rPr>
                <w:rFonts w:ascii="Arial" w:cs="Arial" w:eastAsia="Arial" w:hAnsi="Arial"/>
                <w:sz w:val="14"/>
                <w:szCs w:val="14"/>
                <w:color w:val="auto"/>
              </w:rPr>
              <w:t>5.50%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L+425</w:t>
            </w:r>
          </w:p>
        </w:tc>
        <w:tc>
          <w:tcPr>
            <w:tcW w:w="720" w:type="dxa"/>
            <w:vAlign w:val="bottom"/>
          </w:tcPr>
          <w:p>
            <w:pPr>
              <w:jc w:val="right"/>
              <w:spacing w:after="0"/>
              <w:rPr>
                <w:sz w:val="20"/>
                <w:szCs w:val="20"/>
                <w:color w:val="auto"/>
              </w:rPr>
            </w:pPr>
            <w:r>
              <w:rPr>
                <w:rFonts w:ascii="Arial" w:cs="Arial" w:eastAsia="Arial" w:hAnsi="Arial"/>
                <w:sz w:val="14"/>
                <w:szCs w:val="14"/>
                <w:color w:val="auto"/>
              </w:rPr>
              <w:t>987,500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978,043</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972,688</w:t>
            </w:r>
          </w:p>
        </w:tc>
        <w:tc>
          <w:tcPr>
            <w:tcW w:w="60" w:type="dxa"/>
            <w:vAlign w:val="bottom"/>
          </w:tcPr>
          <w:p>
            <w:pPr>
              <w:spacing w:after="0"/>
              <w:rPr>
                <w:sz w:val="16"/>
                <w:szCs w:val="16"/>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Autoparts Holdings Limited</w:t>
            </w:r>
            <w:r>
              <w:rPr>
                <w:rFonts w:ascii="Arial" w:cs="Arial" w:eastAsia="Arial" w:hAnsi="Arial"/>
                <w:sz w:val="21"/>
                <w:szCs w:val="21"/>
                <w:color w:val="auto"/>
                <w:vertAlign w:val="superscript"/>
              </w:rPr>
              <w:t>(11)</w:t>
            </w:r>
          </w:p>
        </w:tc>
        <w:tc>
          <w:tcPr>
            <w:tcW w:w="1980" w:type="dxa"/>
            <w:vAlign w:val="bottom"/>
            <w:shd w:val="clear" w:color="auto" w:fill="CCEEFF"/>
          </w:tcPr>
          <w:p>
            <w:pPr>
              <w:jc w:val="center"/>
              <w:ind w:left="1092"/>
              <w:spacing w:after="0"/>
              <w:rPr>
                <w:sz w:val="20"/>
                <w:szCs w:val="20"/>
                <w:color w:val="auto"/>
              </w:rPr>
            </w:pPr>
            <w:r>
              <w:rPr>
                <w:rFonts w:ascii="Arial" w:cs="Arial" w:eastAsia="Arial" w:hAnsi="Arial"/>
                <w:sz w:val="14"/>
                <w:szCs w:val="14"/>
                <w:color w:val="auto"/>
                <w:w w:val="86"/>
              </w:rPr>
              <w:t>7/29/2017</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Automotive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L+500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995,085</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6"/>
                <w:szCs w:val="16"/>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7/31/2016</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9"/>
              </w:rPr>
              <w:t>Hotel, Gaming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12.38%</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L+988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478,873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488,220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476,878</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7"/>
              </w:rPr>
              <w:t>Leisure</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C.H.I. Overhead Doors, Inc.</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8/17/2017</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3,921,236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3,900,000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Durable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EAG, Inc.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7/28/2017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6.75%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P+350</w:t>
            </w:r>
          </w:p>
        </w:tc>
        <w:tc>
          <w:tcPr>
            <w:tcW w:w="720" w:type="dxa"/>
            <w:vAlign w:val="bottom"/>
          </w:tcPr>
          <w:p>
            <w:pPr>
              <w:jc w:val="right"/>
              <w:spacing w:after="0"/>
              <w:rPr>
                <w:sz w:val="20"/>
                <w:szCs w:val="20"/>
                <w:color w:val="auto"/>
              </w:rPr>
            </w:pPr>
            <w:r>
              <w:rPr>
                <w:rFonts w:ascii="Arial" w:cs="Arial" w:eastAsia="Arial" w:hAnsi="Arial"/>
                <w:sz w:val="14"/>
                <w:szCs w:val="14"/>
                <w:color w:val="auto"/>
              </w:rPr>
              <w:t>987,500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982,590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967,750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5/13/2016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2,966,250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2,939,107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2,936,587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Pharmaceuticals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Frac Tech International, LLC</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5/6/2016</w:t>
            </w:r>
          </w:p>
        </w:tc>
        <w:tc>
          <w:tcPr>
            <w:tcW w:w="1320" w:type="dxa"/>
            <w:vAlign w:val="bottom"/>
          </w:tcPr>
          <w:p>
            <w:pPr>
              <w:jc w:val="center"/>
              <w:spacing w:after="0"/>
              <w:rPr>
                <w:sz w:val="20"/>
                <w:szCs w:val="20"/>
                <w:color w:val="auto"/>
              </w:rPr>
            </w:pPr>
            <w:r>
              <w:rPr>
                <w:rFonts w:ascii="Arial" w:cs="Arial" w:eastAsia="Arial" w:hAnsi="Arial"/>
                <w:sz w:val="14"/>
                <w:szCs w:val="14"/>
                <w:color w:val="auto"/>
                <w:w w:val="87"/>
              </w:rPr>
              <w:t>Energy: Oil and Gas</w:t>
            </w:r>
          </w:p>
        </w:tc>
        <w:tc>
          <w:tcPr>
            <w:tcW w:w="700" w:type="dxa"/>
            <w:vAlign w:val="bottom"/>
          </w:tcPr>
          <w:p>
            <w:pPr>
              <w:jc w:val="right"/>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L+475</w:t>
            </w:r>
          </w:p>
        </w:tc>
        <w:tc>
          <w:tcPr>
            <w:tcW w:w="720" w:type="dxa"/>
            <w:vAlign w:val="bottom"/>
          </w:tcPr>
          <w:p>
            <w:pPr>
              <w:jc w:val="right"/>
              <w:spacing w:after="0"/>
              <w:rPr>
                <w:sz w:val="20"/>
                <w:szCs w:val="20"/>
                <w:color w:val="auto"/>
              </w:rPr>
            </w:pPr>
            <w:r>
              <w:rPr>
                <w:rFonts w:ascii="Arial" w:cs="Arial" w:eastAsia="Arial" w:hAnsi="Arial"/>
                <w:sz w:val="14"/>
                <w:szCs w:val="14"/>
                <w:color w:val="auto"/>
              </w:rPr>
              <w:t>2,073,930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2,054,330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2,033,747</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Gundle/SLT Environmental,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5/27/2016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Environmental</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2,964,467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2,812,950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Industries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(5) (6)</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8"/>
              </w:rPr>
              <w:t>5/1/2016</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5"/>
              </w:rPr>
              <w:t>Beverage, Food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2,000,000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1,990,000</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5"/>
              </w:rPr>
              <w:t>Tobacco</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Insight Global, Inc. </w:t>
            </w:r>
            <w:r>
              <w:rPr>
                <w:rFonts w:ascii="Arial" w:cs="Arial" w:eastAsia="Arial" w:hAnsi="Arial"/>
                <w:sz w:val="17"/>
                <w:szCs w:val="17"/>
                <w:color w:val="auto"/>
                <w:vertAlign w:val="superscript"/>
              </w:rPr>
              <w:t>(11)</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8/16/2017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2,493,750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2,481,331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2,475,047</w:t>
            </w:r>
          </w:p>
        </w:tc>
        <w:tc>
          <w:tcPr>
            <w:tcW w:w="60" w:type="dxa"/>
            <w:vAlign w:val="bottom"/>
          </w:tcPr>
          <w:p>
            <w:pPr>
              <w:spacing w:after="0"/>
              <w:rPr>
                <w:sz w:val="12"/>
                <w:szCs w:val="12"/>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Instant Web, Inc.</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8/7/2014</w:t>
            </w: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Media: Advertising,</w:t>
            </w:r>
          </w:p>
        </w:tc>
        <w:tc>
          <w:tcPr>
            <w:tcW w:w="700" w:type="dxa"/>
            <w:vAlign w:val="bottom"/>
          </w:tcPr>
          <w:p>
            <w:pPr>
              <w:jc w:val="right"/>
              <w:spacing w:after="0"/>
              <w:rPr>
                <w:sz w:val="20"/>
                <w:szCs w:val="20"/>
                <w:color w:val="auto"/>
              </w:rPr>
            </w:pPr>
            <w:r>
              <w:rPr>
                <w:rFonts w:ascii="Arial" w:cs="Arial" w:eastAsia="Arial" w:hAnsi="Arial"/>
                <w:sz w:val="14"/>
                <w:szCs w:val="14"/>
                <w:color w:val="auto"/>
              </w:rPr>
              <w:t>3.61%</w:t>
            </w:r>
          </w:p>
        </w:tc>
        <w:tc>
          <w:tcPr>
            <w:tcW w:w="360" w:type="dxa"/>
            <w:vAlign w:val="bottom"/>
          </w:tcPr>
          <w:p>
            <w:pPr>
              <w:spacing w:after="0"/>
              <w:rPr>
                <w:sz w:val="16"/>
                <w:szCs w:val="16"/>
                <w:color w:val="auto"/>
              </w:rPr>
            </w:pPr>
          </w:p>
        </w:tc>
        <w:tc>
          <w:tcPr>
            <w:tcW w:w="980" w:type="dxa"/>
            <w:vAlign w:val="bottom"/>
          </w:tcPr>
          <w:p>
            <w:pPr>
              <w:jc w:val="right"/>
              <w:ind w:right="73"/>
              <w:spacing w:after="0" w:line="189" w:lineRule="exact"/>
              <w:rPr>
                <w:sz w:val="20"/>
                <w:szCs w:val="20"/>
                <w:color w:val="auto"/>
              </w:rPr>
            </w:pPr>
            <w:r>
              <w:rPr>
                <w:rFonts w:ascii="Arial" w:cs="Arial" w:eastAsia="Arial" w:hAnsi="Arial"/>
                <w:sz w:val="13"/>
                <w:szCs w:val="13"/>
                <w:color w:val="auto"/>
              </w:rPr>
              <w:t xml:space="preserve">L+338 </w:t>
            </w:r>
            <w:r>
              <w:rPr>
                <w:rFonts w:ascii="Arial" w:cs="Arial" w:eastAsia="Arial" w:hAnsi="Arial"/>
                <w:sz w:val="21"/>
                <w:szCs w:val="21"/>
                <w:color w:val="auto"/>
                <w:vertAlign w:val="superscript"/>
              </w:rPr>
              <w:t>(7)</w:t>
            </w:r>
          </w:p>
        </w:tc>
        <w:tc>
          <w:tcPr>
            <w:tcW w:w="720" w:type="dxa"/>
            <w:vAlign w:val="bottom"/>
          </w:tcPr>
          <w:p>
            <w:pPr>
              <w:jc w:val="right"/>
              <w:spacing w:after="0"/>
              <w:rPr>
                <w:sz w:val="20"/>
                <w:szCs w:val="20"/>
                <w:color w:val="auto"/>
              </w:rPr>
            </w:pPr>
            <w:r>
              <w:rPr>
                <w:rFonts w:ascii="Arial" w:cs="Arial" w:eastAsia="Arial" w:hAnsi="Arial"/>
                <w:sz w:val="14"/>
                <w:szCs w:val="14"/>
                <w:color w:val="auto"/>
              </w:rPr>
              <w:t>6,981,823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6,523,240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6,283,641</w:t>
            </w:r>
          </w:p>
        </w:tc>
        <w:tc>
          <w:tcPr>
            <w:tcW w:w="60" w:type="dxa"/>
            <w:vAlign w:val="bottom"/>
          </w:tcPr>
          <w:p>
            <w:pPr>
              <w:spacing w:after="0"/>
              <w:rPr>
                <w:sz w:val="16"/>
                <w:szCs w:val="16"/>
                <w:color w:val="auto"/>
              </w:rPr>
            </w:pPr>
          </w:p>
        </w:tc>
      </w:tr>
      <w:tr>
        <w:trPr>
          <w:trHeight w:val="138"/>
        </w:trPr>
        <w:tc>
          <w:tcPr>
            <w:tcW w:w="3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20" w:type="dxa"/>
            <w:vAlign w:val="bottom"/>
          </w:tcPr>
          <w:p>
            <w:pPr>
              <w:jc w:val="center"/>
              <w:spacing w:after="0" w:line="138" w:lineRule="exact"/>
              <w:rPr>
                <w:sz w:val="20"/>
                <w:szCs w:val="20"/>
                <w:color w:val="auto"/>
              </w:rPr>
            </w:pPr>
            <w:r>
              <w:rPr>
                <w:rFonts w:ascii="Arial" w:cs="Arial" w:eastAsia="Arial" w:hAnsi="Arial"/>
                <w:sz w:val="14"/>
                <w:szCs w:val="14"/>
                <w:color w:val="auto"/>
                <w:w w:val="88"/>
              </w:rPr>
              <w:t>Printing and</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3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9/10/2015</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P+675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5,476,250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5,525,637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5,202,437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and Rubber</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KAR Auction Services, Inc.</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5/19/2017</w:t>
            </w: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Automotive</w:t>
            </w:r>
          </w:p>
        </w:tc>
        <w:tc>
          <w:tcPr>
            <w:tcW w:w="700" w:type="dxa"/>
            <w:vAlign w:val="bottom"/>
          </w:tcPr>
          <w:p>
            <w:pPr>
              <w:jc w:val="right"/>
              <w:spacing w:after="0"/>
              <w:rPr>
                <w:sz w:val="20"/>
                <w:szCs w:val="20"/>
                <w:color w:val="auto"/>
              </w:rPr>
            </w:pPr>
            <w:r>
              <w:rPr>
                <w:rFonts w:ascii="Arial" w:cs="Arial" w:eastAsia="Arial" w:hAnsi="Arial"/>
                <w:sz w:val="14"/>
                <w:szCs w:val="14"/>
                <w:color w:val="auto"/>
              </w:rPr>
              <w:t>5.00%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L+375</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2,978,487</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2,895,244</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(7)</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5/31/2014</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L+700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4,987,500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4,847,186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4,713,187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Non-Durable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Medpace Holdings, Inc.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6/17/2017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6.50%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L+500</w:t>
            </w:r>
          </w:p>
        </w:tc>
        <w:tc>
          <w:tcPr>
            <w:tcW w:w="720" w:type="dxa"/>
            <w:vAlign w:val="bottom"/>
          </w:tcPr>
          <w:p>
            <w:pPr>
              <w:jc w:val="right"/>
              <w:spacing w:after="0"/>
              <w:rPr>
                <w:sz w:val="20"/>
                <w:szCs w:val="20"/>
                <w:color w:val="auto"/>
              </w:rPr>
            </w:pPr>
            <w:r>
              <w:rPr>
                <w:rFonts w:ascii="Arial" w:cs="Arial" w:eastAsia="Arial" w:hAnsi="Arial"/>
                <w:sz w:val="14"/>
                <w:szCs w:val="14"/>
                <w:color w:val="auto"/>
              </w:rPr>
              <w:t>1,995,000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1,966,025</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1,895,250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 (11)</w:t>
            </w:r>
          </w:p>
        </w:tc>
        <w:tc>
          <w:tcPr>
            <w:tcW w:w="1980" w:type="dxa"/>
            <w:vAlign w:val="bottom"/>
            <w:shd w:val="clear" w:color="auto" w:fill="CCEEFF"/>
          </w:tcPr>
          <w:p>
            <w:pPr>
              <w:jc w:val="center"/>
              <w:ind w:left="1112"/>
              <w:spacing w:after="0" w:line="149" w:lineRule="exact"/>
              <w:rPr>
                <w:sz w:val="20"/>
                <w:szCs w:val="20"/>
                <w:color w:val="auto"/>
              </w:rPr>
            </w:pPr>
            <w:r>
              <w:rPr>
                <w:rFonts w:ascii="Arial" w:cs="Arial" w:eastAsia="Arial" w:hAnsi="Arial"/>
                <w:sz w:val="14"/>
                <w:szCs w:val="14"/>
                <w:color w:val="auto"/>
                <w:w w:val="88"/>
              </w:rPr>
              <w:t>5/6/2018</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Media: Diversified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3,951,886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3,670,800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and Production</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Penton Media, Inc.</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8"/>
              </w:rPr>
              <w:t>8/1/2014</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1"/>
              </w:rPr>
              <w:t>Media: Diversified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360" w:type="dxa"/>
            <w:vAlign w:val="bottom"/>
          </w:tcPr>
          <w:p>
            <w:pPr>
              <w:jc w:val="right"/>
              <w:ind w:right="164"/>
              <w:spacing w:after="0"/>
              <w:rPr>
                <w:sz w:val="20"/>
                <w:szCs w:val="20"/>
                <w:color w:val="auto"/>
              </w:rPr>
            </w:pPr>
            <w:r>
              <w:rPr>
                <w:rFonts w:ascii="Arial" w:cs="Arial" w:eastAsia="Arial" w:hAnsi="Arial"/>
                <w:sz w:val="11"/>
                <w:szCs w:val="11"/>
                <w:color w:val="auto"/>
                <w:w w:val="88"/>
              </w:rPr>
              <w:t>(8)</w:t>
            </w: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L+400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5,498,048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4,675,936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3,802,818</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7"/>
              </w:rPr>
              <w:t>and Production</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Potter’s Holdings II, L.P.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112"/>
              <w:spacing w:after="0" w:line="149" w:lineRule="exact"/>
              <w:rPr>
                <w:sz w:val="20"/>
                <w:szCs w:val="20"/>
                <w:color w:val="auto"/>
              </w:rPr>
            </w:pPr>
            <w:r>
              <w:rPr>
                <w:rFonts w:ascii="Arial" w:cs="Arial" w:eastAsia="Arial" w:hAnsi="Arial"/>
                <w:sz w:val="14"/>
                <w:szCs w:val="14"/>
                <w:color w:val="auto"/>
                <w:w w:val="88"/>
              </w:rPr>
              <w:t>5/8/2017</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Containers,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1,976,257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1,900,237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Packaging and Glass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Pro Mach, Inc. </w:t>
            </w:r>
            <w:r>
              <w:rPr>
                <w:rFonts w:ascii="Arial" w:cs="Arial" w:eastAsia="Arial" w:hAnsi="Arial"/>
                <w:sz w:val="21"/>
                <w:szCs w:val="21"/>
                <w:color w:val="auto"/>
                <w:vertAlign w:val="superscript"/>
              </w:rPr>
              <w:t>(11)</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7/6/2017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Capital Equipment</w:t>
            </w:r>
          </w:p>
        </w:tc>
        <w:tc>
          <w:tcPr>
            <w:tcW w:w="700" w:type="dxa"/>
            <w:vAlign w:val="bottom"/>
          </w:tcPr>
          <w:p>
            <w:pPr>
              <w:jc w:val="right"/>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L+475</w:t>
            </w:r>
          </w:p>
        </w:tc>
        <w:tc>
          <w:tcPr>
            <w:tcW w:w="720" w:type="dxa"/>
            <w:vAlign w:val="bottom"/>
          </w:tcPr>
          <w:p>
            <w:pPr>
              <w:jc w:val="right"/>
              <w:spacing w:after="0"/>
              <w:rPr>
                <w:sz w:val="20"/>
                <w:szCs w:val="20"/>
                <w:color w:val="auto"/>
              </w:rPr>
            </w:pPr>
            <w:r>
              <w:rPr>
                <w:rFonts w:ascii="Arial" w:cs="Arial" w:eastAsia="Arial" w:hAnsi="Arial"/>
                <w:sz w:val="14"/>
                <w:szCs w:val="14"/>
                <w:color w:val="auto"/>
              </w:rPr>
              <w:t>997,500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987,986</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982,537</w:t>
            </w:r>
          </w:p>
        </w:tc>
        <w:tc>
          <w:tcPr>
            <w:tcW w:w="60" w:type="dxa"/>
            <w:vAlign w:val="bottom"/>
          </w:tcPr>
          <w:p>
            <w:pPr>
              <w:spacing w:after="0"/>
              <w:rPr>
                <w:sz w:val="16"/>
                <w:szCs w:val="16"/>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Securus Technologies, Inc.</w:t>
            </w:r>
            <w:r>
              <w:rPr>
                <w:rFonts w:ascii="Arial" w:cs="Arial" w:eastAsia="Arial" w:hAnsi="Arial"/>
                <w:sz w:val="21"/>
                <w:szCs w:val="21"/>
                <w:color w:val="auto"/>
                <w:vertAlign w:val="superscript"/>
              </w:rPr>
              <w:t>(11)</w:t>
            </w:r>
          </w:p>
        </w:tc>
        <w:tc>
          <w:tcPr>
            <w:tcW w:w="1980" w:type="dxa"/>
            <w:vAlign w:val="bottom"/>
            <w:shd w:val="clear" w:color="auto" w:fill="CCEEFF"/>
          </w:tcPr>
          <w:p>
            <w:pPr>
              <w:jc w:val="center"/>
              <w:ind w:left="1092"/>
              <w:spacing w:after="0"/>
              <w:rPr>
                <w:sz w:val="20"/>
                <w:szCs w:val="20"/>
                <w:color w:val="auto"/>
              </w:rPr>
            </w:pPr>
            <w:r>
              <w:rPr>
                <w:rFonts w:ascii="Arial" w:cs="Arial" w:eastAsia="Arial" w:hAnsi="Arial"/>
                <w:sz w:val="14"/>
                <w:szCs w:val="14"/>
                <w:color w:val="auto"/>
                <w:w w:val="86"/>
              </w:rPr>
              <w:t>5/31/2017</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Telecommunications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L+400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2,963,597</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2,891,503</w:t>
            </w:r>
          </w:p>
        </w:tc>
        <w:tc>
          <w:tcPr>
            <w:tcW w:w="60" w:type="dxa"/>
            <w:vAlign w:val="bottom"/>
            <w:shd w:val="clear" w:color="auto" w:fill="CCEEFF"/>
          </w:tcPr>
          <w:p>
            <w:pPr>
              <w:spacing w:after="0"/>
              <w:rPr>
                <w:sz w:val="16"/>
                <w:szCs w:val="16"/>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Select Medical Corporation</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6/1/2018</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5.50%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L+375</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2,963,943</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2,708,212</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(7)</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5/15/2019</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Hotel, Gaming and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2,970,000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Leisure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Sotera Defense Solutions, Inc. </w:t>
            </w:r>
            <w:r>
              <w:rPr>
                <w:rFonts w:ascii="Arial" w:cs="Arial" w:eastAsia="Arial" w:hAnsi="Arial"/>
                <w:sz w:val="17"/>
                <w:szCs w:val="17"/>
                <w:color w:val="auto"/>
                <w:vertAlign w:val="superscript"/>
              </w:rPr>
              <w:t>(11)</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4/22/2017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Aerospace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2,964,848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2,917,688</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Defense</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Tank Intermediate Holding Corp.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4/15/2016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Containers,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L+375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1,835,472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1,831,420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1,807,940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Packaging and Glass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Terex Corporation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4/28/2017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Capital Equipment</w:t>
            </w:r>
          </w:p>
        </w:tc>
        <w:tc>
          <w:tcPr>
            <w:tcW w:w="700" w:type="dxa"/>
            <w:vAlign w:val="bottom"/>
          </w:tcPr>
          <w:p>
            <w:pPr>
              <w:jc w:val="right"/>
              <w:spacing w:after="0"/>
              <w:rPr>
                <w:sz w:val="20"/>
                <w:szCs w:val="20"/>
                <w:color w:val="auto"/>
              </w:rPr>
            </w:pPr>
            <w:r>
              <w:rPr>
                <w:rFonts w:ascii="Arial" w:cs="Arial" w:eastAsia="Arial" w:hAnsi="Arial"/>
                <w:sz w:val="14"/>
                <w:szCs w:val="14"/>
                <w:color w:val="auto"/>
              </w:rPr>
              <w:t>5.50%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L+400</w:t>
            </w:r>
          </w:p>
        </w:tc>
        <w:tc>
          <w:tcPr>
            <w:tcW w:w="720" w:type="dxa"/>
            <w:vAlign w:val="bottom"/>
          </w:tcPr>
          <w:p>
            <w:pPr>
              <w:jc w:val="right"/>
              <w:spacing w:after="0"/>
              <w:rPr>
                <w:sz w:val="20"/>
                <w:szCs w:val="20"/>
                <w:color w:val="auto"/>
              </w:rPr>
            </w:pPr>
            <w:r>
              <w:rPr>
                <w:rFonts w:ascii="Arial" w:cs="Arial" w:eastAsia="Arial" w:hAnsi="Arial"/>
                <w:sz w:val="14"/>
                <w:szCs w:val="14"/>
                <w:color w:val="auto"/>
              </w:rPr>
              <w:t>2,000,000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1,980,598</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1,962,500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Triple Point Technology, Inc.</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4/14/2016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4,968,750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4,923,769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4,819,688</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Industries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Univita Health Inc.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6/19/2017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5"/>
              </w:rPr>
              <w:t>Consumer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L+475</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2,964,110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2,827,913</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U.S. Healthworks Holding Company,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6/15/2016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2,964,480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2,887,763</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Pharmaceuticals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Valitas Health Services, Inc.</w:t>
            </w:r>
            <w:r>
              <w:rPr>
                <w:rFonts w:ascii="Arial" w:cs="Arial" w:eastAsia="Arial" w:hAnsi="Arial"/>
                <w:sz w:val="17"/>
                <w:szCs w:val="17"/>
                <w:color w:val="auto"/>
                <w:vertAlign w:val="superscript"/>
              </w:rPr>
              <w:t>(11)</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8"/>
              </w:rPr>
              <w:t>6/2/2017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L+450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1,496,250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1,489,223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1,406,475</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Pharmaceuticals</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Viamedia Services Corp.</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4/19/2016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Media: Advertising,</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4,694,273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4,690,625</w:t>
            </w:r>
          </w:p>
        </w:tc>
        <w:tc>
          <w:tcPr>
            <w:tcW w:w="60" w:type="dxa"/>
            <w:vAlign w:val="bottom"/>
            <w:shd w:val="clear" w:color="auto" w:fill="CCEEFF"/>
          </w:tcPr>
          <w:p>
            <w:pPr>
              <w:spacing w:after="0"/>
              <w:rPr>
                <w:sz w:val="12"/>
                <w:szCs w:val="12"/>
                <w:color w:val="auto"/>
              </w:rPr>
            </w:pPr>
          </w:p>
        </w:tc>
      </w:tr>
      <w:tr>
        <w:trPr>
          <w:trHeight w:val="138"/>
        </w:trPr>
        <w:tc>
          <w:tcPr>
            <w:tcW w:w="32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3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Printing and</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32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Virtual Radiologic Corporation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8"/>
              </w:rPr>
              <w:t>12/22/2016</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7.75%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P+450</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2,963,172</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2,812,950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Water Pik,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8/10/2017</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L+525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3,465,501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3,430,000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Durable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(6)</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7/15/2016</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9"/>
              </w:rPr>
              <w:t>Hotel, Gaming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11.38%</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4,355,966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4,080,000</w:t>
            </w:r>
          </w:p>
        </w:tc>
        <w:tc>
          <w:tcPr>
            <w:tcW w:w="60" w:type="dxa"/>
            <w:vAlign w:val="bottom"/>
          </w:tcPr>
          <w:p>
            <w:pPr>
              <w:spacing w:after="0"/>
              <w:rPr>
                <w:sz w:val="12"/>
                <w:szCs w:val="12"/>
                <w:color w:val="auto"/>
              </w:rPr>
            </w:pPr>
          </w:p>
        </w:tc>
      </w:tr>
      <w:tr>
        <w:trPr>
          <w:trHeight w:val="156"/>
        </w:trPr>
        <w:tc>
          <w:tcPr>
            <w:tcW w:w="3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7"/>
              </w:rPr>
              <w:t>Leisure</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3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First Lien Secured Debt</w:t>
            </w:r>
          </w:p>
        </w:tc>
        <w:tc>
          <w:tcPr>
            <w:tcW w:w="19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97,975,314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94,333,126</w:t>
            </w:r>
          </w:p>
        </w:tc>
        <w:tc>
          <w:tcPr>
            <w:tcW w:w="60" w:type="dxa"/>
            <w:vAlign w:val="bottom"/>
            <w:shd w:val="clear" w:color="auto" w:fill="CCEEFF"/>
          </w:tcPr>
          <w:p>
            <w:pPr>
              <w:spacing w:after="0"/>
              <w:rPr>
                <w:sz w:val="16"/>
                <w:szCs w:val="16"/>
                <w:color w:val="auto"/>
              </w:rPr>
            </w:pPr>
          </w:p>
        </w:tc>
      </w:tr>
      <w:tr>
        <w:trPr>
          <w:trHeight w:val="169"/>
        </w:trPr>
        <w:tc>
          <w:tcPr>
            <w:tcW w:w="3200" w:type="dxa"/>
            <w:vAlign w:val="bottom"/>
          </w:tcPr>
          <w:p>
            <w:pPr>
              <w:spacing w:after="0"/>
              <w:rPr>
                <w:sz w:val="14"/>
                <w:szCs w:val="14"/>
                <w:color w:val="auto"/>
              </w:rPr>
            </w:pPr>
          </w:p>
        </w:tc>
        <w:tc>
          <w:tcPr>
            <w:tcW w:w="4360" w:type="dxa"/>
            <w:vAlign w:val="bottom"/>
            <w:gridSpan w:val="4"/>
          </w:tcPr>
          <w:p>
            <w:pPr>
              <w:jc w:val="center"/>
              <w:ind w:left="592"/>
              <w:spacing w:after="0"/>
              <w:rPr>
                <w:sz w:val="20"/>
                <w:szCs w:val="20"/>
                <w:color w:val="auto"/>
              </w:rPr>
            </w:pPr>
            <w:r>
              <w:rPr>
                <w:rFonts w:ascii="Arial" w:cs="Arial" w:eastAsia="Arial" w:hAnsi="Arial"/>
                <w:sz w:val="14"/>
                <w:szCs w:val="14"/>
                <w:color w:val="auto"/>
                <w:w w:val="92"/>
              </w:rPr>
              <w:t>SEE NOTES TO CONSOLIDATED FINANCIAL STATEMENTS</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97"/>
        </w:trPr>
        <w:tc>
          <w:tcPr>
            <w:tcW w:w="3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20" w:type="dxa"/>
            <w:vAlign w:val="bottom"/>
          </w:tcPr>
          <w:p>
            <w:pPr>
              <w:jc w:val="center"/>
              <w:ind w:right="192"/>
              <w:spacing w:after="0"/>
              <w:rPr>
                <w:sz w:val="20"/>
                <w:szCs w:val="20"/>
                <w:color w:val="auto"/>
              </w:rPr>
            </w:pPr>
            <w:r>
              <w:rPr>
                <w:rFonts w:ascii="Arial" w:cs="Arial" w:eastAsia="Arial" w:hAnsi="Arial"/>
                <w:sz w:val="14"/>
                <w:szCs w:val="14"/>
                <w:color w:val="auto"/>
                <w:w w:val="85"/>
              </w:rPr>
              <w:t>F-7</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-4544060</wp:posOffset>
            </wp:positionV>
            <wp:extent cx="7246620" cy="1200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Basis Point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Spread</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86"/>
              </w:rPr>
              <w:t>Current</w:t>
            </w: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4"/>
              </w:rPr>
              <w:t>Above</w:t>
            </w:r>
          </w:p>
        </w:tc>
        <w:tc>
          <w:tcPr>
            <w:tcW w:w="62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Fair</w:t>
            </w:r>
          </w:p>
        </w:tc>
      </w:tr>
      <w:tr>
        <w:trPr>
          <w:trHeight w:val="176"/>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Maturity</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Industry</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Coupon</w:t>
            </w:r>
          </w:p>
        </w:tc>
        <w:tc>
          <w:tcPr>
            <w:tcW w:w="92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(1)</w:t>
            </w: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7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(2)</w:t>
            </w:r>
          </w:p>
        </w:tc>
      </w:tr>
      <w:tr>
        <w:trPr>
          <w:trHeight w:val="142"/>
        </w:trPr>
        <w:tc>
          <w:tcPr>
            <w:tcW w:w="20" w:type="dxa"/>
            <w:vAlign w:val="bottom"/>
          </w:tcPr>
          <w:p>
            <w:pPr>
              <w:spacing w:after="0"/>
              <w:rPr>
                <w:sz w:val="12"/>
                <w:szCs w:val="12"/>
                <w:color w:val="auto"/>
              </w:rPr>
            </w:pPr>
          </w:p>
        </w:tc>
        <w:tc>
          <w:tcPr>
            <w:tcW w:w="5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Debt—10.1%</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(11)</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1/29/2018</w:t>
            </w: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Automotive</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10.50%</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L+900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995,000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985,000</w:t>
            </w:r>
          </w:p>
        </w:tc>
        <w:tc>
          <w:tcPr>
            <w:tcW w:w="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Ernest Health,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5/13/2017</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6"/>
              </w:rPr>
              <w:t>Healthcare and</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10.25%</w:t>
            </w:r>
          </w:p>
        </w:tc>
        <w:tc>
          <w:tcPr>
            <w:tcW w:w="92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L+850</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3,942,406</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4"/>
              </w:rPr>
              <w:t>Pharmaceuticals</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(7)</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6"/>
              </w:rPr>
              <w:t>11/6/2018</w:t>
            </w:r>
          </w:p>
        </w:tc>
        <w:tc>
          <w:tcPr>
            <w:tcW w:w="200" w:type="dxa"/>
            <w:vAlign w:val="bottom"/>
          </w:tcPr>
          <w:p>
            <w:pPr>
              <w:spacing w:after="0"/>
              <w:rPr>
                <w:sz w:val="11"/>
                <w:szCs w:val="11"/>
                <w:color w:val="auto"/>
              </w:rPr>
            </w:pPr>
          </w:p>
        </w:tc>
        <w:tc>
          <w:tcPr>
            <w:tcW w:w="11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0"/>
              </w:rPr>
              <w:t>Media:</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10.25%</w:t>
            </w:r>
          </w:p>
        </w:tc>
        <w:tc>
          <w:tcPr>
            <w:tcW w:w="92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L+875</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89"/>
              </w:rPr>
              <w:t>1,500,000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1,485,581</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1,380,000</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Diversified and</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9"/>
              </w:rPr>
              <w:t>Production</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ROC Finance LLC and ROC Finance 1 Corp </w:t>
            </w:r>
            <w:r>
              <w:rPr>
                <w:rFonts w:ascii="Arial" w:cs="Arial" w:eastAsia="Arial" w:hAnsi="Arial"/>
                <w:sz w:val="15"/>
                <w:szCs w:val="15"/>
                <w:color w:val="auto"/>
                <w:vertAlign w:val="superscript"/>
              </w:rPr>
              <w:t>(5)</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9/1/2018</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9"/>
              </w:rPr>
              <w:t>Hotel, Gaming</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12.13%</w:t>
            </w:r>
          </w:p>
        </w:tc>
        <w:tc>
          <w:tcPr>
            <w:tcW w:w="9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1,965,834</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2,020,000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7"/>
              </w:rPr>
              <w:t>and Leisure</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5/9/2018</w:t>
            </w:r>
          </w:p>
        </w:tc>
        <w:tc>
          <w:tcPr>
            <w:tcW w:w="200" w:type="dxa"/>
            <w:vAlign w:val="bottom"/>
          </w:tcPr>
          <w:p>
            <w:pPr>
              <w:spacing w:after="0"/>
              <w:rPr>
                <w:sz w:val="13"/>
                <w:szCs w:val="13"/>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Utilities: Water</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8.50%</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L+725</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990,624</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960,000</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9,379,445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9,285,000</w:t>
            </w:r>
          </w:p>
        </w:tc>
        <w:tc>
          <w:tcPr>
            <w:tcW w:w="60" w:type="dxa"/>
            <w:vAlign w:val="bottom"/>
            <w:shd w:val="clear" w:color="auto" w:fill="CCEEFF"/>
          </w:tcPr>
          <w:p>
            <w:pPr>
              <w:spacing w:after="0"/>
              <w:rPr>
                <w:sz w:val="12"/>
                <w:szCs w:val="12"/>
                <w:color w:val="auto"/>
              </w:rPr>
            </w:pPr>
          </w:p>
        </w:tc>
      </w:tr>
      <w:tr>
        <w:trPr>
          <w:trHeight w:val="156"/>
        </w:trPr>
        <w:tc>
          <w:tcPr>
            <w:tcW w:w="5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Notes—7.6%</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Affinion Group Holdings, Inc. </w:t>
            </w:r>
            <w:r>
              <w:rPr>
                <w:rFonts w:ascii="Arial" w:cs="Arial" w:eastAsia="Arial" w:hAnsi="Arial"/>
                <w:sz w:val="15"/>
                <w:szCs w:val="15"/>
                <w:color w:val="auto"/>
                <w:vertAlign w:val="superscript"/>
              </w:rPr>
              <w:t>(5)</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11/15/2015</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Consumer</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11.63%</w:t>
            </w:r>
          </w:p>
        </w:tc>
        <w:tc>
          <w:tcPr>
            <w:tcW w:w="9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1,524,891</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1,155,000</w:t>
            </w: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Goods: Non-</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9"/>
              </w:rPr>
              <w:t>Durable</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(5) (7)</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6"/>
              </w:rPr>
              <w:t>7/31/2018</w:t>
            </w:r>
          </w:p>
        </w:tc>
        <w:tc>
          <w:tcPr>
            <w:tcW w:w="200" w:type="dxa"/>
            <w:vAlign w:val="bottom"/>
          </w:tcPr>
          <w:p>
            <w:pPr>
              <w:spacing w:after="0"/>
              <w:rPr>
                <w:sz w:val="11"/>
                <w:szCs w:val="11"/>
                <w:color w:val="auto"/>
              </w:rPr>
            </w:pPr>
          </w:p>
        </w:tc>
        <w:tc>
          <w:tcPr>
            <w:tcW w:w="11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6"/>
              </w:rPr>
              <w:t>Beverage, Food</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14.00%</w:t>
            </w:r>
          </w:p>
        </w:tc>
        <w:tc>
          <w:tcPr>
            <w:tcW w:w="9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89"/>
              </w:rPr>
              <w:t>3,762,500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3,688,091</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3,687,250</w:t>
            </w: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and Tobacco</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(5) (9)</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7/31/2018</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6"/>
              </w:rPr>
              <w:t>Beverage, Food</w:t>
            </w:r>
          </w:p>
        </w:tc>
        <w:tc>
          <w:tcPr>
            <w:tcW w:w="82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2,206,000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2,161,880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2,161,880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3"/>
              </w:rPr>
              <w:t>and Tobacco</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3"/>
        </w:trPr>
        <w:tc>
          <w:tcPr>
            <w:tcW w:w="5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7,374,862</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7,004,130</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Equity/Partnership Interests—0.1%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820" w:type="dxa"/>
            <w:vAlign w:val="bottom"/>
            <w:gridSpan w:val="2"/>
          </w:tcPr>
          <w:p>
            <w:pPr>
              <w:jc w:val="center"/>
              <w:ind w:right="240"/>
              <w:spacing w:after="0" w:line="138" w:lineRule="exact"/>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6"/>
              </w:rPr>
              <w:t>Beverage, Food</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12.50%</w:t>
            </w:r>
          </w:p>
        </w:tc>
        <w:tc>
          <w:tcPr>
            <w:tcW w:w="9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158</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95,000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96,985</w:t>
            </w:r>
          </w:p>
        </w:tc>
        <w:tc>
          <w:tcPr>
            <w:tcW w:w="6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and Tobacco</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95,000</w:t>
            </w:r>
          </w:p>
        </w:tc>
        <w:tc>
          <w:tcPr>
            <w:tcW w:w="2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96,985</w:t>
            </w:r>
          </w:p>
        </w:tc>
        <w:tc>
          <w:tcPr>
            <w:tcW w:w="60" w:type="dxa"/>
            <w:vAlign w:val="bottom"/>
            <w:shd w:val="clear" w:color="auto" w:fill="CCEEFF"/>
          </w:tcPr>
          <w:p>
            <w:pPr>
              <w:spacing w:after="0"/>
              <w:rPr>
                <w:sz w:val="12"/>
                <w:szCs w:val="12"/>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Basis</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Point</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Spread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Current</w:t>
            </w: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Above</w:t>
            </w: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Par/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22"/>
                <w:szCs w:val="22"/>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Maturity</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Coupon</w:t>
            </w:r>
          </w:p>
        </w:tc>
        <w:tc>
          <w:tcPr>
            <w:tcW w:w="70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6"/>
                <w:szCs w:val="16"/>
                <w:b w:val="1"/>
                <w:bCs w:val="1"/>
                <w:color w:val="auto"/>
                <w:vertAlign w:val="superscript"/>
              </w:rPr>
              <w:t>(10)</w:t>
            </w: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320" w:type="dxa"/>
            <w:vAlign w:val="bottom"/>
            <w:gridSpan w:val="3"/>
          </w:tcPr>
          <w:p>
            <w:pPr>
              <w:spacing w:after="0"/>
              <w:rPr>
                <w:sz w:val="20"/>
                <w:szCs w:val="20"/>
                <w:color w:val="auto"/>
              </w:rPr>
            </w:pPr>
            <w:r>
              <w:rPr>
                <w:rFonts w:ascii="Arial" w:cs="Arial" w:eastAsia="Arial" w:hAnsi="Arial"/>
                <w:sz w:val="14"/>
                <w:szCs w:val="14"/>
                <w:color w:val="auto"/>
              </w:rPr>
              <w:t>Trusthouse Services</w:t>
            </w:r>
          </w:p>
        </w:tc>
        <w:tc>
          <w:tcPr>
            <w:tcW w:w="7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Beverage, Food</w:t>
            </w: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5,000</w:t>
            </w: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320" w:type="dxa"/>
            <w:vAlign w:val="bottom"/>
            <w:gridSpan w:val="3"/>
          </w:tcPr>
          <w:p>
            <w:pPr>
              <w:spacing w:after="0"/>
              <w:rPr>
                <w:sz w:val="20"/>
                <w:szCs w:val="20"/>
                <w:color w:val="auto"/>
              </w:rPr>
            </w:pPr>
            <w:r>
              <w:rPr>
                <w:rFonts w:ascii="Arial" w:cs="Arial" w:eastAsia="Arial" w:hAnsi="Arial"/>
                <w:sz w:val="14"/>
                <w:szCs w:val="14"/>
                <w:color w:val="auto"/>
              </w:rPr>
              <w:t>Holdings, LLC</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and Tobacco</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3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114,829,621</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110,724,241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Equivalents—7.6%</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6,987,450</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Equivalents—127.8%</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121,817,071</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117,711,691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Liabilities in Excess of Other Assets—(27.8%)</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(25,639,586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Net Assets—100.0%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92,072,105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120" w:hanging="334"/>
        <w:spacing w:after="0" w:line="230"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 Rate (LIBOR or “L”) or prime rate (Prime or “P”) and its coupon is subject to a LIBOR or prime rate floor.</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680" w:right="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680" w:right="140" w:hanging="334"/>
        <w:spacing w:after="0" w:line="258" w:lineRule="auto"/>
        <w:tabs>
          <w:tab w:leader="none" w:pos="6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680" w:right="42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The security may be resold in transactions that are exempt from registration, normally to qualified institutional buyers.</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680" w:hanging="334"/>
        <w:spacing w:after="0"/>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securities are pledged as collateral under PennantPark Floating Rate Funding I, LLC’s Credit Facility.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5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59"/>
        <w:spacing w:after="0"/>
        <w:rPr>
          <w:sz w:val="20"/>
          <w:szCs w:val="20"/>
          <w:color w:val="auto"/>
        </w:rPr>
      </w:pPr>
      <w:r>
        <w:rPr>
          <w:rFonts w:ascii="Arial" w:cs="Arial" w:eastAsia="Arial" w:hAnsi="Arial"/>
          <w:sz w:val="14"/>
          <w:szCs w:val="14"/>
          <w:b w:val="1"/>
          <w:bCs w:val="1"/>
          <w:color w:val="auto"/>
        </w:rPr>
        <w:t>September 30, 2011</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Except where the context suggests otherwise, the terms “Company,” “we,” “our” or “us” refer to PennantPark Floating Rate Capital Ltd.</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71"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on October 28, 2010. The Company is a closed-end, externally managed, non-diversified investment company that has elected to be treated as a business development company, or BDC, under the Investment Company Act of 1940, as amended, or the 1940 Act.</w:t>
      </w:r>
    </w:p>
    <w:p>
      <w:pPr>
        <w:spacing w:after="0" w:line="13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objectives are to generate high current income and capital appreciation. We will seek to achieve our investment objectives by investing primarily in floating rate loans and other instruments made to private middle-market companies whose debt is rated below investment grade. “Floating Rate Loans” are defined as loans that typically pay interest at variable-rates,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investments with similar characteristics, including cash equivalents in money market funds. We generally expect that senior secured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22" w:lineRule="exact"/>
        <w:rPr>
          <w:sz w:val="20"/>
          <w:szCs w:val="20"/>
          <w:color w:val="auto"/>
        </w:rPr>
      </w:pPr>
    </w:p>
    <w:p>
      <w:pPr>
        <w:ind w:right="280" w:firstLine="456"/>
        <w:spacing w:after="0" w:line="230" w:lineRule="auto"/>
        <w:rPr>
          <w:sz w:val="20"/>
          <w:szCs w:val="20"/>
          <w:color w:val="auto"/>
        </w:rPr>
      </w:pPr>
      <w:r>
        <w:rPr>
          <w:rFonts w:ascii="Arial" w:cs="Arial" w:eastAsia="Arial" w:hAnsi="Arial"/>
          <w:sz w:val="14"/>
          <w:szCs w:val="14"/>
          <w:color w:val="auto"/>
        </w:rPr>
        <w:t>On April 13, 2011, we closed our initial public offering of 6,700,000 shares, and on May 11, 2011 the underwriters exercised their overallotment option and purchased an additional 150,000 shares, resulting in total gross proceeds of $102.8 million. After deducting the underwriters’ discount, or sales load, of $5.1 million, we received net proceeds of $97.7 million from our initial public offering. Additionally, offering costs were estimated at $1.0 million. The underwriters agreed to reimburse, and have paid us, $0.4 million of the estimated $1.0 million of offering expenses. On March 4, 2011, the Company sold 667 shares of common stock for $10,000 ($15.00 per share) to the Investment Adviser.</w:t>
      </w:r>
    </w:p>
    <w:p>
      <w:pPr>
        <w:spacing w:after="0" w:line="139"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are externally managed by PennantPark Investment Advisers, LLC, or the Investment Adviser or PennantPark Investment Advisers. PennantPark Investment Administration, LLC, or the Administrator or PennantPark Investment Administration, provides the administrative services necessary for us to operate.</w:t>
      </w:r>
    </w:p>
    <w:p>
      <w:pPr>
        <w:spacing w:after="0" w:line="139"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2"/>
          <w:szCs w:val="12"/>
          <w:color w:val="auto"/>
        </w:rPr>
        <w:t>On April 13, 2011, PennantPark Floating Rate Capital Ltd. closed its initial public offering and our common stock trades on the NASDAQ Global Select Market under the symbol “PFLT”. We entered into an investment management agreement, the Investment Management Agreement, with PennantPark Investment Advisers, LLC the Investment Adviser or Adviser, an external adviser that manages our day-to-day operations. We also entered into an administration agreement, the Administration Agreement, with the Administrator, that provides the administrative services necessary for us to operate.</w:t>
      </w:r>
    </w:p>
    <w:p>
      <w:pPr>
        <w:spacing w:after="0" w:line="11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on May 18, 2011. We formed Funding I, in order to establish a senior secured revolving facility, the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commercial paper rate that approximates LIBOR plus 225 basis points during the revolving period. The Credit Facility is secured by all of the assets held by Funding I. See Note 10 to the Consolidated Financial Statements.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71"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preparation of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17"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have provided a Consolidated Statement of Changes in Net Assets in lieu of a Consolidated Statement of Changes in Stockholders’ Equity.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50" w:lineRule="exact"/>
        <w:rPr>
          <w:sz w:val="20"/>
          <w:szCs w:val="20"/>
          <w:color w:val="auto"/>
        </w:rPr>
      </w:pPr>
    </w:p>
    <w:p>
      <w:pPr>
        <w:jc w:val="both"/>
        <w:ind w:right="20" w:firstLine="456"/>
        <w:spacing w:after="0" w:line="278"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2"/>
          <w:szCs w:val="12"/>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23"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9" w:lineRule="exact"/>
        <w:rPr>
          <w:sz w:val="20"/>
          <w:szCs w:val="20"/>
          <w:color w:val="auto"/>
        </w:rPr>
      </w:pPr>
    </w:p>
    <w:p>
      <w:pPr>
        <w:ind w:left="800" w:right="240" w:hanging="346"/>
        <w:spacing w:after="0" w:line="239" w:lineRule="auto"/>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800" w:hanging="346"/>
        <w:spacing w:after="0"/>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800" w:right="40" w:hanging="346"/>
        <w:spacing w:after="0" w:line="233" w:lineRule="auto"/>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800" w:right="40" w:hanging="346"/>
        <w:spacing w:after="0" w:line="239" w:lineRule="auto"/>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800" w:right="480" w:hanging="346"/>
        <w:spacing w:after="0" w:line="239" w:lineRule="auto"/>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50"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3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premiums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23" w:lineRule="exact"/>
        <w:rPr>
          <w:sz w:val="20"/>
          <w:szCs w:val="20"/>
          <w:color w:val="auto"/>
        </w:rPr>
      </w:pPr>
    </w:p>
    <w:p>
      <w:pPr>
        <w:ind w:right="460" w:firstLine="456"/>
        <w:spacing w:after="0" w:line="318" w:lineRule="auto"/>
        <w:rPr>
          <w:sz w:val="20"/>
          <w:szCs w:val="20"/>
          <w:color w:val="auto"/>
        </w:rPr>
      </w:pPr>
      <w:r>
        <w:rPr>
          <w:rFonts w:ascii="Arial" w:cs="Arial" w:eastAsia="Arial" w:hAnsi="Arial"/>
          <w:sz w:val="12"/>
          <w:szCs w:val="12"/>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 See Note 7 to the Consolidated Financial Statements.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150" w:lineRule="exact"/>
        <w:rPr>
          <w:sz w:val="20"/>
          <w:szCs w:val="20"/>
          <w:color w:val="auto"/>
        </w:rPr>
      </w:pPr>
    </w:p>
    <w:p>
      <w:pPr>
        <w:ind w:right="500" w:firstLine="456"/>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is determined by the board of directors each month and is generally based upon the earnings estimated by management. Net realized capital gains, if any, are distributed at least annually.</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150"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As permitted under Regulation S-X and the AICPA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3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Assets related to transactions that do not meet ASC Topic 860—Transfers and Servicing requirements for accounting sale treatment are reflected in the Consolidated Balance Sheet as investments. Any such assets are owned by Funding I, the creditors of Funding I have received security interests in any such assets are not intended to be available to the creditors of the Company (or any affiliate of the Company).</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New Accounting Pronouncement</w:t>
      </w:r>
    </w:p>
    <w:p>
      <w:pPr>
        <w:spacing w:after="0" w:line="150"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In May 2011, the FASB issued Accounting Standards Update 2011-04, Amendments to Achieve Common Fair Value Measurement and Disclosure Requirements in U.S. GAAP and IFRSs (“ASU 2011-04”). ASU 2011-04 amends Accounting Standards Codification Topic 820, “Fair Value Measurements”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when adopted, are not expected to have a material impact on our consolidated financial statements and the company is currently evaluating the impact on its disclosures.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 Company’s investment management agreement, or the Investment Management Agreement, with the investment adviser, the adviser, was approved by our board of directors, including a majority of our independent directors in March 2011. Under this agreement the Investment Adviser, subject to the overall supervision of the Company’s board of directors, manages the day-to-day operations of and provides investment advisory services to us. The Investment Adviser serve s as the collateral manager to Funding I and has irrevocably directed that all management fees owing with respect to such services are to be paid to the Company so long as the Investment Adviser remains the collateral manager. This arrangement does not increase the consolidated management fee of the Company. For providing these services, the Investment Adviser receives a fee from the Company, consisting of two components—a base management fee and an incentive fee, collectively, the Management Fees.</w:t>
      </w:r>
    </w:p>
    <w:p>
      <w:pPr>
        <w:spacing w:after="0" w:line="120"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and/or temporary draws on the Credit Facility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w:t>
      </w:r>
    </w:p>
    <w:p>
      <w:pPr>
        <w:spacing w:after="0" w:line="120"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gross assets are calculated based on the average gross assets at the end of the two most recently completed calendar quarters, appropriately adjusted for any share issuances or repurchases during the current calendar quarter. Base management fees for any partial quarter are appropriately pro-rated. For the period from March 4, 2011 (commencement of operations) to September 30, 2011, the Investment Adviser earned a base management fee of $0.4 million from us.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right="2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the Company’s net assets at the end of the immediately preceding calendar quarter, is compared to the hurdle rate of 1.75% per quarter (7.00% annualized). The Company pays the Investment Adviser an incentive fee with respect to the Company’s Pre-Incentive Fee Net Investment Income in each calendar quarter as follows: (1) no incentive fee in any calendar quarter in which the Company’s Pre-Incentive Fee Net Investment Income does not exceed the hurdle rate of 1.75%, (2) 50% of the Company’s Pre-Incentive Fee Net Investment Income with respect to that portion of such Pre-Incentive Fee Net Investment Income, if any, that exceeds the hurdle rate but is less than 2.9167% in any calendar quarter (11.67% annualized), and (3) 20% of the amount of the Company’s Pre-Incentive Fee Net Investment Income, if any, that exceeds 2.9167% in any calendar quarter. These calculations are pro-rated for any period of less than three months and adjusted for any share issuances or repurchases during the relevant quarter.</w:t>
      </w:r>
    </w:p>
    <w:p>
      <w:pPr>
        <w:spacing w:after="0" w:line="13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In accordance with GAAP, the Company did not accrue a capital gains incentive fee for the period from March 4, 2011 (commencement of operations) to September 30, 2011.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the Investment Management Agreement (as described above) for the period from March 4, 2011 (commencement of operations) to September 30, 2011, resulted in no accrual.</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entered into an administration agreement with the Administrator, or the Administration Agreement, which was approved by our board of directors, including a majority of the independent directors, in March 2011. Under this agreement, the Administrator provides administration services to the Company.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the Company is required to offer such assistance. Reimbursement for certain of these costs is included in administrative services expenses in the Consolidated Statement of Operations. For the period from March 4, 2011 (commencement of operations) to September 30, 2011, the Investment Adviser was reimbursed approximately $0.1 million, from us, including expenses it incurred on behalf of the Administrator, for services described above.</w:t>
      </w:r>
    </w:p>
    <w:p>
      <w:pPr>
        <w:spacing w:after="0" w:line="123"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2011, as well as the likelihood of future activity that may generate additional returns, management determined that the 7.0% return on Pre-Incentive Fee Net Investment Income was uncertain. Accordingly, the Company did not record a liability for it. Management assesses performance to determine whether the 7% return on Pre-Incentive Fee Net Investment Income is probable before recording the $2.1 million charge to capital.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3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71"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Purchases of long-term investments, including PIK, for the period from March 4, 2011 (commencement of operations) to September 30, 2011 totaled $147.5 million. Sales and repayments of long-term investments for the same period totaled $33.2 million.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3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85"/>
              </w:rPr>
              <w:t>September 30, 2011</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2"/>
                <w:szCs w:val="12"/>
                <w:color w:val="auto"/>
              </w:rPr>
            </w:pPr>
          </w:p>
        </w:tc>
      </w:tr>
      <w:tr>
        <w:trPr>
          <w:trHeight w:val="203"/>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First lien</w:t>
            </w:r>
          </w:p>
        </w:tc>
        <w:tc>
          <w:tcPr>
            <w:tcW w:w="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97,975,314</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94,333,126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7020" w:type="dxa"/>
            <w:vAlign w:val="bottom"/>
          </w:tcPr>
          <w:p>
            <w:pPr>
              <w:spacing w:after="0"/>
              <w:rPr>
                <w:sz w:val="20"/>
                <w:szCs w:val="20"/>
                <w:color w:val="auto"/>
              </w:rPr>
            </w:pPr>
            <w:r>
              <w:rPr>
                <w:rFonts w:ascii="Arial" w:cs="Arial" w:eastAsia="Arial" w:hAnsi="Arial"/>
                <w:sz w:val="14"/>
                <w:szCs w:val="14"/>
                <w:color w:val="auto"/>
              </w:rPr>
              <w:t>Second lien</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9,379,445</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9,285,000</w:t>
            </w:r>
          </w:p>
        </w:tc>
        <w:tc>
          <w:tcPr>
            <w:tcW w:w="60" w:type="dxa"/>
            <w:vAlign w:val="bottom"/>
          </w:tcPr>
          <w:p>
            <w:pPr>
              <w:spacing w:after="0"/>
              <w:rPr>
                <w:sz w:val="17"/>
                <w:szCs w:val="17"/>
                <w:color w:val="auto"/>
              </w:rPr>
            </w:pPr>
          </w:p>
        </w:tc>
      </w:tr>
      <w:tr>
        <w:trPr>
          <w:trHeight w:val="41"/>
        </w:trPr>
        <w:tc>
          <w:tcPr>
            <w:tcW w:w="7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Subordinated debt / corporate notes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7,374,862</w:t>
            </w:r>
          </w:p>
        </w:tc>
        <w:tc>
          <w:tcPr>
            <w:tcW w:w="5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7,004,130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7020" w:type="dxa"/>
            <w:vAlign w:val="bottom"/>
          </w:tcPr>
          <w:p>
            <w:pPr>
              <w:spacing w:after="0"/>
              <w:rPr>
                <w:sz w:val="20"/>
                <w:szCs w:val="20"/>
                <w:color w:val="auto"/>
              </w:rPr>
            </w:pPr>
            <w:r>
              <w:rPr>
                <w:rFonts w:ascii="Arial" w:cs="Arial" w:eastAsia="Arial" w:hAnsi="Arial"/>
                <w:sz w:val="14"/>
                <w:szCs w:val="14"/>
                <w:color w:val="auto"/>
              </w:rPr>
              <w:t>Preferred and common equity</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101,985</w:t>
            </w:r>
          </w:p>
        </w:tc>
        <w:tc>
          <w:tcPr>
            <w:tcW w:w="60" w:type="dxa"/>
            <w:vAlign w:val="bottom"/>
          </w:tcPr>
          <w:p>
            <w:pPr>
              <w:spacing w:after="0"/>
              <w:rPr>
                <w:sz w:val="17"/>
                <w:szCs w:val="17"/>
                <w:color w:val="auto"/>
              </w:rPr>
            </w:pPr>
          </w:p>
        </w:tc>
      </w:tr>
      <w:tr>
        <w:trPr>
          <w:trHeight w:val="48"/>
        </w:trPr>
        <w:tc>
          <w:tcPr>
            <w:tcW w:w="70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114,829,621</w:t>
            </w: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110,724,241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4"/>
                <w:szCs w:val="14"/>
                <w:color w:val="auto"/>
              </w:rPr>
              <w:t>Cash equivalents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6,987,450</w:t>
            </w:r>
          </w:p>
        </w:tc>
        <w:tc>
          <w:tcPr>
            <w:tcW w:w="5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6,987,450</w:t>
            </w:r>
          </w:p>
        </w:tc>
        <w:tc>
          <w:tcPr>
            <w:tcW w:w="60" w:type="dxa"/>
            <w:vAlign w:val="bottom"/>
          </w:tcPr>
          <w:p>
            <w:pPr>
              <w:spacing w:after="0"/>
              <w:rPr>
                <w:sz w:val="18"/>
                <w:szCs w:val="18"/>
                <w:color w:val="auto"/>
              </w:rPr>
            </w:pPr>
          </w:p>
        </w:tc>
      </w:tr>
      <w:tr>
        <w:trPr>
          <w:trHeight w:val="48"/>
        </w:trPr>
        <w:tc>
          <w:tcPr>
            <w:tcW w:w="70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investments and cash equivalents</w:t>
            </w: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121,817,071</w:t>
            </w: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117,711,691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market value, of the total portfolio assets (excluding cash equivalents) in such industries as of September 30, 2011.</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20"/>
                <w:szCs w:val="20"/>
                <w:color w:val="auto"/>
              </w:rPr>
            </w:pPr>
            <w:r>
              <w:rPr>
                <w:rFonts w:ascii="Arial" w:cs="Arial" w:eastAsia="Arial" w:hAnsi="Arial"/>
                <w:sz w:val="14"/>
                <w:szCs w:val="14"/>
                <w:b w:val="1"/>
                <w:bCs w:val="1"/>
                <w:color w:val="auto"/>
              </w:rPr>
              <w:t>Industry Classification</w:t>
            </w:r>
          </w:p>
        </w:tc>
        <w:tc>
          <w:tcPr>
            <w:tcW w:w="4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6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Healthcare and Pharmaceuticals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10</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Media: Advertising, Printing and Publishing</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10</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Hotel, Gaming and Leisure</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9</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Durable</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8</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Media: Diversified and Production</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8</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Beverage, Food and Tobacco</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7</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Chemicals, Plastics and Rubber</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5</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Telecommunications</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5</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Automotive</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4</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Non-Durable</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4</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High Tech Industries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4</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Aerospace and Defense</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3</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Capital Equipment</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3</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Containers, Packaging and Glass</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3</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Consumer Services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2</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Energy: Oil &amp; Gas</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2</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Environmental Industries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2</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4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Utilities: Water</w:t>
            </w:r>
          </w:p>
        </w:tc>
        <w:tc>
          <w:tcPr>
            <w:tcW w:w="4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w:t>
            </w:r>
          </w:p>
        </w:tc>
      </w:tr>
      <w:tr>
        <w:trPr>
          <w:trHeight w:val="196"/>
        </w:trPr>
        <w:tc>
          <w:tcPr>
            <w:tcW w:w="3540" w:type="dxa"/>
            <w:vAlign w:val="bottom"/>
          </w:tcPr>
          <w:p>
            <w:pPr>
              <w:spacing w:after="0"/>
              <w:rPr>
                <w:sz w:val="20"/>
                <w:szCs w:val="20"/>
                <w:color w:val="auto"/>
              </w:rPr>
            </w:pPr>
            <w:r>
              <w:rPr>
                <w:rFonts w:ascii="Arial" w:cs="Arial" w:eastAsia="Arial" w:hAnsi="Arial"/>
                <w:sz w:val="14"/>
                <w:szCs w:val="14"/>
                <w:color w:val="auto"/>
              </w:rPr>
              <w:t>Total</w:t>
            </w:r>
          </w:p>
        </w:tc>
        <w:tc>
          <w:tcPr>
            <w:tcW w:w="474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338"/>
        </w:trPr>
        <w:tc>
          <w:tcPr>
            <w:tcW w:w="3540" w:type="dxa"/>
            <w:vAlign w:val="bottom"/>
          </w:tcPr>
          <w:p>
            <w:pPr>
              <w:spacing w:after="0"/>
              <w:rPr>
                <w:sz w:val="24"/>
                <w:szCs w:val="24"/>
                <w:color w:val="auto"/>
              </w:rPr>
            </w:pPr>
          </w:p>
        </w:tc>
        <w:tc>
          <w:tcPr>
            <w:tcW w:w="6040" w:type="dxa"/>
            <w:vAlign w:val="bottom"/>
            <w:gridSpan w:val="2"/>
          </w:tcPr>
          <w:p>
            <w:pPr>
              <w:jc w:val="right"/>
              <w:ind w:right="4592"/>
              <w:spacing w:after="0"/>
              <w:rPr>
                <w:sz w:val="20"/>
                <w:szCs w:val="20"/>
                <w:color w:val="auto"/>
              </w:rPr>
            </w:pPr>
            <w:r>
              <w:rPr>
                <w:rFonts w:ascii="Arial" w:cs="Arial" w:eastAsia="Arial" w:hAnsi="Arial"/>
                <w:sz w:val="14"/>
                <w:szCs w:val="14"/>
                <w:color w:val="auto"/>
              </w:rPr>
              <w:t>F-15</w:t>
            </w:r>
          </w:p>
        </w:tc>
      </w:tr>
    </w:tbl>
    <w:p>
      <w:pPr>
        <w:sectPr>
          <w:pgSz w:w="11900" w:h="16838" w:orient="portrait"/>
          <w:cols w:equalWidth="0" w:num="1">
            <w:col w:w="11300"/>
          </w:cols>
          <w:pgMar w:left="240" w:top="459"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the Company. Unobservable inputs are inputs that reflect the assumptions market participants would use in pricing an asset or liability based on the best information available to us at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Level 1: Inputs that are quoted prices (unadjusted) in active markets for identical assets or liabilities, accessible by us at the measurement date.</w:t>
      </w:r>
    </w:p>
    <w:p>
      <w:pPr>
        <w:spacing w:after="0" w:line="150"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Level 3: 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ind w:right="28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long-term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0" w:lineRule="exact"/>
        <w:rPr>
          <w:sz w:val="20"/>
          <w:szCs w:val="20"/>
          <w:color w:val="auto"/>
        </w:rPr>
      </w:pPr>
    </w:p>
    <w:p>
      <w:pPr>
        <w:ind w:right="360" w:firstLine="456"/>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20"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period March 4, 2011 (commencement of operations) to September 30, 2011, our ability to observe valuation inputs has resulted in no reclassification of assets from Level 3 to Level 2. There were no investments transferred between Levels 1 and 2 for the same period.</w:t>
      </w:r>
    </w:p>
    <w:p>
      <w:pPr>
        <w:spacing w:after="0" w:line="139"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(See Note 2). Consistent with our valuation policy, we evaluate the source of inputs, including any markets in which its investments are trading, in determining fair value.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7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7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right="80" w:firstLine="342"/>
        <w:spacing w:after="0" w:line="239" w:lineRule="auto"/>
        <w:rPr>
          <w:sz w:val="20"/>
          <w:szCs w:val="20"/>
          <w:color w:val="auto"/>
        </w:rPr>
      </w:pPr>
      <w:r>
        <w:rPr>
          <w:rFonts w:ascii="Arial" w:cs="Arial" w:eastAsia="Arial" w:hAnsi="Arial"/>
          <w:sz w:val="14"/>
          <w:szCs w:val="14"/>
          <w:color w:val="auto"/>
        </w:rPr>
        <w:t>At September 30, 2011 our cash and cash equivalents, investments and our long-term Credit Facility were categorized as listed below in the fair value hierarchy for ASC 820 purposes. Please refer to the paragraphs preceding this sentence for information regarding Levels 1 through 3 within the fair value hierarchy.</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Fair Value</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Level 1</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Level 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197"/>
        </w:trPr>
        <w:tc>
          <w:tcPr>
            <w:tcW w:w="5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First Lien</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94,333,126</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2,033,747</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92,299,379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58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9,285,000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9,285,000</w:t>
            </w:r>
          </w:p>
        </w:tc>
        <w:tc>
          <w:tcPr>
            <w:tcW w:w="60" w:type="dxa"/>
            <w:vAlign w:val="bottom"/>
          </w:tcPr>
          <w:p>
            <w:pPr>
              <w:spacing w:after="0"/>
              <w:rPr>
                <w:sz w:val="17"/>
                <w:szCs w:val="17"/>
                <w:color w:val="auto"/>
              </w:rPr>
            </w:pPr>
          </w:p>
        </w:tc>
      </w:tr>
      <w:tr>
        <w:trPr>
          <w:trHeight w:val="41"/>
        </w:trPr>
        <w:tc>
          <w:tcPr>
            <w:tcW w:w="700" w:type="dxa"/>
            <w:vAlign w:val="bottom"/>
          </w:tcPr>
          <w:p>
            <w:pPr>
              <w:spacing w:after="0"/>
              <w:rPr>
                <w:sz w:val="3"/>
                <w:szCs w:val="3"/>
                <w:color w:val="auto"/>
              </w:rPr>
            </w:pPr>
          </w:p>
        </w:tc>
        <w:tc>
          <w:tcPr>
            <w:tcW w:w="5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3"/>
        </w:trPr>
        <w:tc>
          <w:tcPr>
            <w:tcW w:w="5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Subordinated Debt/Corporate Notes</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7,004,130</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1,155,000</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5,849,130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5840" w:type="dxa"/>
            <w:vAlign w:val="bottom"/>
            <w:gridSpan w:val="2"/>
          </w:tcPr>
          <w:p>
            <w:pPr>
              <w:spacing w:after="0"/>
              <w:rPr>
                <w:sz w:val="20"/>
                <w:szCs w:val="20"/>
                <w:color w:val="auto"/>
              </w:rPr>
            </w:pPr>
            <w:r>
              <w:rPr>
                <w:rFonts w:ascii="Arial" w:cs="Arial" w:eastAsia="Arial" w:hAnsi="Arial"/>
                <w:sz w:val="14"/>
                <w:szCs w:val="14"/>
                <w:color w:val="auto"/>
              </w:rPr>
              <w:t>Preferred and Common Equity</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101,985</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101,985</w:t>
            </w:r>
          </w:p>
        </w:tc>
        <w:tc>
          <w:tcPr>
            <w:tcW w:w="60" w:type="dxa"/>
            <w:vAlign w:val="bottom"/>
          </w:tcPr>
          <w:p>
            <w:pPr>
              <w:spacing w:after="0"/>
              <w:rPr>
                <w:sz w:val="17"/>
                <w:szCs w:val="17"/>
                <w:color w:val="auto"/>
              </w:rPr>
            </w:pPr>
          </w:p>
        </w:tc>
      </w:tr>
      <w:tr>
        <w:trPr>
          <w:trHeight w:val="48"/>
        </w:trPr>
        <w:tc>
          <w:tcPr>
            <w:tcW w:w="700" w:type="dxa"/>
            <w:vAlign w:val="bottom"/>
          </w:tcPr>
          <w:p>
            <w:pPr>
              <w:spacing w:after="0"/>
              <w:rPr>
                <w:sz w:val="4"/>
                <w:szCs w:val="4"/>
                <w:color w:val="auto"/>
              </w:rPr>
            </w:pPr>
          </w:p>
        </w:tc>
        <w:tc>
          <w:tcPr>
            <w:tcW w:w="5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23"/>
        </w:trPr>
        <w:tc>
          <w:tcPr>
            <w:tcW w:w="700" w:type="dxa"/>
            <w:vAlign w:val="bottom"/>
            <w:tcBorders>
              <w:bottom w:val="single" w:sz="8" w:color="CCEEFF"/>
            </w:tcBorders>
            <w:shd w:val="clear" w:color="auto" w:fill="CCEEFF"/>
          </w:tcPr>
          <w:p>
            <w:pPr>
              <w:spacing w:after="0"/>
              <w:rPr>
                <w:sz w:val="19"/>
                <w:szCs w:val="19"/>
                <w:color w:val="auto"/>
              </w:rPr>
            </w:pPr>
          </w:p>
        </w:tc>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Investments</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7"/>
              </w:rPr>
              <w:t>110,724,241</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3,188,747</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5840" w:type="dxa"/>
            <w:vAlign w:val="bottom"/>
            <w:gridSpan w:val="2"/>
          </w:tcPr>
          <w:p>
            <w:pPr>
              <w:ind w:left="440"/>
              <w:spacing w:after="0"/>
              <w:rPr>
                <w:sz w:val="20"/>
                <w:szCs w:val="20"/>
                <w:color w:val="auto"/>
              </w:rPr>
            </w:pPr>
            <w:r>
              <w:rPr>
                <w:rFonts w:ascii="Arial" w:cs="Arial" w:eastAsia="Arial" w:hAnsi="Arial"/>
                <w:sz w:val="14"/>
                <w:szCs w:val="14"/>
                <w:color w:val="auto"/>
              </w:rPr>
              <w:t>Cash Equivalents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6,987,450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6,987,450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48"/>
        </w:trPr>
        <w:tc>
          <w:tcPr>
            <w:tcW w:w="700" w:type="dxa"/>
            <w:vAlign w:val="bottom"/>
          </w:tcPr>
          <w:p>
            <w:pPr>
              <w:spacing w:after="0"/>
              <w:rPr>
                <w:sz w:val="4"/>
                <w:szCs w:val="4"/>
                <w:color w:val="auto"/>
              </w:rPr>
            </w:pPr>
          </w:p>
        </w:tc>
        <w:tc>
          <w:tcPr>
            <w:tcW w:w="5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7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Investments and cash 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7"/>
              </w:rPr>
              <w:t>117,711,691</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6,987,450</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3,188,747</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58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840" w:type="dxa"/>
            <w:vAlign w:val="bottom"/>
            <w:gridSpan w:val="2"/>
          </w:tcPr>
          <w:p>
            <w:pPr>
              <w:spacing w:after="0"/>
              <w:rPr>
                <w:sz w:val="20"/>
                <w:szCs w:val="20"/>
                <w:color w:val="auto"/>
              </w:rPr>
            </w:pPr>
            <w:r>
              <w:rPr>
                <w:rFonts w:ascii="Arial" w:cs="Arial" w:eastAsia="Arial" w:hAnsi="Arial"/>
                <w:sz w:val="14"/>
                <w:szCs w:val="14"/>
                <w:color w:val="auto"/>
              </w:rPr>
              <w:t>Long-Term Credit Facility</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24,650,000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24,650,000</w:t>
            </w:r>
          </w:p>
        </w:tc>
        <w:tc>
          <w:tcPr>
            <w:tcW w:w="6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right="160" w:firstLine="342"/>
        <w:spacing w:after="0" w:line="239" w:lineRule="auto"/>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 for the period from March 4, 2011 (commencement of operations) to September 30, 2011:</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Beginning Balance, March 4, 2011</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Unrealized depreciation</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PIK and net discount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Sales / repayments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Transfers in and /or out of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Ending Balance, September 30, 2011</w:t>
      </w:r>
    </w:p>
    <w:p>
      <w:pPr>
        <w:spacing w:after="0" w:line="109"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Net change in unrealized appreciation (depreciation) for the period above within the net change in unrealized appreciation on investments in our Consolidated Statement of Operations attributable to our Level 3 assets still held at the reporting date:</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4"/>
              </w:rPr>
              <w:t>Second Lien,</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Subordinated Debt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1"/>
        </w:trPr>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First Lien</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7"/>
              </w:rPr>
              <w:t>Equity Investments</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Totals</w:t>
            </w:r>
          </w:p>
        </w:tc>
      </w:tr>
      <w:tr>
        <w:trPr>
          <w:trHeight w:val="196"/>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218,684</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93,319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312,003</w:t>
            </w:r>
          </w:p>
        </w:tc>
      </w:tr>
      <w:tr>
        <w:trPr>
          <w:trHeight w:val="243"/>
        </w:trPr>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(3,621,606)</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(93,301)</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(3,714,907)</w:t>
            </w:r>
          </w:p>
        </w:tc>
      </w:tr>
      <w:tr>
        <w:trPr>
          <w:trHeight w:val="243"/>
        </w:trPr>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4"/>
              </w:rPr>
              <w:t>124,246,206</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19,766,732</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4"/>
              </w:rPr>
              <w:t>144,012,938</w:t>
            </w:r>
          </w:p>
        </w:tc>
      </w:tr>
      <w:tr>
        <w:trPr>
          <w:trHeight w:val="243"/>
        </w:trPr>
        <w:tc>
          <w:tcPr>
            <w:tcW w:w="10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(28,543,905)</w:t>
            </w:r>
          </w:p>
        </w:tc>
        <w:tc>
          <w:tcPr>
            <w:tcW w:w="120" w:type="dxa"/>
            <w:vAlign w:val="bottom"/>
          </w:tcPr>
          <w:p>
            <w:pPr>
              <w:spacing w:after="0"/>
              <w:rPr>
                <w:sz w:val="21"/>
                <w:szCs w:val="21"/>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color w:val="auto"/>
              </w:rPr>
              <w:t>(4,530,635)</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8"/>
              </w:rPr>
              <w:t>(33,074,540)</w:t>
            </w:r>
          </w:p>
        </w:tc>
      </w:tr>
      <w:tr>
        <w:trPr>
          <w:trHeight w:val="243"/>
        </w:trPr>
        <w:tc>
          <w:tcPr>
            <w:tcW w:w="100" w:type="dxa"/>
            <w:vAlign w:val="bottom"/>
          </w:tcPr>
          <w:p>
            <w:pPr>
              <w:spacing w:after="0"/>
              <w:rPr>
                <w:sz w:val="21"/>
                <w:szCs w:val="21"/>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1"/>
        </w:trPr>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09"/>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92,299,379</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15,236,115</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4"/>
              </w:rPr>
              <w:t>107,535,494</w:t>
            </w:r>
          </w:p>
        </w:tc>
      </w:tr>
      <w:tr>
        <w:trPr>
          <w:trHeight w:val="41"/>
        </w:trPr>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4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(3,621,606)</w:t>
            </w:r>
          </w:p>
        </w:tc>
        <w:tc>
          <w:tcPr>
            <w:tcW w:w="5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(93,301)</w:t>
            </w:r>
          </w:p>
        </w:tc>
        <w:tc>
          <w:tcPr>
            <w:tcW w:w="5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(3,714,907)</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600" w:space="580"/>
            <w:col w:w="4180"/>
          </w:cols>
          <w:pgMar w:left="240" w:top="459" w:right="29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right="320" w:firstLine="342"/>
        <w:spacing w:after="0" w:line="239" w:lineRule="auto"/>
        <w:rPr>
          <w:sz w:val="20"/>
          <w:szCs w:val="20"/>
          <w:color w:val="auto"/>
        </w:rPr>
      </w:pPr>
      <w:r>
        <w:rPr>
          <w:rFonts w:ascii="Arial" w:cs="Arial" w:eastAsia="Arial" w:hAnsi="Arial"/>
          <w:sz w:val="14"/>
          <w:szCs w:val="14"/>
          <w:color w:val="auto"/>
        </w:rPr>
        <w:t>The following tables show a reconciliation of the beginning and ending balances for fair valued liabilities measured using significant unobservable inputs (Level 3) for the period from March 4, 2011 (commencement of operations) to September 30, 2011.</w:t>
      </w:r>
    </w:p>
    <w:p>
      <w:pPr>
        <w:sectPr>
          <w:pgSz w:w="11900" w:h="16838" w:orient="portrait"/>
          <w:cols w:equalWidth="0" w:num="1">
            <w:col w:w="11380"/>
          </w:cols>
          <w:pgMar w:left="240" w:top="459" w:right="279"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Beginning balance, March 4, 2011 (Cost - $0)</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unrealized appreciation 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Borrowings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Transfers in and/or out of Level 3</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Total Credit Facility, September 30, 2011 (Cost – $24,650,000)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Carrying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Fair Value</w:t>
      </w:r>
    </w:p>
    <w:p>
      <w:pPr>
        <w:spacing w:after="0" w:line="30" w:lineRule="exact"/>
        <w:rPr>
          <w:sz w:val="20"/>
          <w:szCs w:val="20"/>
          <w:color w:val="auto"/>
        </w:rPr>
      </w:pPr>
    </w:p>
    <w:p>
      <w:pPr>
        <w:ind w:left="680" w:hanging="672"/>
        <w:spacing w:after="0"/>
        <w:tabs>
          <w:tab w:leader="none" w:pos="6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29,000,000</w:t>
      </w:r>
    </w:p>
    <w:p>
      <w:pPr>
        <w:spacing w:after="0" w:line="8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(4,350,000)</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5575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89" w:lineRule="exact"/>
        <w:rPr>
          <w:sz w:val="20"/>
          <w:szCs w:val="20"/>
          <w:color w:val="auto"/>
        </w:rPr>
      </w:pPr>
    </w:p>
    <w:p>
      <w:pPr>
        <w:ind w:left="220" w:hanging="212"/>
        <w:spacing w:after="0"/>
        <w:tabs>
          <w:tab w:leader="none" w:pos="2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24,650,000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47625</wp:posOffset>
            </wp:positionV>
            <wp:extent cx="55753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80" w:space="720"/>
            <w:col w:w="880"/>
          </w:cols>
          <w:pgMar w:left="240" w:top="459" w:right="279" w:bottom="1440" w:gutter="0" w:footer="0" w:header="0"/>
          <w:type w:val="continuous"/>
        </w:sectPr>
      </w:pPr>
    </w:p>
    <w:p>
      <w:pPr>
        <w:spacing w:after="0" w:line="54"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non-recurring expenses of $1.4 million, which represents the upfront fees and expenses related to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the period from March 4, 2011 (commencement of operations) to September 30, 2011, our Credit Facility had no net change in unrealized (appreciation) depreciation. PennantPark Floating Rate Capital Ltd. uses one or more nationally recognized independent valuation service to measure the fair value of its credit facility in a manner consistent with the valuation process that the board of directors uses to value investments.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380"/>
          </w:cols>
          <w:pgMar w:left="240" w:top="459" w:right="27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gridSpan w:val="2"/>
          </w:tcPr>
          <w:p>
            <w:pPr>
              <w:ind w:left="460"/>
              <w:spacing w:after="0"/>
              <w:rPr>
                <w:sz w:val="20"/>
                <w:szCs w:val="20"/>
                <w:color w:val="auto"/>
              </w:rPr>
            </w:pPr>
            <w:r>
              <w:rPr>
                <w:rFonts w:ascii="Arial" w:cs="Arial" w:eastAsia="Arial" w:hAnsi="Arial"/>
                <w:sz w:val="14"/>
                <w:szCs w:val="14"/>
                <w:color w:val="auto"/>
                <w:w w:val="97"/>
              </w:rPr>
              <w:t>The following information sets forth the computation of basic and diluted per share net decrease in net assets resulting from operations.</w:t>
            </w: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9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For the period March 4, 2011 (commencement</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774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 operations) to September 30, 2011</w:t>
            </w:r>
          </w:p>
        </w:tc>
        <w:tc>
          <w:tcPr>
            <w:tcW w:w="0" w:type="dxa"/>
            <w:vAlign w:val="bottom"/>
          </w:tcPr>
          <w:p>
            <w:pPr>
              <w:spacing w:after="0"/>
              <w:rPr>
                <w:sz w:val="1"/>
                <w:szCs w:val="1"/>
                <w:color w:val="auto"/>
              </w:rPr>
            </w:pPr>
          </w:p>
        </w:tc>
      </w:tr>
      <w:tr>
        <w:trPr>
          <w:trHeight w:val="134"/>
        </w:trPr>
        <w:tc>
          <w:tcPr>
            <w:tcW w:w="940" w:type="dxa"/>
            <w:vAlign w:val="bottom"/>
            <w:tcBorders>
              <w:bottom w:val="single" w:sz="8" w:color="auto"/>
            </w:tcBorders>
            <w:vMerge w:val="continue"/>
          </w:tcPr>
          <w:p>
            <w:pPr>
              <w:spacing w:after="0"/>
              <w:rPr>
                <w:sz w:val="11"/>
                <w:szCs w:val="11"/>
                <w:color w:val="auto"/>
              </w:rPr>
            </w:pPr>
          </w:p>
        </w:tc>
        <w:tc>
          <w:tcPr>
            <w:tcW w:w="7740" w:type="dxa"/>
            <w:vAlign w:val="bottom"/>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Numerator for net decrease in net assets resulting from operations</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(3,473,253)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0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6,826,105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and diluted net decrease in net assets per share resulting from operations</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940" w:type="dxa"/>
            <w:vAlign w:val="bottom"/>
            <w:shd w:val="clear" w:color="auto" w:fill="CCEEFF"/>
          </w:tcPr>
          <w:p>
            <w:pPr>
              <w:spacing w:after="0"/>
              <w:rPr>
                <w:sz w:val="3"/>
                <w:szCs w:val="3"/>
                <w:color w:val="auto"/>
              </w:rPr>
            </w:pPr>
          </w:p>
        </w:tc>
        <w:tc>
          <w:tcPr>
            <w:tcW w:w="77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TAXES AND DISTRIBUTIONS</w:t>
      </w:r>
    </w:p>
    <w:p>
      <w:pPr>
        <w:spacing w:after="0" w:line="71"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As of September 30, 2011, we had no permanent book-to-tax differences.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As of September 30, 2011, the cost of investments for federal income tax purposes was $114.8 million resulting in a gross unrealized appreciation of $0.1 million and depreciation of $4.2 million.</w:t>
      </w:r>
    </w:p>
    <w:p>
      <w:pPr>
        <w:sectPr>
          <w:pgSz w:w="11900" w:h="16838" w:orient="portrait"/>
          <w:cols w:equalWidth="0" w:num="1">
            <w:col w:w="11420"/>
          </w:cols>
          <w:pgMar w:left="240" w:top="459" w:right="239" w:bottom="1440" w:gutter="0" w:footer="0" w:header="0"/>
        </w:sectPr>
      </w:pPr>
    </w:p>
    <w:p>
      <w:pPr>
        <w:spacing w:after="0" w:line="17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reconciles net decrease in net assets resulting from operations to taxable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330835</wp:posOffset>
            </wp:positionV>
            <wp:extent cx="666369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increase in net assets resulting from operations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unrealized appreciation / (depreciation) on investments and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41910</wp:posOffset>
            </wp:positionV>
            <wp:extent cx="666369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Other temporary book-to-tax differences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Taxable income before deductions for distributions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580"/>
        <w:spacing w:after="0"/>
        <w:rPr>
          <w:sz w:val="20"/>
          <w:szCs w:val="20"/>
          <w:color w:val="auto"/>
        </w:rPr>
      </w:pPr>
      <w:r>
        <w:rPr>
          <w:rFonts w:ascii="Arial" w:cs="Arial" w:eastAsia="Arial" w:hAnsi="Arial"/>
          <w:sz w:val="12"/>
          <w:szCs w:val="12"/>
          <w:b w:val="1"/>
          <w:bCs w:val="1"/>
          <w:color w:val="auto"/>
        </w:rPr>
        <w:t>For the period March 4, 2011 (commencement</w:t>
      </w:r>
    </w:p>
    <w:p>
      <w:pPr>
        <w:spacing w:after="0" w:line="24"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of operations) to September 30, 2011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620" w:type="dxa"/>
            <w:vAlign w:val="bottom"/>
            <w:gridSpan w:val="2"/>
          </w:tcPr>
          <w:p>
            <w:pPr>
              <w:ind w:left="1000"/>
              <w:spacing w:after="0"/>
              <w:rPr>
                <w:sz w:val="20"/>
                <w:szCs w:val="20"/>
                <w:color w:val="auto"/>
              </w:rPr>
            </w:pPr>
            <w:r>
              <w:rPr>
                <w:rFonts w:ascii="Arial" w:cs="Arial" w:eastAsia="Arial" w:hAnsi="Arial"/>
                <w:sz w:val="14"/>
                <w:szCs w:val="14"/>
                <w:color w:val="auto"/>
                <w:w w:val="83"/>
              </w:rPr>
              <w:t>(3,473,253)</w:t>
            </w:r>
          </w:p>
        </w:tc>
      </w:tr>
      <w:tr>
        <w:trPr>
          <w:trHeight w:val="230"/>
        </w:trPr>
        <w:tc>
          <w:tcPr>
            <w:tcW w:w="110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4"/>
                <w:szCs w:val="14"/>
                <w:color w:val="auto"/>
                <w:w w:val="89"/>
              </w:rPr>
              <w:t>4,105,380</w:t>
            </w:r>
          </w:p>
        </w:tc>
        <w:tc>
          <w:tcPr>
            <w:tcW w:w="40" w:type="dxa"/>
            <w:vAlign w:val="bottom"/>
          </w:tcPr>
          <w:p>
            <w:pPr>
              <w:spacing w:after="0"/>
              <w:rPr>
                <w:sz w:val="19"/>
                <w:szCs w:val="19"/>
                <w:color w:val="auto"/>
              </w:rPr>
            </w:pPr>
          </w:p>
        </w:tc>
      </w:tr>
      <w:tr>
        <w:trPr>
          <w:trHeight w:val="243"/>
        </w:trPr>
        <w:tc>
          <w:tcPr>
            <w:tcW w:w="1100" w:type="dxa"/>
            <w:vAlign w:val="bottom"/>
          </w:tcPr>
          <w:p>
            <w:pPr>
              <w:spacing w:after="0"/>
              <w:rPr>
                <w:sz w:val="21"/>
                <w:szCs w:val="21"/>
                <w:color w:val="auto"/>
              </w:rPr>
            </w:pPr>
          </w:p>
        </w:tc>
        <w:tc>
          <w:tcPr>
            <w:tcW w:w="1580" w:type="dxa"/>
            <w:vAlign w:val="bottom"/>
          </w:tcPr>
          <w:p>
            <w:pPr>
              <w:ind w:left="1000"/>
              <w:spacing w:after="0"/>
              <w:rPr>
                <w:sz w:val="20"/>
                <w:szCs w:val="20"/>
                <w:color w:val="auto"/>
              </w:rPr>
            </w:pPr>
            <w:r>
              <w:rPr>
                <w:rFonts w:ascii="Arial" w:cs="Arial" w:eastAsia="Arial" w:hAnsi="Arial"/>
                <w:sz w:val="14"/>
                <w:szCs w:val="14"/>
                <w:color w:val="auto"/>
                <w:w w:val="89"/>
              </w:rPr>
              <w:t>1,297,741</w:t>
            </w:r>
          </w:p>
        </w:tc>
        <w:tc>
          <w:tcPr>
            <w:tcW w:w="40" w:type="dxa"/>
            <w:vAlign w:val="bottom"/>
          </w:tcPr>
          <w:p>
            <w:pPr>
              <w:spacing w:after="0"/>
              <w:rPr>
                <w:sz w:val="21"/>
                <w:szCs w:val="21"/>
                <w:color w:val="auto"/>
              </w:rPr>
            </w:pPr>
          </w:p>
        </w:tc>
      </w:tr>
      <w:tr>
        <w:trPr>
          <w:trHeight w:val="41"/>
        </w:trPr>
        <w:tc>
          <w:tcPr>
            <w:tcW w:w="1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09"/>
        </w:trPr>
        <w:tc>
          <w:tcPr>
            <w:tcW w:w="11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580" w:type="dxa"/>
            <w:vAlign w:val="bottom"/>
          </w:tcPr>
          <w:p>
            <w:pPr>
              <w:ind w:left="1000"/>
              <w:spacing w:after="0"/>
              <w:rPr>
                <w:sz w:val="20"/>
                <w:szCs w:val="20"/>
                <w:color w:val="auto"/>
              </w:rPr>
            </w:pPr>
            <w:r>
              <w:rPr>
                <w:rFonts w:ascii="Arial" w:cs="Arial" w:eastAsia="Arial" w:hAnsi="Arial"/>
                <w:sz w:val="14"/>
                <w:szCs w:val="14"/>
                <w:color w:val="auto"/>
                <w:w w:val="89"/>
              </w:rPr>
              <w:t>1,929,868</w:t>
            </w:r>
          </w:p>
        </w:tc>
        <w:tc>
          <w:tcPr>
            <w:tcW w:w="40" w:type="dxa"/>
            <w:vAlign w:val="bottom"/>
          </w:tcPr>
          <w:p>
            <w:pPr>
              <w:spacing w:after="0"/>
              <w:rPr>
                <w:sz w:val="18"/>
                <w:szCs w:val="18"/>
                <w:color w:val="auto"/>
              </w:rPr>
            </w:pPr>
          </w:p>
        </w:tc>
      </w:tr>
      <w:tr>
        <w:trPr>
          <w:trHeight w:val="41"/>
        </w:trPr>
        <w:tc>
          <w:tcPr>
            <w:tcW w:w="1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2">
            <w:col w:w="7440" w:space="720"/>
            <w:col w:w="3260"/>
          </w:cols>
          <w:pgMar w:left="240" w:top="459" w:right="239" w:bottom="1440" w:gutter="0" w:footer="0" w:header="0"/>
          <w:type w:val="continuous"/>
        </w:sectPr>
      </w:pPr>
    </w:p>
    <w:p>
      <w:pPr>
        <w:ind w:right="140" w:firstLine="456"/>
        <w:spacing w:after="0" w:line="239" w:lineRule="auto"/>
        <w:rPr>
          <w:sz w:val="20"/>
          <w:szCs w:val="20"/>
          <w:color w:val="auto"/>
        </w:rPr>
      </w:pPr>
      <w:r>
        <w:rPr>
          <w:rFonts w:ascii="Arial" w:cs="Arial" w:eastAsia="Arial" w:hAnsi="Arial"/>
          <w:sz w:val="14"/>
          <w:szCs w:val="14"/>
          <w:color w:val="auto"/>
        </w:rPr>
        <w:t>The components of accumulated losses on tax basis and reconciliation to accumulated losses on a GAAP basis for the period from March 4, 2011 (commencement of operations) to September 30,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120650</wp:posOffset>
            </wp:positionV>
            <wp:extent cx="666369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Undistributed ordinary income</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Undistributed long-term net capital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59055</wp:posOffset>
            </wp:positionV>
            <wp:extent cx="666369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 undistributed net earnings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Dividends payable and other temporary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41910</wp:posOffset>
            </wp:positionV>
            <wp:extent cx="666369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unrealized appreciation (depreciation) of investments and credit facility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 accumulated deficit</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tax characteristics of dividends during the fiscal year ended September 30, 2011 totaled $1.7 million or $0.25 per share.</w:t>
      </w:r>
    </w:p>
    <w:p>
      <w:pPr>
        <w:spacing w:after="0" w:line="15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40" w:hanging="236"/>
        <w:spacing w:after="0"/>
        <w:tabs>
          <w:tab w:leader="none" w:pos="2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696,748</w:t>
      </w:r>
    </w:p>
    <w:p>
      <w:pPr>
        <w:spacing w:after="0" w:line="105" w:lineRule="exact"/>
        <w:rPr>
          <w:rFonts w:ascii="Arial" w:cs="Arial" w:eastAsia="Arial" w:hAnsi="Arial"/>
          <w:sz w:val="12"/>
          <w:szCs w:val="12"/>
          <w:color w:val="auto"/>
        </w:rPr>
      </w:pPr>
    </w:p>
    <w:p>
      <w:pPr>
        <w:ind w:left="540"/>
        <w:spacing w:after="0"/>
        <w:rPr>
          <w:rFonts w:ascii="Arial" w:cs="Arial" w:eastAsia="Arial" w:hAnsi="Arial"/>
          <w:sz w:val="12"/>
          <w:szCs w:val="12"/>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4718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696,748</w:t>
      </w:r>
    </w:p>
    <w:p>
      <w:pPr>
        <w:spacing w:after="0" w:line="105" w:lineRule="exact"/>
        <w:rPr>
          <w:sz w:val="20"/>
          <w:szCs w:val="20"/>
          <w:color w:val="auto"/>
        </w:rPr>
      </w:pPr>
    </w:p>
    <w:p>
      <w:pPr>
        <w:jc w:val="right"/>
        <w:ind w:right="520"/>
        <w:spacing w:after="0"/>
        <w:rPr>
          <w:sz w:val="20"/>
          <w:szCs w:val="20"/>
          <w:color w:val="auto"/>
        </w:rPr>
      </w:pPr>
      <w:r>
        <w:rPr>
          <w:rFonts w:ascii="Arial" w:cs="Arial" w:eastAsia="Arial" w:hAnsi="Arial"/>
          <w:sz w:val="14"/>
          <w:szCs w:val="14"/>
          <w:color w:val="auto"/>
        </w:rPr>
        <w:t>(1,777,288)</w:t>
      </w:r>
    </w:p>
    <w:p>
      <w:pPr>
        <w:spacing w:after="0" w:line="82" w:lineRule="exact"/>
        <w:rPr>
          <w:sz w:val="20"/>
          <w:szCs w:val="20"/>
          <w:color w:val="auto"/>
        </w:rPr>
      </w:pPr>
    </w:p>
    <w:p>
      <w:pPr>
        <w:jc w:val="right"/>
        <w:ind w:right="520"/>
        <w:spacing w:after="0"/>
        <w:rPr>
          <w:sz w:val="20"/>
          <w:szCs w:val="20"/>
          <w:color w:val="auto"/>
        </w:rPr>
      </w:pPr>
      <w:r>
        <w:rPr>
          <w:rFonts w:ascii="Arial" w:cs="Arial" w:eastAsia="Arial" w:hAnsi="Arial"/>
          <w:sz w:val="14"/>
          <w:szCs w:val="14"/>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4718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$(5,185,920)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47625</wp:posOffset>
            </wp:positionV>
            <wp:extent cx="4718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64770</wp:posOffset>
            </wp:positionV>
            <wp:extent cx="47180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ectPr>
          <w:pgSz w:w="11900" w:h="16838" w:orient="portrait"/>
          <w:cols w:equalWidth="0" w:num="2">
            <w:col w:w="9460" w:space="720"/>
            <w:col w:w="1240"/>
          </w:cols>
          <w:pgMar w:left="240" w:top="459" w:right="2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5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5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EQUIVALENTS</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Cash equivalents represents cash pending investment in longer-term portfolio holdings, PennantPark Floating Rate Capital Ltd. may invest temporarily in U.S. Treasury Bills (of varying maturities), repurchase agreements, money market funds or repo-like treasury securities. These temporary investments with maturities of 90 days or less are deemed cash equivalents and are included in the Consolidated Schedule of Investments. At the end of each fiscal quarter, PennantPark Floating Rate Capital Ltd. could take proactive steps to preserve investment flexibility for the next quarter, which is dependent upon the composition of its total assets at quarter end. PennantPark Floating Rate Capital Ltd.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Floating Rate Capital Ltd.’s valuation policy. As of September 30, 2011, cash equivalents consisted of $7.0 million in money market funds.</w:t>
      </w:r>
    </w:p>
    <w:p>
      <w:pPr>
        <w:sectPr>
          <w:pgSz w:w="11900" w:h="16838" w:orient="portrait"/>
          <w:cols w:equalWidth="0" w:num="1">
            <w:col w:w="11260"/>
          </w:cols>
          <w:pgMar w:left="240" w:top="459" w:right="39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71" w:lineRule="exact"/>
        <w:rPr>
          <w:sz w:val="20"/>
          <w:szCs w:val="20"/>
          <w:color w:val="auto"/>
        </w:rPr>
      </w:pPr>
    </w:p>
    <w:p>
      <w:pPr>
        <w:jc w:val="right"/>
        <w:ind w:right="640"/>
        <w:spacing w:after="0"/>
        <w:rPr>
          <w:sz w:val="20"/>
          <w:szCs w:val="20"/>
          <w:color w:val="auto"/>
        </w:rPr>
      </w:pPr>
      <w:r>
        <w:rPr>
          <w:rFonts w:ascii="Arial" w:cs="Arial" w:eastAsia="Arial" w:hAnsi="Arial"/>
          <w:sz w:val="14"/>
          <w:szCs w:val="14"/>
          <w:color w:val="auto"/>
        </w:rPr>
        <w:t>Below are the financial highlights for the reported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492252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Data:</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beginning of period</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investment income</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49225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
        <w:spacing w:after="0" w:line="224" w:lineRule="auto"/>
        <w:rPr>
          <w:sz w:val="20"/>
          <w:szCs w:val="20"/>
          <w:color w:val="auto"/>
        </w:rPr>
      </w:pPr>
      <w:r>
        <w:rPr>
          <w:rFonts w:ascii="Arial" w:cs="Arial" w:eastAsia="Arial" w:hAnsi="Arial"/>
          <w:sz w:val="14"/>
          <w:szCs w:val="14"/>
          <w:color w:val="auto"/>
        </w:rPr>
        <w:t>Net realized and unrealized losses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2317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922520" cy="231775"/>
                    </a:xfrm>
                    <a:prstGeom prst="rect">
                      <a:avLst/>
                    </a:prstGeom>
                    <a:noFill/>
                  </pic:spPr>
                </pic:pic>
              </a:graphicData>
            </a:graphic>
          </wp:anchor>
        </w:drawing>
      </w:r>
    </w:p>
    <w:p>
      <w:pPr>
        <w:ind w:left="440" w:right="1240" w:hanging="215"/>
        <w:spacing w:after="0" w:line="199" w:lineRule="auto"/>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22"/>
          <w:szCs w:val="22"/>
          <w:color w:val="auto"/>
          <w:vertAlign w:val="superscript"/>
        </w:rPr>
        <w:t>(1)</w:t>
      </w:r>
    </w:p>
    <w:p>
      <w:pPr>
        <w:ind w:left="220"/>
        <w:spacing w:after="0" w:line="225" w:lineRule="auto"/>
        <w:rPr>
          <w:sz w:val="20"/>
          <w:szCs w:val="20"/>
          <w:color w:val="auto"/>
        </w:rPr>
      </w:pPr>
      <w:r>
        <w:rPr>
          <w:rFonts w:ascii="Arial" w:cs="Arial" w:eastAsia="Arial" w:hAnsi="Arial"/>
          <w:sz w:val="14"/>
          <w:szCs w:val="14"/>
          <w:color w:val="auto"/>
        </w:rPr>
        <w:t xml:space="preserve">Dividends and distributions to stockholders </w:t>
      </w:r>
      <w:r>
        <w:rPr>
          <w:rFonts w:ascii="Arial" w:cs="Arial" w:eastAsia="Arial" w:hAnsi="Arial"/>
          <w:sz w:val="22"/>
          <w:szCs w:val="22"/>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4"/>
          <w:szCs w:val="14"/>
          <w:color w:val="auto"/>
        </w:rPr>
        <w:t>Initial issuance of common stock</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Offering Costs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Net asset value, end of period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Per share market value, end of period</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return</w:t>
      </w:r>
      <w:r>
        <w:rPr>
          <w:rFonts w:ascii="Arial" w:cs="Arial" w:eastAsia="Arial" w:hAnsi="Arial"/>
          <w:sz w:val="22"/>
          <w:szCs w:val="22"/>
          <w:color w:val="auto"/>
          <w:vertAlign w:val="superscript"/>
        </w:rPr>
        <w:t>(3)</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9225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Shares outstanding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Ratio/Supplemental Data*:</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Ratio of operating expenses to average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922520" cy="2317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922520" cy="231775"/>
                    </a:xfrm>
                    <a:prstGeom prst="rect">
                      <a:avLst/>
                    </a:prstGeom>
                    <a:noFill/>
                  </pic:spPr>
                </pic:pic>
              </a:graphicData>
            </a:graphic>
          </wp:anchor>
        </w:drawing>
      </w:r>
    </w:p>
    <w:p>
      <w:pPr>
        <w:spacing w:after="0" w:line="35" w:lineRule="exact"/>
        <w:rPr>
          <w:sz w:val="20"/>
          <w:szCs w:val="20"/>
          <w:color w:val="auto"/>
        </w:rPr>
      </w:pPr>
    </w:p>
    <w:p>
      <w:pPr>
        <w:ind w:left="220" w:right="1300" w:hanging="215"/>
        <w:spacing w:after="0" w:line="218" w:lineRule="auto"/>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22"/>
          <w:szCs w:val="22"/>
          <w:color w:val="auto"/>
          <w:vertAlign w:val="superscript"/>
        </w:rPr>
        <w:t>(4)</w:t>
      </w:r>
    </w:p>
    <w:p>
      <w:pPr>
        <w:spacing w:after="0"/>
        <w:rPr>
          <w:sz w:val="20"/>
          <w:szCs w:val="20"/>
          <w:color w:val="auto"/>
        </w:rPr>
      </w:pPr>
      <w:r>
        <w:rPr>
          <w:rFonts w:ascii="Arial" w:cs="Arial" w:eastAsia="Arial" w:hAnsi="Arial"/>
          <w:sz w:val="14"/>
          <w:szCs w:val="14"/>
          <w:color w:val="auto"/>
        </w:rPr>
        <w:t>Total expenses to average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Ratio of net investment income to average net assets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assets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92252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debt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debt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922520"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Portfolio turnover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89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60"/>
        <w:spacing w:after="0"/>
        <w:rPr>
          <w:sz w:val="20"/>
          <w:szCs w:val="20"/>
          <w:color w:val="auto"/>
        </w:rPr>
      </w:pPr>
      <w:r>
        <w:rPr>
          <w:rFonts w:ascii="Arial" w:cs="Arial" w:eastAsia="Arial" w:hAnsi="Arial"/>
          <w:sz w:val="12"/>
          <w:szCs w:val="12"/>
          <w:b w:val="1"/>
          <w:bCs w:val="1"/>
          <w:color w:val="auto"/>
        </w:rPr>
        <w:t>For the period March 4, 2011 (commencement</w:t>
      </w:r>
    </w:p>
    <w:p>
      <w:pPr>
        <w:spacing w:after="0" w:line="24" w:lineRule="exact"/>
        <w:rPr>
          <w:sz w:val="20"/>
          <w:szCs w:val="20"/>
          <w:color w:val="auto"/>
        </w:rPr>
      </w:pPr>
    </w:p>
    <w:p>
      <w:pPr>
        <w:jc w:val="center"/>
        <w:ind w:right="3660"/>
        <w:spacing w:after="0"/>
        <w:rPr>
          <w:sz w:val="20"/>
          <w:szCs w:val="20"/>
          <w:color w:val="auto"/>
        </w:rPr>
      </w:pPr>
      <w:r>
        <w:rPr>
          <w:rFonts w:ascii="Arial" w:cs="Arial" w:eastAsia="Arial" w:hAnsi="Arial"/>
          <w:sz w:val="14"/>
          <w:szCs w:val="14"/>
          <w:b w:val="1"/>
          <w:bCs w:val="1"/>
          <w:color w:val="auto"/>
        </w:rPr>
        <w:t>of operations) to September 30, 2011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16"/>
        </w:trPr>
        <w:tc>
          <w:tcPr>
            <w:tcW w:w="10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8"/>
                <w:szCs w:val="18"/>
                <w:color w:val="auto"/>
              </w:rPr>
            </w:pPr>
          </w:p>
        </w:tc>
      </w:tr>
      <w:tr>
        <w:trPr>
          <w:trHeight w:val="176"/>
        </w:trPr>
        <w:tc>
          <w:tcPr>
            <w:tcW w:w="1060" w:type="dxa"/>
            <w:vAlign w:val="bottom"/>
          </w:tcPr>
          <w:p>
            <w:pPr>
              <w:spacing w:after="0"/>
              <w:rPr>
                <w:sz w:val="15"/>
                <w:szCs w:val="15"/>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(0.56)</w:t>
            </w:r>
          </w:p>
        </w:tc>
      </w:tr>
      <w:tr>
        <w:trPr>
          <w:trHeight w:val="20"/>
        </w:trPr>
        <w:tc>
          <w:tcPr>
            <w:tcW w:w="10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1060" w:type="dxa"/>
            <w:vAlign w:val="bottom"/>
          </w:tcPr>
          <w:p>
            <w:pPr>
              <w:spacing w:after="0"/>
              <w:rPr>
                <w:sz w:val="24"/>
                <w:szCs w:val="24"/>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(0.51)</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(0.25)</w:t>
            </w:r>
          </w:p>
        </w:tc>
      </w:tr>
      <w:tr>
        <w:trPr>
          <w:trHeight w:val="216"/>
        </w:trPr>
        <w:tc>
          <w:tcPr>
            <w:tcW w:w="10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8"/>
                <w:szCs w:val="18"/>
                <w:color w:val="auto"/>
              </w:rPr>
            </w:pPr>
          </w:p>
        </w:tc>
      </w:tr>
      <w:tr>
        <w:trPr>
          <w:trHeight w:val="176"/>
        </w:trPr>
        <w:tc>
          <w:tcPr>
            <w:tcW w:w="1060" w:type="dxa"/>
            <w:vAlign w:val="bottom"/>
          </w:tcPr>
          <w:p>
            <w:pPr>
              <w:spacing w:after="0"/>
              <w:rPr>
                <w:sz w:val="15"/>
                <w:szCs w:val="15"/>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(0.80)</w:t>
            </w:r>
          </w:p>
        </w:tc>
      </w:tr>
      <w:tr>
        <w:trPr>
          <w:trHeight w:val="236"/>
        </w:trPr>
        <w:tc>
          <w:tcPr>
            <w:tcW w:w="1060" w:type="dxa"/>
            <w:vAlign w:val="bottom"/>
            <w:tcBorders>
              <w:top w:val="single" w:sz="8" w:color="auto"/>
            </w:tcBorders>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20"/>
                <w:szCs w:val="20"/>
                <w:color w:val="auto"/>
              </w:rPr>
            </w:pP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10.55</w:t>
            </w: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28.13%</w:t>
            </w:r>
          </w:p>
        </w:tc>
      </w:tr>
      <w:tr>
        <w:trPr>
          <w:trHeight w:val="216"/>
        </w:trPr>
        <w:tc>
          <w:tcPr>
            <w:tcW w:w="10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6,850,667</w:t>
            </w:r>
          </w:p>
        </w:tc>
        <w:tc>
          <w:tcPr>
            <w:tcW w:w="100" w:type="dxa"/>
            <w:vAlign w:val="bottom"/>
          </w:tcPr>
          <w:p>
            <w:pPr>
              <w:spacing w:after="0"/>
              <w:rPr>
                <w:sz w:val="18"/>
                <w:szCs w:val="18"/>
                <w:color w:val="auto"/>
              </w:rPr>
            </w:pPr>
          </w:p>
        </w:tc>
      </w:tr>
      <w:tr>
        <w:trPr>
          <w:trHeight w:val="432"/>
        </w:trPr>
        <w:tc>
          <w:tcPr>
            <w:tcW w:w="10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1.16%</w:t>
            </w:r>
          </w:p>
        </w:tc>
      </w:tr>
      <w:tr>
        <w:trPr>
          <w:trHeight w:val="365"/>
        </w:trPr>
        <w:tc>
          <w:tcPr>
            <w:tcW w:w="10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1.61%</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2.77%</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0.34%</w:t>
            </w: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92,072,105</w:t>
            </w:r>
          </w:p>
        </w:tc>
        <w:tc>
          <w:tcPr>
            <w:tcW w:w="100" w:type="dxa"/>
            <w:vAlign w:val="bottom"/>
          </w:tcPr>
          <w:p>
            <w:pPr>
              <w:spacing w:after="0"/>
              <w:rPr>
                <w:sz w:val="18"/>
                <w:szCs w:val="18"/>
                <w:color w:val="auto"/>
              </w:rPr>
            </w:pP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7,550,877</w:t>
            </w:r>
          </w:p>
        </w:tc>
        <w:tc>
          <w:tcPr>
            <w:tcW w:w="100" w:type="dxa"/>
            <w:vAlign w:val="bottom"/>
          </w:tcPr>
          <w:p>
            <w:pPr>
              <w:spacing w:after="0"/>
              <w:rPr>
                <w:sz w:val="18"/>
                <w:szCs w:val="18"/>
                <w:color w:val="auto"/>
              </w:rPr>
            </w:pP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color w:val="auto"/>
              </w:rPr>
              <w:t>1.11</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37.53%</w:t>
            </w:r>
          </w:p>
        </w:tc>
      </w:tr>
    </w:tbl>
    <w:p>
      <w:pPr>
        <w:spacing w:after="0" w:line="124" w:lineRule="exact"/>
        <w:rPr>
          <w:sz w:val="20"/>
          <w:szCs w:val="20"/>
          <w:color w:val="auto"/>
        </w:rPr>
      </w:pPr>
    </w:p>
    <w:p>
      <w:pPr>
        <w:sectPr>
          <w:pgSz w:w="11900" w:h="16838" w:orient="portrait"/>
          <w:cols w:equalWidth="0" w:num="2">
            <w:col w:w="4220" w:space="720"/>
            <w:col w:w="6320"/>
          </w:cols>
          <w:pgMar w:left="240" w:top="459" w:right="399" w:bottom="1440" w:gutter="0" w:footer="0" w:header="0"/>
          <w:type w:val="continuous"/>
        </w:sectPr>
      </w:pPr>
    </w:p>
    <w:p>
      <w:pPr>
        <w:ind w:left="500" w:hanging="492"/>
        <w:spacing w:after="0"/>
        <w:tabs>
          <w:tab w:leader="none" w:pos="5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Not annualized for a period of less than a year.</w:t>
      </w:r>
    </w:p>
    <w:p>
      <w:pPr>
        <w:ind w:left="500" w:hanging="492"/>
        <w:spacing w:after="0" w:line="221" w:lineRule="auto"/>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both recurring and non-recurring expenses such as debt issuance costs and organizational expenses.</w:t>
      </w:r>
    </w:p>
    <w:p>
      <w:pPr>
        <w:ind w:left="500" w:hanging="492"/>
        <w:spacing w:after="0" w:line="221" w:lineRule="auto"/>
        <w:tabs>
          <w:tab w:leader="none" w:pos="5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Per share data are calculated based on the weighted average shares outstanding from the initial public offering date of March 4, 2011 to September 30, 2011.</w:t>
      </w:r>
    </w:p>
    <w:p>
      <w:pPr>
        <w:ind w:left="500" w:hanging="492"/>
        <w:spacing w:after="0"/>
        <w:tabs>
          <w:tab w:leader="none" w:pos="5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Distributions are determined based on taxable income calculated in accordance with income tax regulations which may differ from amounts determined under GAAP.</w:t>
      </w:r>
    </w:p>
    <w:p>
      <w:pPr>
        <w:spacing w:after="0" w:line="10" w:lineRule="exact"/>
        <w:rPr>
          <w:rFonts w:ascii="Arial" w:cs="Arial" w:eastAsia="Arial" w:hAnsi="Arial"/>
          <w:sz w:val="12"/>
          <w:szCs w:val="12"/>
          <w:color w:val="auto"/>
        </w:rPr>
      </w:pPr>
    </w:p>
    <w:p>
      <w:pPr>
        <w:ind w:left="500" w:hanging="492"/>
        <w:spacing w:after="0"/>
        <w:tabs>
          <w:tab w:leader="none" w:pos="5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Total return is based on the change in market price per share during the period and takes into account distributions, if any, reinvested in accordance with our dividend reinvestment plan.</w:t>
      </w:r>
    </w:p>
    <w:p>
      <w:pPr>
        <w:spacing w:after="0" w:line="10" w:lineRule="exact"/>
        <w:rPr>
          <w:rFonts w:ascii="Arial" w:cs="Arial" w:eastAsia="Arial" w:hAnsi="Arial"/>
          <w:sz w:val="12"/>
          <w:szCs w:val="12"/>
          <w:color w:val="auto"/>
        </w:rPr>
      </w:pPr>
    </w:p>
    <w:p>
      <w:pPr>
        <w:ind w:left="500" w:hanging="492"/>
        <w:spacing w:after="0"/>
        <w:tabs>
          <w:tab w:leader="none" w:pos="5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Excluding debt issuance cost the ratio would be 0.16%.</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260"/>
          </w:cols>
          <w:pgMar w:left="240" w:top="459" w:right="39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71" w:lineRule="exact"/>
        <w:rPr>
          <w:sz w:val="20"/>
          <w:szCs w:val="20"/>
          <w:color w:val="auto"/>
        </w:rPr>
      </w:pPr>
    </w:p>
    <w:p>
      <w:pPr>
        <w:ind w:right="340" w:firstLine="456"/>
        <w:spacing w:after="0" w:line="230" w:lineRule="auto"/>
        <w:rPr>
          <w:sz w:val="20"/>
          <w:szCs w:val="20"/>
          <w:color w:val="auto"/>
        </w:rPr>
      </w:pPr>
      <w:r>
        <w:rPr>
          <w:rFonts w:ascii="Arial" w:cs="Arial" w:eastAsia="Arial" w:hAnsi="Arial"/>
          <w:sz w:val="14"/>
          <w:szCs w:val="14"/>
          <w:color w:val="auto"/>
        </w:rPr>
        <w:t>On June 23, 2011, Funding I entered into a five-year senior secured revolving credit facility with the Lender, an asset-backed commercial paper conduit administered by STRH. The Credit Facility allows Funding I to borrow up to $100.0 million and contains an accordion feature whereby the Credit Facility can be expanded to $600.0 million, subject to satisfaction of certain conditions. As of September 30, 2011, Funding I had $24.7 million of outstanding borrowings under the Credit Facility, carried an interest rate of 2.53% excluding the 0.50% undrawn commitment fee and had $75.3 million available subject to restrictions and covenants.</w:t>
      </w:r>
    </w:p>
    <w:p>
      <w:pPr>
        <w:spacing w:after="0" w:line="139"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During the Credit Facility’s first three years, or the revolving period, it bears interest at the LIBOR plus 225 basis points, and after the revolving period, the rate sets to LIBOR plus 425 basis points for the remaining or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industry requirements, average life of loans, geographic and individual portfolio concentrations, minimum portfolio yield and loan payment frequency. For example, we must maintain a weighted average loan life of no more than 6 years and cannot have more than 10% of Funding I’s assets in a single portfolio company.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Any violations of these and other covenants could result in the early amortization of the Credit Facility and further limit advances available under it. For a complete list of such covenants, see our report on Form 8-K, filed June 29, 2011.</w:t>
      </w:r>
    </w:p>
    <w:p>
      <w:pPr>
        <w:spacing w:after="0" w:line="120"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In accordance with the 1940 Act, with certain limited exceptions, the Company is only allowed to borrow amounts such that its asset coverage, as defined in the 1940 Act, is at least 200% after such borrowing. As of September 30, 2011 our asset coverage for borrowed amounts was 474%.</w:t>
      </w:r>
    </w:p>
    <w:p>
      <w:pPr>
        <w:spacing w:after="0" w:line="13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We own 100% of the equity interest in Funding I and will treat the indebtedness of Funding I as our leverage. We also transfered certain loans and debt securities we originated or acquired and may do so again , to Funding I through a Purchase and Contribution Agreement. Funding I may and has originated or acquired loans, consistent with PenantPark Floating Rate Capital Ltd.’s investment objectives. The structure of the financing, including organizing Funding I as a special purpose, bankruptcy-remote entity and selling assets from PennantPark Floating Rate Capital Ltd. to Funding I renders such assets generally unavailable to creditors of PennantPark Floating Rate Capital Ltd. and is intended to protect the Lender from credit and bankruptcy risks.</w:t>
      </w:r>
    </w:p>
    <w:p>
      <w:pPr>
        <w:spacing w:after="0" w:line="117"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are subject to certain payment restrictions set forth in the Credit Facility.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39"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color w:val="auto"/>
        </w:rPr>
        <w:t>Our equity interest in Funding I is subordinate to the secured and unsecured creditors, known or unknown, of Funding I including the Lender. Consequently, to the extent that the value of Funding I’s portfolio of loan investments is reduced as a result of conditions in the credit markets, defaulted loans, capital losses in excess of gains on the underlying assets, prepayments or changes in interest rates, the return on our investment in Funding I could be reduced. Accordingly, our investment in Funding I is subject to loss of principal.</w:t>
      </w:r>
    </w:p>
    <w:p>
      <w:pPr>
        <w:spacing w:after="0" w:line="1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In the event that we fail to receive cash from Funding I, we could be unable to make distributions to our stockholders in amounts sufficient to maintain our status as a RIC, or at all. We also could be forced to sell investments in portfolio companies at less than their fair value in order to continue making such distributions.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subordinated debt investments.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ind w:right="180" w:firstLine="799"/>
        <w:spacing w:after="0" w:line="288" w:lineRule="auto"/>
        <w:rPr>
          <w:sz w:val="20"/>
          <w:szCs w:val="20"/>
          <w:color w:val="auto"/>
        </w:rPr>
      </w:pPr>
      <w:r>
        <w:rPr>
          <w:rFonts w:ascii="Arial" w:cs="Arial" w:eastAsia="Arial" w:hAnsi="Arial"/>
          <w:sz w:val="12"/>
          <w:szCs w:val="12"/>
          <w:color w:val="auto"/>
        </w:rPr>
        <w:t>We have reviewed the accompanying consolidated statement of assets and liabilities of PennantPark Floating Rate Capital Ltd. and its Subsidiary (collectively referred to as the “Company”), including the consolidated schedules of investments, as of March 31, 2012, the consolidated statements of operations for the three and six months ended March 31, 2012, and the changes in net assets and cash flows for the six months ended March 31, 2012. These interim consolidated financial statements are the responsibility of the Company’s management.</w:t>
      </w:r>
    </w:p>
    <w:p>
      <w:pPr>
        <w:spacing w:after="0" w:line="111" w:lineRule="exact"/>
        <w:rPr>
          <w:sz w:val="20"/>
          <w:szCs w:val="20"/>
          <w:color w:val="auto"/>
        </w:rPr>
      </w:pPr>
    </w:p>
    <w:p>
      <w:pPr>
        <w:ind w:right="40" w:firstLine="799"/>
        <w:spacing w:after="0" w:line="230" w:lineRule="auto"/>
        <w:rPr>
          <w:sz w:val="20"/>
          <w:szCs w:val="20"/>
          <w:color w:val="auto"/>
        </w:rPr>
      </w:pPr>
      <w:r>
        <w:rPr>
          <w:rFonts w:ascii="Arial" w:cs="Arial" w:eastAsia="Arial" w:hAnsi="Arial"/>
          <w:sz w:val="14"/>
          <w:szCs w:val="14"/>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39" w:lineRule="exact"/>
        <w:rPr>
          <w:sz w:val="20"/>
          <w:szCs w:val="20"/>
          <w:color w:val="auto"/>
        </w:rPr>
      </w:pPr>
    </w:p>
    <w:p>
      <w:pPr>
        <w:jc w:val="both"/>
        <w:ind w:firstLine="799"/>
        <w:spacing w:after="0" w:line="239" w:lineRule="auto"/>
        <w:rPr>
          <w:sz w:val="20"/>
          <w:szCs w:val="20"/>
          <w:color w:val="auto"/>
        </w:rPr>
      </w:pPr>
      <w:r>
        <w:rPr>
          <w:rFonts w:ascii="Arial" w:cs="Arial" w:eastAsia="Arial" w:hAnsi="Arial"/>
          <w:sz w:val="14"/>
          <w:szCs w:val="14"/>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9" w:lineRule="exact"/>
        <w:rPr>
          <w:sz w:val="20"/>
          <w:szCs w:val="20"/>
          <w:color w:val="auto"/>
        </w:rPr>
      </w:pPr>
    </w:p>
    <w:p>
      <w:pPr>
        <w:jc w:val="both"/>
        <w:ind w:right="20" w:firstLine="799"/>
        <w:spacing w:after="0" w:line="288" w:lineRule="auto"/>
        <w:rPr>
          <w:sz w:val="20"/>
          <w:szCs w:val="20"/>
          <w:color w:val="auto"/>
        </w:rPr>
      </w:pPr>
      <w:r>
        <w:rPr>
          <w:rFonts w:ascii="Arial" w:cs="Arial" w:eastAsia="Arial" w:hAnsi="Arial"/>
          <w:sz w:val="12"/>
          <w:szCs w:val="12"/>
          <w:color w:val="auto"/>
        </w:rPr>
        <w:t>We have previously audited, in accordance with standards of the Public Company Accounting Oversight Board (United States), the consolidated statement of assets and liabilities of the Company, including the consolidated schedule of investments, as of September 30, 2011, and the consolidated statement of operations, changes in net assets, and cash flows for the period March 4, 2011 (commencement of operations) to September 30, 2011; and in our report dated November 17, 2011, we expressed an unqualified opinion on those consolidated financial statements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146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80" cy="14605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Pr>
          <w:p>
            <w:pPr>
              <w:spacing w:after="0"/>
              <w:rPr>
                <w:sz w:val="12"/>
                <w:szCs w:val="12"/>
                <w:color w:val="auto"/>
              </w:rPr>
            </w:pP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(cost—$146,227,958 and $114,829,621,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146,188,132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110,724,241</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3,849,360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732,695</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2,467,500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151,174,164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121,075,260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Distributions payable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479,547</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990,000</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2,161,880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2,323,250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(cost—$47,800,000 and $24,650,000, respectively, See Notes 5 and 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47,561,000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24,650,000</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342,495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150,246</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266,432</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Performance-based incentive fees payable (See Note 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175,740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386,592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54,451,859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29,003,155</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9040" w:type="dxa"/>
            <w:vAlign w:val="bottom"/>
            <w:gridSpan w:val="2"/>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6,851</w:t>
            </w: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97,251,174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97,251,174</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(1,452,769)</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(1,392,528)</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 on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311,988</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(39,826)</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(4,105,380)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96,722,305</w:t>
            </w:r>
          </w:p>
        </w:tc>
        <w:tc>
          <w:tcPr>
            <w:tcW w:w="3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92,072,105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151,174,164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121,075,260</w:t>
            </w:r>
          </w:p>
        </w:tc>
        <w:tc>
          <w:tcPr>
            <w:tcW w:w="100" w:type="dxa"/>
            <w:vAlign w:val="bottom"/>
            <w:shd w:val="clear" w:color="auto" w:fill="CCEEFF"/>
          </w:tcPr>
          <w:p>
            <w:pPr>
              <w:spacing w:after="0"/>
              <w:rPr>
                <w:sz w:val="18"/>
                <w:szCs w:val="18"/>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2"/>
              </w:rPr>
              <w:t>March 31, 2012</w:t>
            </w:r>
          </w:p>
        </w:tc>
        <w:tc>
          <w:tcPr>
            <w:tcW w:w="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2,943,730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370,352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Performance-base incentive fees payable (Note 3)</w:t>
            </w:r>
          </w:p>
        </w:tc>
        <w:tc>
          <w:tcPr>
            <w:tcW w:w="120" w:type="dxa"/>
            <w:vAlign w:val="bottom"/>
          </w:tcPr>
          <w:p>
            <w:pPr>
              <w:spacing w:after="0"/>
              <w:rPr>
                <w:sz w:val="18"/>
                <w:szCs w:val="18"/>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175,740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(See Note 9)</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342,496</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tcPr>
          <w:p>
            <w:pPr>
              <w:spacing w:after="0"/>
              <w:rPr>
                <w:sz w:val="18"/>
                <w:szCs w:val="18"/>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149,624</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360,618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1,398,830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2,490,959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1,544,900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on investments and Credit Facility:</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95,712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change in unrealized depreciation 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2,996,463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Credit Facility (appreciation) depreciation (See Note 5)</w:t>
            </w:r>
          </w:p>
        </w:tc>
        <w:tc>
          <w:tcPr>
            <w:tcW w:w="120" w:type="dxa"/>
            <w:vAlign w:val="bottom"/>
          </w:tcPr>
          <w:p>
            <w:pPr>
              <w:spacing w:after="0"/>
              <w:rPr>
                <w:sz w:val="18"/>
                <w:szCs w:val="18"/>
                <w:color w:val="auto"/>
              </w:rPr>
            </w:pPr>
          </w:p>
        </w:tc>
        <w:tc>
          <w:tcPr>
            <w:tcW w:w="1820" w:type="dxa"/>
            <w:vAlign w:val="bottom"/>
            <w:gridSpan w:val="2"/>
          </w:tcPr>
          <w:p>
            <w:pPr>
              <w:jc w:val="right"/>
              <w:ind w:right="660"/>
              <w:spacing w:after="0"/>
              <w:rPr>
                <w:sz w:val="20"/>
                <w:szCs w:val="20"/>
                <w:color w:val="auto"/>
              </w:rPr>
            </w:pPr>
            <w:r>
              <w:rPr>
                <w:rFonts w:ascii="Arial" w:cs="Arial" w:eastAsia="Arial" w:hAnsi="Arial"/>
                <w:sz w:val="18"/>
                <w:szCs w:val="18"/>
                <w:color w:val="auto"/>
              </w:rPr>
              <w:t>(112,000)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change in unrealized depreciation on investments and Credit Facility</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2,884,463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realized and unrealized gain from investments and Credit Facility</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2,980,175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4,710,441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4,525,075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(See Note 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jc w:val="center"/>
              <w:ind w:left="2276"/>
              <w:spacing w:after="0"/>
              <w:rPr>
                <w:sz w:val="20"/>
                <w:szCs w:val="20"/>
                <w:color w:val="auto"/>
              </w:rPr>
            </w:pPr>
            <w:r>
              <w:rPr>
                <w:rFonts w:ascii="Arial" w:cs="Arial" w:eastAsia="Arial" w:hAnsi="Arial"/>
                <w:sz w:val="14"/>
                <w:szCs w:val="14"/>
                <w:b w:val="1"/>
                <w:bCs w:val="1"/>
                <w:color w:val="auto"/>
                <w:w w:val="96"/>
              </w:rPr>
              <w:t>PENNANTPARK FLOATING RATE CAPITAL LTD. AND SUBSIDIARY</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040" w:type="dxa"/>
            <w:vAlign w:val="bottom"/>
          </w:tcPr>
          <w:p>
            <w:pPr>
              <w:jc w:val="center"/>
              <w:ind w:left="2256"/>
              <w:spacing w:after="0" w:line="149" w:lineRule="exact"/>
              <w:rPr>
                <w:sz w:val="20"/>
                <w:szCs w:val="20"/>
                <w:color w:val="auto"/>
              </w:rPr>
            </w:pPr>
            <w:r>
              <w:rPr>
                <w:rFonts w:ascii="Arial" w:cs="Arial" w:eastAsia="Arial" w:hAnsi="Arial"/>
                <w:sz w:val="14"/>
                <w:szCs w:val="14"/>
                <w:b w:val="1"/>
                <w:bCs w:val="1"/>
                <w:color w:val="auto"/>
                <w:w w:val="95"/>
              </w:rPr>
              <w:t>CONSOLIDATED STATEMENT OF CHANGES IN NET ASSETS</w:t>
            </w: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9040" w:type="dxa"/>
            <w:vAlign w:val="bottom"/>
          </w:tcPr>
          <w:p>
            <w:pPr>
              <w:jc w:val="center"/>
              <w:ind w:left="2256"/>
              <w:spacing w:after="0"/>
              <w:rPr>
                <w:sz w:val="20"/>
                <w:szCs w:val="20"/>
                <w:color w:val="auto"/>
              </w:rPr>
            </w:pPr>
            <w:r>
              <w:rPr>
                <w:rFonts w:ascii="Arial" w:cs="Arial" w:eastAsia="Arial" w:hAnsi="Arial"/>
                <w:sz w:val="14"/>
                <w:szCs w:val="14"/>
                <w:b w:val="1"/>
                <w:bCs w:val="1"/>
                <w:color w:val="auto"/>
                <w:w w:val="89"/>
              </w:rPr>
              <w:t>(Unaudited)</w:t>
            </w: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690"/>
        </w:trPr>
        <w:tc>
          <w:tcPr>
            <w:tcW w:w="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Six Months Ended</w:t>
            </w:r>
          </w:p>
        </w:tc>
      </w:t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March 31, 2012</w:t>
            </w:r>
          </w:p>
        </w:tc>
      </w:tr>
      <w:tr>
        <w:trPr>
          <w:trHeight w:val="196"/>
        </w:trPr>
        <w:tc>
          <w:tcPr>
            <w:tcW w:w="20" w:type="dxa"/>
            <w:vAlign w:val="bottom"/>
          </w:tcPr>
          <w:p>
            <w:pPr>
              <w:spacing w:after="0"/>
              <w:rPr>
                <w:sz w:val="17"/>
                <w:szCs w:val="17"/>
                <w:color w:val="auto"/>
              </w:rPr>
            </w:pPr>
          </w:p>
        </w:tc>
        <w:tc>
          <w:tcPr>
            <w:tcW w:w="9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1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3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2,919,799</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on investments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405,887</w:t>
            </w: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Net change in unrealized depreciation on investments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4,065,554</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1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7,630,240</w:t>
            </w: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(2,980,040)</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11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4,650,200</w:t>
            </w:r>
          </w:p>
        </w:tc>
        <w:tc>
          <w:tcPr>
            <w:tcW w:w="100" w:type="dxa"/>
            <w:vAlign w:val="bottom"/>
            <w:shd w:val="clear" w:color="auto" w:fill="CCEEFF"/>
          </w:tcPr>
          <w:p>
            <w:pPr>
              <w:spacing w:after="0"/>
              <w:rPr>
                <w:sz w:val="18"/>
                <w:szCs w:val="18"/>
                <w:color w:val="auto"/>
              </w:rPr>
            </w:pPr>
          </w:p>
        </w:tc>
      </w:tr>
      <w:tr>
        <w:trPr>
          <w:trHeight w:val="222"/>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92,072,105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3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96,722,305</w:t>
            </w: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net investment income, end of period</w:t>
            </w:r>
          </w:p>
        </w:tc>
        <w:tc>
          <w:tcPr>
            <w:tcW w:w="13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(1,452,769)</w:t>
            </w: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left="1920"/>
        <w:spacing w:after="0" w:line="223" w:lineRule="auto"/>
        <w:rPr>
          <w:sz w:val="20"/>
          <w:szCs w:val="20"/>
          <w:color w:val="auto"/>
        </w:rPr>
      </w:pPr>
      <w:r>
        <w:rPr>
          <w:rFonts w:ascii="Arial" w:cs="Arial" w:eastAsia="Arial" w:hAnsi="Arial"/>
          <w:sz w:val="14"/>
          <w:szCs w:val="14"/>
          <w:b w:val="1"/>
          <w:bCs w:val="1"/>
          <w:color w:val="auto"/>
        </w:rPr>
        <w:t>CONSOLIDATED STATEMENT OF CASH FLOWS</w:t>
      </w:r>
    </w:p>
    <w:p>
      <w:pPr>
        <w:jc w:val="center"/>
        <w:ind w:left="190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increase in net assets resulting from operations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Adjustments to reconcile net increase in net assets resulting from operations to net cash used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Net realized gain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accretion of discount and amortization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Purchase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Payment-in-kind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Proceeds from dispositions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receivable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receivable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payables for investments purchased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payable on Credit Facility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performance-based incentive fees payable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cash used by operating activities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Distributions paid to stockholders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Borrowings under Credit Facility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Repayments under Credit Facility (See Note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Six Months Ended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March 31, 2012</w:t>
      </w:r>
    </w:p>
    <w:p>
      <w:pPr>
        <w:spacing w:after="0" w:line="195" w:lineRule="exact"/>
        <w:rPr>
          <w:sz w:val="20"/>
          <w:szCs w:val="20"/>
          <w:color w:val="auto"/>
        </w:rPr>
      </w:pPr>
    </w:p>
    <w:p>
      <w:pPr>
        <w:ind w:left="360" w:hanging="355"/>
        <w:spacing w:after="0"/>
        <w:tabs>
          <w:tab w:leader="none" w:pos="3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7,630,240</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(4,065,554)</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(239,000)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(405,887)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(333,296)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(72,216,125)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(47,292)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41,604,263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2,467,500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(353,235)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112,632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1,950,000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(161,370)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192,249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103,920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175,740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242,912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6775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(23,342,303)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6775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(2,945,787)</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54,050,000</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(30,900,000)</w:t>
      </w:r>
    </w:p>
    <w:p>
      <w:pPr>
        <w:spacing w:after="0" w:line="9" w:lineRule="exact"/>
        <w:rPr>
          <w:sz w:val="20"/>
          <w:szCs w:val="20"/>
          <w:color w:val="auto"/>
        </w:rPr>
      </w:pPr>
    </w:p>
    <w:p>
      <w:pPr>
        <w:sectPr>
          <w:pgSz w:w="11900" w:h="16838" w:orient="portrait"/>
          <w:cols w:equalWidth="0" w:num="2">
            <w:col w:w="9520" w:space="720"/>
            <w:col w:w="11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86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20,204,213</w:t>
            </w:r>
          </w:p>
        </w:tc>
        <w:tc>
          <w:tcPr>
            <w:tcW w:w="100" w:type="dxa"/>
            <w:vAlign w:val="bottom"/>
            <w:shd w:val="clear" w:color="auto" w:fill="CCEEFF"/>
          </w:tcPr>
          <w:p>
            <w:pPr>
              <w:spacing w:after="0"/>
              <w:rPr>
                <w:sz w:val="19"/>
                <w:szCs w:val="19"/>
                <w:color w:val="auto"/>
              </w:rPr>
            </w:pPr>
          </w:p>
        </w:tc>
      </w:tr>
      <w:tr>
        <w:trPr>
          <w:trHeight w:val="221"/>
        </w:trPr>
        <w:tc>
          <w:tcPr>
            <w:tcW w:w="8680" w:type="dxa"/>
            <w:vAlign w:val="bottom"/>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(3,138,090)</w:t>
            </w:r>
          </w:p>
        </w:tc>
      </w:tr>
      <w:tr>
        <w:trPr>
          <w:trHeight w:val="218"/>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shd w:val="clear" w:color="auto" w:fill="CCEEFF"/>
          </w:tcPr>
          <w:p>
            <w:pPr>
              <w:spacing w:after="0"/>
              <w:rPr>
                <w:sz w:val="18"/>
                <w:szCs w:val="18"/>
                <w:color w:val="auto"/>
              </w:rPr>
            </w:pPr>
          </w:p>
        </w:tc>
      </w:tr>
      <w:tr>
        <w:trPr>
          <w:trHeight w:val="22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3,849,360</w:t>
            </w:r>
          </w:p>
        </w:tc>
      </w:tr>
      <w:tr>
        <w:trPr>
          <w:trHeight w:val="20"/>
        </w:trPr>
        <w:tc>
          <w:tcPr>
            <w:tcW w:w="8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429,227</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paid</w:t>
            </w:r>
          </w:p>
        </w:tc>
        <w:tc>
          <w:tcPr>
            <w:tcW w:w="1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20"/>
          </w:cols>
          <w:pgMar w:left="240" w:top="459" w:right="23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2" w:lineRule="auto"/>
        <w:rPr>
          <w:sz w:val="20"/>
          <w:szCs w:val="20"/>
          <w:color w:val="auto"/>
        </w:rPr>
      </w:pPr>
      <w:r>
        <w:rPr>
          <w:rFonts w:ascii="Arial" w:cs="Arial" w:eastAsia="Arial" w:hAnsi="Arial"/>
          <w:sz w:val="14"/>
          <w:szCs w:val="14"/>
          <w:b w:val="1"/>
          <w:bCs w:val="1"/>
          <w:color w:val="auto"/>
        </w:rPr>
        <w:t>MARCH 31, 2012</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jc w:val="center"/>
              <w:ind w:right="114"/>
              <w:spacing w:after="0"/>
              <w:rPr>
                <w:sz w:val="20"/>
                <w:szCs w:val="20"/>
                <w:color w:val="auto"/>
              </w:rPr>
            </w:pPr>
            <w:r>
              <w:rPr>
                <w:rFonts w:ascii="Arial" w:cs="Arial" w:eastAsia="Arial" w:hAnsi="Arial"/>
                <w:sz w:val="14"/>
                <w:szCs w:val="14"/>
                <w:b w:val="1"/>
                <w:bCs w:val="1"/>
                <w:color w:val="auto"/>
                <w:w w:val="83"/>
              </w:rPr>
              <w:t>Basis Point</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88"/>
              </w:rPr>
              <w:t>Spread</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0" w:type="dxa"/>
            <w:vAlign w:val="bottom"/>
          </w:tcPr>
          <w:p>
            <w:pPr>
              <w:ind w:left="160"/>
              <w:spacing w:after="0" w:line="135" w:lineRule="exact"/>
              <w:rPr>
                <w:sz w:val="20"/>
                <w:szCs w:val="20"/>
                <w:color w:val="auto"/>
              </w:rPr>
            </w:pPr>
            <w:r>
              <w:rPr>
                <w:rFonts w:ascii="Arial" w:cs="Arial" w:eastAsia="Arial" w:hAnsi="Arial"/>
                <w:sz w:val="14"/>
                <w:szCs w:val="14"/>
                <w:b w:val="1"/>
                <w:bCs w:val="1"/>
                <w:color w:val="auto"/>
              </w:rPr>
              <w:t>Current</w:t>
            </w:r>
          </w:p>
        </w:tc>
        <w:tc>
          <w:tcPr>
            <w:tcW w:w="114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84"/>
              </w:rPr>
              <w:t>Above</w:t>
            </w:r>
          </w:p>
        </w:tc>
        <w:tc>
          <w:tcPr>
            <w:tcW w:w="900" w:type="dxa"/>
            <w:vAlign w:val="bottom"/>
          </w:tcPr>
          <w:p>
            <w:pPr>
              <w:jc w:val="right"/>
              <w:ind w:right="272"/>
              <w:spacing w:after="0" w:line="135" w:lineRule="exact"/>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Fair</w:t>
            </w:r>
          </w:p>
        </w:tc>
      </w:tr>
      <w:tr>
        <w:trPr>
          <w:trHeight w:val="176"/>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320" w:type="dxa"/>
            <w:vAlign w:val="bottom"/>
          </w:tcPr>
          <w:p>
            <w:pPr>
              <w:jc w:val="center"/>
              <w:ind w:left="372"/>
              <w:spacing w:after="0"/>
              <w:rPr>
                <w:sz w:val="20"/>
                <w:szCs w:val="20"/>
                <w:color w:val="auto"/>
              </w:rPr>
            </w:pPr>
            <w:r>
              <w:rPr>
                <w:rFonts w:ascii="Arial" w:cs="Arial" w:eastAsia="Arial" w:hAnsi="Arial"/>
                <w:sz w:val="14"/>
                <w:szCs w:val="14"/>
                <w:b w:val="1"/>
                <w:bCs w:val="1"/>
                <w:color w:val="auto"/>
                <w:w w:val="95"/>
              </w:rPr>
              <w:t>Maturity</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Coupon</w:t>
            </w:r>
          </w:p>
        </w:tc>
        <w:tc>
          <w:tcPr>
            <w:tcW w:w="1140" w:type="dxa"/>
            <w:vAlign w:val="bottom"/>
          </w:tcPr>
          <w:p>
            <w:pPr>
              <w:jc w:val="center"/>
              <w:ind w:right="94"/>
              <w:spacing w:after="0" w:line="176" w:lineRule="exact"/>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20"/>
                <w:szCs w:val="20"/>
                <w:b w:val="1"/>
                <w:bCs w:val="1"/>
                <w:color w:val="auto"/>
                <w:w w:val="92"/>
                <w:vertAlign w:val="superscript"/>
              </w:rPr>
              <w:t>(1)</w:t>
            </w: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5"/>
              </w:rPr>
              <w:t xml:space="preserve">Value </w:t>
            </w:r>
            <w:r>
              <w:rPr>
                <w:rFonts w:ascii="Arial" w:cs="Arial" w:eastAsia="Arial" w:hAnsi="Arial"/>
                <w:sz w:val="20"/>
                <w:szCs w:val="20"/>
                <w:b w:val="1"/>
                <w:bCs w:val="1"/>
                <w:color w:val="auto"/>
                <w:w w:val="95"/>
                <w:vertAlign w:val="superscript"/>
              </w:rPr>
              <w:t>(2)</w:t>
            </w:r>
          </w:p>
        </w:tc>
      </w:tr>
      <w:tr>
        <w:trPr>
          <w:trHeight w:val="142"/>
        </w:trPr>
        <w:tc>
          <w:tcPr>
            <w:tcW w:w="20" w:type="dxa"/>
            <w:vAlign w:val="bottom"/>
          </w:tcPr>
          <w:p>
            <w:pPr>
              <w:spacing w:after="0"/>
              <w:rPr>
                <w:sz w:val="12"/>
                <w:szCs w:val="12"/>
                <w:color w:val="auto"/>
              </w:rPr>
            </w:pPr>
          </w:p>
        </w:tc>
        <w:tc>
          <w:tcPr>
            <w:tcW w:w="616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Companies—151.1%</w:t>
            </w:r>
            <w:r>
              <w:rPr>
                <w:rFonts w:ascii="Arial" w:cs="Arial" w:eastAsia="Arial" w:hAnsi="Arial"/>
                <w:sz w:val="16"/>
                <w:szCs w:val="16"/>
                <w:b w:val="1"/>
                <w:bCs w:val="1"/>
                <w:color w:val="auto"/>
                <w:vertAlign w:val="superscript"/>
              </w:rPr>
              <w:t>(3),(4)</w:t>
            </w:r>
          </w:p>
        </w:tc>
        <w:tc>
          <w:tcPr>
            <w:tcW w:w="10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Debt—130.6%</w:t>
            </w:r>
          </w:p>
        </w:tc>
        <w:tc>
          <w:tcPr>
            <w:tcW w:w="1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03/25/2015</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10.00%</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L+800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785,714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787,760</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746,429</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10/06/2016</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Consumer Services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7.00%</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2,947,919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2,970,056</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07/29/2017</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Automotive</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6.50%</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L+500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990,663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999,975</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Blue Coat Systems, Inc.</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02/15/2018</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7.50%</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L+600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3,921,389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3,980,000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08/17/2017</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Durable</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7.27%</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L+575</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3,980,000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3,907,844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3,960,100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DCS Business Services, Inc.</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03/19/2018</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8.00%</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P+475</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2,955,160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2,955,000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12/01/2016</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6.50%</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L+500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990,557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DS Waters of America, Inc.</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08/29/2017</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10.50%</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L+900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3,920,851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3,935,000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07/28/2017</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6.75%</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P+350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975,000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970,472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965,250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Fundtech (US FT HOLDCO, INC.)</w:t>
            </w:r>
          </w:p>
        </w:tc>
        <w:tc>
          <w:tcPr>
            <w:tcW w:w="132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5"/>
              </w:rPr>
              <w:t>11/30/2017</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7.50%</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L+600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2,905,553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2,986,889</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Global Tel*Link Corporation</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12/14/2017</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7.00%</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2,935,337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2,994,370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05/27/2016</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9"/>
              </w:rPr>
              <w:t>Environmental Industries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6.99%</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2,977,500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2,953,133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2,932,838</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(5)</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05/01/2016</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10.00%</w:t>
            </w:r>
          </w:p>
        </w:tc>
        <w:tc>
          <w:tcPr>
            <w:tcW w:w="1140" w:type="dxa"/>
            <w:vAlign w:val="bottom"/>
            <w:shd w:val="clear" w:color="auto" w:fill="CCEEFF"/>
          </w:tcPr>
          <w:p>
            <w:pPr>
              <w:jc w:val="right"/>
              <w:ind w:right="134"/>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2,060,000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04/01/2019</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7.25%</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L+600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2,940,000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2,940,000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04/01/2017</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Automotive</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11.50%</w:t>
            </w:r>
          </w:p>
        </w:tc>
        <w:tc>
          <w:tcPr>
            <w:tcW w:w="1140" w:type="dxa"/>
            <w:vAlign w:val="bottom"/>
            <w:shd w:val="clear" w:color="auto" w:fill="CCEEFF"/>
          </w:tcPr>
          <w:p>
            <w:pPr>
              <w:jc w:val="right"/>
              <w:ind w:right="134"/>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1,960,101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Insight Global, Inc.</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08/16/2017</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6.50%</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L+500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988,769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984,109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971,465</w:t>
            </w:r>
          </w:p>
        </w:tc>
        <w:tc>
          <w:tcPr>
            <w:tcW w:w="2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1320" w:type="dxa"/>
            <w:vAlign w:val="bottom"/>
            <w:shd w:val="clear" w:color="auto" w:fill="CCEEFF"/>
          </w:tcPr>
          <w:p>
            <w:pPr>
              <w:jc w:val="center"/>
              <w:ind w:left="352"/>
              <w:spacing w:after="0" w:line="138" w:lineRule="exact"/>
              <w:rPr>
                <w:sz w:val="20"/>
                <w:szCs w:val="20"/>
                <w:color w:val="auto"/>
              </w:rPr>
            </w:pPr>
            <w:r>
              <w:rPr>
                <w:rFonts w:ascii="Arial" w:cs="Arial" w:eastAsia="Arial" w:hAnsi="Arial"/>
                <w:sz w:val="14"/>
                <w:szCs w:val="14"/>
                <w:color w:val="auto"/>
                <w:w w:val="88"/>
              </w:rPr>
              <w:t>08/07/2014</w:t>
            </w: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1"/>
              </w:rPr>
              <w:t>Media: Advertising, Printing</w:t>
            </w:r>
          </w:p>
        </w:tc>
        <w:tc>
          <w:tcPr>
            <w:tcW w:w="10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3.62%</w:t>
            </w:r>
          </w:p>
        </w:tc>
        <w:tc>
          <w:tcPr>
            <w:tcW w:w="1140" w:type="dxa"/>
            <w:vAlign w:val="bottom"/>
            <w:shd w:val="clear" w:color="auto" w:fill="CCEEFF"/>
          </w:tcPr>
          <w:p>
            <w:pPr>
              <w:jc w:val="right"/>
              <w:ind w:right="134"/>
              <w:spacing w:after="0" w:line="138" w:lineRule="exact"/>
              <w:rPr>
                <w:sz w:val="20"/>
                <w:szCs w:val="20"/>
                <w:color w:val="auto"/>
              </w:rPr>
            </w:pPr>
            <w:r>
              <w:rPr>
                <w:rFonts w:ascii="Arial" w:cs="Arial" w:eastAsia="Arial" w:hAnsi="Arial"/>
                <w:sz w:val="10"/>
                <w:szCs w:val="10"/>
                <w:color w:val="auto"/>
              </w:rPr>
              <w:t>L+338</w:t>
            </w:r>
            <w:r>
              <w:rPr>
                <w:rFonts w:ascii="Arial" w:cs="Arial" w:eastAsia="Arial" w:hAnsi="Arial"/>
                <w:sz w:val="15"/>
                <w:szCs w:val="15"/>
                <w:color w:val="auto"/>
                <w:vertAlign w:val="superscript"/>
              </w:rPr>
              <w:t>(9)</w:t>
            </w:r>
          </w:p>
        </w:tc>
        <w:tc>
          <w:tcPr>
            <w:tcW w:w="9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6,945,468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6,565,294</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6,250,920</w:t>
            </w:r>
          </w:p>
        </w:tc>
        <w:tc>
          <w:tcPr>
            <w:tcW w:w="2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and Publishing</w:t>
            </w:r>
          </w:p>
        </w:tc>
        <w:tc>
          <w:tcPr>
            <w:tcW w:w="10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K2 Pure Solutions NoCal, L.P.</w:t>
            </w:r>
          </w:p>
        </w:tc>
        <w:tc>
          <w:tcPr>
            <w:tcW w:w="1320" w:type="dxa"/>
            <w:vAlign w:val="bottom"/>
          </w:tcPr>
          <w:p>
            <w:pPr>
              <w:jc w:val="center"/>
              <w:ind w:left="352"/>
              <w:spacing w:after="0" w:line="138" w:lineRule="exact"/>
              <w:rPr>
                <w:sz w:val="20"/>
                <w:szCs w:val="20"/>
                <w:color w:val="auto"/>
              </w:rPr>
            </w:pPr>
            <w:r>
              <w:rPr>
                <w:rFonts w:ascii="Arial" w:cs="Arial" w:eastAsia="Arial" w:hAnsi="Arial"/>
                <w:sz w:val="14"/>
                <w:szCs w:val="14"/>
                <w:color w:val="auto"/>
                <w:w w:val="88"/>
              </w:rPr>
              <w:t>09/10/2015</w:t>
            </w: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00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10.00%</w:t>
            </w:r>
          </w:p>
        </w:tc>
        <w:tc>
          <w:tcPr>
            <w:tcW w:w="1140" w:type="dxa"/>
            <w:vAlign w:val="bottom"/>
          </w:tcPr>
          <w:p>
            <w:pPr>
              <w:jc w:val="right"/>
              <w:ind w:right="274"/>
              <w:spacing w:after="0" w:line="138" w:lineRule="exact"/>
              <w:rPr>
                <w:sz w:val="20"/>
                <w:szCs w:val="20"/>
                <w:color w:val="auto"/>
              </w:rPr>
            </w:pPr>
            <w:r>
              <w:rPr>
                <w:rFonts w:ascii="Arial" w:cs="Arial" w:eastAsia="Arial" w:hAnsi="Arial"/>
                <w:sz w:val="14"/>
                <w:szCs w:val="14"/>
                <w:color w:val="auto"/>
              </w:rPr>
              <w:t>P+675</w:t>
            </w:r>
          </w:p>
        </w:tc>
        <w:tc>
          <w:tcPr>
            <w:tcW w:w="9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5,476,250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5,519,390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5,421,487</w:t>
            </w:r>
          </w:p>
        </w:tc>
        <w:tc>
          <w:tcPr>
            <w:tcW w:w="2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KIK Custom Products Inc. </w:t>
            </w:r>
            <w:r>
              <w:rPr>
                <w:rFonts w:ascii="Arial" w:cs="Arial" w:eastAsia="Arial" w:hAnsi="Arial"/>
                <w:sz w:val="15"/>
                <w:szCs w:val="15"/>
                <w:color w:val="auto"/>
                <w:vertAlign w:val="superscript"/>
              </w:rPr>
              <w:t>(6)</w:t>
            </w:r>
          </w:p>
        </w:tc>
        <w:tc>
          <w:tcPr>
            <w:tcW w:w="1320" w:type="dxa"/>
            <w:vAlign w:val="bottom"/>
            <w:shd w:val="clear" w:color="auto" w:fill="CCEEFF"/>
          </w:tcPr>
          <w:p>
            <w:pPr>
              <w:jc w:val="center"/>
              <w:ind w:left="352"/>
              <w:spacing w:after="0" w:line="138" w:lineRule="exact"/>
              <w:rPr>
                <w:sz w:val="20"/>
                <w:szCs w:val="20"/>
                <w:color w:val="auto"/>
              </w:rPr>
            </w:pPr>
            <w:r>
              <w:rPr>
                <w:rFonts w:ascii="Arial" w:cs="Arial" w:eastAsia="Arial" w:hAnsi="Arial"/>
                <w:sz w:val="14"/>
                <w:szCs w:val="14"/>
                <w:color w:val="auto"/>
                <w:w w:val="88"/>
              </w:rPr>
              <w:t>05/31/2014</w:t>
            </w: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Consumer Goods: Non-</w:t>
            </w:r>
          </w:p>
        </w:tc>
        <w:tc>
          <w:tcPr>
            <w:tcW w:w="10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8.50%</w:t>
            </w:r>
          </w:p>
        </w:tc>
        <w:tc>
          <w:tcPr>
            <w:tcW w:w="1140" w:type="dxa"/>
            <w:vAlign w:val="bottom"/>
            <w:shd w:val="clear" w:color="auto" w:fill="CCEEFF"/>
          </w:tcPr>
          <w:p>
            <w:pPr>
              <w:jc w:val="right"/>
              <w:ind w:right="274"/>
              <w:spacing w:after="0" w:line="138" w:lineRule="exact"/>
              <w:rPr>
                <w:sz w:val="20"/>
                <w:szCs w:val="20"/>
                <w:color w:val="auto"/>
              </w:rPr>
            </w:pPr>
            <w:r>
              <w:rPr>
                <w:rFonts w:ascii="Arial" w:cs="Arial" w:eastAsia="Arial" w:hAnsi="Arial"/>
                <w:sz w:val="14"/>
                <w:szCs w:val="14"/>
                <w:color w:val="auto"/>
              </w:rPr>
              <w:t>L+700</w:t>
            </w:r>
          </w:p>
        </w:tc>
        <w:tc>
          <w:tcPr>
            <w:tcW w:w="9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4,962,500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4,848,837</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4,881,859</w:t>
            </w:r>
          </w:p>
        </w:tc>
        <w:tc>
          <w:tcPr>
            <w:tcW w:w="2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Durable</w:t>
            </w:r>
          </w:p>
        </w:tc>
        <w:tc>
          <w:tcPr>
            <w:tcW w:w="10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Medpace Intermediateco, Inc.</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06/17/2017</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6.50%</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L+500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1,985,000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1,958,287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1,925,450</w:t>
            </w:r>
          </w:p>
        </w:tc>
        <w:tc>
          <w:tcPr>
            <w:tcW w:w="2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(6)</w:t>
            </w:r>
          </w:p>
        </w:tc>
        <w:tc>
          <w:tcPr>
            <w:tcW w:w="1320" w:type="dxa"/>
            <w:vAlign w:val="bottom"/>
            <w:shd w:val="clear" w:color="auto" w:fill="CCEEFF"/>
          </w:tcPr>
          <w:p>
            <w:pPr>
              <w:jc w:val="center"/>
              <w:ind w:left="352"/>
              <w:spacing w:after="0" w:line="138" w:lineRule="exact"/>
              <w:rPr>
                <w:sz w:val="20"/>
                <w:szCs w:val="20"/>
                <w:color w:val="auto"/>
              </w:rPr>
            </w:pPr>
            <w:r>
              <w:rPr>
                <w:rFonts w:ascii="Arial" w:cs="Arial" w:eastAsia="Arial" w:hAnsi="Arial"/>
                <w:sz w:val="14"/>
                <w:szCs w:val="14"/>
                <w:color w:val="auto"/>
                <w:w w:val="88"/>
              </w:rPr>
              <w:t>05/06/2018</w:t>
            </w: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Diversified and</w:t>
            </w:r>
          </w:p>
        </w:tc>
        <w:tc>
          <w:tcPr>
            <w:tcW w:w="10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7.00%</w:t>
            </w:r>
          </w:p>
        </w:tc>
        <w:tc>
          <w:tcPr>
            <w:tcW w:w="1140" w:type="dxa"/>
            <w:vAlign w:val="bottom"/>
            <w:shd w:val="clear" w:color="auto" w:fill="CCEEFF"/>
          </w:tcPr>
          <w:p>
            <w:pPr>
              <w:jc w:val="right"/>
              <w:ind w:right="274"/>
              <w:spacing w:after="0" w:line="138"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3,970,000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3,935,345</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3,870,750</w:t>
            </w:r>
          </w:p>
        </w:tc>
        <w:tc>
          <w:tcPr>
            <w:tcW w:w="2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Production</w:t>
            </w:r>
          </w:p>
        </w:tc>
        <w:tc>
          <w:tcPr>
            <w:tcW w:w="10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12/23/2016</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8.50%</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L+700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2,928,463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2,985,000</w:t>
            </w:r>
          </w:p>
        </w:tc>
        <w:tc>
          <w:tcPr>
            <w:tcW w:w="2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1320" w:type="dxa"/>
            <w:vAlign w:val="bottom"/>
            <w:shd w:val="clear" w:color="auto" w:fill="CCEEFF"/>
          </w:tcPr>
          <w:p>
            <w:pPr>
              <w:jc w:val="center"/>
              <w:ind w:left="352"/>
              <w:spacing w:after="0" w:line="138" w:lineRule="exact"/>
              <w:rPr>
                <w:sz w:val="20"/>
                <w:szCs w:val="20"/>
                <w:color w:val="auto"/>
              </w:rPr>
            </w:pPr>
            <w:r>
              <w:rPr>
                <w:rFonts w:ascii="Arial" w:cs="Arial" w:eastAsia="Arial" w:hAnsi="Arial"/>
                <w:sz w:val="14"/>
                <w:szCs w:val="14"/>
                <w:color w:val="auto"/>
                <w:w w:val="88"/>
              </w:rPr>
              <w:t>08/01/2014</w:t>
            </w: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Diversified and</w:t>
            </w:r>
          </w:p>
        </w:tc>
        <w:tc>
          <w:tcPr>
            <w:tcW w:w="10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5.00%</w:t>
            </w:r>
          </w:p>
        </w:tc>
        <w:tc>
          <w:tcPr>
            <w:tcW w:w="1140" w:type="dxa"/>
            <w:vAlign w:val="bottom"/>
            <w:shd w:val="clear" w:color="auto" w:fill="CCEEFF"/>
          </w:tcPr>
          <w:p>
            <w:pPr>
              <w:jc w:val="right"/>
              <w:ind w:right="274"/>
              <w:spacing w:after="0" w:line="138" w:lineRule="exact"/>
              <w:rPr>
                <w:sz w:val="20"/>
                <w:szCs w:val="20"/>
                <w:color w:val="auto"/>
              </w:rPr>
            </w:pPr>
            <w:r>
              <w:rPr>
                <w:rFonts w:ascii="Arial" w:cs="Arial" w:eastAsia="Arial" w:hAnsi="Arial"/>
                <w:sz w:val="14"/>
                <w:szCs w:val="14"/>
                <w:color w:val="auto"/>
              </w:rPr>
              <w:t>L+400</w:t>
            </w:r>
          </w:p>
        </w:tc>
        <w:tc>
          <w:tcPr>
            <w:tcW w:w="9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5,496,951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4,805,359</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4,358,626</w:t>
            </w:r>
          </w:p>
        </w:tc>
        <w:tc>
          <w:tcPr>
            <w:tcW w:w="220" w:type="dxa"/>
            <w:vAlign w:val="bottom"/>
            <w:shd w:val="clear" w:color="auto" w:fill="CCEEFF"/>
          </w:tcPr>
          <w:p>
            <w:pPr>
              <w:spacing w:after="0"/>
              <w:rPr>
                <w:sz w:val="11"/>
                <w:szCs w:val="11"/>
                <w:color w:val="auto"/>
              </w:rPr>
            </w:pPr>
          </w:p>
        </w:tc>
      </w:tr>
      <w:tr>
        <w:trPr>
          <w:trHeight w:val="17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Production</w:t>
            </w:r>
          </w:p>
        </w:tc>
        <w:tc>
          <w:tcPr>
            <w:tcW w:w="1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(PIK 1.00%)</w:t>
            </w: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38"/>
        </w:trPr>
        <w:tc>
          <w:tcPr>
            <w:tcW w:w="2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Potter’s Holdings II, L.P.</w:t>
            </w:r>
          </w:p>
        </w:tc>
        <w:tc>
          <w:tcPr>
            <w:tcW w:w="1320" w:type="dxa"/>
            <w:vAlign w:val="bottom"/>
          </w:tcPr>
          <w:p>
            <w:pPr>
              <w:jc w:val="center"/>
              <w:ind w:left="352"/>
              <w:spacing w:after="0" w:line="138" w:lineRule="exact"/>
              <w:rPr>
                <w:sz w:val="20"/>
                <w:szCs w:val="20"/>
                <w:color w:val="auto"/>
              </w:rPr>
            </w:pPr>
            <w:r>
              <w:rPr>
                <w:rFonts w:ascii="Arial" w:cs="Arial" w:eastAsia="Arial" w:hAnsi="Arial"/>
                <w:sz w:val="14"/>
                <w:szCs w:val="14"/>
                <w:color w:val="auto"/>
                <w:w w:val="88"/>
              </w:rPr>
              <w:t>05/08/2017</w:t>
            </w: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6"/>
              </w:rPr>
              <w:t>Containers, Packaging and</w:t>
            </w:r>
          </w:p>
        </w:tc>
        <w:tc>
          <w:tcPr>
            <w:tcW w:w="100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6.00%</w:t>
            </w:r>
          </w:p>
        </w:tc>
        <w:tc>
          <w:tcPr>
            <w:tcW w:w="1140" w:type="dxa"/>
            <w:vAlign w:val="bottom"/>
          </w:tcPr>
          <w:p>
            <w:pPr>
              <w:jc w:val="right"/>
              <w:ind w:right="274"/>
              <w:spacing w:after="0" w:line="138" w:lineRule="exact"/>
              <w:rPr>
                <w:sz w:val="20"/>
                <w:szCs w:val="20"/>
                <w:color w:val="auto"/>
              </w:rPr>
            </w:pPr>
            <w:r>
              <w:rPr>
                <w:rFonts w:ascii="Arial" w:cs="Arial" w:eastAsia="Arial" w:hAnsi="Arial"/>
                <w:sz w:val="14"/>
                <w:szCs w:val="14"/>
                <w:color w:val="auto"/>
              </w:rPr>
              <w:t>L+450</w:t>
            </w:r>
          </w:p>
        </w:tc>
        <w:tc>
          <w:tcPr>
            <w:tcW w:w="9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1,985,000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1,968,064</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1,980,038</w:t>
            </w:r>
          </w:p>
        </w:tc>
        <w:tc>
          <w:tcPr>
            <w:tcW w:w="2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83"/>
              </w:rPr>
              <w:t>Glass</w:t>
            </w: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Mach, Inc.</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07/06/2017</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6.25%</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L+475</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992,500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984,001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976,372</w:t>
            </w:r>
          </w:p>
        </w:tc>
        <w:tc>
          <w:tcPr>
            <w:tcW w:w="22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Renaissance Learning, Inc.</w:t>
            </w:r>
          </w:p>
        </w:tc>
        <w:tc>
          <w:tcPr>
            <w:tcW w:w="1320" w:type="dxa"/>
            <w:vAlign w:val="bottom"/>
          </w:tcPr>
          <w:p>
            <w:pPr>
              <w:jc w:val="center"/>
              <w:ind w:left="352"/>
              <w:spacing w:after="0" w:line="138" w:lineRule="exact"/>
              <w:rPr>
                <w:sz w:val="20"/>
                <w:szCs w:val="20"/>
                <w:color w:val="auto"/>
              </w:rPr>
            </w:pPr>
            <w:r>
              <w:rPr>
                <w:rFonts w:ascii="Arial" w:cs="Arial" w:eastAsia="Arial" w:hAnsi="Arial"/>
                <w:sz w:val="14"/>
                <w:szCs w:val="14"/>
                <w:color w:val="auto"/>
                <w:w w:val="88"/>
              </w:rPr>
              <w:t>10/19/2017</w:t>
            </w: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100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7.75%</w:t>
            </w:r>
          </w:p>
        </w:tc>
        <w:tc>
          <w:tcPr>
            <w:tcW w:w="1140" w:type="dxa"/>
            <w:vAlign w:val="bottom"/>
          </w:tcPr>
          <w:p>
            <w:pPr>
              <w:jc w:val="right"/>
              <w:ind w:right="274"/>
              <w:spacing w:after="0" w:line="138" w:lineRule="exact"/>
              <w:rPr>
                <w:sz w:val="20"/>
                <w:szCs w:val="20"/>
                <w:color w:val="auto"/>
              </w:rPr>
            </w:pPr>
            <w:r>
              <w:rPr>
                <w:rFonts w:ascii="Arial" w:cs="Arial" w:eastAsia="Arial" w:hAnsi="Arial"/>
                <w:sz w:val="14"/>
                <w:szCs w:val="14"/>
                <w:color w:val="auto"/>
              </w:rPr>
              <w:t>L+625</w:t>
            </w:r>
          </w:p>
        </w:tc>
        <w:tc>
          <w:tcPr>
            <w:tcW w:w="9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1,990,000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1,913,981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1,987,513</w:t>
            </w:r>
          </w:p>
        </w:tc>
        <w:tc>
          <w:tcPr>
            <w:tcW w:w="2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88"/>
              </w:rPr>
              <w:t>Subscription</w:t>
            </w: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02/08/2018</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7.00%</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3,990,000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3,911,459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Securus Technologies, Inc.</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05/31/2017</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5.25%</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L+400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2,977,500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2,950,706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2,935,318</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04/22/2017</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7.00%</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2,977,500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2,952,842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2,947,725</w:t>
            </w:r>
          </w:p>
        </w:tc>
        <w:tc>
          <w:tcPr>
            <w:tcW w:w="22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Tank Intermediate Holding Corp.</w:t>
            </w:r>
          </w:p>
        </w:tc>
        <w:tc>
          <w:tcPr>
            <w:tcW w:w="1320" w:type="dxa"/>
            <w:vAlign w:val="bottom"/>
          </w:tcPr>
          <w:p>
            <w:pPr>
              <w:jc w:val="center"/>
              <w:ind w:left="352"/>
              <w:spacing w:after="0" w:line="138" w:lineRule="exact"/>
              <w:rPr>
                <w:sz w:val="20"/>
                <w:szCs w:val="20"/>
                <w:color w:val="auto"/>
              </w:rPr>
            </w:pPr>
            <w:r>
              <w:rPr>
                <w:rFonts w:ascii="Arial" w:cs="Arial" w:eastAsia="Arial" w:hAnsi="Arial"/>
                <w:sz w:val="14"/>
                <w:szCs w:val="14"/>
                <w:color w:val="auto"/>
                <w:w w:val="88"/>
              </w:rPr>
              <w:t>04/15/2016</w:t>
            </w: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6"/>
              </w:rPr>
              <w:t>Containers, Packaging and</w:t>
            </w:r>
          </w:p>
        </w:tc>
        <w:tc>
          <w:tcPr>
            <w:tcW w:w="100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4.75%</w:t>
            </w:r>
          </w:p>
        </w:tc>
        <w:tc>
          <w:tcPr>
            <w:tcW w:w="1140" w:type="dxa"/>
            <w:vAlign w:val="bottom"/>
          </w:tcPr>
          <w:p>
            <w:pPr>
              <w:jc w:val="right"/>
              <w:ind w:right="274"/>
              <w:spacing w:after="0" w:line="138" w:lineRule="exact"/>
              <w:rPr>
                <w:sz w:val="20"/>
                <w:szCs w:val="20"/>
                <w:color w:val="auto"/>
              </w:rPr>
            </w:pPr>
            <w:r>
              <w:rPr>
                <w:rFonts w:ascii="Arial" w:cs="Arial" w:eastAsia="Arial" w:hAnsi="Arial"/>
                <w:sz w:val="14"/>
                <w:szCs w:val="14"/>
                <w:color w:val="auto"/>
              </w:rPr>
              <w:t>L+350</w:t>
            </w:r>
          </w:p>
        </w:tc>
        <w:tc>
          <w:tcPr>
            <w:tcW w:w="9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1,811,321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1,808,062</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1,806,792</w:t>
            </w:r>
          </w:p>
        </w:tc>
        <w:tc>
          <w:tcPr>
            <w:tcW w:w="2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83"/>
              </w:rPr>
              <w:t>Glass</w:t>
            </w: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01/29/2018</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9.00%</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L+750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750,000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738,971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01/29/2018</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13.50%</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L+1,200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1,875,000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1,821,164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1,875,000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Terex Corporation</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04/28/2017</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5.50%</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L+400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1,990,000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1,972,905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1,975,075</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10/30/2017</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8.00%</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L+650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959,847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996,253</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Unifrax I LLC</w:t>
            </w:r>
          </w:p>
        </w:tc>
        <w:tc>
          <w:tcPr>
            <w:tcW w:w="132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5"/>
              </w:rPr>
              <w:t>11/28/2018</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7.00%</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2,934,992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3,018,610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Univita Health Inc.</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06/19/2017</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Consumer Services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6.25%</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L+475</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2,977,500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2,952,122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2,783,963</w:t>
            </w:r>
          </w:p>
        </w:tc>
        <w:tc>
          <w:tcPr>
            <w:tcW w:w="2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U.S. Healthworks Holding Company, Inc.</w:t>
            </w:r>
          </w:p>
        </w:tc>
        <w:tc>
          <w:tcPr>
            <w:tcW w:w="1320" w:type="dxa"/>
            <w:vAlign w:val="bottom"/>
            <w:shd w:val="clear" w:color="auto" w:fill="CCEEFF"/>
          </w:tcPr>
          <w:p>
            <w:pPr>
              <w:jc w:val="center"/>
              <w:ind w:left="352"/>
              <w:spacing w:after="0" w:line="138" w:lineRule="exact"/>
              <w:rPr>
                <w:sz w:val="20"/>
                <w:szCs w:val="20"/>
                <w:color w:val="auto"/>
              </w:rPr>
            </w:pPr>
            <w:r>
              <w:rPr>
                <w:rFonts w:ascii="Arial" w:cs="Arial" w:eastAsia="Arial" w:hAnsi="Arial"/>
                <w:sz w:val="14"/>
                <w:szCs w:val="14"/>
                <w:color w:val="auto"/>
                <w:w w:val="88"/>
              </w:rPr>
              <w:t>06/15/2016</w:t>
            </w: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and</w:t>
            </w:r>
          </w:p>
        </w:tc>
        <w:tc>
          <w:tcPr>
            <w:tcW w:w="10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6.25%</w:t>
            </w:r>
          </w:p>
        </w:tc>
        <w:tc>
          <w:tcPr>
            <w:tcW w:w="1140" w:type="dxa"/>
            <w:vAlign w:val="bottom"/>
            <w:shd w:val="clear" w:color="auto" w:fill="CCEEFF"/>
          </w:tcPr>
          <w:p>
            <w:pPr>
              <w:jc w:val="right"/>
              <w:ind w:right="274"/>
              <w:spacing w:after="0" w:line="138" w:lineRule="exact"/>
              <w:rPr>
                <w:sz w:val="20"/>
                <w:szCs w:val="20"/>
                <w:color w:val="auto"/>
              </w:rPr>
            </w:pPr>
            <w:r>
              <w:rPr>
                <w:rFonts w:ascii="Arial" w:cs="Arial" w:eastAsia="Arial" w:hAnsi="Arial"/>
                <w:sz w:val="14"/>
                <w:szCs w:val="14"/>
                <w:color w:val="auto"/>
              </w:rPr>
              <w:t>L+475</w:t>
            </w:r>
          </w:p>
        </w:tc>
        <w:tc>
          <w:tcPr>
            <w:tcW w:w="9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2,977,500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2,952,966</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2,932,838</w:t>
            </w:r>
          </w:p>
        </w:tc>
        <w:tc>
          <w:tcPr>
            <w:tcW w:w="2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Pharmaceuticals</w:t>
            </w:r>
          </w:p>
        </w:tc>
        <w:tc>
          <w:tcPr>
            <w:tcW w:w="10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Valitas Health Services, Inc.</w:t>
            </w:r>
          </w:p>
        </w:tc>
        <w:tc>
          <w:tcPr>
            <w:tcW w:w="1320" w:type="dxa"/>
            <w:vAlign w:val="bottom"/>
          </w:tcPr>
          <w:p>
            <w:pPr>
              <w:jc w:val="center"/>
              <w:ind w:left="352"/>
              <w:spacing w:after="0" w:line="138" w:lineRule="exact"/>
              <w:rPr>
                <w:sz w:val="20"/>
                <w:szCs w:val="20"/>
                <w:color w:val="auto"/>
              </w:rPr>
            </w:pPr>
            <w:r>
              <w:rPr>
                <w:rFonts w:ascii="Arial" w:cs="Arial" w:eastAsia="Arial" w:hAnsi="Arial"/>
                <w:sz w:val="14"/>
                <w:szCs w:val="14"/>
                <w:color w:val="auto"/>
                <w:w w:val="88"/>
              </w:rPr>
              <w:t>06/02/2017</w:t>
            </w: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6"/>
              </w:rPr>
              <w:t>Healthcare and</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86"/>
              </w:rPr>
              <w:t>Pharmaceuticals</w:t>
            </w:r>
          </w:p>
        </w:tc>
        <w:tc>
          <w:tcPr>
            <w:tcW w:w="100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5.75%</w:t>
            </w:r>
          </w:p>
        </w:tc>
        <w:tc>
          <w:tcPr>
            <w:tcW w:w="1140" w:type="dxa"/>
            <w:vAlign w:val="bottom"/>
          </w:tcPr>
          <w:p>
            <w:pPr>
              <w:jc w:val="right"/>
              <w:ind w:right="274"/>
              <w:spacing w:after="0" w:line="159" w:lineRule="exact"/>
              <w:rPr>
                <w:sz w:val="20"/>
                <w:szCs w:val="20"/>
                <w:color w:val="auto"/>
              </w:rPr>
            </w:pPr>
            <w:r>
              <w:rPr>
                <w:rFonts w:ascii="Arial" w:cs="Arial" w:eastAsia="Arial" w:hAnsi="Arial"/>
                <w:sz w:val="14"/>
                <w:szCs w:val="14"/>
                <w:color w:val="auto"/>
              </w:rPr>
              <w:t>L+450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1,488,750</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1,482,497</w:t>
            </w:r>
          </w:p>
        </w:tc>
        <w:tc>
          <w:tcPr>
            <w:tcW w:w="180" w:type="dxa"/>
            <w:vAlign w:val="bottom"/>
          </w:tcPr>
          <w:p>
            <w:pPr>
              <w:spacing w:after="0"/>
              <w:rPr>
                <w:sz w:val="13"/>
                <w:szCs w:val="13"/>
                <w:color w:val="auto"/>
              </w:rPr>
            </w:pP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1,451,531</w:t>
            </w:r>
          </w:p>
        </w:tc>
        <w:tc>
          <w:tcPr>
            <w:tcW w:w="22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Vantage Specialties, Inc.</w:t>
            </w:r>
          </w:p>
        </w:tc>
        <w:tc>
          <w:tcPr>
            <w:tcW w:w="1320" w:type="dxa"/>
            <w:vAlign w:val="bottom"/>
            <w:shd w:val="clear" w:color="auto" w:fill="CCEEFF"/>
          </w:tcPr>
          <w:p>
            <w:pPr>
              <w:jc w:val="center"/>
              <w:ind w:left="352"/>
              <w:spacing w:after="0" w:line="138" w:lineRule="exact"/>
              <w:rPr>
                <w:sz w:val="20"/>
                <w:szCs w:val="20"/>
                <w:color w:val="auto"/>
              </w:rPr>
            </w:pPr>
            <w:r>
              <w:rPr>
                <w:rFonts w:ascii="Arial" w:cs="Arial" w:eastAsia="Arial" w:hAnsi="Arial"/>
                <w:sz w:val="14"/>
                <w:szCs w:val="14"/>
                <w:color w:val="auto"/>
                <w:w w:val="88"/>
              </w:rPr>
              <w:t>02/09/2018</w:t>
            </w: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0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100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7.00%</w:t>
            </w:r>
          </w:p>
        </w:tc>
        <w:tc>
          <w:tcPr>
            <w:tcW w:w="1140" w:type="dxa"/>
            <w:vAlign w:val="bottom"/>
            <w:shd w:val="clear" w:color="auto" w:fill="CCEEFF"/>
          </w:tcPr>
          <w:p>
            <w:pPr>
              <w:jc w:val="right"/>
              <w:ind w:right="274"/>
              <w:spacing w:after="0" w:line="15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3,000,000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2,940,664</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3,000,000</w:t>
            </w:r>
          </w:p>
        </w:tc>
        <w:tc>
          <w:tcPr>
            <w:tcW w:w="22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Viamedia Services Corp.</w:t>
            </w:r>
          </w:p>
        </w:tc>
        <w:tc>
          <w:tcPr>
            <w:tcW w:w="1320" w:type="dxa"/>
            <w:vAlign w:val="bottom"/>
          </w:tcPr>
          <w:p>
            <w:pPr>
              <w:jc w:val="center"/>
              <w:ind w:left="352"/>
              <w:spacing w:after="0" w:line="138" w:lineRule="exact"/>
              <w:rPr>
                <w:sz w:val="20"/>
                <w:szCs w:val="20"/>
                <w:color w:val="auto"/>
              </w:rPr>
            </w:pPr>
            <w:r>
              <w:rPr>
                <w:rFonts w:ascii="Arial" w:cs="Arial" w:eastAsia="Arial" w:hAnsi="Arial"/>
                <w:sz w:val="14"/>
                <w:szCs w:val="14"/>
                <w:color w:val="auto"/>
                <w:w w:val="88"/>
              </w:rPr>
              <w:t>04/19/2016</w:t>
            </w: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1"/>
              </w:rPr>
              <w:t>Media: Advertising, Printing</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89"/>
              </w:rPr>
              <w:t>and Publishing</w:t>
            </w:r>
          </w:p>
        </w:tc>
        <w:tc>
          <w:tcPr>
            <w:tcW w:w="100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7.00%</w:t>
            </w:r>
          </w:p>
        </w:tc>
        <w:tc>
          <w:tcPr>
            <w:tcW w:w="1140" w:type="dxa"/>
            <w:vAlign w:val="bottom"/>
          </w:tcPr>
          <w:p>
            <w:pPr>
              <w:jc w:val="right"/>
              <w:ind w:right="274"/>
              <w:spacing w:after="0" w:line="15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4,500,000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4,453,517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4,432,500</w:t>
            </w:r>
          </w:p>
        </w:tc>
        <w:tc>
          <w:tcPr>
            <w:tcW w:w="2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12/22/2016</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7.75%</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P+450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2,985,000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2,958,806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2,776,050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W3 CO.</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10/31/2017</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7"/>
              </w:rPr>
              <w:t>Energy: Oil and Gas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7.50%</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L+625</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1,995,000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1,919,750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1,975,050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Water Pik, Inc.</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08/10/2017</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Durable</w:t>
            </w: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6.75%</w:t>
            </w:r>
          </w:p>
        </w:tc>
        <w:tc>
          <w:tcPr>
            <w:tcW w:w="1140" w:type="dxa"/>
            <w:vAlign w:val="bottom"/>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L+525</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3,482,500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3,450,900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3,473,794</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WCA Waste Corporation</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03/23/2017</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9"/>
              </w:rPr>
              <w:t>Environmental Industries</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5.50%</w:t>
            </w:r>
          </w:p>
        </w:tc>
        <w:tc>
          <w:tcPr>
            <w:tcW w:w="114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L+425</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990,037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1,002,500</w:t>
            </w:r>
          </w:p>
        </w:tc>
        <w:tc>
          <w:tcPr>
            <w:tcW w:w="2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Wound Care (National Healing Corporation)</w:t>
            </w:r>
          </w:p>
        </w:tc>
        <w:tc>
          <w:tcPr>
            <w:tcW w:w="1320" w:type="dxa"/>
            <w:vAlign w:val="bottom"/>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5"/>
              </w:rPr>
              <w:t>11/30/2017</w:t>
            </w: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and</w:t>
            </w:r>
          </w:p>
        </w:tc>
        <w:tc>
          <w:tcPr>
            <w:tcW w:w="10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Pharmaceuticals</w:t>
            </w:r>
          </w:p>
        </w:tc>
        <w:tc>
          <w:tcPr>
            <w:tcW w:w="100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8.25%</w:t>
            </w:r>
          </w:p>
        </w:tc>
        <w:tc>
          <w:tcPr>
            <w:tcW w:w="1140" w:type="dxa"/>
            <w:vAlign w:val="bottom"/>
            <w:shd w:val="clear" w:color="auto" w:fill="CCEEFF"/>
          </w:tcPr>
          <w:p>
            <w:pPr>
              <w:jc w:val="right"/>
              <w:ind w:right="274"/>
              <w:spacing w:after="0" w:line="159" w:lineRule="exact"/>
              <w:rPr>
                <w:sz w:val="20"/>
                <w:szCs w:val="20"/>
                <w:color w:val="auto"/>
              </w:rPr>
            </w:pPr>
            <w:r>
              <w:rPr>
                <w:rFonts w:ascii="Arial" w:cs="Arial" w:eastAsia="Arial" w:hAnsi="Arial"/>
                <w:sz w:val="14"/>
                <w:szCs w:val="14"/>
                <w:color w:val="auto"/>
              </w:rPr>
              <w:t>L+675</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4,987,500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4,748,327</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4,812,938</w:t>
            </w:r>
          </w:p>
        </w:tc>
        <w:tc>
          <w:tcPr>
            <w:tcW w:w="22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07/15/2016</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11.38%</w:t>
            </w:r>
          </w:p>
        </w:tc>
        <w:tc>
          <w:tcPr>
            <w:tcW w:w="1140" w:type="dxa"/>
            <w:vAlign w:val="bottom"/>
          </w:tcPr>
          <w:p>
            <w:pPr>
              <w:jc w:val="right"/>
              <w:ind w:right="134"/>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4,322,842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4,290,000</w:t>
            </w:r>
          </w:p>
        </w:tc>
        <w:tc>
          <w:tcPr>
            <w:tcW w:w="2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1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126,721,245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126,306,324</w:t>
            </w:r>
          </w:p>
        </w:tc>
        <w:tc>
          <w:tcPr>
            <w:tcW w:w="220" w:type="dxa"/>
            <w:vAlign w:val="bottom"/>
            <w:shd w:val="clear" w:color="auto" w:fill="CCEEFF"/>
          </w:tcPr>
          <w:p>
            <w:pPr>
              <w:spacing w:after="0"/>
              <w:rPr>
                <w:sz w:val="12"/>
                <w:szCs w:val="12"/>
                <w:color w:val="auto"/>
              </w:rPr>
            </w:pPr>
          </w:p>
        </w:tc>
      </w:tr>
      <w:tr>
        <w:trPr>
          <w:trHeight w:val="317"/>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80" w:type="dxa"/>
            <w:vAlign w:val="bottom"/>
          </w:tcPr>
          <w:p>
            <w:pPr>
              <w:ind w:left="1280"/>
              <w:spacing w:after="0"/>
              <w:rPr>
                <w:sz w:val="20"/>
                <w:szCs w:val="20"/>
                <w:color w:val="auto"/>
              </w:rPr>
            </w:pPr>
            <w:r>
              <w:rPr>
                <w:rFonts w:ascii="Arial" w:cs="Arial" w:eastAsia="Arial" w:hAnsi="Arial"/>
                <w:sz w:val="14"/>
                <w:szCs w:val="14"/>
                <w:color w:val="auto"/>
              </w:rPr>
              <w:t>F-27</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2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rPr>
              <w:t>Current</w:t>
            </w:r>
          </w:p>
        </w:tc>
        <w:tc>
          <w:tcPr>
            <w:tcW w:w="11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rPr>
              <w:t>Par/</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Fair</w:t>
            </w:r>
          </w:p>
        </w:tc>
      </w:tr>
      <w:tr>
        <w:trPr>
          <w:trHeight w:val="176"/>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320" w:type="dxa"/>
            <w:vAlign w:val="bottom"/>
          </w:tcPr>
          <w:p>
            <w:pPr>
              <w:jc w:val="center"/>
              <w:ind w:left="332"/>
              <w:spacing w:after="0"/>
              <w:rPr>
                <w:sz w:val="20"/>
                <w:szCs w:val="20"/>
                <w:color w:val="auto"/>
              </w:rPr>
            </w:pPr>
            <w:r>
              <w:rPr>
                <w:rFonts w:ascii="Arial" w:cs="Arial" w:eastAsia="Arial" w:hAnsi="Arial"/>
                <w:sz w:val="14"/>
                <w:szCs w:val="14"/>
                <w:b w:val="1"/>
                <w:bCs w:val="1"/>
                <w:color w:val="auto"/>
                <w:w w:val="95"/>
              </w:rPr>
              <w:t>Maturity</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Coupon</w:t>
            </w:r>
          </w:p>
        </w:tc>
        <w:tc>
          <w:tcPr>
            <w:tcW w:w="1100" w:type="dxa"/>
            <w:vAlign w:val="bottom"/>
            <w:gridSpan w:val="2"/>
          </w:tcPr>
          <w:p>
            <w:pPr>
              <w:jc w:val="center"/>
              <w:ind w:right="46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36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7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(2)</w:t>
            </w:r>
          </w:p>
        </w:tc>
      </w:tr>
      <w:tr>
        <w:trPr>
          <w:trHeight w:val="142"/>
        </w:trPr>
        <w:tc>
          <w:tcPr>
            <w:tcW w:w="20" w:type="dxa"/>
            <w:vAlign w:val="bottom"/>
          </w:tcPr>
          <w:p>
            <w:pPr>
              <w:spacing w:after="0"/>
              <w:rPr>
                <w:sz w:val="12"/>
                <w:szCs w:val="12"/>
                <w:color w:val="auto"/>
              </w:rPr>
            </w:pPr>
          </w:p>
        </w:tc>
        <w:tc>
          <w:tcPr>
            <w:tcW w:w="3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Debt—7.4%</w:t>
            </w:r>
          </w:p>
        </w:tc>
        <w:tc>
          <w:tcPr>
            <w:tcW w:w="1320" w:type="dxa"/>
            <w:vAlign w:val="bottom"/>
            <w:tcBorders>
              <w:top w:val="single" w:sz="8" w:color="auto"/>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Autoparts Holdings Limited</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01/29/2018</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10.50%</w:t>
            </w: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L+900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$995,000</w:t>
            </w:r>
          </w:p>
        </w:tc>
        <w:tc>
          <w:tcPr>
            <w:tcW w:w="3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982,500</w:t>
            </w:r>
          </w:p>
        </w:tc>
        <w:tc>
          <w:tcPr>
            <w:tcW w:w="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(6)</w:t>
            </w:r>
          </w:p>
        </w:tc>
        <w:tc>
          <w:tcPr>
            <w:tcW w:w="1320" w:type="dxa"/>
            <w:vAlign w:val="bottom"/>
            <w:shd w:val="clear" w:color="auto" w:fill="CCEEFF"/>
          </w:tcPr>
          <w:p>
            <w:pPr>
              <w:jc w:val="center"/>
              <w:ind w:left="352"/>
              <w:spacing w:after="0" w:line="138" w:lineRule="exact"/>
              <w:rPr>
                <w:sz w:val="20"/>
                <w:szCs w:val="20"/>
                <w:color w:val="auto"/>
              </w:rPr>
            </w:pPr>
            <w:r>
              <w:rPr>
                <w:rFonts w:ascii="Arial" w:cs="Arial" w:eastAsia="Arial" w:hAnsi="Arial"/>
                <w:sz w:val="14"/>
                <w:szCs w:val="14"/>
                <w:color w:val="auto"/>
                <w:w w:val="88"/>
              </w:rPr>
              <w:t>11/06/2018</w:t>
            </w:r>
          </w:p>
        </w:tc>
        <w:tc>
          <w:tcPr>
            <w:tcW w:w="19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Diversified and</w:t>
            </w:r>
          </w:p>
        </w:tc>
        <w:tc>
          <w:tcPr>
            <w:tcW w:w="122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10.25%</w:t>
            </w:r>
          </w:p>
        </w:tc>
        <w:tc>
          <w:tcPr>
            <w:tcW w:w="110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L+875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1,500,000</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1,485,491</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1,406,250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Production</w:t>
            </w: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09/01/2018</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12.13%</w:t>
            </w:r>
          </w:p>
        </w:tc>
        <w:tc>
          <w:tcPr>
            <w:tcW w:w="1100" w:type="dxa"/>
            <w:vAlign w:val="bottom"/>
            <w:gridSpan w:val="2"/>
          </w:tcPr>
          <w:p>
            <w:pPr>
              <w:ind w:left="44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1,967,727</w:t>
            </w:r>
          </w:p>
        </w:tc>
        <w:tc>
          <w:tcPr>
            <w:tcW w:w="3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2,230,000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05/09/2018</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Utilities: Water</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8.50%</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L+725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991,449</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160" w:type="dxa"/>
            <w:vAlign w:val="bottom"/>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05/15/2019</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9.13%</w:t>
            </w:r>
          </w:p>
        </w:tc>
        <w:tc>
          <w:tcPr>
            <w:tcW w:w="1100" w:type="dxa"/>
            <w:vAlign w:val="bottom"/>
            <w:gridSpan w:val="2"/>
          </w:tcPr>
          <w:p>
            <w:pPr>
              <w:ind w:left="44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36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1,500,000</w:t>
            </w:r>
          </w:p>
        </w:tc>
        <w:tc>
          <w:tcPr>
            <w:tcW w:w="3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1,522,500</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1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6,939,667</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7,136,250</w:t>
            </w:r>
          </w:p>
        </w:tc>
        <w:tc>
          <w:tcPr>
            <w:tcW w:w="60" w:type="dxa"/>
            <w:vAlign w:val="bottom"/>
            <w:shd w:val="clear" w:color="auto" w:fill="CCEEFF"/>
          </w:tcPr>
          <w:p>
            <w:pPr>
              <w:spacing w:after="0"/>
              <w:rPr>
                <w:sz w:val="12"/>
                <w:szCs w:val="12"/>
                <w:color w:val="auto"/>
              </w:rPr>
            </w:pPr>
          </w:p>
        </w:tc>
      </w:tr>
      <w:tr>
        <w:trPr>
          <w:trHeight w:val="156"/>
        </w:trPr>
        <w:tc>
          <w:tcPr>
            <w:tcW w:w="3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Subordinated Debt/Corporate Notes—12.6%</w:t>
            </w:r>
          </w:p>
        </w:tc>
        <w:tc>
          <w:tcPr>
            <w:tcW w:w="1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Affinion Group Holdings, Inc.</w:t>
            </w:r>
          </w:p>
        </w:tc>
        <w:tc>
          <w:tcPr>
            <w:tcW w:w="1320" w:type="dxa"/>
            <w:vAlign w:val="bottom"/>
            <w:shd w:val="clear" w:color="auto" w:fill="CCEEFF"/>
          </w:tcPr>
          <w:p>
            <w:pPr>
              <w:jc w:val="center"/>
              <w:ind w:left="352"/>
              <w:spacing w:after="0" w:line="138" w:lineRule="exact"/>
              <w:rPr>
                <w:sz w:val="20"/>
                <w:szCs w:val="20"/>
                <w:color w:val="auto"/>
              </w:rPr>
            </w:pPr>
            <w:r>
              <w:rPr>
                <w:rFonts w:ascii="Arial" w:cs="Arial" w:eastAsia="Arial" w:hAnsi="Arial"/>
                <w:sz w:val="14"/>
                <w:szCs w:val="14"/>
                <w:color w:val="auto"/>
                <w:w w:val="88"/>
              </w:rPr>
              <w:t>11/15/2015</w:t>
            </w:r>
          </w:p>
        </w:tc>
        <w:tc>
          <w:tcPr>
            <w:tcW w:w="19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Consumer Goods: Non-</w:t>
            </w:r>
          </w:p>
        </w:tc>
        <w:tc>
          <w:tcPr>
            <w:tcW w:w="122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11.63%</w:t>
            </w:r>
          </w:p>
        </w:tc>
        <w:tc>
          <w:tcPr>
            <w:tcW w:w="11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 xml:space="preserve"> (9)</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4,100,000</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3,755,717</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3,710,500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Durable</w:t>
            </w: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Document Technologies, Inc.</w:t>
            </w:r>
          </w:p>
        </w:tc>
        <w:tc>
          <w:tcPr>
            <w:tcW w:w="13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8"/>
              </w:rPr>
              <w:t>12/01/2017</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13.00%</w:t>
            </w:r>
          </w:p>
        </w:tc>
        <w:tc>
          <w:tcPr>
            <w:tcW w:w="1100" w:type="dxa"/>
            <w:vAlign w:val="bottom"/>
            <w:gridSpan w:val="2"/>
          </w:tcPr>
          <w:p>
            <w:pPr>
              <w:ind w:left="44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980,000</w:t>
            </w:r>
          </w:p>
        </w:tc>
        <w:tc>
          <w:tcPr>
            <w:tcW w:w="3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Lonestar Intermediate Super Holdings, LLC</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09/02/2019</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11.00%</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L+950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1,455,331</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1,517,250</w:t>
            </w:r>
          </w:p>
        </w:tc>
        <w:tc>
          <w:tcPr>
            <w:tcW w:w="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160" w:type="dxa"/>
            <w:vAlign w:val="bottom"/>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1320" w:type="dxa"/>
            <w:vAlign w:val="bottom"/>
          </w:tcPr>
          <w:p>
            <w:pPr>
              <w:jc w:val="center"/>
              <w:ind w:left="352"/>
              <w:spacing w:after="0" w:line="138" w:lineRule="exact"/>
              <w:rPr>
                <w:sz w:val="20"/>
                <w:szCs w:val="20"/>
                <w:color w:val="auto"/>
              </w:rPr>
            </w:pPr>
            <w:r>
              <w:rPr>
                <w:rFonts w:ascii="Arial" w:cs="Arial" w:eastAsia="Arial" w:hAnsi="Arial"/>
                <w:sz w:val="14"/>
                <w:szCs w:val="14"/>
                <w:color w:val="auto"/>
                <w:w w:val="88"/>
              </w:rPr>
              <w:t>07/31/2018</w:t>
            </w:r>
          </w:p>
        </w:tc>
        <w:tc>
          <w:tcPr>
            <w:tcW w:w="1900" w:type="dxa"/>
            <w:vAlign w:val="bottom"/>
          </w:tcPr>
          <w:p>
            <w:pPr>
              <w:jc w:val="center"/>
              <w:spacing w:after="0" w:line="138" w:lineRule="exact"/>
              <w:rPr>
                <w:sz w:val="20"/>
                <w:szCs w:val="20"/>
                <w:color w:val="auto"/>
              </w:rPr>
            </w:pPr>
            <w:r>
              <w:rPr>
                <w:rFonts w:ascii="Arial" w:cs="Arial" w:eastAsia="Arial" w:hAnsi="Arial"/>
                <w:sz w:val="14"/>
                <w:szCs w:val="14"/>
                <w:color w:val="auto"/>
                <w:w w:val="85"/>
              </w:rPr>
              <w:t>Beverage, Food and Tobacco</w:t>
            </w:r>
          </w:p>
        </w:tc>
        <w:tc>
          <w:tcPr>
            <w:tcW w:w="122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14.00%</w:t>
            </w:r>
          </w:p>
        </w:tc>
        <w:tc>
          <w:tcPr>
            <w:tcW w:w="1100" w:type="dxa"/>
            <w:vAlign w:val="bottom"/>
            <w:gridSpan w:val="2"/>
          </w:tcPr>
          <w:p>
            <w:pPr>
              <w:ind w:left="440"/>
              <w:spacing w:after="0" w:line="138"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 xml:space="preserve"> (9)</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3,781,731</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3,712,668</w:t>
            </w:r>
          </w:p>
        </w:tc>
        <w:tc>
          <w:tcPr>
            <w:tcW w:w="3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3,781,730</w:t>
            </w:r>
          </w:p>
        </w:tc>
        <w:tc>
          <w:tcPr>
            <w:tcW w:w="60" w:type="dxa"/>
            <w:vAlign w:val="bottom"/>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(PIK 2.00%)</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(7)</w:t>
            </w:r>
          </w:p>
        </w:tc>
        <w:tc>
          <w:tcPr>
            <w:tcW w:w="13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8"/>
              </w:rPr>
              <w:t>07/31/2018</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440"/>
              <w:spacing w:after="0" w:line="150"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2,206,000</w:t>
            </w:r>
          </w:p>
        </w:tc>
        <w:tc>
          <w:tcPr>
            <w:tcW w:w="3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2,161,880</w:t>
            </w:r>
          </w:p>
        </w:tc>
        <w:tc>
          <w:tcPr>
            <w:tcW w:w="3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2,206,000</w:t>
            </w:r>
          </w:p>
        </w:tc>
        <w:tc>
          <w:tcPr>
            <w:tcW w:w="60" w:type="dxa"/>
            <w:vAlign w:val="bottom"/>
            <w:shd w:val="clear" w:color="auto" w:fill="CCEEFF"/>
          </w:tcPr>
          <w:p>
            <w:pPr>
              <w:spacing w:after="0"/>
              <w:rPr>
                <w:sz w:val="12"/>
                <w:szCs w:val="12"/>
                <w:color w:val="auto"/>
              </w:rPr>
            </w:pPr>
          </w:p>
        </w:tc>
      </w:tr>
      <w:tr>
        <w:trPr>
          <w:trHeight w:val="156"/>
        </w:trPr>
        <w:tc>
          <w:tcPr>
            <w:tcW w:w="3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12,065,596</w:t>
            </w:r>
          </w:p>
        </w:tc>
        <w:tc>
          <w:tcPr>
            <w:tcW w:w="3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12,215,480</w:t>
            </w:r>
          </w:p>
        </w:tc>
        <w:tc>
          <w:tcPr>
            <w:tcW w:w="60" w:type="dxa"/>
            <w:vAlign w:val="bottom"/>
          </w:tcPr>
          <w:p>
            <w:pPr>
              <w:spacing w:after="0"/>
              <w:rPr>
                <w:sz w:val="13"/>
                <w:szCs w:val="13"/>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2012</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Above</w:t>
            </w:r>
          </w:p>
        </w:tc>
        <w:tc>
          <w:tcPr>
            <w:tcW w:w="58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Par/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22"/>
                <w:szCs w:val="22"/>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Maturity</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82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Preferred Equity/Partnership Interests—0.1% </w:t>
            </w:r>
            <w:r>
              <w:rPr>
                <w:rFonts w:ascii="Arial" w:cs="Arial" w:eastAsia="Arial" w:hAnsi="Arial"/>
                <w:sz w:val="16"/>
                <w:szCs w:val="16"/>
                <w:b w:val="1"/>
                <w:bCs w:val="1"/>
                <w:color w:val="auto"/>
                <w:vertAlign w:val="superscript"/>
              </w:rPr>
              <w:t>(8)</w:t>
            </w:r>
          </w:p>
        </w:tc>
        <w:tc>
          <w:tcPr>
            <w:tcW w:w="860" w:type="dxa"/>
            <w:vAlign w:val="bottom"/>
            <w:tcBorders>
              <w:top w:val="single" w:sz="8" w:color="auto"/>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40" w:type="dxa"/>
            <w:vAlign w:val="bottom"/>
          </w:tcPr>
          <w:p>
            <w:pPr>
              <w:spacing w:after="0" w:line="138" w:lineRule="exact"/>
              <w:rPr>
                <w:sz w:val="20"/>
                <w:szCs w:val="20"/>
                <w:color w:val="auto"/>
              </w:rPr>
            </w:pPr>
            <w:r>
              <w:rPr>
                <w:rFonts w:ascii="Arial" w:cs="Arial" w:eastAsia="Arial" w:hAnsi="Arial"/>
                <w:sz w:val="14"/>
                <w:szCs w:val="14"/>
                <w:color w:val="auto"/>
              </w:rPr>
              <w:t>Trusthouse Services Holdings, LLC (Trusthouse Services</w:t>
            </w:r>
          </w:p>
        </w:tc>
        <w:tc>
          <w:tcPr>
            <w:tcW w:w="860" w:type="dxa"/>
            <w:vAlign w:val="bottom"/>
          </w:tcPr>
          <w:p>
            <w:pPr>
              <w:ind w:left="380"/>
              <w:spacing w:after="0" w:line="138" w:lineRule="exact"/>
              <w:rPr>
                <w:sz w:val="20"/>
                <w:szCs w:val="20"/>
                <w:color w:val="auto"/>
              </w:rPr>
            </w:pPr>
            <w:r>
              <w:rPr>
                <w:rFonts w:ascii="Arial" w:cs="Arial" w:eastAsia="Arial" w:hAnsi="Arial"/>
                <w:sz w:val="14"/>
                <w:szCs w:val="14"/>
                <w:color w:val="auto"/>
              </w:rPr>
              <w:t>—</w:t>
            </w:r>
          </w:p>
        </w:tc>
        <w:tc>
          <w:tcPr>
            <w:tcW w:w="19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72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12.50%</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158</w:t>
            </w:r>
          </w:p>
        </w:tc>
        <w:tc>
          <w:tcPr>
            <w:tcW w:w="3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95,000</w:t>
            </w:r>
          </w:p>
        </w:tc>
        <w:tc>
          <w:tcPr>
            <w:tcW w:w="26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122,104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40" w:type="dxa"/>
            <w:vAlign w:val="bottom"/>
          </w:tcPr>
          <w:p>
            <w:pPr>
              <w:ind w:left="200"/>
              <w:spacing w:after="0" w:line="159" w:lineRule="exact"/>
              <w:rPr>
                <w:sz w:val="20"/>
                <w:szCs w:val="20"/>
                <w:color w:val="auto"/>
              </w:rPr>
            </w:pPr>
            <w:r>
              <w:rPr>
                <w:rFonts w:ascii="Arial" w:cs="Arial" w:eastAsia="Arial" w:hAnsi="Arial"/>
                <w:sz w:val="14"/>
                <w:szCs w:val="14"/>
                <w:color w:val="auto"/>
              </w:rPr>
              <w:t>Group, Inc.)</w:t>
            </w: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Equity—0.4% </w:t>
            </w:r>
            <w:r>
              <w:rPr>
                <w:rFonts w:ascii="Arial" w:cs="Arial" w:eastAsia="Arial" w:hAnsi="Arial"/>
                <w:sz w:val="17"/>
                <w:szCs w:val="17"/>
                <w:b w:val="1"/>
                <w:bCs w:val="1"/>
                <w:color w:val="auto"/>
                <w:vertAlign w:val="superscript"/>
              </w:rPr>
              <w:t>(8)</w:t>
            </w:r>
          </w:p>
        </w:tc>
        <w:tc>
          <w:tcPr>
            <w:tcW w:w="8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86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Telecommunications</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401,797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401,450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401,797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 (Trusthouse Services</w:t>
            </w:r>
          </w:p>
        </w:tc>
        <w:tc>
          <w:tcPr>
            <w:tcW w:w="86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72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6,177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Group, Inc.)</w:t>
            </w:r>
          </w:p>
        </w:tc>
        <w:tc>
          <w:tcPr>
            <w:tcW w:w="8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406,450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407,974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1"/>
              </w:rPr>
              <w:t>Total Investments in Non-Controlled, Non-Affiliated Portfolio Companies</w:t>
            </w:r>
          </w:p>
        </w:tc>
        <w:tc>
          <w:tcPr>
            <w:tcW w:w="8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146,227,958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146,188,132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Equivalents—4.0%</w:t>
            </w: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3,849,360</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3,849,360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3,849,360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Equivalents—155.1%</w:t>
            </w:r>
          </w:p>
        </w:tc>
        <w:tc>
          <w:tcPr>
            <w:tcW w:w="8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150,077,318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150,037,492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Liabilities in Excess of Other Assets—(55.1)%</w:t>
            </w:r>
          </w:p>
        </w:tc>
        <w:tc>
          <w:tcPr>
            <w:tcW w:w="8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8"/>
              </w:rPr>
              <w:t>(53,315,187)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8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96,722,305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51765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80" w:right="220" w:hanging="334"/>
        <w:spacing w:after="0" w:line="230"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Prime or “P”. All securities are subject to a LIBOR or Prime rate floor where a spread is provided, unless noted.</w:t>
      </w:r>
    </w:p>
    <w:p>
      <w:pPr>
        <w:ind w:left="6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680" w:right="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680" w:right="140" w:hanging="334"/>
        <w:spacing w:after="0" w:line="258" w:lineRule="auto"/>
        <w:tabs>
          <w:tab w:leader="none" w:pos="6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680" w:right="24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6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6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6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680" w:hanging="334"/>
        <w:spacing w:after="0"/>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20" w:type="dxa"/>
            <w:vAlign w:val="bottom"/>
          </w:tcPr>
          <w:p>
            <w:pPr>
              <w:jc w:val="right"/>
              <w:ind w:right="333"/>
              <w:spacing w:after="0" w:line="135" w:lineRule="exact"/>
              <w:rPr>
                <w:sz w:val="20"/>
                <w:szCs w:val="20"/>
                <w:color w:val="auto"/>
              </w:rPr>
            </w:pPr>
            <w:r>
              <w:rPr>
                <w:rFonts w:ascii="Arial" w:cs="Arial" w:eastAsia="Arial" w:hAnsi="Arial"/>
                <w:sz w:val="14"/>
                <w:szCs w:val="14"/>
                <w:b w:val="1"/>
                <w:bCs w:val="1"/>
                <w:color w:val="auto"/>
              </w:rPr>
              <w:t>Current</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Par/</w:t>
            </w: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340" w:type="dxa"/>
            <w:vAlign w:val="bottom"/>
          </w:tcPr>
          <w:p>
            <w:pPr>
              <w:jc w:val="center"/>
              <w:ind w:left="352"/>
              <w:spacing w:after="0"/>
              <w:rPr>
                <w:sz w:val="20"/>
                <w:szCs w:val="20"/>
                <w:color w:val="auto"/>
              </w:rPr>
            </w:pPr>
            <w:r>
              <w:rPr>
                <w:rFonts w:ascii="Arial" w:cs="Arial" w:eastAsia="Arial" w:hAnsi="Arial"/>
                <w:sz w:val="14"/>
                <w:szCs w:val="14"/>
                <w:b w:val="1"/>
                <w:bCs w:val="1"/>
                <w:color w:val="auto"/>
                <w:w w:val="95"/>
              </w:rPr>
              <w:t>Maturity</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Coupon</w:t>
            </w:r>
          </w:p>
        </w:tc>
        <w:tc>
          <w:tcPr>
            <w:tcW w:w="10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5"/>
                <w:szCs w:val="15"/>
                <w:color w:val="auto"/>
              </w:rPr>
            </w:pPr>
          </w:p>
        </w:tc>
        <w:tc>
          <w:tcPr>
            <w:tcW w:w="74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80" w:type="dxa"/>
            <w:vAlign w:val="bottom"/>
            <w:tcBorders>
              <w:top w:val="single" w:sz="8" w:color="auto"/>
            </w:tcBorders>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206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8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7"/>
                <w:szCs w:val="17"/>
                <w:b w:val="1"/>
                <w:bCs w:val="1"/>
                <w:color w:val="auto"/>
                <w:vertAlign w:val="superscript"/>
              </w:rPr>
              <w:t>(3),(4)</w:t>
            </w: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Debt—102.4%</w:t>
            </w:r>
          </w:p>
        </w:tc>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Airvana Network Solutions Inc.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03/25/2015</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10.00%</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L+800</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1,209,524</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$ 1,213,365</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Artel, LLC </w:t>
            </w:r>
            <w:r>
              <w:rPr>
                <w:rFonts w:ascii="Arial" w:cs="Arial" w:eastAsia="Arial" w:hAnsi="Arial"/>
                <w:sz w:val="17"/>
                <w:szCs w:val="17"/>
                <w:color w:val="auto"/>
                <w:vertAlign w:val="superscript"/>
              </w:rPr>
              <w:t>(5)</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06/01/2016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5.50%</w:t>
            </w:r>
          </w:p>
        </w:tc>
        <w:tc>
          <w:tcPr>
            <w:tcW w:w="10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L+425</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987,500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978,043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07/29/2017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Automotive</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6.50%</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L+500</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1,000,000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995,085</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07/31/2016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12.38%</w:t>
            </w:r>
          </w:p>
        </w:tc>
        <w:tc>
          <w:tcPr>
            <w:tcW w:w="10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L+988</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478,873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488,220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476,878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C.H.I. Overhead Doors, Inc.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08/17/2017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Durable</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7.25%</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L+575</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4,000,000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3,921,236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(5)</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07/28/2017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6.75%</w:t>
            </w:r>
          </w:p>
        </w:tc>
        <w:tc>
          <w:tcPr>
            <w:tcW w:w="10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P+350</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987,500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982,590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05/13/2016</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6.25%</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L+475</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2,966,250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2,939,107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Frac Tech International, LLC</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05/06/2016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Energy: Oil and Gas</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6.25%</w:t>
            </w:r>
          </w:p>
        </w:tc>
        <w:tc>
          <w:tcPr>
            <w:tcW w:w="10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L+475</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2,073,930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2,054,330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2,033,747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Gundle/SLT Environmental, Inc.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05/27/2016</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Environmental Industries</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7.01%</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L+550</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2,992,500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2,964,467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(11), (6)</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05/01/2016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10.00%</w:t>
            </w:r>
          </w:p>
        </w:tc>
        <w:tc>
          <w:tcPr>
            <w:tcW w:w="100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2,000,000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Insight Global, Inc.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08/16/2017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6.50%</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L+500</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2,493,750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2,481,331</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(7)</w:t>
            </w:r>
          </w:p>
        </w:tc>
        <w:tc>
          <w:tcPr>
            <w:tcW w:w="1340" w:type="dxa"/>
            <w:vAlign w:val="bottom"/>
          </w:tcPr>
          <w:p>
            <w:pPr>
              <w:jc w:val="center"/>
              <w:ind w:left="372"/>
              <w:spacing w:after="0" w:line="138" w:lineRule="exact"/>
              <w:rPr>
                <w:sz w:val="20"/>
                <w:szCs w:val="20"/>
                <w:color w:val="auto"/>
              </w:rPr>
            </w:pPr>
            <w:r>
              <w:rPr>
                <w:rFonts w:ascii="Arial" w:cs="Arial" w:eastAsia="Arial" w:hAnsi="Arial"/>
                <w:sz w:val="14"/>
                <w:szCs w:val="14"/>
                <w:color w:val="auto"/>
                <w:w w:val="88"/>
              </w:rPr>
              <w:t>08/07/2014</w:t>
            </w:r>
          </w:p>
        </w:tc>
        <w:tc>
          <w:tcPr>
            <w:tcW w:w="2060" w:type="dxa"/>
            <w:vAlign w:val="bottom"/>
          </w:tcPr>
          <w:p>
            <w:pPr>
              <w:jc w:val="center"/>
              <w:spacing w:after="0" w:line="138" w:lineRule="exact"/>
              <w:rPr>
                <w:sz w:val="20"/>
                <w:szCs w:val="20"/>
                <w:color w:val="auto"/>
              </w:rPr>
            </w:pPr>
            <w:r>
              <w:rPr>
                <w:rFonts w:ascii="Arial" w:cs="Arial" w:eastAsia="Arial" w:hAnsi="Arial"/>
                <w:sz w:val="14"/>
                <w:szCs w:val="14"/>
                <w:color w:val="auto"/>
                <w:w w:val="90"/>
              </w:rPr>
              <w:t>Media: Advertising, Printing</w:t>
            </w:r>
          </w:p>
        </w:tc>
        <w:tc>
          <w:tcPr>
            <w:tcW w:w="1020" w:type="dxa"/>
            <w:vAlign w:val="bottom"/>
          </w:tcPr>
          <w:p>
            <w:pPr>
              <w:jc w:val="right"/>
              <w:ind w:right="233"/>
              <w:spacing w:after="0" w:line="138" w:lineRule="exact"/>
              <w:rPr>
                <w:sz w:val="20"/>
                <w:szCs w:val="20"/>
                <w:color w:val="auto"/>
              </w:rPr>
            </w:pPr>
            <w:r>
              <w:rPr>
                <w:rFonts w:ascii="Arial" w:cs="Arial" w:eastAsia="Arial" w:hAnsi="Arial"/>
                <w:sz w:val="14"/>
                <w:szCs w:val="14"/>
                <w:color w:val="auto"/>
              </w:rPr>
              <w:t>3.61%</w:t>
            </w:r>
          </w:p>
        </w:tc>
        <w:tc>
          <w:tcPr>
            <w:tcW w:w="100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L+338</w:t>
            </w:r>
          </w:p>
        </w:tc>
        <w:tc>
          <w:tcPr>
            <w:tcW w:w="94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6,981,823</w:t>
            </w:r>
          </w:p>
        </w:tc>
        <w:tc>
          <w:tcPr>
            <w:tcW w:w="3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6,523,240</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6,283,641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60" w:type="dxa"/>
            <w:vAlign w:val="bottom"/>
          </w:tcPr>
          <w:p>
            <w:pPr>
              <w:jc w:val="center"/>
              <w:spacing w:after="0" w:line="159" w:lineRule="exact"/>
              <w:rPr>
                <w:sz w:val="20"/>
                <w:szCs w:val="20"/>
                <w:color w:val="auto"/>
              </w:rPr>
            </w:pPr>
            <w:r>
              <w:rPr>
                <w:rFonts w:ascii="Arial" w:cs="Arial" w:eastAsia="Arial" w:hAnsi="Arial"/>
                <w:sz w:val="14"/>
                <w:szCs w:val="14"/>
                <w:color w:val="auto"/>
                <w:w w:val="89"/>
              </w:rPr>
              <w:t>and Publishing</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09/10/2015</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10.00%</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P+675</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5,476,250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5,525,637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KAR Auction Services, Inc.</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05/19/2017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4"/>
              </w:rPr>
              <w:t>Automotive</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5.00%</w:t>
            </w:r>
          </w:p>
        </w:tc>
        <w:tc>
          <w:tcPr>
            <w:tcW w:w="10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L+375</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2,992,500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2,978,487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(7)</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05/31/2014</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Consumer Goods: Non-Durable</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8.50%</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L+700</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4,987,500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4,847,186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Medpace Holdings, Inc. </w:t>
            </w:r>
            <w:r>
              <w:rPr>
                <w:rFonts w:ascii="Arial" w:cs="Arial" w:eastAsia="Arial" w:hAnsi="Arial"/>
                <w:sz w:val="17"/>
                <w:szCs w:val="17"/>
                <w:color w:val="auto"/>
                <w:vertAlign w:val="superscript"/>
              </w:rPr>
              <w:t>(5)</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06/17/2017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6.50%</w:t>
            </w:r>
          </w:p>
        </w:tc>
        <w:tc>
          <w:tcPr>
            <w:tcW w:w="10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L+500</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1,995,000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1,966,025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(7), (5)</w:t>
            </w:r>
          </w:p>
        </w:tc>
        <w:tc>
          <w:tcPr>
            <w:tcW w:w="1340" w:type="dxa"/>
            <w:vAlign w:val="bottom"/>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8"/>
              </w:rPr>
              <w:t>05/06/2018</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Diversified and</w:t>
            </w:r>
          </w:p>
        </w:tc>
        <w:tc>
          <w:tcPr>
            <w:tcW w:w="1020" w:type="dxa"/>
            <w:vAlign w:val="bottom"/>
            <w:shd w:val="clear" w:color="auto" w:fill="CCEEFF"/>
          </w:tcPr>
          <w:p>
            <w:pPr>
              <w:jc w:val="right"/>
              <w:ind w:right="233"/>
              <w:spacing w:after="0" w:line="138" w:lineRule="exact"/>
              <w:rPr>
                <w:sz w:val="20"/>
                <w:szCs w:val="20"/>
                <w:color w:val="auto"/>
              </w:rPr>
            </w:pPr>
            <w:r>
              <w:rPr>
                <w:rFonts w:ascii="Arial" w:cs="Arial" w:eastAsia="Arial" w:hAnsi="Arial"/>
                <w:sz w:val="14"/>
                <w:szCs w:val="14"/>
                <w:color w:val="auto"/>
              </w:rPr>
              <w:t>7.00%</w:t>
            </w:r>
          </w:p>
        </w:tc>
        <w:tc>
          <w:tcPr>
            <w:tcW w:w="10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4"/>
                <w:szCs w:val="14"/>
                <w:color w:val="auto"/>
              </w:rPr>
              <w:t>L+550</w:t>
            </w:r>
          </w:p>
        </w:tc>
        <w:tc>
          <w:tcPr>
            <w:tcW w:w="94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3,990,000</w:t>
            </w: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3,951,886</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3,670,800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Production</w:t>
            </w: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4"/>
                <w:szCs w:val="14"/>
                <w:color w:val="auto"/>
              </w:rPr>
              <w:t>Penton Media, Inc.</w:t>
            </w:r>
          </w:p>
        </w:tc>
        <w:tc>
          <w:tcPr>
            <w:tcW w:w="1340" w:type="dxa"/>
            <w:vAlign w:val="bottom"/>
          </w:tcPr>
          <w:p>
            <w:pPr>
              <w:jc w:val="center"/>
              <w:ind w:left="372"/>
              <w:spacing w:after="0" w:line="138" w:lineRule="exact"/>
              <w:rPr>
                <w:sz w:val="20"/>
                <w:szCs w:val="20"/>
                <w:color w:val="auto"/>
              </w:rPr>
            </w:pPr>
            <w:r>
              <w:rPr>
                <w:rFonts w:ascii="Arial" w:cs="Arial" w:eastAsia="Arial" w:hAnsi="Arial"/>
                <w:sz w:val="14"/>
                <w:szCs w:val="14"/>
                <w:color w:val="auto"/>
                <w:w w:val="88"/>
              </w:rPr>
              <w:t>08/01/2014</w:t>
            </w:r>
          </w:p>
        </w:tc>
        <w:tc>
          <w:tcPr>
            <w:tcW w:w="2060" w:type="dxa"/>
            <w:vAlign w:val="bottom"/>
          </w:tcPr>
          <w:p>
            <w:pPr>
              <w:jc w:val="center"/>
              <w:spacing w:after="0" w:line="138" w:lineRule="exact"/>
              <w:rPr>
                <w:sz w:val="20"/>
                <w:szCs w:val="20"/>
                <w:color w:val="auto"/>
              </w:rPr>
            </w:pPr>
            <w:r>
              <w:rPr>
                <w:rFonts w:ascii="Arial" w:cs="Arial" w:eastAsia="Arial" w:hAnsi="Arial"/>
                <w:sz w:val="14"/>
                <w:szCs w:val="14"/>
                <w:color w:val="auto"/>
                <w:w w:val="90"/>
              </w:rPr>
              <w:t>Media: Diversified and</w:t>
            </w:r>
          </w:p>
        </w:tc>
        <w:tc>
          <w:tcPr>
            <w:tcW w:w="1020" w:type="dxa"/>
            <w:vAlign w:val="bottom"/>
          </w:tcPr>
          <w:p>
            <w:pPr>
              <w:jc w:val="right"/>
              <w:ind w:right="93"/>
              <w:spacing w:after="0" w:line="138" w:lineRule="exact"/>
              <w:rPr>
                <w:sz w:val="20"/>
                <w:szCs w:val="20"/>
                <w:color w:val="auto"/>
              </w:rPr>
            </w:pPr>
            <w:r>
              <w:rPr>
                <w:rFonts w:ascii="Arial" w:cs="Arial" w:eastAsia="Arial" w:hAnsi="Arial"/>
                <w:sz w:val="10"/>
                <w:szCs w:val="10"/>
                <w:color w:val="auto"/>
              </w:rPr>
              <w:t>5.00%</w:t>
            </w:r>
            <w:r>
              <w:rPr>
                <w:rFonts w:ascii="Arial" w:cs="Arial" w:eastAsia="Arial" w:hAnsi="Arial"/>
                <w:sz w:val="15"/>
                <w:szCs w:val="15"/>
                <w:color w:val="auto"/>
                <w:vertAlign w:val="superscript"/>
              </w:rPr>
              <w:t>(8)</w:t>
            </w:r>
          </w:p>
        </w:tc>
        <w:tc>
          <w:tcPr>
            <w:tcW w:w="100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L+400</w:t>
            </w:r>
          </w:p>
        </w:tc>
        <w:tc>
          <w:tcPr>
            <w:tcW w:w="94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5,498,048</w:t>
            </w:r>
          </w:p>
        </w:tc>
        <w:tc>
          <w:tcPr>
            <w:tcW w:w="3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4,675,936</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3,802,818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6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Production</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Potter’s Holdings II, L.P.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05/08/2017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6.00%</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L+450</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1,995,000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1,976,257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Pro Mach, Inc. </w:t>
            </w:r>
            <w:r>
              <w:rPr>
                <w:rFonts w:ascii="Arial" w:cs="Arial" w:eastAsia="Arial" w:hAnsi="Arial"/>
                <w:sz w:val="17"/>
                <w:szCs w:val="17"/>
                <w:color w:val="auto"/>
                <w:vertAlign w:val="superscript"/>
              </w:rPr>
              <w:t>(5)</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07/06/2017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6.25%</w:t>
            </w:r>
          </w:p>
        </w:tc>
        <w:tc>
          <w:tcPr>
            <w:tcW w:w="10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L+475</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997,500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987,986</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Securus Technologies, Inc.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05/31/2017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5.25%</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L+400</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2,992,500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2,963,597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Select Medical Corporation</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06/01/2018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5.50%</w:t>
            </w:r>
          </w:p>
        </w:tc>
        <w:tc>
          <w:tcPr>
            <w:tcW w:w="10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L+375</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2,992,500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2,963,943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(11), (6), (7)</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05/15/2019</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9.13%</w:t>
            </w:r>
          </w:p>
        </w:tc>
        <w:tc>
          <w:tcPr>
            <w:tcW w:w="100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3,000,000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Sotera Defense Solutions, Inc. </w:t>
            </w:r>
            <w:r>
              <w:rPr>
                <w:rFonts w:ascii="Arial" w:cs="Arial" w:eastAsia="Arial" w:hAnsi="Arial"/>
                <w:sz w:val="17"/>
                <w:szCs w:val="17"/>
                <w:color w:val="auto"/>
                <w:vertAlign w:val="superscript"/>
              </w:rPr>
              <w:t>(5)</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04/22/2017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7.00%</w:t>
            </w:r>
          </w:p>
        </w:tc>
        <w:tc>
          <w:tcPr>
            <w:tcW w:w="10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L+550</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2,992,500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2,964,848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2,917,688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Tank Intermediate Holding Corp.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04/15/2016</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5.00%</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L+375</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1,835,472</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1,831,420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1,807,940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Terex Corporation </w:t>
            </w:r>
            <w:r>
              <w:rPr>
                <w:rFonts w:ascii="Arial" w:cs="Arial" w:eastAsia="Arial" w:hAnsi="Arial"/>
                <w:sz w:val="17"/>
                <w:szCs w:val="17"/>
                <w:color w:val="auto"/>
                <w:vertAlign w:val="superscript"/>
              </w:rPr>
              <w:t>(5)</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04/28/2017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5.50%</w:t>
            </w:r>
          </w:p>
        </w:tc>
        <w:tc>
          <w:tcPr>
            <w:tcW w:w="10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L+400</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2,000,000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1,980,598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Triple Point Technology, Inc.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04/14/2016</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6.25%</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L+475</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4,968,750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4,923,769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4,819,688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Univita Health Inc. </w:t>
            </w:r>
            <w:r>
              <w:rPr>
                <w:rFonts w:ascii="Arial" w:cs="Arial" w:eastAsia="Arial" w:hAnsi="Arial"/>
                <w:sz w:val="17"/>
                <w:szCs w:val="17"/>
                <w:color w:val="auto"/>
                <w:vertAlign w:val="superscript"/>
              </w:rPr>
              <w:t>(5)</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06/19/2017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6"/>
              </w:rPr>
              <w:t>Consumer Services</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6.25%</w:t>
            </w:r>
          </w:p>
        </w:tc>
        <w:tc>
          <w:tcPr>
            <w:tcW w:w="10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L+475</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2,992,500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2,964,110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2,827,913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U.S. Healthworks Holding Company, Inc.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06/15/2016</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6.25%</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L+475</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2,992,500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2,964,480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2,887,763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Valitas Health Services, Inc. </w:t>
            </w:r>
            <w:r>
              <w:rPr>
                <w:rFonts w:ascii="Arial" w:cs="Arial" w:eastAsia="Arial" w:hAnsi="Arial"/>
                <w:sz w:val="17"/>
                <w:szCs w:val="17"/>
                <w:color w:val="auto"/>
                <w:vertAlign w:val="superscript"/>
              </w:rPr>
              <w:t>(5)</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06/02/2017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5.75%</w:t>
            </w:r>
          </w:p>
        </w:tc>
        <w:tc>
          <w:tcPr>
            <w:tcW w:w="10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L+450</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1,496,250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1,489,223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1,406,475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340" w:type="dxa"/>
            <w:vAlign w:val="bottom"/>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8"/>
              </w:rPr>
              <w:t>04/19/2016</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w:t>
            </w:r>
          </w:p>
        </w:tc>
        <w:tc>
          <w:tcPr>
            <w:tcW w:w="1020" w:type="dxa"/>
            <w:vAlign w:val="bottom"/>
            <w:shd w:val="clear" w:color="auto" w:fill="CCEEFF"/>
          </w:tcPr>
          <w:p>
            <w:pPr>
              <w:jc w:val="right"/>
              <w:ind w:right="233"/>
              <w:spacing w:after="0" w:line="138" w:lineRule="exact"/>
              <w:rPr>
                <w:sz w:val="20"/>
                <w:szCs w:val="20"/>
                <w:color w:val="auto"/>
              </w:rPr>
            </w:pPr>
            <w:r>
              <w:rPr>
                <w:rFonts w:ascii="Arial" w:cs="Arial" w:eastAsia="Arial" w:hAnsi="Arial"/>
                <w:sz w:val="14"/>
                <w:szCs w:val="14"/>
                <w:color w:val="auto"/>
              </w:rPr>
              <w:t>7.00%</w:t>
            </w:r>
          </w:p>
        </w:tc>
        <w:tc>
          <w:tcPr>
            <w:tcW w:w="10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4"/>
                <w:szCs w:val="14"/>
                <w:color w:val="auto"/>
              </w:rPr>
              <w:t>L+550</w:t>
            </w:r>
          </w:p>
        </w:tc>
        <w:tc>
          <w:tcPr>
            <w:tcW w:w="94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4,750,000</w:t>
            </w: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4,694,273</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4,690,625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and Publishing</w:t>
            </w: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(5)</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12/22/2016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7.75%</w:t>
            </w:r>
          </w:p>
        </w:tc>
        <w:tc>
          <w:tcPr>
            <w:tcW w:w="10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P+450</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2,992,500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2,963,172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Water Pik, Inc.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8"/>
              </w:rPr>
              <w:t>08/10/2017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Durable</w:t>
            </w:r>
          </w:p>
        </w:tc>
        <w:tc>
          <w:tcPr>
            <w:tcW w:w="10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6.75%</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L+525</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3,500,000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3,465,501</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(11), (6)</w:t>
            </w:r>
          </w:p>
        </w:tc>
        <w:tc>
          <w:tcPr>
            <w:tcW w:w="13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8"/>
              </w:rPr>
              <w:t>07/15/2016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1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11.38%</w:t>
            </w:r>
          </w:p>
        </w:tc>
        <w:tc>
          <w:tcPr>
            <w:tcW w:w="100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4,000,000</w:t>
            </w:r>
          </w:p>
        </w:tc>
        <w:tc>
          <w:tcPr>
            <w:tcW w:w="3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4,355,966</w:t>
            </w:r>
          </w:p>
        </w:tc>
        <w:tc>
          <w:tcPr>
            <w:tcW w:w="36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4,080,000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13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97,975,314</w:t>
            </w:r>
          </w:p>
        </w:tc>
        <w:tc>
          <w:tcPr>
            <w:tcW w:w="3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94,333,126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Maturity</w:t>
            </w:r>
          </w:p>
        </w:tc>
        <w:tc>
          <w:tcPr>
            <w:tcW w:w="2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Industry</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Current</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Above</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308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740" w:type="dxa"/>
            <w:vAlign w:val="bottom"/>
            <w:gridSpan w:val="2"/>
            <w:vMerge w:val="continue"/>
          </w:tcPr>
          <w:p>
            <w:pPr>
              <w:spacing w:after="0"/>
              <w:rPr>
                <w:sz w:val="11"/>
                <w:szCs w:val="11"/>
                <w:color w:val="auto"/>
              </w:rPr>
            </w:pPr>
          </w:p>
        </w:tc>
        <w:tc>
          <w:tcPr>
            <w:tcW w:w="9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3"/>
              </w:rPr>
              <w:t>Coupon</w:t>
            </w:r>
          </w:p>
        </w:tc>
        <w:tc>
          <w:tcPr>
            <w:tcW w:w="1040" w:type="dxa"/>
            <w:vAlign w:val="bottom"/>
            <w:gridSpan w:val="2"/>
          </w:tcPr>
          <w:p>
            <w:pPr>
              <w:jc w:val="center"/>
              <w:ind w:right="40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5"/>
                <w:szCs w:val="15"/>
                <w:b w:val="1"/>
                <w:bCs w:val="1"/>
                <w:color w:val="auto"/>
                <w:vertAlign w:val="superscript"/>
              </w:rPr>
              <w:t>(1)</w:t>
            </w: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0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Second Lien Secured Debt—10.1%</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01/29/2018</w:t>
            </w:r>
          </w:p>
        </w:tc>
        <w:tc>
          <w:tcPr>
            <w:tcW w:w="200" w:type="dxa"/>
            <w:vAlign w:val="bottom"/>
          </w:tcPr>
          <w:p>
            <w:pPr>
              <w:spacing w:after="0"/>
              <w:rPr>
                <w:sz w:val="12"/>
                <w:szCs w:val="12"/>
                <w:color w:val="auto"/>
              </w:rPr>
            </w:pPr>
          </w:p>
        </w:tc>
        <w:tc>
          <w:tcPr>
            <w:tcW w:w="2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10.50%</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L+900</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1,000,000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995,000</w:t>
            </w:r>
          </w:p>
        </w:tc>
        <w:tc>
          <w:tcPr>
            <w:tcW w:w="14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Ernest Health,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05/13/2017</w:t>
            </w:r>
          </w:p>
        </w:tc>
        <w:tc>
          <w:tcPr>
            <w:tcW w:w="20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10.25%</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L+850</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4,000,000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3,942,406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11/06/2018</w:t>
            </w:r>
          </w:p>
        </w:tc>
        <w:tc>
          <w:tcPr>
            <w:tcW w:w="200" w:type="dxa"/>
            <w:vAlign w:val="bottom"/>
          </w:tcPr>
          <w:p>
            <w:pPr>
              <w:spacing w:after="0"/>
              <w:rPr>
                <w:sz w:val="12"/>
                <w:szCs w:val="12"/>
                <w:color w:val="auto"/>
              </w:rPr>
            </w:pPr>
          </w:p>
        </w:tc>
        <w:tc>
          <w:tcPr>
            <w:tcW w:w="2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10.25%</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L+875</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1,500,000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1,485,581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1,380,000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09/01/2018</w:t>
            </w:r>
          </w:p>
        </w:tc>
        <w:tc>
          <w:tcPr>
            <w:tcW w:w="20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7"/>
              </w:rPr>
              <w:t>Hotel, Gaming and Leisure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12.13%</w:t>
            </w: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2,000,000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1,965,834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05/09/2018</w:t>
            </w:r>
          </w:p>
        </w:tc>
        <w:tc>
          <w:tcPr>
            <w:tcW w:w="200" w:type="dxa"/>
            <w:vAlign w:val="bottom"/>
          </w:tcPr>
          <w:p>
            <w:pPr>
              <w:spacing w:after="0"/>
              <w:rPr>
                <w:sz w:val="13"/>
                <w:szCs w:val="13"/>
                <w:color w:val="auto"/>
              </w:rPr>
            </w:pPr>
          </w:p>
        </w:tc>
        <w:tc>
          <w:tcPr>
            <w:tcW w:w="2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Utilities: Water</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8.50%</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L+725</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1,000,000</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990,624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960,000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9,379,445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9,285,000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Notes—7.6%</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(11)</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11/15/2015</w:t>
            </w:r>
          </w:p>
        </w:tc>
        <w:tc>
          <w:tcPr>
            <w:tcW w:w="20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Consumer Goods: Non-Durable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11.63%</w:t>
            </w: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1,500,000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1,524,891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(11),(7)</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07/31/2018</w:t>
            </w:r>
          </w:p>
        </w:tc>
        <w:tc>
          <w:tcPr>
            <w:tcW w:w="200" w:type="dxa"/>
            <w:vAlign w:val="bottom"/>
          </w:tcPr>
          <w:p>
            <w:pPr>
              <w:spacing w:after="0"/>
              <w:rPr>
                <w:sz w:val="12"/>
                <w:szCs w:val="12"/>
                <w:color w:val="auto"/>
              </w:rPr>
            </w:pPr>
          </w:p>
        </w:tc>
        <w:tc>
          <w:tcPr>
            <w:tcW w:w="2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(8)</w:t>
            </w: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3,762,500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3,688,091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3,687,250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(11),(9)</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07/31/2018</w:t>
            </w:r>
          </w:p>
        </w:tc>
        <w:tc>
          <w:tcPr>
            <w:tcW w:w="20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2,206,000</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2,161,880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2,161,880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7,374,862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7,004,130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Preferred Equity/Partnership Interests—0.1%</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(10)</w:t>
            </w:r>
          </w:p>
        </w:tc>
        <w:tc>
          <w:tcPr>
            <w:tcW w:w="2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2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158</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96,985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96,985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Equity—0.0% </w:t>
            </w:r>
            <w:r>
              <w:rPr>
                <w:rFonts w:ascii="Arial" w:cs="Arial" w:eastAsia="Arial" w:hAnsi="Arial"/>
                <w:sz w:val="18"/>
                <w:szCs w:val="18"/>
                <w:b w:val="1"/>
                <w:bCs w:val="1"/>
                <w:color w:val="auto"/>
                <w:vertAlign w:val="superscript"/>
              </w:rPr>
              <w:t>(10)</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4"/>
              </w:rPr>
              <w:t>114,829,621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110,724,241</w:t>
            </w: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Equivalents—7.6%</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9"/>
              </w:rPr>
              <w:t>6,987,450</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6,987,450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6,987,450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Investments and Cash Equivalents—</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127.8%</w:t>
            </w:r>
          </w:p>
        </w:tc>
        <w:tc>
          <w:tcPr>
            <w:tcW w:w="2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121,817,071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2"/>
              </w:rPr>
              <w:t>117,711,691</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Assets—(27.8%)</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5"/>
              </w:rPr>
              <w:t>(25,639,586)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92,072,105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right="100" w:hanging="332"/>
        <w:spacing w:after="0" w:line="258" w:lineRule="auto"/>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securities are pledged as collateral under the Credit Facility.</w:t>
      </w:r>
    </w:p>
    <w:p>
      <w:pPr>
        <w:ind w:left="340" w:right="6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Coupon is payable in cash and/or through PIK.</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71"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on October 28, 2010. We are a closed-end, externally managed, non-diversified investment company that has elected to be treated as a business development company, or BDC, under the 1940 Act.</w:t>
      </w:r>
    </w:p>
    <w:p>
      <w:pPr>
        <w:spacing w:after="0" w:line="139"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from time to time, include cash equivalents invested in money market funds and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22"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On April 13, 2011, we closed our initial public offering and our common stock trades on the NASDAQ Global Select Market under the symbol “PFLT.” Also on April 13, 2011, we issued 6,700,000 shares of common stock, and on May 11,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On March 4, 2011, we sold 667 shares of common stock for $10,000 ($15.00 per share) to the Investment Adviser.</w:t>
      </w:r>
    </w:p>
    <w:p>
      <w:pPr>
        <w:spacing w:after="0" w:line="117" w:lineRule="exact"/>
        <w:rPr>
          <w:sz w:val="20"/>
          <w:szCs w:val="20"/>
          <w:color w:val="auto"/>
        </w:rPr>
      </w:pPr>
    </w:p>
    <w:p>
      <w:pPr>
        <w:ind w:right="240" w:firstLine="456"/>
        <w:spacing w:after="0" w:line="318"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94" w:lineRule="exact"/>
        <w:rPr>
          <w:sz w:val="20"/>
          <w:szCs w:val="20"/>
          <w:color w:val="auto"/>
        </w:rPr>
      </w:pPr>
    </w:p>
    <w:p>
      <w:pPr>
        <w:ind w:right="320" w:firstLine="456"/>
        <w:spacing w:after="0" w:line="278" w:lineRule="auto"/>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a commercial paper rate that approximates LIBOR plus 225 basis points during the revolving period. The Credit Facility is secured by all of the assets held by Funding I. See Note 9.</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71"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8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10-Q and Article 6 or 10 of Regulation S-X, as appropriate.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In accordance with Article 6-09 of Regulation S-X, we have provided a Consolidated Statement of Changes in Net Assets in lieu of a Consolidated Statement of Changes in Stockholders’ Equity.</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31"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(a)</w:t>
      </w:r>
      <w:r>
        <w:rPr>
          <w:sz w:val="20"/>
          <w:szCs w:val="20"/>
          <w:color w:val="auto"/>
        </w:rPr>
        <w:tab/>
      </w:r>
      <w:r>
        <w:rPr>
          <w:rFonts w:ascii="Arial" w:cs="Arial" w:eastAsia="Arial" w:hAnsi="Arial"/>
          <w:sz w:val="11"/>
          <w:szCs w:val="11"/>
          <w:b w:val="1"/>
          <w:bCs w:val="1"/>
          <w:i w:val="1"/>
          <w:iCs w:val="1"/>
          <w:color w:val="auto"/>
        </w:rPr>
        <w:t>Investment Valuations</w:t>
      </w:r>
    </w:p>
    <w:p>
      <w:pPr>
        <w:spacing w:after="0" w:line="69"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3" w:lineRule="exact"/>
        <w:rPr>
          <w:sz w:val="20"/>
          <w:szCs w:val="20"/>
          <w:color w:val="auto"/>
        </w:rPr>
      </w:pPr>
    </w:p>
    <w:p>
      <w:pPr>
        <w:ind w:right="60" w:firstLine="342"/>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20" w:hanging="334"/>
        <w:spacing w:after="0" w:line="239" w:lineRule="auto"/>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680" w:right="100" w:hanging="334"/>
        <w:spacing w:after="0" w:line="233" w:lineRule="auto"/>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680" w:hanging="334"/>
        <w:spacing w:after="0" w:line="239" w:lineRule="auto"/>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540" w:hanging="334"/>
        <w:spacing w:after="0" w:line="239" w:lineRule="auto"/>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367"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(b)</w:t>
      </w:r>
      <w:r>
        <w:rPr>
          <w:sz w:val="20"/>
          <w:szCs w:val="20"/>
          <w:color w:val="auto"/>
        </w:rPr>
        <w:tab/>
      </w:r>
      <w:r>
        <w:rPr>
          <w:rFonts w:ascii="Arial" w:cs="Arial" w:eastAsia="Arial" w:hAnsi="Arial"/>
          <w:sz w:val="11"/>
          <w:szCs w:val="11"/>
          <w:b w:val="1"/>
          <w:bCs w:val="1"/>
          <w:i w:val="1"/>
          <w:iCs w:val="1"/>
          <w:color w:val="auto"/>
        </w:rPr>
        <w:t>Security Transactions, Revenue Recognition and Realized/Unrealized Gains or Losses</w:t>
      </w:r>
    </w:p>
    <w:p>
      <w:pPr>
        <w:spacing w:after="0" w:line="150"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39"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1"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(c)</w:t>
      </w:r>
      <w:r>
        <w:rPr>
          <w:sz w:val="20"/>
          <w:szCs w:val="20"/>
          <w:color w:val="auto"/>
        </w:rPr>
        <w:tab/>
      </w:r>
      <w:r>
        <w:rPr>
          <w:rFonts w:ascii="Arial" w:cs="Arial" w:eastAsia="Arial" w:hAnsi="Arial"/>
          <w:sz w:val="11"/>
          <w:szCs w:val="11"/>
          <w:b w:val="1"/>
          <w:bCs w:val="1"/>
          <w:i w:val="1"/>
          <w:iCs w:val="1"/>
          <w:color w:val="auto"/>
        </w:rPr>
        <w:t>Income Taxes</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86"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Because federal income tax regulations differ from GAAP, differences in distributable income arise which could be permanent or temporary. Book and tax basis differences which are permanent are reclassified among our capital accounts, to reflect their tax character. Temporary differences arise when certain items of income, expense, gain or loss are recognized at some time in the future.</w:t>
      </w:r>
    </w:p>
    <w:p>
      <w:pPr>
        <w:spacing w:after="0" w:line="94"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(d)</w:t>
      </w:r>
      <w:r>
        <w:rPr>
          <w:sz w:val="20"/>
          <w:szCs w:val="20"/>
          <w:color w:val="auto"/>
        </w:rPr>
        <w:tab/>
      </w:r>
      <w:r>
        <w:rPr>
          <w:rFonts w:ascii="Arial" w:cs="Arial" w:eastAsia="Arial" w:hAnsi="Arial"/>
          <w:sz w:val="11"/>
          <w:szCs w:val="11"/>
          <w:b w:val="1"/>
          <w:bCs w:val="1"/>
          <w:i w:val="1"/>
          <w:iCs w:val="1"/>
          <w:color w:val="auto"/>
        </w:rPr>
        <w:t>Dividends, Distributions, and Capital Transactions</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39"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(e)</w:t>
      </w:r>
      <w:r>
        <w:rPr>
          <w:sz w:val="20"/>
          <w:szCs w:val="20"/>
          <w:color w:val="auto"/>
        </w:rPr>
        <w:tab/>
      </w:r>
      <w:r>
        <w:rPr>
          <w:rFonts w:ascii="Arial" w:cs="Arial" w:eastAsia="Arial" w:hAnsi="Arial"/>
          <w:sz w:val="11"/>
          <w:szCs w:val="11"/>
          <w:b w:val="1"/>
          <w:bCs w:val="1"/>
          <w:i w:val="1"/>
          <w:iCs w:val="1"/>
          <w:color w:val="auto"/>
        </w:rPr>
        <w:t>Consolidation</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39" w:lineRule="exact"/>
        <w:rPr>
          <w:sz w:val="20"/>
          <w:szCs w:val="20"/>
          <w:color w:val="auto"/>
        </w:rPr>
      </w:pPr>
    </w:p>
    <w:p>
      <w:pPr>
        <w:ind w:left="360"/>
        <w:spacing w:after="0"/>
        <w:tabs>
          <w:tab w:leader="none" w:pos="600" w:val="left"/>
        </w:tabs>
        <w:rPr>
          <w:sz w:val="20"/>
          <w:szCs w:val="20"/>
          <w:color w:val="auto"/>
        </w:rPr>
      </w:pPr>
      <w:r>
        <w:rPr>
          <w:rFonts w:ascii="Arial" w:cs="Arial" w:eastAsia="Arial" w:hAnsi="Arial"/>
          <w:sz w:val="14"/>
          <w:szCs w:val="14"/>
          <w:b w:val="1"/>
          <w:bCs w:val="1"/>
          <w:i w:val="1"/>
          <w:iCs w:val="1"/>
          <w:color w:val="auto"/>
        </w:rPr>
        <w:t>(f)</w:t>
      </w:r>
      <w:r>
        <w:rPr>
          <w:sz w:val="20"/>
          <w:szCs w:val="20"/>
          <w:color w:val="auto"/>
        </w:rPr>
        <w:tab/>
      </w:r>
      <w:r>
        <w:rPr>
          <w:rFonts w:ascii="Arial" w:cs="Arial" w:eastAsia="Arial" w:hAnsi="Arial"/>
          <w:sz w:val="11"/>
          <w:szCs w:val="11"/>
          <w:b w:val="1"/>
          <w:bCs w:val="1"/>
          <w:i w:val="1"/>
          <w:iCs w:val="1"/>
          <w:color w:val="auto"/>
        </w:rPr>
        <w:t>Asset Transfers and Servicing</w:t>
      </w:r>
    </w:p>
    <w:p>
      <w:pPr>
        <w:spacing w:after="0" w:line="15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 The creditors of Funding I have received security interests in any such assets and are not intended to be available to the creditors of PennantPark Floating Rate Capital Ltd. (or any affiliate of the Company).</w:t>
      </w:r>
    </w:p>
    <w:p>
      <w:pPr>
        <w:spacing w:after="0" w:line="94"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(g)</w:t>
      </w:r>
      <w:r>
        <w:rPr>
          <w:sz w:val="20"/>
          <w:szCs w:val="20"/>
          <w:color w:val="auto"/>
        </w:rPr>
        <w:tab/>
      </w:r>
      <w:r>
        <w:rPr>
          <w:rFonts w:ascii="Arial" w:cs="Arial" w:eastAsia="Arial" w:hAnsi="Arial"/>
          <w:sz w:val="11"/>
          <w:szCs w:val="11"/>
          <w:b w:val="1"/>
          <w:bCs w:val="1"/>
          <w:i w:val="1"/>
          <w:iCs w:val="1"/>
          <w:color w:val="auto"/>
        </w:rPr>
        <w:t>New Accounting Pronouncement</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May 2011, the Financial Accounting Standards Board issued Accounting Standards Update 2011-04, Amendments to Achieve Common Fair Value Measurement and Disclosure Requirements in U.S. GAAP and IFRSs, or ASU 2011-04. ASU 2011-04 amends ASC 820, Fair Value Measurements, or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on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as adopted, did not have a material impact on our Consolidated Financial Statements. See Note 5.</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40"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and/or temporary draws on the Credit Facility,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2012, the Investment Adviser earned a base management fee of $0.4 million and $0.7 million, respectively, from us.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right="4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and six months ended March 31, 2012, resulted in an accrual of less than $0.1 million.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86" w:lineRule="exact"/>
        <w:rPr>
          <w:sz w:val="20"/>
          <w:szCs w:val="20"/>
          <w:color w:val="auto"/>
        </w:rPr>
      </w:pPr>
    </w:p>
    <w:p>
      <w:pPr>
        <w:ind w:right="120" w:firstLine="456"/>
        <w:spacing w:after="0" w:line="227"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March 31, 2012 was calculated for a period of shorter than twelve calendar months to take into account any realized capital gains computed net of all realized capital losses and unrealized capital depreciation from our inception. The performance based incentive fee on capital gains due to our Investment Adviser as calculated under the Investment Management Agreement (as described above) for the three and six months ended March 31, 2012, resulted in no accrual.</w:t>
      </w:r>
    </w:p>
    <w:p>
      <w:pPr>
        <w:spacing w:after="0" w:line="14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GAAP and the Investment Management Agreement (as described above) for the three and six months ended March 31, 2012 resulted in an accrual of $0.1 million.</w:t>
      </w:r>
    </w:p>
    <w:p>
      <w:pPr>
        <w:spacing w:after="0" w:line="122" w:lineRule="exact"/>
        <w:rPr>
          <w:sz w:val="20"/>
          <w:szCs w:val="20"/>
          <w:color w:val="auto"/>
        </w:rPr>
      </w:pPr>
    </w:p>
    <w:p>
      <w:pPr>
        <w:ind w:right="20" w:firstLine="456"/>
        <w:spacing w:after="0" w:line="269" w:lineRule="auto"/>
        <w:rPr>
          <w:sz w:val="20"/>
          <w:szCs w:val="20"/>
          <w:color w:val="auto"/>
        </w:rPr>
      </w:pPr>
      <w:r>
        <w:rPr>
          <w:rFonts w:ascii="Arial" w:cs="Arial" w:eastAsia="Arial" w:hAnsi="Arial"/>
          <w:sz w:val="12"/>
          <w:szCs w:val="12"/>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six months ended March 31, 2012, the Investment Adviser and Administrator, collectively, were reimbursed approximately $0.1 million, from us, including expenses incurred by the Investment Adviser on behalf of the Administrator, for the services described above.</w:t>
      </w:r>
    </w:p>
    <w:p>
      <w:pPr>
        <w:spacing w:after="0" w:line="274"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March 31, 2012, as well as the likelihood of future activity that may generate additional returns, management determined that the 7.0% return on Pre-Incentive Fee Net Investment Income was uncertain. Accordingly, we did not record a liability for it. Management continues to assess performance to determine whether the 7.0% return on Pre-Incentive Fee Net Investment Income is probable before recording the $2.1 million charge to capital.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9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71" w:lineRule="exact"/>
        <w:rPr>
          <w:sz w:val="20"/>
          <w:szCs w:val="20"/>
          <w:color w:val="auto"/>
        </w:rPr>
      </w:pPr>
    </w:p>
    <w:p>
      <w:pPr>
        <w:ind w:right="480" w:firstLine="456"/>
        <w:spacing w:after="0" w:line="239" w:lineRule="auto"/>
        <w:rPr>
          <w:sz w:val="20"/>
          <w:szCs w:val="20"/>
          <w:color w:val="auto"/>
        </w:rPr>
      </w:pPr>
      <w:r>
        <w:rPr>
          <w:rFonts w:ascii="Arial" w:cs="Arial" w:eastAsia="Arial" w:hAnsi="Arial"/>
          <w:sz w:val="14"/>
          <w:szCs w:val="14"/>
          <w:color w:val="auto"/>
        </w:rPr>
        <w:t>Purchases of long-term investments, including PIK, for the three and six months ended March 31, 2012 totaled $32.9 million and $72.3 million, respectively. Sales and repayments of long-term investments for the three and six months ended March 31, 2012 totaled $19.3 million and $41.6 million, respectively.</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740" w:type="dxa"/>
            <w:vAlign w:val="bottom"/>
            <w:gridSpan w:val="3"/>
          </w:tcPr>
          <w:p>
            <w:pPr>
              <w:spacing w:after="0"/>
              <w:rPr>
                <w:sz w:val="20"/>
                <w:szCs w:val="20"/>
                <w:color w:val="auto"/>
              </w:rPr>
            </w:pPr>
            <w:r>
              <w:rPr>
                <w:rFonts w:ascii="Arial" w:cs="Arial" w:eastAsia="Arial" w:hAnsi="Arial"/>
                <w:sz w:val="14"/>
                <w:szCs w:val="14"/>
                <w:color w:val="auto"/>
              </w:rPr>
              <w:t>Investments and cash equivalents consisted of the following:</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460" w:type="dxa"/>
            <w:vAlign w:val="bottom"/>
          </w:tcPr>
          <w:p>
            <w:pPr>
              <w:spacing w:after="0"/>
              <w:rPr>
                <w:sz w:val="24"/>
                <w:szCs w:val="24"/>
                <w:color w:val="auto"/>
              </w:rPr>
            </w:pPr>
          </w:p>
        </w:tc>
        <w:tc>
          <w:tcPr>
            <w:tcW w:w="2280" w:type="dxa"/>
            <w:vAlign w:val="bottom"/>
            <w:gridSpan w:val="4"/>
          </w:tcPr>
          <w:p>
            <w:pPr>
              <w:ind w:left="500"/>
              <w:spacing w:after="0"/>
              <w:rPr>
                <w:sz w:val="20"/>
                <w:szCs w:val="20"/>
                <w:color w:val="auto"/>
              </w:rPr>
            </w:pPr>
            <w:r>
              <w:rPr>
                <w:rFonts w:ascii="Arial" w:cs="Arial" w:eastAsia="Arial" w:hAnsi="Arial"/>
                <w:sz w:val="14"/>
                <w:szCs w:val="14"/>
                <w:b w:val="1"/>
                <w:bCs w:val="1"/>
                <w:color w:val="auto"/>
              </w:rPr>
              <w:t>March 31, 2012</w:t>
            </w:r>
          </w:p>
        </w:tc>
        <w:tc>
          <w:tcPr>
            <w:tcW w:w="80" w:type="dxa"/>
            <w:vAlign w:val="bottom"/>
          </w:tcPr>
          <w:p>
            <w:pPr>
              <w:spacing w:after="0"/>
              <w:rPr>
                <w:sz w:val="24"/>
                <w:szCs w:val="24"/>
                <w:color w:val="auto"/>
              </w:rPr>
            </w:pPr>
          </w:p>
        </w:tc>
        <w:tc>
          <w:tcPr>
            <w:tcW w:w="1940" w:type="dxa"/>
            <w:vAlign w:val="bottom"/>
            <w:gridSpan w:val="6"/>
          </w:tcPr>
          <w:p>
            <w:pPr>
              <w:ind w:left="34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9"/>
        </w:trPr>
        <w:tc>
          <w:tcPr>
            <w:tcW w:w="474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98"/>
              </w:rPr>
              <w:t>Fair Value</w:t>
            </w: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Cost</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31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$ 126,721,245</w:t>
            </w:r>
          </w:p>
        </w:tc>
        <w:tc>
          <w:tcPr>
            <w:tcW w:w="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$ 126,306,324</w:t>
            </w: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97,975,314</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94,333,126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6,939,667</w:t>
            </w:r>
          </w:p>
        </w:tc>
        <w:tc>
          <w:tcPr>
            <w:tcW w:w="15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7,136,250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9,379,445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9,285,000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12,065,596</w:t>
            </w: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12,215,480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7,374,862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7,004,130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4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501,450</w:t>
            </w:r>
          </w:p>
        </w:tc>
        <w:tc>
          <w:tcPr>
            <w:tcW w:w="3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530,078</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100,000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101,985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146,227,958</w:t>
            </w: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146,188,132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7"/>
              </w:rPr>
              <w:t>114,829,621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110,724,241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Cash equivalents</w:t>
            </w:r>
          </w:p>
        </w:tc>
        <w:tc>
          <w:tcPr>
            <w:tcW w:w="14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3,849,360</w:t>
            </w:r>
          </w:p>
        </w:tc>
        <w:tc>
          <w:tcPr>
            <w:tcW w:w="3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3,849,360</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6,987,450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6,987,450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2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$ 150,077,318</w:t>
            </w: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$ 150,037,492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121,817,071</w:t>
            </w: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 March 31, 2012 and September 30, 2011.</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2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March 31, 2012</w:t>
            </w:r>
          </w:p>
        </w:tc>
        <w:tc>
          <w:tcPr>
            <w:tcW w:w="1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4"/>
              </w:rPr>
              <w:t>September 30, 2011</w:t>
            </w:r>
          </w:p>
        </w:tc>
      </w:tr>
      <w:tr>
        <w:trPr>
          <w:trHeight w:val="136"/>
        </w:trPr>
        <w:tc>
          <w:tcPr>
            <w:tcW w:w="35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Business Services</w:t>
            </w:r>
          </w:p>
        </w:tc>
        <w:tc>
          <w:tcPr>
            <w:tcW w:w="29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ind w:right="172"/>
              <w:spacing w:after="0" w:line="136" w:lineRule="exact"/>
              <w:rPr>
                <w:sz w:val="20"/>
                <w:szCs w:val="20"/>
                <w:color w:val="auto"/>
              </w:rPr>
            </w:pPr>
            <w:r>
              <w:rPr>
                <w:rFonts w:ascii="Arial" w:cs="Arial" w:eastAsia="Arial" w:hAnsi="Arial"/>
                <w:sz w:val="14"/>
                <w:szCs w:val="14"/>
                <w:color w:val="auto"/>
              </w:rPr>
              <w:t>10%</w:t>
            </w:r>
          </w:p>
        </w:tc>
        <w:tc>
          <w:tcPr>
            <w:tcW w:w="1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292"/>
              <w:spacing w:after="0" w:line="136" w:lineRule="exact"/>
              <w:rPr>
                <w:sz w:val="20"/>
                <w:szCs w:val="20"/>
                <w:color w:val="auto"/>
              </w:rPr>
            </w:pPr>
            <w:r>
              <w:rPr>
                <w:rFonts w:ascii="Arial" w:cs="Arial" w:eastAsia="Arial" w:hAnsi="Arial"/>
                <w:sz w:val="14"/>
                <w:szCs w:val="14"/>
                <w:color w:val="auto"/>
              </w:rPr>
              <w:t>10%</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Beverage, Food and Tobacco</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8</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7</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8</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4</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7</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10</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8</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Telecommunications</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7</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5</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4</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6</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5</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10</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Hotel, Gaming and Leisure</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6</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9</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Goods: Durable</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8</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Consumer Services</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5</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2</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Equipment</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3</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4</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Industries</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3</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2</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w:t>
            </w:r>
          </w:p>
        </w:tc>
      </w:tr>
      <w:tr>
        <w:trPr>
          <w:trHeight w:val="156"/>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All Other</w:t>
            </w:r>
          </w:p>
        </w:tc>
        <w:tc>
          <w:tcPr>
            <w:tcW w:w="2920" w:type="dxa"/>
            <w:vAlign w:val="bottom"/>
          </w:tcPr>
          <w:p>
            <w:pPr>
              <w:spacing w:after="0"/>
              <w:rPr>
                <w:sz w:val="13"/>
                <w:szCs w:val="13"/>
                <w:color w:val="auto"/>
              </w:rPr>
            </w:pPr>
          </w:p>
        </w:tc>
        <w:tc>
          <w:tcPr>
            <w:tcW w:w="90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4</w:t>
            </w:r>
          </w:p>
        </w:tc>
        <w:tc>
          <w:tcPr>
            <w:tcW w:w="1100" w:type="dxa"/>
            <w:vAlign w:val="bottom"/>
          </w:tcPr>
          <w:p>
            <w:pPr>
              <w:spacing w:after="0"/>
              <w:rPr>
                <w:sz w:val="13"/>
                <w:szCs w:val="13"/>
                <w:color w:val="auto"/>
              </w:rPr>
            </w:pPr>
          </w:p>
        </w:tc>
        <w:tc>
          <w:tcPr>
            <w:tcW w:w="1120" w:type="dxa"/>
            <w:vAlign w:val="bottom"/>
            <w:tcBorders>
              <w:bottom w:val="single" w:sz="8" w:color="auto"/>
            </w:tcBorders>
          </w:tcPr>
          <w:p>
            <w:pPr>
              <w:jc w:val="right"/>
              <w:ind w:right="392"/>
              <w:spacing w:after="0" w:line="149" w:lineRule="exact"/>
              <w:rPr>
                <w:sz w:val="20"/>
                <w:szCs w:val="20"/>
                <w:color w:val="auto"/>
              </w:rPr>
            </w:pPr>
            <w:r>
              <w:rPr>
                <w:rFonts w:ascii="Arial" w:cs="Arial" w:eastAsia="Arial" w:hAnsi="Arial"/>
                <w:sz w:val="14"/>
                <w:szCs w:val="14"/>
                <w:color w:val="auto"/>
              </w:rPr>
              <w:t>3</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9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100%</w:t>
            </w:r>
          </w:p>
        </w:tc>
        <w:tc>
          <w:tcPr>
            <w:tcW w:w="11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100%</w:t>
            </w:r>
          </w:p>
        </w:tc>
      </w:tr>
      <w:tr>
        <w:trPr>
          <w:trHeight w:val="20"/>
        </w:trPr>
        <w:tc>
          <w:tcPr>
            <w:tcW w:w="1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04"/>
        </w:trPr>
        <w:tc>
          <w:tcPr>
            <w:tcW w:w="1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20" w:type="dxa"/>
            <w:vAlign w:val="bottom"/>
            <w:gridSpan w:val="2"/>
          </w:tcPr>
          <w:p>
            <w:pPr>
              <w:jc w:val="right"/>
              <w:ind w:right="2372"/>
              <w:spacing w:after="0"/>
              <w:rPr>
                <w:sz w:val="20"/>
                <w:szCs w:val="20"/>
                <w:color w:val="auto"/>
              </w:rPr>
            </w:pPr>
            <w:r>
              <w:rPr>
                <w:rFonts w:ascii="Arial" w:cs="Arial" w:eastAsia="Arial" w:hAnsi="Arial"/>
                <w:sz w:val="14"/>
                <w:szCs w:val="14"/>
                <w:color w:val="auto"/>
              </w:rPr>
              <w:t>F-38</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7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100" w:right="700" w:hanging="634"/>
        <w:spacing w:after="0" w:line="318" w:lineRule="auto"/>
        <w:tabs>
          <w:tab w:leader="none" w:pos="10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360" w:firstLine="456"/>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2012</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86"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111"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9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In accordance with ASU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3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Range of</w:t>
            </w:r>
          </w:p>
        </w:tc>
      </w:tr>
      <w:tr>
        <w:trPr>
          <w:trHeight w:val="149"/>
        </w:trPr>
        <w:tc>
          <w:tcPr>
            <w:tcW w:w="9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Values/</w:t>
            </w:r>
          </w:p>
        </w:tc>
      </w:t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Asset Category</w:t>
            </w:r>
          </w:p>
        </w:tc>
        <w:tc>
          <w:tcPr>
            <w:tcW w:w="4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w w:val="86"/>
              </w:rPr>
              <w:t>Fair Value</w:t>
            </w: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Valuation Techniques</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Unobservable Inputs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Input</w:t>
            </w:r>
          </w:p>
        </w:tc>
      </w:tr>
      <w:tr>
        <w:trPr>
          <w:trHeight w:val="136"/>
        </w:trPr>
        <w:tc>
          <w:tcPr>
            <w:tcW w:w="52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w w:val="92"/>
              </w:rPr>
              <w:t>First lien, second lien, subordinated debt/corporate notes and preferred and common equity</w:t>
            </w:r>
          </w:p>
        </w:tc>
        <w:tc>
          <w:tcPr>
            <w:tcW w:w="8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90</w:t>
            </w:r>
          </w:p>
        </w:tc>
        <w:tc>
          <w:tcPr>
            <w:tcW w:w="360" w:type="dxa"/>
            <w:vAlign w:val="bottom"/>
            <w:tcBorders>
              <w:top w:val="single" w:sz="8" w:color="CCEEFF"/>
            </w:tcBorders>
            <w:shd w:val="clear" w:color="auto" w:fill="CCEEFF"/>
          </w:tcPr>
          <w:p>
            <w:pPr>
              <w:jc w:val="right"/>
              <w:ind w:right="172"/>
              <w:spacing w:after="0" w:line="136" w:lineRule="exact"/>
              <w:rPr>
                <w:sz w:val="20"/>
                <w:szCs w:val="20"/>
                <w:color w:val="auto"/>
              </w:rPr>
            </w:pPr>
            <w:r>
              <w:rPr>
                <w:rFonts w:ascii="Arial" w:cs="Arial" w:eastAsia="Arial" w:hAnsi="Arial"/>
                <w:sz w:val="14"/>
                <w:szCs w:val="14"/>
                <w:color w:val="auto"/>
                <w:w w:val="79"/>
              </w:rPr>
              <w:t>%</w:t>
            </w:r>
          </w:p>
        </w:tc>
        <w:tc>
          <w:tcPr>
            <w:tcW w:w="16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7"/>
              </w:rPr>
              <w:t>Market approach</w:t>
            </w:r>
          </w:p>
        </w:tc>
        <w:tc>
          <w:tcPr>
            <w:tcW w:w="2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9"/>
              </w:rPr>
              <w:t>Broker/Dealer bids</w:t>
            </w: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5"/>
              </w:rPr>
              <w:t>1 - 9</w:t>
            </w:r>
          </w:p>
        </w:tc>
      </w:tr>
      <w:tr>
        <w:trPr>
          <w:trHeight w:val="138"/>
        </w:trPr>
        <w:tc>
          <w:tcPr>
            <w:tcW w:w="5260" w:type="dxa"/>
            <w:vAlign w:val="bottom"/>
            <w:gridSpan w:val="2"/>
          </w:tcPr>
          <w:p>
            <w:pPr>
              <w:spacing w:after="0" w:line="138" w:lineRule="exact"/>
              <w:rPr>
                <w:sz w:val="20"/>
                <w:szCs w:val="20"/>
                <w:color w:val="auto"/>
              </w:rPr>
            </w:pPr>
            <w:r>
              <w:rPr>
                <w:rFonts w:ascii="Arial" w:cs="Arial" w:eastAsia="Arial" w:hAnsi="Arial"/>
                <w:sz w:val="14"/>
                <w:szCs w:val="14"/>
                <w:color w:val="auto"/>
                <w:w w:val="92"/>
              </w:rPr>
              <w:t>First lien, second lien, subordinated debt/corporate notes and preferred and common equity</w:t>
            </w:r>
          </w:p>
        </w:tc>
        <w:tc>
          <w:tcPr>
            <w:tcW w:w="1820" w:type="dxa"/>
            <w:vAlign w:val="bottom"/>
            <w:gridSpan w:val="3"/>
          </w:tcPr>
          <w:p>
            <w:pPr>
              <w:jc w:val="right"/>
              <w:ind w:right="172"/>
              <w:spacing w:after="0" w:line="138" w:lineRule="exact"/>
              <w:rPr>
                <w:sz w:val="20"/>
                <w:szCs w:val="20"/>
                <w:color w:val="auto"/>
              </w:rPr>
            </w:pPr>
            <w:r>
              <w:rPr>
                <w:rFonts w:ascii="Arial" w:cs="Arial" w:eastAsia="Arial" w:hAnsi="Arial"/>
                <w:sz w:val="14"/>
                <w:szCs w:val="14"/>
                <w:color w:val="auto"/>
              </w:rPr>
              <w:t>10%</w:t>
            </w:r>
          </w:p>
        </w:tc>
        <w:tc>
          <w:tcPr>
            <w:tcW w:w="186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7"/>
              </w:rPr>
              <w:t>Market comparable /</w:t>
            </w:r>
          </w:p>
        </w:tc>
        <w:tc>
          <w:tcPr>
            <w:tcW w:w="168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2"/>
              </w:rPr>
              <w:t>EBITDA multiples</w:t>
            </w:r>
          </w:p>
        </w:tc>
        <w:tc>
          <w:tcPr>
            <w:tcW w:w="800" w:type="dxa"/>
            <w:vAlign w:val="bottom"/>
          </w:tcPr>
          <w:p>
            <w:pPr>
              <w:jc w:val="center"/>
              <w:spacing w:after="0" w:line="138" w:lineRule="exact"/>
              <w:rPr>
                <w:sz w:val="20"/>
                <w:szCs w:val="20"/>
                <w:color w:val="auto"/>
              </w:rPr>
            </w:pPr>
            <w:r>
              <w:rPr>
                <w:rFonts w:ascii="Arial" w:cs="Arial" w:eastAsia="Arial" w:hAnsi="Arial"/>
                <w:sz w:val="14"/>
                <w:szCs w:val="14"/>
                <w:color w:val="auto"/>
                <w:w w:val="89"/>
              </w:rPr>
              <w:t>7.6x – 10.7x</w:t>
            </w:r>
          </w:p>
        </w:tc>
      </w:tr>
      <w:tr>
        <w:trPr>
          <w:trHeight w:val="159"/>
        </w:trPr>
        <w:tc>
          <w:tcPr>
            <w:tcW w:w="9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6"/>
              </w:rPr>
              <w:t>Enterprise value</w:t>
            </w: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8"/>
        </w:trPr>
        <w:tc>
          <w:tcPr>
            <w:tcW w:w="5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Long-Term Credit Facility</w:t>
            </w:r>
          </w:p>
        </w:tc>
        <w:tc>
          <w:tcPr>
            <w:tcW w:w="1820" w:type="dxa"/>
            <w:vAlign w:val="bottom"/>
            <w:gridSpan w:val="3"/>
            <w:shd w:val="clear" w:color="auto" w:fill="CCEEFF"/>
          </w:tcPr>
          <w:p>
            <w:pPr>
              <w:jc w:val="right"/>
              <w:ind w:right="172"/>
              <w:spacing w:after="0" w:line="138" w:lineRule="exact"/>
              <w:rPr>
                <w:sz w:val="20"/>
                <w:szCs w:val="20"/>
                <w:color w:val="auto"/>
              </w:rPr>
            </w:pPr>
            <w:r>
              <w:rPr>
                <w:rFonts w:ascii="Arial" w:cs="Arial" w:eastAsia="Arial" w:hAnsi="Arial"/>
                <w:sz w:val="14"/>
                <w:szCs w:val="14"/>
                <w:color w:val="auto"/>
              </w:rPr>
              <w:t>100%</w:t>
            </w:r>
          </w:p>
        </w:tc>
        <w:tc>
          <w:tcPr>
            <w:tcW w:w="18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Market comparable / Income</w:t>
            </w:r>
          </w:p>
        </w:tc>
        <w:tc>
          <w:tcPr>
            <w:tcW w:w="16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Discount rate</w:t>
            </w:r>
          </w:p>
        </w:tc>
        <w:tc>
          <w:tcPr>
            <w:tcW w:w="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3.5%</w:t>
            </w:r>
          </w:p>
        </w:tc>
      </w:tr>
      <w:tr>
        <w:trPr>
          <w:trHeight w:val="159"/>
        </w:trPr>
        <w:tc>
          <w:tcPr>
            <w:tcW w:w="92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2"/>
              </w:rPr>
              <w:t>approach</w:t>
            </w:r>
          </w:p>
        </w:tc>
        <w:tc>
          <w:tcPr>
            <w:tcW w:w="1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310"/>
        </w:trPr>
        <w:tc>
          <w:tcPr>
            <w:tcW w:w="9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20" w:type="dxa"/>
            <w:vAlign w:val="bottom"/>
            <w:gridSpan w:val="3"/>
          </w:tcPr>
          <w:p>
            <w:pPr>
              <w:jc w:val="right"/>
              <w:ind w:right="1172"/>
              <w:spacing w:after="0"/>
              <w:rPr>
                <w:sz w:val="20"/>
                <w:szCs w:val="20"/>
                <w:color w:val="auto"/>
              </w:rPr>
            </w:pPr>
            <w:r>
              <w:rPr>
                <w:rFonts w:ascii="Arial" w:cs="Arial" w:eastAsia="Arial" w:hAnsi="Arial"/>
                <w:sz w:val="14"/>
                <w:szCs w:val="14"/>
                <w:color w:val="auto"/>
              </w:rPr>
              <w:t>F-40</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45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45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At March 31, 2012 and September 30, 2011, our cash equivalents, investments and our long-term Credit Facility were categorized as follows in the fair value hierarchy for ASC 820 purposes.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40" w:type="dxa"/>
            <w:vAlign w:val="bottom"/>
            <w:gridSpan w:val="7"/>
          </w:tcPr>
          <w:p>
            <w:pPr>
              <w:ind w:left="40"/>
              <w:spacing w:after="0"/>
              <w:rPr>
                <w:sz w:val="20"/>
                <w:szCs w:val="20"/>
                <w:color w:val="auto"/>
              </w:rPr>
            </w:pPr>
            <w:r>
              <w:rPr>
                <w:rFonts w:ascii="Arial" w:cs="Arial" w:eastAsia="Arial" w:hAnsi="Arial"/>
                <w:sz w:val="14"/>
                <w:szCs w:val="14"/>
                <w:b w:val="1"/>
                <w:bCs w:val="1"/>
                <w:color w:val="auto"/>
                <w:w w:val="88"/>
              </w:rPr>
              <w:t>Fair Value Measurements at March 31, 2012</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56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vMerge w:val="continue"/>
          </w:tcPr>
          <w:p>
            <w:pPr>
              <w:spacing w:after="0"/>
              <w:rPr>
                <w:sz w:val="11"/>
                <w:szCs w:val="11"/>
                <w:color w:val="auto"/>
              </w:rPr>
            </w:pPr>
          </w:p>
        </w:tc>
        <w:tc>
          <w:tcPr>
            <w:tcW w:w="5620" w:type="dxa"/>
            <w:vAlign w:val="bottom"/>
            <w:vMerge w:val="continue"/>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6"/>
              </w:rPr>
              <w:t>Fair Value</w:t>
            </w: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2</w:t>
            </w: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6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w:t>
            </w: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126,306,324</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126,306,324</w:t>
            </w:r>
          </w:p>
        </w:tc>
        <w:tc>
          <w:tcPr>
            <w:tcW w:w="0" w:type="dxa"/>
            <w:vAlign w:val="bottom"/>
          </w:tcPr>
          <w:p>
            <w:pPr>
              <w:spacing w:after="0"/>
              <w:rPr>
                <w:sz w:val="1"/>
                <w:szCs w:val="1"/>
                <w:color w:val="auto"/>
              </w:rPr>
            </w:pPr>
          </w:p>
        </w:tc>
      </w:tr>
      <w:tr>
        <w:trPr>
          <w:trHeight w:val="175"/>
        </w:trPr>
        <w:tc>
          <w:tcPr>
            <w:tcW w:w="632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7,136,250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7,136,250</w:t>
            </w: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debt/corporate notes</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12,215,480</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3,710,500</w:t>
            </w:r>
          </w:p>
        </w:tc>
        <w:tc>
          <w:tcPr>
            <w:tcW w:w="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8,504,980</w:t>
            </w:r>
          </w:p>
        </w:tc>
        <w:tc>
          <w:tcPr>
            <w:tcW w:w="0" w:type="dxa"/>
            <w:vAlign w:val="bottom"/>
          </w:tcPr>
          <w:p>
            <w:pPr>
              <w:spacing w:after="0"/>
              <w:rPr>
                <w:sz w:val="1"/>
                <w:szCs w:val="1"/>
                <w:color w:val="auto"/>
              </w:rPr>
            </w:pPr>
          </w:p>
        </w:tc>
      </w:tr>
      <w:tr>
        <w:trPr>
          <w:trHeight w:val="189"/>
        </w:trPr>
        <w:tc>
          <w:tcPr>
            <w:tcW w:w="6320" w:type="dxa"/>
            <w:vAlign w:val="bottom"/>
            <w:gridSpan w:val="2"/>
          </w:tcPr>
          <w:p>
            <w:pPr>
              <w:spacing w:after="0"/>
              <w:rPr>
                <w:sz w:val="20"/>
                <w:szCs w:val="20"/>
                <w:color w:val="auto"/>
              </w:rPr>
            </w:pPr>
            <w:r>
              <w:rPr>
                <w:rFonts w:ascii="Arial" w:cs="Arial" w:eastAsia="Arial" w:hAnsi="Arial"/>
                <w:sz w:val="14"/>
                <w:szCs w:val="14"/>
                <w:color w:val="auto"/>
              </w:rPr>
              <w:t>Preferred and common equity</w:t>
            </w: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530,078</w:t>
            </w:r>
          </w:p>
        </w:tc>
        <w:tc>
          <w:tcPr>
            <w:tcW w:w="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530,078</w:t>
            </w:r>
          </w:p>
        </w:tc>
        <w:tc>
          <w:tcPr>
            <w:tcW w:w="0" w:type="dxa"/>
            <w:vAlign w:val="bottom"/>
          </w:tcPr>
          <w:p>
            <w:pPr>
              <w:spacing w:after="0"/>
              <w:rPr>
                <w:sz w:val="1"/>
                <w:szCs w:val="1"/>
                <w:color w:val="auto"/>
              </w:rPr>
            </w:pPr>
          </w:p>
        </w:tc>
      </w:tr>
      <w:tr>
        <w:trPr>
          <w:trHeight w:val="196"/>
        </w:trPr>
        <w:tc>
          <w:tcPr>
            <w:tcW w:w="63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investments</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146,188,132</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3,710,500</w:t>
            </w:r>
          </w:p>
        </w:tc>
        <w:tc>
          <w:tcPr>
            <w:tcW w:w="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142,477,632</w:t>
            </w:r>
          </w:p>
        </w:tc>
        <w:tc>
          <w:tcPr>
            <w:tcW w:w="0" w:type="dxa"/>
            <w:vAlign w:val="bottom"/>
          </w:tcPr>
          <w:p>
            <w:pPr>
              <w:spacing w:after="0"/>
              <w:rPr>
                <w:sz w:val="1"/>
                <w:szCs w:val="1"/>
                <w:color w:val="auto"/>
              </w:rPr>
            </w:pPr>
          </w:p>
        </w:tc>
      </w:tr>
      <w:tr>
        <w:trPr>
          <w:trHeight w:val="189"/>
        </w:trPr>
        <w:tc>
          <w:tcPr>
            <w:tcW w:w="6320" w:type="dxa"/>
            <w:vAlign w:val="bottom"/>
            <w:gridSpan w:val="2"/>
          </w:tcPr>
          <w:p>
            <w:pPr>
              <w:spacing w:after="0"/>
              <w:rPr>
                <w:sz w:val="20"/>
                <w:szCs w:val="20"/>
                <w:color w:val="auto"/>
              </w:rPr>
            </w:pPr>
            <w:r>
              <w:rPr>
                <w:rFonts w:ascii="Arial" w:cs="Arial" w:eastAsia="Arial" w:hAnsi="Arial"/>
                <w:sz w:val="14"/>
                <w:szCs w:val="14"/>
                <w:color w:val="auto"/>
              </w:rPr>
              <w:t>Cash equivalents</w:t>
            </w: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3,849,360</w:t>
            </w:r>
          </w:p>
        </w:tc>
        <w:tc>
          <w:tcPr>
            <w:tcW w:w="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3"/>
              </w:rPr>
              <w:t>3,849,360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3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investments and cash equivalents</w:t>
            </w:r>
          </w:p>
        </w:tc>
        <w:tc>
          <w:tcPr>
            <w:tcW w:w="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150,037,492</w:t>
            </w:r>
          </w:p>
        </w:tc>
        <w:tc>
          <w:tcPr>
            <w:tcW w:w="4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83"/>
              </w:rPr>
              <w:t>3,849,360</w:t>
            </w: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83"/>
              </w:rPr>
              <w:t>3,710,500</w:t>
            </w:r>
          </w:p>
        </w:tc>
        <w:tc>
          <w:tcPr>
            <w:tcW w:w="480" w:type="dxa"/>
            <w:vAlign w:val="bottom"/>
            <w:tcBorders>
              <w:right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142,477,632</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20" w:type="dxa"/>
            <w:vAlign w:val="bottom"/>
            <w:gridSpan w:val="2"/>
            <w:vMerge w:val="continue"/>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47,561,000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47,561,000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120" w:type="dxa"/>
            <w:vAlign w:val="bottom"/>
            <w:gridSpan w:val="11"/>
          </w:tcPr>
          <w:p>
            <w:pPr>
              <w:jc w:val="right"/>
              <w:ind w:right="672"/>
              <w:spacing w:after="0"/>
              <w:rPr>
                <w:sz w:val="20"/>
                <w:szCs w:val="20"/>
                <w:color w:val="auto"/>
              </w:rPr>
            </w:pPr>
            <w:r>
              <w:rPr>
                <w:rFonts w:ascii="Arial" w:cs="Arial" w:eastAsia="Arial" w:hAnsi="Arial"/>
                <w:sz w:val="14"/>
                <w:szCs w:val="14"/>
                <w:b w:val="1"/>
                <w:bCs w:val="1"/>
                <w:color w:val="auto"/>
              </w:rPr>
              <w:t>Fair Value Measurements at September 30, 2011</w:t>
            </w:r>
          </w:p>
        </w:tc>
        <w:tc>
          <w:tcPr>
            <w:tcW w:w="0" w:type="dxa"/>
            <w:vAlign w:val="bottom"/>
          </w:tcPr>
          <w:p>
            <w:pPr>
              <w:spacing w:after="0"/>
              <w:rPr>
                <w:sz w:val="1"/>
                <w:szCs w:val="1"/>
                <w:color w:val="auto"/>
              </w:rPr>
            </w:pPr>
          </w:p>
        </w:tc>
      </w:tr>
      <w:tr>
        <w:trPr>
          <w:trHeight w:val="2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14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vMerge w:val="continue"/>
          </w:tcPr>
          <w:p>
            <w:pPr>
              <w:spacing w:after="0"/>
              <w:rPr>
                <w:sz w:val="11"/>
                <w:szCs w:val="11"/>
                <w:color w:val="auto"/>
              </w:rPr>
            </w:pPr>
          </w:p>
        </w:tc>
        <w:tc>
          <w:tcPr>
            <w:tcW w:w="3140" w:type="dxa"/>
            <w:vAlign w:val="bottom"/>
            <w:vMerge w:val="continue"/>
          </w:tcPr>
          <w:p>
            <w:pPr>
              <w:spacing w:after="0"/>
              <w:rPr>
                <w:sz w:val="11"/>
                <w:szCs w:val="11"/>
                <w:color w:val="auto"/>
              </w:rPr>
            </w:pPr>
          </w:p>
        </w:tc>
        <w:tc>
          <w:tcPr>
            <w:tcW w:w="2540" w:type="dxa"/>
            <w:vAlign w:val="bottom"/>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w:t>
            </w:r>
          </w:p>
        </w:tc>
        <w:tc>
          <w:tcPr>
            <w:tcW w:w="25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40" w:type="dxa"/>
            <w:vAlign w:val="bottom"/>
            <w:gridSpan w:val="2"/>
            <w:vMerge w:val="continue"/>
            <w:shd w:val="clear" w:color="auto" w:fill="CCEEFF"/>
          </w:tcPr>
          <w:p>
            <w:pPr>
              <w:spacing w:after="0"/>
              <w:rPr>
                <w:sz w:val="14"/>
                <w:szCs w:val="14"/>
                <w:color w:val="auto"/>
              </w:rPr>
            </w:pPr>
          </w:p>
        </w:tc>
        <w:tc>
          <w:tcPr>
            <w:tcW w:w="2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4"/>
              </w:rPr>
              <w:t>94,333,126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3"/>
              </w:rPr>
              <w:t>2,033,747</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92,299,379</w:t>
            </w:r>
          </w:p>
        </w:tc>
        <w:tc>
          <w:tcPr>
            <w:tcW w:w="0" w:type="dxa"/>
            <w:vAlign w:val="bottom"/>
          </w:tcPr>
          <w:p>
            <w:pPr>
              <w:spacing w:after="0"/>
              <w:rPr>
                <w:sz w:val="1"/>
                <w:szCs w:val="1"/>
                <w:color w:val="auto"/>
              </w:rPr>
            </w:pPr>
          </w:p>
        </w:tc>
      </w:tr>
      <w:tr>
        <w:trPr>
          <w:trHeight w:val="175"/>
        </w:trPr>
        <w:tc>
          <w:tcPr>
            <w:tcW w:w="38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5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9,285,000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9,285,000</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debt/corporate notes</w:t>
            </w:r>
          </w:p>
        </w:tc>
        <w:tc>
          <w:tcPr>
            <w:tcW w:w="254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7,004,130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3"/>
              </w:rPr>
              <w:t>1,155,000</w:t>
            </w:r>
          </w:p>
        </w:tc>
        <w:tc>
          <w:tcPr>
            <w:tcW w:w="30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5,849,130</w:t>
            </w:r>
          </w:p>
        </w:tc>
        <w:tc>
          <w:tcPr>
            <w:tcW w:w="0" w:type="dxa"/>
            <w:vAlign w:val="bottom"/>
          </w:tcPr>
          <w:p>
            <w:pPr>
              <w:spacing w:after="0"/>
              <w:rPr>
                <w:sz w:val="1"/>
                <w:szCs w:val="1"/>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4"/>
                <w:szCs w:val="14"/>
                <w:color w:val="auto"/>
              </w:rPr>
              <w:t>Preferred and common equity</w:t>
            </w:r>
          </w:p>
        </w:tc>
        <w:tc>
          <w:tcPr>
            <w:tcW w:w="25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101,985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101,985</w:t>
            </w:r>
          </w:p>
        </w:tc>
        <w:tc>
          <w:tcPr>
            <w:tcW w:w="0" w:type="dxa"/>
            <w:vAlign w:val="bottom"/>
          </w:tcPr>
          <w:p>
            <w:pPr>
              <w:spacing w:after="0"/>
              <w:rPr>
                <w:sz w:val="1"/>
                <w:szCs w:val="1"/>
                <w:color w:val="auto"/>
              </w:rPr>
            </w:pPr>
          </w:p>
        </w:tc>
      </w:tr>
      <w:tr>
        <w:trPr>
          <w:trHeight w:val="196"/>
        </w:trPr>
        <w:tc>
          <w:tcPr>
            <w:tcW w:w="3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investments</w:t>
            </w:r>
          </w:p>
        </w:tc>
        <w:tc>
          <w:tcPr>
            <w:tcW w:w="254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4"/>
              </w:rPr>
              <w:t>110,724,241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3"/>
              </w:rPr>
              <w:t>3,188,747</w:t>
            </w:r>
          </w:p>
        </w:tc>
        <w:tc>
          <w:tcPr>
            <w:tcW w:w="30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0" w:type="dxa"/>
            <w:vAlign w:val="bottom"/>
          </w:tcPr>
          <w:p>
            <w:pPr>
              <w:spacing w:after="0"/>
              <w:rPr>
                <w:sz w:val="1"/>
                <w:szCs w:val="1"/>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4"/>
                <w:szCs w:val="14"/>
                <w:color w:val="auto"/>
              </w:rPr>
              <w:t>Cash equivalents</w:t>
            </w:r>
          </w:p>
        </w:tc>
        <w:tc>
          <w:tcPr>
            <w:tcW w:w="25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6,987,450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3"/>
              </w:rPr>
              <w:t>6,987,450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investments and cash equivalents</w:t>
            </w:r>
          </w:p>
        </w:tc>
        <w:tc>
          <w:tcPr>
            <w:tcW w:w="254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117,711,691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83"/>
              </w:rPr>
              <w:t>6,987,450</w:t>
            </w: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3,188,747</w:t>
            </w: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40" w:type="dxa"/>
            <w:vAlign w:val="bottom"/>
            <w:gridSpan w:val="2"/>
            <w:vMerge w:val="continue"/>
          </w:tcPr>
          <w:p>
            <w:pPr>
              <w:spacing w:after="0"/>
              <w:rPr>
                <w:sz w:val="15"/>
                <w:szCs w:val="15"/>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24,650,000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24,650,000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40" w:type="dxa"/>
            <w:vAlign w:val="bottom"/>
          </w:tcPr>
          <w:p>
            <w:pPr>
              <w:jc w:val="right"/>
              <w:ind w:right="932"/>
              <w:spacing w:after="0"/>
              <w:rPr>
                <w:sz w:val="20"/>
                <w:szCs w:val="20"/>
                <w:color w:val="auto"/>
              </w:rPr>
            </w:pPr>
            <w:r>
              <w:rPr>
                <w:rFonts w:ascii="Arial" w:cs="Arial" w:eastAsia="Arial" w:hAnsi="Arial"/>
                <w:sz w:val="14"/>
                <w:szCs w:val="14"/>
                <w:color w:val="auto"/>
              </w:rPr>
              <w:t>F-41</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86"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 for the six months ended March 31, 2012 and for the period from March 4, 2011 (commencement of operations) to September 30, 2011:</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98" w:lineRule="auto"/>
        <w:rPr>
          <w:sz w:val="20"/>
          <w:szCs w:val="20"/>
          <w:color w:val="auto"/>
        </w:rPr>
      </w:pPr>
      <w:r>
        <w:rPr>
          <w:rFonts w:ascii="Arial" w:cs="Arial" w:eastAsia="Arial" w:hAnsi="Arial"/>
          <w:sz w:val="14"/>
          <w:szCs w:val="14"/>
          <w:color w:val="auto"/>
        </w:rPr>
        <w:t>Beginning Balance, October 1, 2011</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200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Realized gains</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Unrealized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200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PIK and net discount accretion</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Sales /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200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Transfers in and/or out of Level 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Ending Balance,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200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62"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Net change in unrealized appreciation for the six months ended March 31, 2012 reported within the net change in unrealized appreciation on investments in our Consolidated Statement of Operations attributable to our Level 3 assets still held at the reporting date.</w:t>
      </w:r>
    </w:p>
    <w:p>
      <w:pPr>
        <w:spacing w:after="0" w:line="153" w:lineRule="exact"/>
        <w:rPr>
          <w:sz w:val="20"/>
          <w:szCs w:val="20"/>
          <w:color w:val="auto"/>
        </w:rPr>
      </w:pPr>
    </w:p>
    <w:p>
      <w:pPr>
        <w:ind w:left="220" w:hanging="212"/>
        <w:spacing w:after="0"/>
        <w:tabs>
          <w:tab w:leader="none" w:pos="220" w:val="left"/>
        </w:tabs>
        <w:numPr>
          <w:ilvl w:val="0"/>
          <w:numId w:val="89"/>
        </w:numPr>
        <w:rPr>
          <w:rFonts w:ascii="Arial" w:cs="Arial" w:eastAsia="Arial" w:hAnsi="Arial"/>
          <w:sz w:val="22"/>
          <w:szCs w:val="22"/>
          <w:color w:val="auto"/>
          <w:vertAlign w:val="superscript"/>
        </w:rPr>
      </w:pPr>
      <w:r>
        <w:rPr>
          <w:rFonts w:ascii="Arial" w:cs="Arial" w:eastAsia="Arial" w:hAnsi="Arial"/>
          <w:sz w:val="14"/>
          <w:szCs w:val="14"/>
          <w:color w:val="auto"/>
        </w:rPr>
        <w:t>As-adjusted to conform to current year presentation.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Six Months Ended March 31, 2012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Second lien,</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First Lien</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and equity investments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Totals</w:t>
            </w:r>
          </w:p>
        </w:tc>
        <w:tc>
          <w:tcPr>
            <w:tcW w:w="40" w:type="dxa"/>
            <w:vAlign w:val="bottom"/>
          </w:tcPr>
          <w:p>
            <w:pPr>
              <w:spacing w:after="0"/>
              <w:rPr>
                <w:sz w:val="14"/>
                <w:szCs w:val="14"/>
                <w:color w:val="auto"/>
              </w:rPr>
            </w:pPr>
          </w:p>
        </w:tc>
      </w:tr>
      <w:tr>
        <w:trPr>
          <w:trHeight w:val="169"/>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89,329,379</w:t>
            </w:r>
          </w:p>
        </w:tc>
        <w:tc>
          <w:tcPr>
            <w:tcW w:w="260" w:type="dxa"/>
            <w:vAlign w:val="bottom"/>
          </w:tcPr>
          <w:p>
            <w:pPr>
              <w:spacing w:after="0"/>
              <w:rPr>
                <w:sz w:val="14"/>
                <w:szCs w:val="14"/>
                <w:color w:val="auto"/>
              </w:rPr>
            </w:pP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18,206,115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84"/>
              </w:rPr>
              <w:t>107,535,494</w:t>
            </w:r>
          </w:p>
        </w:tc>
        <w:tc>
          <w:tcPr>
            <w:tcW w:w="40" w:type="dxa"/>
            <w:vAlign w:val="bottom"/>
          </w:tcPr>
          <w:p>
            <w:pPr>
              <w:spacing w:after="0"/>
              <w:rPr>
                <w:sz w:val="14"/>
                <w:szCs w:val="14"/>
                <w:color w:val="auto"/>
              </w:rPr>
            </w:pPr>
          </w:p>
        </w:tc>
      </w:tr>
      <w:tr>
        <w:trPr>
          <w:trHeight w:val="176"/>
        </w:trPr>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315,366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86,442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401,808</w:t>
            </w:r>
          </w:p>
        </w:tc>
        <w:tc>
          <w:tcPr>
            <w:tcW w:w="40" w:type="dxa"/>
            <w:vAlign w:val="bottom"/>
          </w:tcPr>
          <w:p>
            <w:pPr>
              <w:spacing w:after="0"/>
              <w:rPr>
                <w:sz w:val="15"/>
                <w:szCs w:val="15"/>
                <w:color w:val="auto"/>
              </w:rPr>
            </w:pPr>
          </w:p>
        </w:tc>
      </w:tr>
      <w:tr>
        <w:trPr>
          <w:trHeight w:val="189"/>
        </w:trPr>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3,176,684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543,615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3,720,299</w:t>
            </w:r>
          </w:p>
        </w:tc>
        <w:tc>
          <w:tcPr>
            <w:tcW w:w="40" w:type="dxa"/>
            <w:vAlign w:val="bottom"/>
          </w:tcPr>
          <w:p>
            <w:pPr>
              <w:spacing w:after="0"/>
              <w:rPr>
                <w:sz w:val="16"/>
                <w:szCs w:val="16"/>
                <w:color w:val="auto"/>
              </w:rPr>
            </w:pPr>
          </w:p>
        </w:tc>
      </w:tr>
      <w:tr>
        <w:trPr>
          <w:trHeight w:val="189"/>
        </w:trPr>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67,494,977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2,868,886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70,363,863</w:t>
            </w:r>
          </w:p>
        </w:tc>
        <w:tc>
          <w:tcPr>
            <w:tcW w:w="40" w:type="dxa"/>
            <w:vAlign w:val="bottom"/>
          </w:tcPr>
          <w:p>
            <w:pPr>
              <w:spacing w:after="0"/>
              <w:rPr>
                <w:sz w:val="16"/>
                <w:szCs w:val="16"/>
                <w:color w:val="auto"/>
              </w:rPr>
            </w:pPr>
          </w:p>
        </w:tc>
      </w:tr>
      <w:tr>
        <w:trPr>
          <w:trHeight w:val="189"/>
        </w:trPr>
        <w:tc>
          <w:tcPr>
            <w:tcW w:w="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w w:val="88"/>
              </w:rPr>
              <w:t>(34,010,082)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(5,533,750)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88"/>
              </w:rPr>
              <w:t>(39,543,832)</w:t>
            </w:r>
          </w:p>
        </w:tc>
      </w:tr>
      <w:tr>
        <w:trPr>
          <w:trHeight w:val="197"/>
        </w:trPr>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r>
      <w:tr>
        <w:trPr>
          <w:trHeight w:val="196"/>
        </w:trPr>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126,306,324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16,171,308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142,477,632</w:t>
            </w:r>
          </w:p>
        </w:tc>
        <w:tc>
          <w:tcPr>
            <w:tcW w:w="40" w:type="dxa"/>
            <w:vAlign w:val="bottom"/>
          </w:tcPr>
          <w:p>
            <w:pPr>
              <w:spacing w:after="0"/>
              <w:rPr>
                <w:sz w:val="17"/>
                <w:szCs w:val="17"/>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3,638,956</w:t>
            </w:r>
          </w:p>
        </w:tc>
        <w:tc>
          <w:tcPr>
            <w:tcW w:w="260" w:type="dxa"/>
            <w:vAlign w:val="bottom"/>
          </w:tcPr>
          <w:p>
            <w:pPr>
              <w:spacing w:after="0"/>
              <w:rPr>
                <w:sz w:val="24"/>
                <w:szCs w:val="24"/>
                <w:color w:val="auto"/>
              </w:rPr>
            </w:pP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546,020</w:t>
            </w:r>
          </w:p>
        </w:tc>
        <w:tc>
          <w:tcPr>
            <w:tcW w:w="2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4,184,976</w:t>
            </w:r>
          </w:p>
        </w:tc>
        <w:tc>
          <w:tcPr>
            <w:tcW w:w="40" w:type="dxa"/>
            <w:vAlign w:val="bottom"/>
          </w:tcPr>
          <w:p>
            <w:pPr>
              <w:spacing w:after="0"/>
              <w:rPr>
                <w:sz w:val="24"/>
                <w:szCs w:val="24"/>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54" w:lineRule="exact"/>
        <w:rPr>
          <w:sz w:val="20"/>
          <w:szCs w:val="20"/>
          <w:color w:val="auto"/>
        </w:rPr>
      </w:pPr>
    </w:p>
    <w:p>
      <w:pPr>
        <w:sectPr>
          <w:pgSz w:w="11900" w:h="16838" w:orient="portrait"/>
          <w:cols w:equalWidth="0" w:num="2">
            <w:col w:w="7120" w:space="440"/>
            <w:col w:w="38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87"/>
              </w:rPr>
              <w:t>March 4, 2011 (commencement of operations) to September 30, 2011</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subordinated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04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debt and equity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tcBorders>
            <w:vMerge w:val="continue"/>
          </w:tcPr>
          <w:p>
            <w:pPr>
              <w:spacing w:after="0"/>
              <w:rPr>
                <w:sz w:val="12"/>
                <w:szCs w:val="12"/>
                <w:color w:val="auto"/>
              </w:rPr>
            </w:pPr>
          </w:p>
        </w:tc>
        <w:tc>
          <w:tcPr>
            <w:tcW w:w="6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67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Beginning Balance, March 4, 2011</w:t>
            </w: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60" w:type="dxa"/>
            <w:vAlign w:val="bottom"/>
            <w:gridSpan w:val="2"/>
            <w:vMerge w:val="continue"/>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760" w:type="dxa"/>
            <w:vAlign w:val="bottom"/>
            <w:gridSpan w:val="2"/>
          </w:tcPr>
          <w:p>
            <w:pPr>
              <w:ind w:left="440"/>
              <w:spacing w:after="0"/>
              <w:rPr>
                <w:sz w:val="20"/>
                <w:szCs w:val="20"/>
                <w:color w:val="auto"/>
              </w:rPr>
            </w:pPr>
            <w:r>
              <w:rPr>
                <w:rFonts w:ascii="Arial" w:cs="Arial" w:eastAsia="Arial" w:hAnsi="Arial"/>
                <w:sz w:val="14"/>
                <w:szCs w:val="14"/>
                <w:color w:val="auto"/>
              </w:rPr>
              <w:t>Realized gains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218,684</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93,319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312,003</w:t>
            </w:r>
          </w:p>
        </w:tc>
        <w:tc>
          <w:tcPr>
            <w:tcW w:w="0" w:type="dxa"/>
            <w:vAlign w:val="bottom"/>
          </w:tcPr>
          <w:p>
            <w:pPr>
              <w:spacing w:after="0"/>
              <w:rPr>
                <w:sz w:val="1"/>
                <w:szCs w:val="1"/>
                <w:color w:val="auto"/>
              </w:rPr>
            </w:pPr>
          </w:p>
        </w:tc>
      </w:tr>
      <w:tr>
        <w:trPr>
          <w:trHeight w:val="196"/>
        </w:trPr>
        <w:tc>
          <w:tcPr>
            <w:tcW w:w="6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Unrealized depreciation</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(3,621,606)</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(93,301)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182"/>
        </w:trPr>
        <w:tc>
          <w:tcPr>
            <w:tcW w:w="6760" w:type="dxa"/>
            <w:vAlign w:val="bottom"/>
            <w:gridSpan w:val="2"/>
          </w:tcPr>
          <w:p>
            <w:pPr>
              <w:ind w:left="440"/>
              <w:spacing w:after="0"/>
              <w:rPr>
                <w:sz w:val="20"/>
                <w:szCs w:val="20"/>
                <w:color w:val="auto"/>
              </w:rPr>
            </w:pPr>
            <w:r>
              <w:rPr>
                <w:rFonts w:ascii="Arial" w:cs="Arial" w:eastAsia="Arial" w:hAnsi="Arial"/>
                <w:sz w:val="14"/>
                <w:szCs w:val="14"/>
                <w:color w:val="auto"/>
              </w:rPr>
              <w:t>Purchases, PIK and net discount accretion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124,246,206</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19,766,732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144,012,938</w:t>
            </w:r>
          </w:p>
        </w:tc>
        <w:tc>
          <w:tcPr>
            <w:tcW w:w="0" w:type="dxa"/>
            <w:vAlign w:val="bottom"/>
          </w:tcPr>
          <w:p>
            <w:pPr>
              <w:spacing w:after="0"/>
              <w:rPr>
                <w:sz w:val="1"/>
                <w:szCs w:val="1"/>
                <w:color w:val="auto"/>
              </w:rPr>
            </w:pPr>
          </w:p>
        </w:tc>
      </w:tr>
      <w:tr>
        <w:trPr>
          <w:trHeight w:val="196"/>
        </w:trPr>
        <w:tc>
          <w:tcPr>
            <w:tcW w:w="6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Sales / repayments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(28,543,905)</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(4,530,635)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(33,074,540)</w:t>
            </w:r>
          </w:p>
        </w:tc>
        <w:tc>
          <w:tcPr>
            <w:tcW w:w="0" w:type="dxa"/>
            <w:vAlign w:val="bottom"/>
          </w:tcPr>
          <w:p>
            <w:pPr>
              <w:spacing w:after="0"/>
              <w:rPr>
                <w:sz w:val="1"/>
                <w:szCs w:val="1"/>
                <w:color w:val="auto"/>
              </w:rPr>
            </w:pPr>
          </w:p>
        </w:tc>
      </w:tr>
      <w:tr>
        <w:trPr>
          <w:trHeight w:val="183"/>
        </w:trPr>
        <w:tc>
          <w:tcPr>
            <w:tcW w:w="6760" w:type="dxa"/>
            <w:vAlign w:val="bottom"/>
            <w:gridSpan w:val="2"/>
          </w:tcPr>
          <w:p>
            <w:pPr>
              <w:ind w:left="440"/>
              <w:spacing w:after="0"/>
              <w:rPr>
                <w:sz w:val="20"/>
                <w:szCs w:val="20"/>
                <w:color w:val="auto"/>
              </w:rPr>
            </w:pPr>
            <w:r>
              <w:rPr>
                <w:rFonts w:ascii="Arial" w:cs="Arial" w:eastAsia="Arial" w:hAnsi="Arial"/>
                <w:sz w:val="14"/>
                <w:szCs w:val="14"/>
                <w:color w:val="auto"/>
              </w:rPr>
              <w:t>Transfers in and/or out of Level 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Ending Balance, September 30, 2011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92,299,379</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15,236,115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107,535,494</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4"/>
                <w:szCs w:val="14"/>
                <w:color w:val="auto"/>
                <w:w w:val="98"/>
              </w:rPr>
              <w:t>Net change in unrealized depreciation for the year reported within the net change in unrealized depreciation on</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7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760" w:type="dxa"/>
            <w:vAlign w:val="bottom"/>
            <w:gridSpan w:val="2"/>
          </w:tcPr>
          <w:p>
            <w:pPr>
              <w:spacing w:after="0" w:line="159" w:lineRule="exact"/>
              <w:rPr>
                <w:sz w:val="20"/>
                <w:szCs w:val="20"/>
                <w:color w:val="auto"/>
              </w:rPr>
            </w:pPr>
            <w:r>
              <w:rPr>
                <w:rFonts w:ascii="Arial" w:cs="Arial" w:eastAsia="Arial" w:hAnsi="Arial"/>
                <w:sz w:val="14"/>
                <w:szCs w:val="14"/>
                <w:color w:val="auto"/>
                <w:w w:val="90"/>
              </w:rPr>
              <w:t>investments in our Consolidated Statement of Operations attributable to our Level 3 assets still held at the reporting date.</w:t>
            </w:r>
          </w:p>
        </w:tc>
        <w:tc>
          <w:tcPr>
            <w:tcW w:w="3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(3,621,606)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(93,301)</w:t>
            </w:r>
          </w:p>
        </w:tc>
        <w:tc>
          <w:tcPr>
            <w:tcW w:w="4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40" w:type="dxa"/>
            <w:vAlign w:val="bottom"/>
            <w:vMerge w:val="restart"/>
          </w:tcPr>
          <w:p>
            <w:pPr>
              <w:ind w:left="4860"/>
              <w:spacing w:after="0"/>
              <w:rPr>
                <w:sz w:val="20"/>
                <w:szCs w:val="20"/>
                <w:color w:val="auto"/>
              </w:rPr>
            </w:pPr>
            <w:r>
              <w:rPr>
                <w:rFonts w:ascii="Arial" w:cs="Arial" w:eastAsia="Arial" w:hAnsi="Arial"/>
                <w:sz w:val="14"/>
                <w:szCs w:val="14"/>
                <w:color w:val="auto"/>
              </w:rPr>
              <w:t>F-42</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2012</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shows a reconciliation of the beginning and ending balances for fair valued liabilities measured using significant unobservable inputs (Level 3) for the six months ended March 31,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2012.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00" w:type="dxa"/>
            <w:vAlign w:val="bottom"/>
          </w:tcPr>
          <w:p>
            <w:pPr>
              <w:spacing w:after="0"/>
              <w:rPr>
                <w:sz w:val="20"/>
                <w:szCs w:val="20"/>
                <w:color w:val="auto"/>
              </w:rPr>
            </w:pPr>
            <w:r>
              <w:rPr>
                <w:rFonts w:ascii="Arial" w:cs="Arial" w:eastAsia="Arial" w:hAnsi="Arial"/>
                <w:sz w:val="14"/>
                <w:szCs w:val="14"/>
                <w:b w:val="1"/>
                <w:bCs w:val="1"/>
                <w:color w:val="auto"/>
              </w:rPr>
              <w:t>Six Months Ended March 31, 2012</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5"/>
        </w:trPr>
        <w:tc>
          <w:tcPr>
            <w:tcW w:w="106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Carrying /</w:t>
            </w:r>
          </w:p>
        </w:tc>
      </w:tr>
      <w:tr>
        <w:trPr>
          <w:trHeight w:val="161"/>
        </w:trPr>
        <w:tc>
          <w:tcPr>
            <w:tcW w:w="1060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Fair Value</w:t>
            </w:r>
          </w:p>
        </w:tc>
      </w:tr>
      <w:tr>
        <w:trPr>
          <w:trHeight w:val="169"/>
        </w:trPr>
        <w:tc>
          <w:tcPr>
            <w:tcW w:w="1060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Beginning Balance, September 30, 2011 (cost – $24,650,000)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$ 24,650,000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82"/>
        </w:trPr>
        <w:tc>
          <w:tcPr>
            <w:tcW w:w="10600" w:type="dxa"/>
            <w:vAlign w:val="bottom"/>
          </w:tcPr>
          <w:p>
            <w:pPr>
              <w:ind w:left="440"/>
              <w:spacing w:after="0"/>
              <w:rPr>
                <w:sz w:val="20"/>
                <w:szCs w:val="20"/>
                <w:color w:val="auto"/>
              </w:rPr>
            </w:pPr>
            <w:r>
              <w:rPr>
                <w:rFonts w:ascii="Arial" w:cs="Arial" w:eastAsia="Arial" w:hAnsi="Arial"/>
                <w:sz w:val="14"/>
                <w:szCs w:val="14"/>
                <w:color w:val="auto"/>
              </w:rPr>
              <w:t>Total unrealized depreciation included in earnings</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(239,000)</w:t>
            </w:r>
          </w:p>
        </w:tc>
      </w:tr>
      <w:tr>
        <w:trPr>
          <w:trHeight w:val="196"/>
        </w:trPr>
        <w:tc>
          <w:tcPr>
            <w:tcW w:w="106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Borrowings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54,050,000</w:t>
            </w:r>
          </w:p>
        </w:tc>
        <w:tc>
          <w:tcPr>
            <w:tcW w:w="100" w:type="dxa"/>
            <w:vAlign w:val="bottom"/>
            <w:shd w:val="clear" w:color="auto" w:fill="CCEEFF"/>
          </w:tcPr>
          <w:p>
            <w:pPr>
              <w:spacing w:after="0"/>
              <w:rPr>
                <w:sz w:val="17"/>
                <w:szCs w:val="17"/>
                <w:color w:val="auto"/>
              </w:rPr>
            </w:pPr>
          </w:p>
        </w:tc>
      </w:tr>
      <w:tr>
        <w:trPr>
          <w:trHeight w:val="182"/>
        </w:trPr>
        <w:tc>
          <w:tcPr>
            <w:tcW w:w="10600" w:type="dxa"/>
            <w:vAlign w:val="bottom"/>
          </w:tcPr>
          <w:p>
            <w:pPr>
              <w:ind w:left="440"/>
              <w:spacing w:after="0"/>
              <w:rPr>
                <w:sz w:val="20"/>
                <w:szCs w:val="20"/>
                <w:color w:val="auto"/>
              </w:rPr>
            </w:pPr>
            <w:r>
              <w:rPr>
                <w:rFonts w:ascii="Arial" w:cs="Arial" w:eastAsia="Arial" w:hAnsi="Arial"/>
                <w:sz w:val="14"/>
                <w:szCs w:val="14"/>
                <w:color w:val="auto"/>
              </w:rPr>
              <w:t>Repayments</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(30,900,000)</w:t>
            </w:r>
          </w:p>
        </w:tc>
      </w:tr>
      <w:tr>
        <w:trPr>
          <w:trHeight w:val="196"/>
        </w:trPr>
        <w:tc>
          <w:tcPr>
            <w:tcW w:w="106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Transfers in and/or out of Level 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90"/>
        </w:trPr>
        <w:tc>
          <w:tcPr>
            <w:tcW w:w="10600" w:type="dxa"/>
            <w:vAlign w:val="bottom"/>
          </w:tcPr>
          <w:p>
            <w:pPr>
              <w:spacing w:after="0"/>
              <w:rPr>
                <w:sz w:val="20"/>
                <w:szCs w:val="20"/>
                <w:color w:val="auto"/>
              </w:rPr>
            </w:pPr>
            <w:r>
              <w:rPr>
                <w:rFonts w:ascii="Arial" w:cs="Arial" w:eastAsia="Arial" w:hAnsi="Arial"/>
                <w:sz w:val="14"/>
                <w:szCs w:val="14"/>
                <w:color w:val="auto"/>
              </w:rPr>
              <w:t>Ending Balance, March 31, 2012 (cost – $47,800,000)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$ 47,561,000</w:t>
            </w:r>
          </w:p>
        </w:tc>
        <w:tc>
          <w:tcPr>
            <w:tcW w:w="100" w:type="dxa"/>
            <w:vAlign w:val="bottom"/>
          </w:tcPr>
          <w:p>
            <w:pPr>
              <w:spacing w:after="0"/>
              <w:rPr>
                <w:sz w:val="16"/>
                <w:szCs w:val="16"/>
                <w:color w:val="auto"/>
              </w:rPr>
            </w:pPr>
          </w:p>
        </w:tc>
      </w:tr>
      <w:tr>
        <w:trPr>
          <w:trHeight w:val="20"/>
        </w:trPr>
        <w:tc>
          <w:tcPr>
            <w:tcW w:w="10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ind w:right="40" w:firstLine="456"/>
        <w:spacing w:after="0" w:line="266"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2012, we had a net change in unrealized (appreciation) depreciation of $(0.1) million and $0.2 million, respectively. As of March 31, 2012 and September 30, 2011, the Credit Facility had net unrealized depreciation of $0.2 million and zero, respectively. We use one or more nationally recognized independent valuation service to measure the fair value of the Credit Facility in a manner consistent with the valuation process that the board of directors uses to value investments.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gridSpan w:val="2"/>
          </w:tcPr>
          <w:p>
            <w:pPr>
              <w:ind w:left="460"/>
              <w:spacing w:after="0"/>
              <w:rPr>
                <w:sz w:val="20"/>
                <w:szCs w:val="20"/>
                <w:color w:val="auto"/>
              </w:rPr>
            </w:pPr>
            <w:r>
              <w:rPr>
                <w:rFonts w:ascii="Arial" w:cs="Arial" w:eastAsia="Arial" w:hAnsi="Arial"/>
                <w:sz w:val="14"/>
                <w:szCs w:val="14"/>
                <w:color w:val="auto"/>
                <w:w w:val="93"/>
              </w:rPr>
              <w:t>The following information sets forth the computation of basic and diluted per share net increase in net assets resulting from operations.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7300" w:type="dxa"/>
            <w:vAlign w:val="bottom"/>
            <w:vMerge w:val="restart"/>
          </w:tcPr>
          <w:p>
            <w:pPr>
              <w:spacing w:after="0"/>
              <w:rPr>
                <w:sz w:val="24"/>
                <w:szCs w:val="2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8"/>
        </w:trPr>
        <w:tc>
          <w:tcPr>
            <w:tcW w:w="940" w:type="dxa"/>
            <w:vAlign w:val="bottom"/>
            <w:tcBorders>
              <w:bottom w:val="single" w:sz="8" w:color="auto"/>
            </w:tcBorders>
            <w:vMerge w:val="continue"/>
          </w:tcPr>
          <w:p>
            <w:pPr>
              <w:spacing w:after="0"/>
              <w:rPr>
                <w:sz w:val="14"/>
                <w:szCs w:val="14"/>
                <w:color w:val="auto"/>
              </w:rPr>
            </w:pPr>
          </w:p>
        </w:tc>
        <w:tc>
          <w:tcPr>
            <w:tcW w:w="7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March 31, 2012</w:t>
            </w:r>
          </w:p>
        </w:tc>
        <w:tc>
          <w:tcPr>
            <w:tcW w:w="80" w:type="dxa"/>
            <w:vAlign w:val="bottom"/>
          </w:tcPr>
          <w:p>
            <w:pPr>
              <w:spacing w:after="0"/>
              <w:rPr>
                <w:sz w:val="14"/>
                <w:szCs w:val="14"/>
                <w:color w:val="auto"/>
              </w:rPr>
            </w:pPr>
          </w:p>
        </w:tc>
        <w:tc>
          <w:tcPr>
            <w:tcW w:w="10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163"/>
        </w:trPr>
        <w:tc>
          <w:tcPr>
            <w:tcW w:w="8240" w:type="dxa"/>
            <w:vAlign w:val="bottom"/>
            <w:tcBorders>
              <w:top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color w:val="auto"/>
              </w:rPr>
              <w:t>Numerator for net increase in net assets resulting from operations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4,525,075</w:t>
            </w:r>
          </w:p>
        </w:tc>
        <w:tc>
          <w:tcPr>
            <w:tcW w:w="8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7,630,240</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40" w:type="dxa"/>
            <w:vAlign w:val="bottom"/>
            <w:gridSpan w:val="2"/>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6,850,667</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6,850,667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2012 and September 30, 2011, cash equivalents consisted of $3.8 million and $7.0 million, including amounts in money market funds,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FINANCIAL HIGHLIGHTS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net assets and net asset value per share on March 31, 2012 were $96.7 million and $14.12 per share, respectively. Below are the financial highlights for the six months ended March 31, 2012.</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20" w:type="dxa"/>
            <w:vAlign w:val="bottom"/>
            <w:gridSpan w:val="4"/>
          </w:tcPr>
          <w:p>
            <w:pPr>
              <w:ind w:left="1620"/>
              <w:spacing w:after="0"/>
              <w:rPr>
                <w:sz w:val="20"/>
                <w:szCs w:val="20"/>
                <w:color w:val="auto"/>
              </w:rPr>
            </w:pPr>
            <w:r>
              <w:rPr>
                <w:rFonts w:ascii="Arial" w:cs="Arial" w:eastAsia="Arial" w:hAnsi="Arial"/>
                <w:sz w:val="14"/>
                <w:szCs w:val="14"/>
                <w:b w:val="1"/>
                <w:bCs w:val="1"/>
                <w:color w:val="auto"/>
                <w:w w:val="97"/>
              </w:rPr>
              <w:t>Six Months Ended</w:t>
            </w: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March 31, 2012</w:t>
            </w:r>
          </w:p>
        </w:tc>
      </w:tr>
      <w:tr>
        <w:trPr>
          <w:trHeight w:val="129"/>
        </w:trPr>
        <w:tc>
          <w:tcPr>
            <w:tcW w:w="20" w:type="dxa"/>
            <w:vAlign w:val="bottom"/>
          </w:tcPr>
          <w:p>
            <w:pPr>
              <w:spacing w:after="0"/>
              <w:rPr>
                <w:sz w:val="11"/>
                <w:szCs w:val="11"/>
                <w:color w:val="auto"/>
              </w:rPr>
            </w:pPr>
          </w:p>
        </w:tc>
        <w:tc>
          <w:tcPr>
            <w:tcW w:w="49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Per Share Data</w:t>
            </w:r>
            <w:r>
              <w:rPr>
                <w:rFonts w:ascii="Arial" w:cs="Arial" w:eastAsia="Arial" w:hAnsi="Arial"/>
                <w:sz w:val="14"/>
                <w:szCs w:val="14"/>
                <w:b w:val="1"/>
                <w:bCs w:val="1"/>
                <w:color w:val="auto"/>
                <w:vertAlign w:val="superscript"/>
              </w:rPr>
              <w:t>(1)</w:t>
            </w:r>
            <w:r>
              <w:rPr>
                <w:rFonts w:ascii="Arial" w:cs="Arial" w:eastAsia="Arial" w:hAnsi="Arial"/>
                <w:sz w:val="10"/>
                <w:szCs w:val="10"/>
                <w:b w:val="1"/>
                <w:bCs w:val="1"/>
                <w:color w:val="auto"/>
              </w:rPr>
              <w:t>:</w:t>
            </w:r>
          </w:p>
        </w:tc>
        <w:tc>
          <w:tcPr>
            <w:tcW w:w="16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700" w:type="dxa"/>
            <w:vAlign w:val="bottom"/>
            <w:gridSpan w:val="2"/>
          </w:tcPr>
          <w:p>
            <w:pPr>
              <w:ind w:left="16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Net change in realized and unrealized gain</w:t>
            </w:r>
          </w:p>
        </w:tc>
        <w:tc>
          <w:tcPr>
            <w:tcW w:w="1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0.69</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920" w:type="dxa"/>
            <w:vAlign w:val="bottom"/>
          </w:tcPr>
          <w:p>
            <w:pPr>
              <w:spacing w:after="0" w:line="149" w:lineRule="exact"/>
              <w:rPr>
                <w:sz w:val="20"/>
                <w:szCs w:val="20"/>
                <w:color w:val="auto"/>
              </w:rPr>
            </w:pPr>
            <w:r>
              <w:rPr>
                <w:rFonts w:ascii="Arial" w:cs="Arial" w:eastAsia="Arial" w:hAnsi="Arial"/>
                <w:sz w:val="11"/>
                <w:szCs w:val="11"/>
                <w:color w:val="auto"/>
              </w:rPr>
              <w:t xml:space="preserve">Dividends to stockholders </w:t>
            </w:r>
            <w:r>
              <w:rPr>
                <w:rFonts w:ascii="Arial" w:cs="Arial" w:eastAsia="Arial" w:hAnsi="Arial"/>
                <w:sz w:val="17"/>
                <w:szCs w:val="17"/>
                <w:color w:val="auto"/>
                <w:vertAlign w:val="superscript"/>
              </w:rPr>
              <w:t>(2)</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(0.44)</w:t>
            </w: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6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14.12</w:t>
            </w:r>
          </w:p>
        </w:tc>
        <w:tc>
          <w:tcPr>
            <w:tcW w:w="120" w:type="dxa"/>
            <w:vAlign w:val="bottom"/>
            <w:shd w:val="clear" w:color="auto" w:fill="CCEEFF"/>
          </w:tcPr>
          <w:p>
            <w:pPr>
              <w:spacing w:after="0"/>
              <w:rPr>
                <w:sz w:val="12"/>
                <w:szCs w:val="12"/>
                <w:color w:val="auto"/>
              </w:rPr>
            </w:pPr>
          </w:p>
        </w:tc>
      </w:tr>
      <w:tr>
        <w:trPr>
          <w:trHeight w:val="163"/>
        </w:trPr>
        <w:tc>
          <w:tcPr>
            <w:tcW w:w="4940" w:type="dxa"/>
            <w:vAlign w:val="bottom"/>
            <w:gridSpan w:val="2"/>
          </w:tcPr>
          <w:p>
            <w:pPr>
              <w:spacing w:after="0" w:line="155" w:lineRule="exact"/>
              <w:rPr>
                <w:sz w:val="20"/>
                <w:szCs w:val="20"/>
                <w:color w:val="auto"/>
              </w:rPr>
            </w:pPr>
            <w:r>
              <w:rPr>
                <w:rFonts w:ascii="Arial" w:cs="Arial" w:eastAsia="Arial" w:hAnsi="Arial"/>
                <w:sz w:val="14"/>
                <w:szCs w:val="14"/>
                <w:color w:val="auto"/>
              </w:rPr>
              <w:t>Per share market value, end of period</w:t>
            </w:r>
          </w:p>
        </w:tc>
        <w:tc>
          <w:tcPr>
            <w:tcW w:w="1620" w:type="dxa"/>
            <w:vAlign w:val="bottom"/>
          </w:tcPr>
          <w:p>
            <w:pPr>
              <w:spacing w:after="0"/>
              <w:rPr>
                <w:sz w:val="14"/>
                <w:szCs w:val="14"/>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11.75</w:t>
            </w: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(3)</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15.75%</w:t>
            </w:r>
          </w:p>
        </w:tc>
      </w:tr>
      <w:tr>
        <w:trPr>
          <w:trHeight w:val="156"/>
        </w:trPr>
        <w:tc>
          <w:tcPr>
            <w:tcW w:w="20" w:type="dxa"/>
            <w:vAlign w:val="bottom"/>
          </w:tcPr>
          <w:p>
            <w:pPr>
              <w:spacing w:after="0"/>
              <w:rPr>
                <w:sz w:val="13"/>
                <w:szCs w:val="13"/>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6,850,667</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Ratios / Supplemental Data: **</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Ratio of operating expenses to average net assets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3.88%</w:t>
            </w: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expenses to average net assets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w:t>
            </w: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5.20%</w:t>
            </w: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6.19%</w:t>
            </w:r>
          </w:p>
        </w:tc>
      </w:tr>
      <w:tr>
        <w:trPr>
          <w:trHeight w:val="156"/>
        </w:trPr>
        <w:tc>
          <w:tcPr>
            <w:tcW w:w="20" w:type="dxa"/>
            <w:vAlign w:val="bottom"/>
          </w:tcPr>
          <w:p>
            <w:pPr>
              <w:spacing w:after="0"/>
              <w:rPr>
                <w:sz w:val="13"/>
                <w:szCs w:val="13"/>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620" w:type="dxa"/>
            <w:vAlign w:val="bottom"/>
          </w:tcPr>
          <w:p>
            <w:pPr>
              <w:spacing w:after="0"/>
              <w:rPr>
                <w:sz w:val="13"/>
                <w:szCs w:val="13"/>
                <w:color w:val="auto"/>
              </w:rPr>
            </w:pPr>
          </w:p>
        </w:tc>
        <w:tc>
          <w:tcPr>
            <w:tcW w:w="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96,722,305</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debt outstanding</w:t>
            </w:r>
          </w:p>
        </w:tc>
        <w:tc>
          <w:tcPr>
            <w:tcW w:w="16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34,512,568</w:t>
            </w:r>
          </w:p>
        </w:tc>
        <w:tc>
          <w:tcPr>
            <w:tcW w:w="120" w:type="dxa"/>
            <w:vAlign w:val="bottom"/>
            <w:shd w:val="clear" w:color="auto" w:fill="CCEEFF"/>
          </w:tcPr>
          <w:p>
            <w:pPr>
              <w:spacing w:after="0"/>
              <w:rPr>
                <w:sz w:val="12"/>
                <w:szCs w:val="12"/>
                <w:color w:val="auto"/>
              </w:rPr>
            </w:pPr>
          </w:p>
        </w:tc>
      </w:tr>
      <w:tr>
        <w:trPr>
          <w:trHeight w:val="156"/>
        </w:trPr>
        <w:tc>
          <w:tcPr>
            <w:tcW w:w="4940" w:type="dxa"/>
            <w:vAlign w:val="bottom"/>
            <w:gridSpan w:val="2"/>
          </w:tcPr>
          <w:p>
            <w:pPr>
              <w:spacing w:after="0" w:line="155" w:lineRule="exact"/>
              <w:rPr>
                <w:sz w:val="20"/>
                <w:szCs w:val="20"/>
                <w:color w:val="auto"/>
              </w:rPr>
            </w:pPr>
            <w:r>
              <w:rPr>
                <w:rFonts w:ascii="Arial" w:cs="Arial" w:eastAsia="Arial" w:hAnsi="Arial"/>
                <w:sz w:val="14"/>
                <w:szCs w:val="14"/>
                <w:color w:val="auto"/>
              </w:rPr>
              <w:t>Average debt per share</w:t>
            </w:r>
          </w:p>
        </w:tc>
        <w:tc>
          <w:tcPr>
            <w:tcW w:w="1700" w:type="dxa"/>
            <w:vAlign w:val="bottom"/>
            <w:gridSpan w:val="2"/>
          </w:tcPr>
          <w:p>
            <w:pPr>
              <w:ind w:left="1620"/>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5.04</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right="8700" w:firstLine="8"/>
        <w:spacing w:after="0" w:line="268" w:lineRule="auto"/>
        <w:tabs>
          <w:tab w:leader="none" w:pos="216" w:val="left"/>
        </w:tabs>
        <w:numPr>
          <w:ilvl w:val="0"/>
          <w:numId w:val="90"/>
        </w:numPr>
        <w:rPr>
          <w:rFonts w:ascii="Arial" w:cs="Arial" w:eastAsia="Arial" w:hAnsi="Arial"/>
          <w:sz w:val="12"/>
          <w:szCs w:val="12"/>
          <w:color w:val="auto"/>
        </w:rPr>
      </w:pPr>
      <w:r>
        <w:rPr>
          <w:rFonts w:ascii="Arial" w:cs="Arial" w:eastAsia="Arial" w:hAnsi="Arial"/>
          <w:sz w:val="12"/>
          <w:szCs w:val="12"/>
          <w:color w:val="auto"/>
        </w:rPr>
        <w:t>Not annualized for periods less than one year. ** Annualized for periods less than one year.</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(1)</w:t>
      </w:r>
      <w:r>
        <w:rPr>
          <w:rFonts w:ascii="Arial" w:cs="Arial" w:eastAsia="Arial" w:hAnsi="Arial"/>
          <w:sz w:val="11"/>
          <w:szCs w:val="11"/>
          <w:color w:val="auto"/>
        </w:rPr>
        <w:t xml:space="preserve">  Per share data are calculated based on the weighted average shares outstanding for the period except for net asset value.</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(2)</w:t>
      </w:r>
      <w:r>
        <w:rPr>
          <w:rFonts w:ascii="Arial" w:cs="Arial" w:eastAsia="Arial" w:hAnsi="Arial"/>
          <w:sz w:val="11"/>
          <w:szCs w:val="11"/>
          <w:color w:val="auto"/>
        </w:rPr>
        <w:t xml:space="preserve">  Dividends and distributions are determined based on taxable income calculated in accordance with income tax regulations, which may differ from amounts determined under GAAP.</w:t>
      </w:r>
    </w:p>
    <w:p>
      <w:pPr>
        <w:spacing w:after="0"/>
        <w:rPr>
          <w:rFonts w:ascii="Arial" w:cs="Arial" w:eastAsia="Arial" w:hAnsi="Arial"/>
          <w:sz w:val="12"/>
          <w:szCs w:val="12"/>
          <w:color w:val="auto"/>
        </w:rPr>
      </w:pPr>
      <w:r>
        <w:rPr>
          <w:rFonts w:ascii="Arial" w:cs="Arial" w:eastAsia="Arial" w:hAnsi="Arial"/>
          <w:sz w:val="19"/>
          <w:szCs w:val="19"/>
          <w:color w:val="auto"/>
          <w:vertAlign w:val="superscript"/>
        </w:rPr>
        <w:t>(3)</w:t>
      </w:r>
      <w:r>
        <w:rPr>
          <w:rFonts w:ascii="Arial" w:cs="Arial" w:eastAsia="Arial" w:hAnsi="Arial"/>
          <w:sz w:val="12"/>
          <w:szCs w:val="12"/>
          <w:color w:val="auto"/>
        </w:rPr>
        <w:t xml:space="preserve">  Total return is based on the change in market price per share during the period and takes into account dividends and distributions, if any, reinvested in accordance with our dividend reinvestment plan.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CREDIT FACILITY</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On June 23, 2011, Funding I entered into a five-year Credit Facility with affiliates of SunTrust Bank, or the Lender, an asset-backed commercial paper conduit administered by SunTrust Robinson Humphrey, Inc. The Credit Facility allows Funding I to borrow up to $100.0 million and contains an accordion feature whereby the Credit Facility can be expanded to $600.0 million, subject to satisfaction of certain conditions. As of March 31, 2012 and September 30, 2011, Funding I had $47.8 million and $24.7 million of outstanding borrowings under the Credit Facility, carried an interest rate of 2.54% and 2.53%, excluding the 0.50% undrawn commitment fee.</w:t>
      </w:r>
    </w:p>
    <w:p>
      <w:pPr>
        <w:spacing w:after="0" w:line="1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substantially all of the assets of the Company.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required to be used for assets or liabilities for such compliance reporting). As of March 31, 2012, we were in compliance with our covenants relating to our Credit Facility.</w:t>
      </w:r>
    </w:p>
    <w:p>
      <w:pPr>
        <w:spacing w:after="0" w:line="140" w:lineRule="exact"/>
        <w:rPr>
          <w:sz w:val="20"/>
          <w:szCs w:val="20"/>
          <w:color w:val="auto"/>
        </w:rPr>
      </w:pPr>
    </w:p>
    <w:p>
      <w:pPr>
        <w:ind w:right="140" w:firstLine="456"/>
        <w:spacing w:after="0" w:line="228"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71"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PART C</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OTHER INFORMATION</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1"/>
          <w:szCs w:val="11"/>
          <w:b w:val="1"/>
          <w:bCs w:val="1"/>
          <w:color w:val="auto"/>
        </w:rPr>
        <w:t>Financial statements and exhibits</w:t>
      </w:r>
    </w:p>
    <w:p>
      <w:pPr>
        <w:spacing w:after="0" w:line="192" w:lineRule="exact"/>
        <w:rPr>
          <w:sz w:val="20"/>
          <w:szCs w:val="20"/>
          <w:color w:val="auto"/>
        </w:rPr>
      </w:pPr>
    </w:p>
    <w:p>
      <w:pPr>
        <w:ind w:left="660" w:hanging="456"/>
        <w:spacing w:after="0"/>
        <w:tabs>
          <w:tab w:leader="none" w:pos="660" w:val="left"/>
        </w:tabs>
        <w:numPr>
          <w:ilvl w:val="0"/>
          <w:numId w:val="91"/>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203"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The Index to Consolidated Financial Statements on page F-1 of this Registration Statement is hereby incorporated by reference.</w:t>
      </w:r>
    </w:p>
    <w:p>
      <w:pPr>
        <w:spacing w:after="0" w:line="204" w:lineRule="exact"/>
        <w:rPr>
          <w:sz w:val="20"/>
          <w:szCs w:val="20"/>
          <w:color w:val="auto"/>
        </w:rPr>
      </w:pPr>
    </w:p>
    <w:p>
      <w:pPr>
        <w:ind w:left="660" w:hanging="456"/>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Exhibits.</w:t>
      </w:r>
    </w:p>
    <w:p>
      <w:pPr>
        <w:spacing w:after="0" w:line="163" w:lineRule="exact"/>
        <w:rPr>
          <w:sz w:val="20"/>
          <w:szCs w:val="20"/>
          <w:color w:val="auto"/>
        </w:rPr>
      </w:pPr>
    </w:p>
    <w:p>
      <w:pPr>
        <w:ind w:left="660" w:hanging="497"/>
        <w:spacing w:after="0"/>
        <w:tabs>
          <w:tab w:leader="none" w:pos="6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Articles of Amendment and Restatement of the Registrant (Incorporated by reference to the Registrant’s Registration Statement on Form N-2 (File No. 333-170243), filed on March 29, 2011).</w:t>
      </w:r>
    </w:p>
    <w:p>
      <w:pPr>
        <w:spacing w:after="0" w:line="186" w:lineRule="exact"/>
        <w:rPr>
          <w:rFonts w:ascii="Arial" w:cs="Arial" w:eastAsia="Arial" w:hAnsi="Arial"/>
          <w:sz w:val="12"/>
          <w:szCs w:val="12"/>
          <w:color w:val="auto"/>
        </w:rPr>
      </w:pPr>
    </w:p>
    <w:p>
      <w:pPr>
        <w:ind w:left="80" w:right="400" w:firstLine="79"/>
        <w:spacing w:after="0" w:line="563" w:lineRule="auto"/>
        <w:tabs>
          <w:tab w:leader="none" w:pos="67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Amended and Restated By-Laws of the Registrant (Incorporated by reference to Exhibit 3.2 to the Registrant’s Quarterly Report on Form 10-Q (File No. 814-00891), filed on May 3, 2012). (d)(1) Form of Share Certificate (Incorporated by reference to the Registrant’s Registration Statement on Form N-2 (File No. 333-170243), filed on April 5, 2011).</w:t>
      </w:r>
    </w:p>
    <w:p>
      <w:pPr>
        <w:sectPr>
          <w:pgSz w:w="11900" w:h="16838" w:orient="portrait"/>
          <w:cols w:equalWidth="0" w:num="1">
            <w:col w:w="11280"/>
          </w:cols>
          <w:pgMar w:left="240" w:top="459" w:right="379" w:bottom="1440" w:gutter="0" w:footer="0" w:header="0"/>
        </w:sectPr>
      </w:pP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Subscription Certificate</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Indenture.</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Subscription Agent Agreement.</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Warrant Agreement.</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T-1 Statement of Eligibility with respect to the Form of Indenture.</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Articles Supplementary.</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660" w:hanging="497"/>
        <w:spacing w:after="0"/>
        <w:tabs>
          <w:tab w:leader="none" w:pos="660" w:val="left"/>
        </w:tabs>
        <w:numPr>
          <w:ilvl w:val="0"/>
          <w:numId w:val="94"/>
        </w:numPr>
        <w:rPr>
          <w:rFonts w:ascii="Arial" w:cs="Arial" w:eastAsia="Arial" w:hAnsi="Arial"/>
          <w:sz w:val="12"/>
          <w:szCs w:val="12"/>
          <w:color w:val="auto"/>
        </w:rPr>
      </w:pPr>
      <w:r>
        <w:rPr>
          <w:rFonts w:ascii="Arial" w:cs="Arial" w:eastAsia="Arial" w:hAnsi="Arial"/>
          <w:sz w:val="12"/>
          <w:szCs w:val="12"/>
          <w:color w:val="auto"/>
        </w:rPr>
        <w:t>Dividend Reinvestment Plan (Incorporated by reference to Exhibit 99(e) to the Registrant’s Registration Statement on Form N-2 (File No. 333-170243), filed on March 29, 2011).</w:t>
      </w:r>
    </w:p>
    <w:p>
      <w:pPr>
        <w:spacing w:after="0" w:line="186" w:lineRule="exact"/>
        <w:rPr>
          <w:sz w:val="20"/>
          <w:szCs w:val="20"/>
          <w:color w:val="auto"/>
        </w:rPr>
      </w:pPr>
    </w:p>
    <w:p>
      <w:pPr>
        <w:ind w:left="660" w:hanging="501"/>
        <w:spacing w:after="0"/>
        <w:tabs>
          <w:tab w:leader="none" w:pos="6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Investment Advisory Agreement (Incorporated by reference to Exhibit 99(g) to the Registrant’s Registration Statement on Form N-2 (File No. 333-170243), filed on March 29, 2011).</w:t>
      </w:r>
    </w:p>
    <w:p>
      <w:pPr>
        <w:sectPr>
          <w:pgSz w:w="11900" w:h="16838" w:orient="portrait"/>
          <w:cols w:equalWidth="0" w:num="1">
            <w:col w:w="11280"/>
          </w:cols>
          <w:pgMar w:left="240" w:top="459" w:right="379" w:bottom="1440" w:gutter="0" w:footer="0" w:header="0"/>
          <w:type w:val="continuous"/>
        </w:sectPr>
      </w:pP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(h)(1)**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Form of Underwriting Agreement for equity.</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(h)(2)**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Underwriting Agreement for debt.</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660" w:hanging="486"/>
        <w:spacing w:after="0" w:line="239" w:lineRule="auto"/>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Custodian Agreement between the Registrant and The Bank of New York Mellon (Incorporated by reference to Exhibit 99.(J) to the Registrant’s Registration Statement on Form N-2 (File No. 333-170243), filed on March 29, 2011).</w:t>
      </w:r>
    </w:p>
    <w:p>
      <w:pPr>
        <w:spacing w:after="0" w:line="152" w:lineRule="exact"/>
        <w:rPr>
          <w:sz w:val="20"/>
          <w:szCs w:val="20"/>
          <w:color w:val="auto"/>
        </w:rPr>
      </w:pPr>
    </w:p>
    <w:p>
      <w:pPr>
        <w:ind w:left="660" w:right="240" w:hanging="579"/>
        <w:spacing w:after="0" w:line="239" w:lineRule="auto"/>
        <w:tabs>
          <w:tab w:leader="none" w:pos="640" w:val="left"/>
        </w:tabs>
        <w:rPr>
          <w:sz w:val="20"/>
          <w:szCs w:val="20"/>
          <w:color w:val="auto"/>
        </w:rPr>
      </w:pPr>
      <w:r>
        <w:rPr>
          <w:rFonts w:ascii="Arial" w:cs="Arial" w:eastAsia="Arial" w:hAnsi="Arial"/>
          <w:sz w:val="14"/>
          <w:szCs w:val="14"/>
          <w:color w:val="auto"/>
        </w:rPr>
        <w:t>(k)(1)</w:t>
      </w:r>
      <w:r>
        <w:rPr>
          <w:sz w:val="20"/>
          <w:szCs w:val="20"/>
          <w:color w:val="auto"/>
        </w:rPr>
        <w:tab/>
      </w:r>
      <w:r>
        <w:rPr>
          <w:rFonts w:ascii="Arial" w:cs="Arial" w:eastAsia="Arial" w:hAnsi="Arial"/>
          <w:sz w:val="14"/>
          <w:szCs w:val="14"/>
          <w:color w:val="auto"/>
        </w:rPr>
        <w:t>Stock Transfer Agency Agreement between the Registrant and American Stock Transfer &amp; Trust Company, LLC (Incorporated by reference to Exhibit 99.(k)(1) to the Registrant’s Registration Statement on Form N-2 (File No. 333-170243), filed on March 29, 2011).</w:t>
      </w:r>
    </w:p>
    <w:p>
      <w:pPr>
        <w:spacing w:after="0" w:line="152" w:lineRule="exact"/>
        <w:rPr>
          <w:sz w:val="20"/>
          <w:szCs w:val="20"/>
          <w:color w:val="auto"/>
        </w:rPr>
      </w:pPr>
    </w:p>
    <w:p>
      <w:pPr>
        <w:ind w:left="660" w:right="160" w:hanging="579"/>
        <w:spacing w:after="0" w:line="239" w:lineRule="auto"/>
        <w:tabs>
          <w:tab w:leader="none" w:pos="640" w:val="left"/>
        </w:tabs>
        <w:rPr>
          <w:sz w:val="20"/>
          <w:szCs w:val="20"/>
          <w:color w:val="auto"/>
        </w:rPr>
      </w:pPr>
      <w:r>
        <w:rPr>
          <w:rFonts w:ascii="Arial" w:cs="Arial" w:eastAsia="Arial" w:hAnsi="Arial"/>
          <w:sz w:val="14"/>
          <w:szCs w:val="14"/>
          <w:color w:val="auto"/>
        </w:rPr>
        <w:t>(k)(2)</w:t>
      </w:r>
      <w:r>
        <w:rPr>
          <w:sz w:val="20"/>
          <w:szCs w:val="20"/>
          <w:color w:val="auto"/>
        </w:rPr>
        <w:tab/>
      </w:r>
      <w:r>
        <w:rPr>
          <w:rFonts w:ascii="Arial" w:cs="Arial" w:eastAsia="Arial" w:hAnsi="Arial"/>
          <w:sz w:val="14"/>
          <w:szCs w:val="14"/>
          <w:color w:val="auto"/>
        </w:rPr>
        <w:t>Administration Agreement between the Registrant and PennantPark Investment Administration, LLC (Incorporated by reference to Exhibit 99(k)(2) to the Registrant’s Registration Statement on Form N-2 (File No. 333-170243), filed on March 29, 2011).</w:t>
      </w:r>
    </w:p>
    <w:p>
      <w:pPr>
        <w:spacing w:after="0" w:line="152"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2"/>
          <w:szCs w:val="12"/>
          <w:color w:val="auto"/>
        </w:rPr>
        <w:t>(k)(3)</w:t>
      </w:r>
      <w:r>
        <w:rPr>
          <w:sz w:val="20"/>
          <w:szCs w:val="20"/>
          <w:color w:val="auto"/>
        </w:rPr>
        <w:tab/>
      </w:r>
      <w:r>
        <w:rPr>
          <w:rFonts w:ascii="Arial" w:cs="Arial" w:eastAsia="Arial" w:hAnsi="Arial"/>
          <w:sz w:val="12"/>
          <w:szCs w:val="12"/>
          <w:color w:val="auto"/>
        </w:rPr>
        <w:t>Trademark License Agreement (Incorporated by reference to Exhibit 99.(k)(3) to the Registrant’s Registration Statement on Form N-2 (File No. 333-170243), filed on March 29, 2011).</w:t>
      </w:r>
    </w:p>
    <w:p>
      <w:pPr>
        <w:spacing w:after="0" w:line="186" w:lineRule="exact"/>
        <w:rPr>
          <w:sz w:val="20"/>
          <w:szCs w:val="20"/>
          <w:color w:val="auto"/>
        </w:rPr>
      </w:pPr>
    </w:p>
    <w:p>
      <w:pPr>
        <w:ind w:left="660" w:right="60" w:hanging="579"/>
        <w:spacing w:after="0" w:line="230" w:lineRule="auto"/>
        <w:tabs>
          <w:tab w:leader="none" w:pos="640" w:val="left"/>
        </w:tabs>
        <w:rPr>
          <w:sz w:val="20"/>
          <w:szCs w:val="20"/>
          <w:color w:val="auto"/>
        </w:rPr>
      </w:pPr>
      <w:r>
        <w:rPr>
          <w:rFonts w:ascii="Arial" w:cs="Arial" w:eastAsia="Arial" w:hAnsi="Arial"/>
          <w:sz w:val="14"/>
          <w:szCs w:val="14"/>
          <w:color w:val="auto"/>
        </w:rPr>
        <w:t>(k)(4)</w:t>
      </w:r>
      <w:r>
        <w:rPr>
          <w:sz w:val="20"/>
          <w:szCs w:val="20"/>
          <w:color w:val="auto"/>
        </w:rPr>
        <w:tab/>
      </w:r>
      <w:r>
        <w:rPr>
          <w:rFonts w:ascii="Arial" w:cs="Arial" w:eastAsia="Arial" w:hAnsi="Arial"/>
          <w:sz w:val="14"/>
          <w:szCs w:val="14"/>
          <w:color w:val="auto"/>
        </w:rPr>
        <w:t>Revolving Credit and Security Agreement, dated as of June 23, 2011, among PennantPark Floating Rate Funding I, LLC, as the borrower, PennantPark Investment Advisers, LLC, as the collateral manager, the lenders from time to time party thereto, SunTrust Robinson Humphrey, Inc., as administrative agent, U.S. Bank National Association, as collateral agent, U.S. Bank National Association, as backup collateral manager, and U.S. Bank National Association, as custodian (Incorporated by reference to Exhibit 10.1 to the Registrant’s Periodic Report on Form 8-K, (File No. 814-00891), filed on June 29, 2011).</w:t>
      </w:r>
    </w:p>
    <w:p>
      <w:pPr>
        <w:spacing w:after="0" w:line="153" w:lineRule="exact"/>
        <w:rPr>
          <w:sz w:val="20"/>
          <w:szCs w:val="20"/>
          <w:color w:val="auto"/>
        </w:rPr>
      </w:pPr>
    </w:p>
    <w:p>
      <w:pPr>
        <w:ind w:left="660" w:right="460" w:hanging="579"/>
        <w:spacing w:after="0" w:line="318" w:lineRule="auto"/>
        <w:tabs>
          <w:tab w:leader="none" w:pos="640" w:val="left"/>
        </w:tabs>
        <w:rPr>
          <w:sz w:val="20"/>
          <w:szCs w:val="20"/>
          <w:color w:val="auto"/>
        </w:rPr>
      </w:pPr>
      <w:r>
        <w:rPr>
          <w:rFonts w:ascii="Arial" w:cs="Arial" w:eastAsia="Arial" w:hAnsi="Arial"/>
          <w:sz w:val="12"/>
          <w:szCs w:val="12"/>
          <w:color w:val="auto"/>
        </w:rPr>
        <w:t>(k)(5)</w:t>
      </w:r>
      <w:r>
        <w:rPr>
          <w:sz w:val="20"/>
          <w:szCs w:val="20"/>
          <w:color w:val="auto"/>
        </w:rPr>
        <w:tab/>
      </w:r>
      <w:r>
        <w:rPr>
          <w:rFonts w:ascii="Arial" w:cs="Arial" w:eastAsia="Arial" w:hAnsi="Arial"/>
          <w:sz w:val="12"/>
          <w:szCs w:val="12"/>
          <w:color w:val="auto"/>
        </w:rPr>
        <w:t>Purchase and Contribution Agreement, dated as of June 23, 2011, among PennantPark Floating Rate Capital Ltd., as the seller, and PennantPark Floating Rate Funding I, LLC, as the buyer (Incorporated by reference to Exhibit 10.2 to the Registrant’s Periodic Report on Form 8-K (File No. 814-00891), filed on June 29, 2011).</w:t>
      </w:r>
    </w:p>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1280"/>
          </w:cols>
          <w:pgMar w:left="240" w:top="459" w:right="37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2"/>
          <w:szCs w:val="12"/>
          <w:b w:val="1"/>
          <w:bCs w:val="1"/>
          <w:color w:val="auto"/>
        </w:rPr>
        <w:t>Financial statements and exhibits (continued)</w:t>
      </w:r>
    </w:p>
    <w:p>
      <w:pPr>
        <w:spacing w:after="0" w:line="300" w:lineRule="exact"/>
        <w:rPr>
          <w:sz w:val="20"/>
          <w:szCs w:val="20"/>
          <w:color w:val="auto"/>
        </w:rPr>
      </w:pPr>
    </w:p>
    <w:p>
      <w:pPr>
        <w:ind w:left="920" w:hanging="588"/>
        <w:spacing w:after="0"/>
        <w:tabs>
          <w:tab w:leader="none" w:pos="920"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Exhibits (Continued)</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600" w:type="dxa"/>
            <w:vAlign w:val="bottom"/>
          </w:tcPr>
          <w:p>
            <w:pPr>
              <w:jc w:val="center"/>
              <w:ind w:right="72"/>
              <w:spacing w:after="0"/>
              <w:rPr>
                <w:sz w:val="20"/>
                <w:szCs w:val="20"/>
                <w:color w:val="auto"/>
              </w:rPr>
            </w:pPr>
            <w:r>
              <w:rPr>
                <w:rFonts w:ascii="Arial" w:cs="Arial" w:eastAsia="Arial" w:hAnsi="Arial"/>
                <w:sz w:val="14"/>
                <w:szCs w:val="14"/>
                <w:color w:val="auto"/>
              </w:rPr>
              <w:t>(l)(1)**</w:t>
            </w:r>
          </w:p>
        </w:tc>
        <w:tc>
          <w:tcPr>
            <w:tcW w:w="10400" w:type="dxa"/>
            <w:vAlign w:val="bottom"/>
          </w:tcPr>
          <w:p>
            <w:pPr>
              <w:ind w:left="180"/>
              <w:spacing w:after="0"/>
              <w:rPr>
                <w:sz w:val="20"/>
                <w:szCs w:val="20"/>
                <w:color w:val="auto"/>
              </w:rPr>
            </w:pPr>
            <w:r>
              <w:rPr>
                <w:rFonts w:ascii="Arial" w:cs="Arial" w:eastAsia="Arial" w:hAnsi="Arial"/>
                <w:sz w:val="14"/>
                <w:szCs w:val="14"/>
                <w:color w:val="auto"/>
              </w:rPr>
              <w:t>Opinion and Consent of Venable LLP.</w:t>
            </w:r>
          </w:p>
        </w:tc>
      </w:tr>
      <w:tr>
        <w:trPr>
          <w:trHeight w:val="324"/>
        </w:trPr>
        <w:tc>
          <w:tcPr>
            <w:tcW w:w="600" w:type="dxa"/>
            <w:vAlign w:val="bottom"/>
          </w:tcPr>
          <w:p>
            <w:pPr>
              <w:jc w:val="center"/>
              <w:ind w:right="72"/>
              <w:spacing w:after="0"/>
              <w:rPr>
                <w:sz w:val="20"/>
                <w:szCs w:val="20"/>
                <w:color w:val="auto"/>
              </w:rPr>
            </w:pPr>
            <w:r>
              <w:rPr>
                <w:rFonts w:ascii="Arial" w:cs="Arial" w:eastAsia="Arial" w:hAnsi="Arial"/>
                <w:sz w:val="14"/>
                <w:szCs w:val="14"/>
                <w:color w:val="auto"/>
              </w:rPr>
              <w:t>(l)(2)**</w:t>
            </w:r>
          </w:p>
        </w:tc>
        <w:tc>
          <w:tcPr>
            <w:tcW w:w="10400" w:type="dxa"/>
            <w:vAlign w:val="bottom"/>
          </w:tcPr>
          <w:p>
            <w:pPr>
              <w:ind w:left="180"/>
              <w:spacing w:after="0"/>
              <w:rPr>
                <w:sz w:val="20"/>
                <w:szCs w:val="20"/>
                <w:color w:val="auto"/>
              </w:rPr>
            </w:pPr>
            <w:r>
              <w:rPr>
                <w:rFonts w:ascii="Arial" w:cs="Arial" w:eastAsia="Arial" w:hAnsi="Arial"/>
                <w:sz w:val="14"/>
                <w:szCs w:val="14"/>
                <w:color w:val="auto"/>
              </w:rPr>
              <w:t>Opinion and Consent of Dechert LLP.</w:t>
            </w:r>
          </w:p>
        </w:tc>
      </w:tr>
      <w:tr>
        <w:trPr>
          <w:trHeight w:val="324"/>
        </w:trPr>
        <w:tc>
          <w:tcPr>
            <w:tcW w:w="600" w:type="dxa"/>
            <w:vAlign w:val="bottom"/>
          </w:tcPr>
          <w:p>
            <w:pPr>
              <w:jc w:val="center"/>
              <w:ind w:right="72"/>
              <w:spacing w:after="0"/>
              <w:rPr>
                <w:sz w:val="20"/>
                <w:szCs w:val="20"/>
                <w:color w:val="auto"/>
              </w:rPr>
            </w:pPr>
            <w:r>
              <w:rPr>
                <w:rFonts w:ascii="Arial" w:cs="Arial" w:eastAsia="Arial" w:hAnsi="Arial"/>
                <w:sz w:val="14"/>
                <w:szCs w:val="14"/>
                <w:color w:val="auto"/>
                <w:w w:val="95"/>
              </w:rPr>
              <w:t>(n)(1)*</w:t>
            </w:r>
          </w:p>
        </w:tc>
        <w:tc>
          <w:tcPr>
            <w:tcW w:w="10400" w:type="dxa"/>
            <w:vAlign w:val="bottom"/>
          </w:tcPr>
          <w:p>
            <w:pPr>
              <w:ind w:left="180"/>
              <w:spacing w:after="0"/>
              <w:rPr>
                <w:sz w:val="20"/>
                <w:szCs w:val="20"/>
                <w:color w:val="auto"/>
              </w:rPr>
            </w:pPr>
            <w:r>
              <w:rPr>
                <w:rFonts w:ascii="Arial" w:cs="Arial" w:eastAsia="Arial" w:hAnsi="Arial"/>
                <w:sz w:val="14"/>
                <w:szCs w:val="14"/>
                <w:color w:val="auto"/>
              </w:rPr>
              <w:t>Consent of Independent Registered Public Accounting Firm.</w:t>
            </w:r>
          </w:p>
        </w:tc>
      </w:tr>
      <w:tr>
        <w:trPr>
          <w:trHeight w:val="324"/>
        </w:trPr>
        <w:tc>
          <w:tcPr>
            <w:tcW w:w="600" w:type="dxa"/>
            <w:vAlign w:val="bottom"/>
          </w:tcPr>
          <w:p>
            <w:pPr>
              <w:jc w:val="center"/>
              <w:ind w:right="72"/>
              <w:spacing w:after="0"/>
              <w:rPr>
                <w:sz w:val="20"/>
                <w:szCs w:val="20"/>
                <w:color w:val="auto"/>
              </w:rPr>
            </w:pPr>
            <w:r>
              <w:rPr>
                <w:rFonts w:ascii="Arial" w:cs="Arial" w:eastAsia="Arial" w:hAnsi="Arial"/>
                <w:sz w:val="14"/>
                <w:szCs w:val="14"/>
                <w:color w:val="auto"/>
                <w:w w:val="95"/>
              </w:rPr>
              <w:t>(n)(2)*</w:t>
            </w:r>
          </w:p>
        </w:tc>
        <w:tc>
          <w:tcPr>
            <w:tcW w:w="10400" w:type="dxa"/>
            <w:vAlign w:val="bottom"/>
          </w:tcPr>
          <w:p>
            <w:pPr>
              <w:ind w:left="180"/>
              <w:spacing w:after="0"/>
              <w:rPr>
                <w:sz w:val="20"/>
                <w:szCs w:val="20"/>
                <w:color w:val="auto"/>
              </w:rPr>
            </w:pPr>
            <w:r>
              <w:rPr>
                <w:rFonts w:ascii="Arial" w:cs="Arial" w:eastAsia="Arial" w:hAnsi="Arial"/>
                <w:sz w:val="14"/>
                <w:szCs w:val="14"/>
                <w:color w:val="auto"/>
              </w:rPr>
              <w:t>Awareness Letter of Independent Registered Public Accounting Firm.</w:t>
            </w:r>
          </w:p>
        </w:tc>
      </w:tr>
      <w:tr>
        <w:trPr>
          <w:trHeight w:val="300"/>
        </w:trPr>
        <w:tc>
          <w:tcPr>
            <w:tcW w:w="600" w:type="dxa"/>
            <w:vAlign w:val="bottom"/>
          </w:tcPr>
          <w:p>
            <w:pPr>
              <w:jc w:val="center"/>
              <w:ind w:right="72"/>
              <w:spacing w:after="0"/>
              <w:rPr>
                <w:sz w:val="20"/>
                <w:szCs w:val="20"/>
                <w:color w:val="auto"/>
              </w:rPr>
            </w:pPr>
            <w:r>
              <w:rPr>
                <w:rFonts w:ascii="Arial" w:cs="Arial" w:eastAsia="Arial" w:hAnsi="Arial"/>
                <w:sz w:val="14"/>
                <w:szCs w:val="14"/>
                <w:color w:val="auto"/>
                <w:w w:val="96"/>
              </w:rPr>
              <w:t>(r)(1)</w:t>
            </w:r>
          </w:p>
        </w:tc>
        <w:tc>
          <w:tcPr>
            <w:tcW w:w="10400" w:type="dxa"/>
            <w:vAlign w:val="bottom"/>
          </w:tcPr>
          <w:p>
            <w:pPr>
              <w:ind w:left="180"/>
              <w:spacing w:after="0"/>
              <w:rPr>
                <w:sz w:val="20"/>
                <w:szCs w:val="20"/>
                <w:color w:val="auto"/>
              </w:rPr>
            </w:pPr>
            <w:r>
              <w:rPr>
                <w:rFonts w:ascii="Arial" w:cs="Arial" w:eastAsia="Arial" w:hAnsi="Arial"/>
                <w:sz w:val="14"/>
                <w:szCs w:val="14"/>
                <w:color w:val="auto"/>
                <w:w w:val="88"/>
              </w:rPr>
              <w:t>Joint Code of Ethics of the Registrant and PennantPark Investment Advisers, LLC (Incorporated by reference to Exhibit 14.1 to the Registrant’s Annual Report on Form 10-K (File No. 814-</w:t>
            </w:r>
          </w:p>
        </w:tc>
      </w:tr>
      <w:tr>
        <w:trPr>
          <w:trHeight w:val="172"/>
        </w:trPr>
        <w:tc>
          <w:tcPr>
            <w:tcW w:w="600" w:type="dxa"/>
            <w:vAlign w:val="bottom"/>
          </w:tcPr>
          <w:p>
            <w:pPr>
              <w:spacing w:after="0"/>
              <w:rPr>
                <w:sz w:val="14"/>
                <w:szCs w:val="14"/>
                <w:color w:val="auto"/>
              </w:rPr>
            </w:pPr>
          </w:p>
        </w:tc>
        <w:tc>
          <w:tcPr>
            <w:tcW w:w="10400" w:type="dxa"/>
            <w:vAlign w:val="bottom"/>
          </w:tcPr>
          <w:p>
            <w:pPr>
              <w:ind w:left="180"/>
              <w:spacing w:after="0"/>
              <w:rPr>
                <w:sz w:val="20"/>
                <w:szCs w:val="20"/>
                <w:color w:val="auto"/>
              </w:rPr>
            </w:pPr>
            <w:r>
              <w:rPr>
                <w:rFonts w:ascii="Arial" w:cs="Arial" w:eastAsia="Arial" w:hAnsi="Arial"/>
                <w:sz w:val="14"/>
                <w:szCs w:val="14"/>
                <w:color w:val="auto"/>
              </w:rPr>
              <w:t>00891), filed on November 17, 2011).</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(s)(1)**</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Common Stock Offerings.</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(s)(2)**</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Preferred Stock Offerings.</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(s)(3)**</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Debt Offerings.</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(s)(4)**</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Rights Offerings.</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(s)(5)**</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Warrant Offerings.</w:t>
            </w:r>
          </w:p>
        </w:tc>
      </w:tr>
    </w:tbl>
    <w:p>
      <w:pPr>
        <w:spacing w:after="0" w:line="259" w:lineRule="exact"/>
        <w:rPr>
          <w:sz w:val="20"/>
          <w:szCs w:val="20"/>
          <w:color w:val="auto"/>
        </w:rPr>
      </w:pPr>
    </w:p>
    <w:p>
      <w:pPr>
        <w:ind w:left="580" w:hanging="572"/>
        <w:spacing w:after="0"/>
        <w:tabs>
          <w:tab w:leader="none" w:pos="5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Filed herewith</w:t>
      </w:r>
    </w:p>
    <w:p>
      <w:pPr>
        <w:ind w:left="580" w:hanging="572"/>
        <w:spacing w:after="0"/>
        <w:tabs>
          <w:tab w:leader="none" w:pos="5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26.</w:t>
      </w:r>
      <w:r>
        <w:rPr>
          <w:sz w:val="20"/>
          <w:szCs w:val="20"/>
          <w:color w:val="auto"/>
        </w:rPr>
        <w:tab/>
      </w:r>
      <w:r>
        <w:rPr>
          <w:rFonts w:ascii="Arial" w:cs="Arial" w:eastAsia="Arial" w:hAnsi="Arial"/>
          <w:sz w:val="12"/>
          <w:szCs w:val="12"/>
          <w:b w:val="1"/>
          <w:bCs w:val="1"/>
          <w:color w:val="auto"/>
        </w:rPr>
        <w:t>Marketing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information contained under the heading “Plan of Distribution” in this Registration Statement is hereby incorporated by reference.</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27.</w:t>
      </w:r>
      <w:r>
        <w:rPr>
          <w:sz w:val="20"/>
          <w:szCs w:val="20"/>
          <w:color w:val="auto"/>
        </w:rPr>
        <w:tab/>
      </w:r>
      <w:r>
        <w:rPr>
          <w:rFonts w:ascii="Arial" w:cs="Arial" w:eastAsia="Arial" w:hAnsi="Arial"/>
          <w:sz w:val="11"/>
          <w:szCs w:val="11"/>
          <w:b w:val="1"/>
          <w:bCs w:val="1"/>
          <w:color w:val="auto"/>
        </w:rPr>
        <w:t>Other expenses of issuance and distribution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sets forth the estimated expenses to be incurred by the Registrant in connection with the offering described in this registration statement:</w:t>
      </w:r>
    </w:p>
    <w:p>
      <w:pPr>
        <w:sectPr>
          <w:pgSz w:w="11900" w:h="16838" w:orient="portrait"/>
          <w:cols w:equalWidth="0" w:num="1">
            <w:col w:w="11140"/>
          </w:cols>
          <w:pgMar w:left="240" w:top="459" w:right="519" w:bottom="1440" w:gutter="0" w:footer="0" w:header="0"/>
        </w:sectPr>
      </w:pPr>
    </w:p>
    <w:p>
      <w:pPr>
        <w:spacing w:after="0" w:line="19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-94615</wp:posOffset>
            </wp:positionV>
            <wp:extent cx="4922520" cy="946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FINRA filing fee</w:t>
      </w:r>
    </w:p>
    <w:p>
      <w:pPr>
        <w:ind w:left="1840"/>
        <w:spacing w:after="0" w:line="222" w:lineRule="auto"/>
        <w:rPr>
          <w:sz w:val="20"/>
          <w:szCs w:val="20"/>
          <w:color w:val="auto"/>
        </w:rPr>
      </w:pPr>
      <w:r>
        <w:rPr>
          <w:rFonts w:ascii="Arial" w:cs="Arial" w:eastAsia="Arial" w:hAnsi="Arial"/>
          <w:sz w:val="14"/>
          <w:szCs w:val="14"/>
          <w:color w:val="auto"/>
        </w:rPr>
        <w:t>Printing (other than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Legal fees and expenses</w:t>
      </w:r>
    </w:p>
    <w:p>
      <w:pPr>
        <w:ind w:left="1840"/>
        <w:spacing w:after="0" w:line="222" w:lineRule="auto"/>
        <w:rPr>
          <w:sz w:val="20"/>
          <w:szCs w:val="20"/>
          <w:color w:val="auto"/>
        </w:rPr>
      </w:pPr>
      <w:r>
        <w:rPr>
          <w:rFonts w:ascii="Arial" w:cs="Arial" w:eastAsia="Arial" w:hAnsi="Arial"/>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Miscellaneous fees and expenses</w:t>
      </w:r>
    </w:p>
    <w:p>
      <w:pPr>
        <w:spacing w:after="0" w:line="111"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Total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of the expenses set forth above shall be borne by the Registrant.</w:t>
      </w:r>
    </w:p>
    <w:p>
      <w:pPr>
        <w:spacing w:after="0" w:line="136" w:lineRule="exact"/>
        <w:rPr>
          <w:sz w:val="20"/>
          <w:szCs w:val="20"/>
          <w:color w:val="auto"/>
        </w:rPr>
      </w:pPr>
    </w:p>
    <w:p>
      <w:pPr>
        <w:jc w:val="right"/>
        <w:ind w:right="1666"/>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894" w:hanging="894"/>
        <w:spacing w:after="0"/>
        <w:tabs>
          <w:tab w:leader="none" w:pos="894" w:val="left"/>
        </w:tabs>
        <w:numPr>
          <w:ilvl w:val="0"/>
          <w:numId w:val="100"/>
        </w:numPr>
        <w:rPr>
          <w:rFonts w:ascii="Arial" w:cs="Arial" w:eastAsia="Arial" w:hAnsi="Arial"/>
          <w:sz w:val="11"/>
          <w:szCs w:val="11"/>
          <w:color w:val="auto"/>
        </w:rPr>
      </w:pPr>
      <w:r>
        <w:rPr>
          <w:rFonts w:ascii="Arial" w:cs="Arial" w:eastAsia="Arial" w:hAnsi="Arial"/>
          <w:sz w:val="11"/>
          <w:szCs w:val="11"/>
          <w:color w:val="auto"/>
        </w:rPr>
        <w:t>17,190</w:t>
      </w:r>
    </w:p>
    <w:p>
      <w:pPr>
        <w:spacing w:after="0" w:line="34" w:lineRule="exact"/>
        <w:rPr>
          <w:sz w:val="20"/>
          <w:szCs w:val="20"/>
          <w:color w:val="auto"/>
        </w:rPr>
      </w:pPr>
    </w:p>
    <w:p>
      <w:pPr>
        <w:ind w:left="894" w:hanging="894"/>
        <w:spacing w:after="0"/>
        <w:tabs>
          <w:tab w:leader="none" w:pos="894" w:val="left"/>
        </w:tabs>
        <w:numPr>
          <w:ilvl w:val="0"/>
          <w:numId w:val="101"/>
        </w:numPr>
        <w:rPr>
          <w:rFonts w:ascii="Arial" w:cs="Arial" w:eastAsia="Arial" w:hAnsi="Arial"/>
          <w:sz w:val="11"/>
          <w:szCs w:val="11"/>
          <w:color w:val="auto"/>
        </w:rPr>
      </w:pPr>
      <w:r>
        <w:rPr>
          <w:rFonts w:ascii="Arial" w:cs="Arial" w:eastAsia="Arial" w:hAnsi="Arial"/>
          <w:sz w:val="11"/>
          <w:szCs w:val="11"/>
          <w:color w:val="auto"/>
        </w:rPr>
        <w:t>38,462</w:t>
      </w:r>
    </w:p>
    <w:p>
      <w:pPr>
        <w:spacing w:after="0" w:line="22" w:lineRule="exact"/>
        <w:rPr>
          <w:sz w:val="20"/>
          <w:szCs w:val="20"/>
          <w:color w:val="auto"/>
        </w:rPr>
      </w:pPr>
    </w:p>
    <w:p>
      <w:pPr>
        <w:ind w:left="894" w:hanging="894"/>
        <w:spacing w:after="0"/>
        <w:tabs>
          <w:tab w:leader="none" w:pos="894" w:val="left"/>
        </w:tabs>
        <w:numPr>
          <w:ilvl w:val="0"/>
          <w:numId w:val="102"/>
        </w:numPr>
        <w:rPr>
          <w:rFonts w:ascii="Arial" w:cs="Arial" w:eastAsia="Arial" w:hAnsi="Arial"/>
          <w:sz w:val="11"/>
          <w:szCs w:val="11"/>
          <w:color w:val="auto"/>
        </w:rPr>
      </w:pPr>
      <w:r>
        <w:rPr>
          <w:rFonts w:ascii="Arial" w:cs="Arial" w:eastAsia="Arial" w:hAnsi="Arial"/>
          <w:sz w:val="11"/>
          <w:szCs w:val="11"/>
          <w:color w:val="auto"/>
        </w:rPr>
        <w:t>15,500</w:t>
      </w:r>
    </w:p>
    <w:p>
      <w:pPr>
        <w:spacing w:after="0" w:line="22" w:lineRule="exact"/>
        <w:rPr>
          <w:sz w:val="20"/>
          <w:szCs w:val="20"/>
          <w:color w:val="auto"/>
        </w:rPr>
      </w:pPr>
    </w:p>
    <w:p>
      <w:pPr>
        <w:ind w:left="814" w:hanging="814"/>
        <w:spacing w:after="0"/>
        <w:tabs>
          <w:tab w:leader="none" w:pos="814" w:val="left"/>
        </w:tabs>
        <w:numPr>
          <w:ilvl w:val="0"/>
          <w:numId w:val="103"/>
        </w:numPr>
        <w:rPr>
          <w:rFonts w:ascii="Arial" w:cs="Arial" w:eastAsia="Arial" w:hAnsi="Arial"/>
          <w:sz w:val="12"/>
          <w:szCs w:val="12"/>
          <w:color w:val="auto"/>
        </w:rPr>
      </w:pPr>
      <w:r>
        <w:rPr>
          <w:rFonts w:ascii="Arial" w:cs="Arial" w:eastAsia="Arial" w:hAnsi="Arial"/>
          <w:sz w:val="12"/>
          <w:szCs w:val="12"/>
          <w:color w:val="auto"/>
        </w:rPr>
        <w:t>225,000</w:t>
      </w:r>
    </w:p>
    <w:p>
      <w:pPr>
        <w:spacing w:after="0" w:line="11" w:lineRule="exact"/>
        <w:rPr>
          <w:sz w:val="20"/>
          <w:szCs w:val="20"/>
          <w:color w:val="auto"/>
        </w:rPr>
      </w:pPr>
    </w:p>
    <w:p>
      <w:pPr>
        <w:ind w:left="814" w:hanging="814"/>
        <w:spacing w:after="0"/>
        <w:tabs>
          <w:tab w:leader="none" w:pos="814" w:val="left"/>
        </w:tabs>
        <w:numPr>
          <w:ilvl w:val="0"/>
          <w:numId w:val="104"/>
        </w:numPr>
        <w:rPr>
          <w:rFonts w:ascii="Arial" w:cs="Arial" w:eastAsia="Arial" w:hAnsi="Arial"/>
          <w:sz w:val="12"/>
          <w:szCs w:val="12"/>
          <w:color w:val="auto"/>
        </w:rPr>
      </w:pPr>
      <w:r>
        <w:rPr>
          <w:rFonts w:ascii="Arial" w:cs="Arial" w:eastAsia="Arial" w:hAnsi="Arial"/>
          <w:sz w:val="12"/>
          <w:szCs w:val="12"/>
          <w:color w:val="auto"/>
        </w:rPr>
        <w:t>400,000</w:t>
      </w:r>
    </w:p>
    <w:p>
      <w:pPr>
        <w:spacing w:after="0" w:line="11" w:lineRule="exact"/>
        <w:rPr>
          <w:sz w:val="20"/>
          <w:szCs w:val="20"/>
          <w:color w:val="auto"/>
        </w:rPr>
      </w:pPr>
    </w:p>
    <w:p>
      <w:pPr>
        <w:ind w:left="814" w:hanging="814"/>
        <w:spacing w:after="0"/>
        <w:tabs>
          <w:tab w:leader="none" w:pos="814" w:val="left"/>
        </w:tabs>
        <w:numPr>
          <w:ilvl w:val="0"/>
          <w:numId w:val="105"/>
        </w:numPr>
        <w:rPr>
          <w:rFonts w:ascii="Arial" w:cs="Arial" w:eastAsia="Arial" w:hAnsi="Arial"/>
          <w:sz w:val="12"/>
          <w:szCs w:val="12"/>
          <w:color w:val="auto"/>
        </w:rPr>
      </w:pPr>
      <w:r>
        <w:rPr>
          <w:rFonts w:ascii="Arial" w:cs="Arial" w:eastAsia="Arial" w:hAnsi="Arial"/>
          <w:sz w:val="12"/>
          <w:szCs w:val="12"/>
          <w:color w:val="auto"/>
        </w:rPr>
        <w:t>175,000</w:t>
      </w:r>
    </w:p>
    <w:p>
      <w:pPr>
        <w:spacing w:after="0" w:line="10" w:lineRule="exact"/>
        <w:rPr>
          <w:rFonts w:ascii="Arial" w:cs="Arial" w:eastAsia="Arial" w:hAnsi="Arial"/>
          <w:sz w:val="12"/>
          <w:szCs w:val="12"/>
          <w:color w:val="auto"/>
        </w:rPr>
      </w:pPr>
    </w:p>
    <w:p>
      <w:pPr>
        <w:ind w:left="814" w:hanging="814"/>
        <w:spacing w:after="0"/>
        <w:tabs>
          <w:tab w:leader="none" w:pos="814" w:val="left"/>
        </w:tabs>
        <w:numPr>
          <w:ilvl w:val="0"/>
          <w:numId w:val="105"/>
        </w:numPr>
        <w:rPr>
          <w:rFonts w:ascii="Arial" w:cs="Arial" w:eastAsia="Arial" w:hAnsi="Arial"/>
          <w:sz w:val="12"/>
          <w:szCs w:val="12"/>
          <w:color w:val="auto"/>
        </w:rPr>
      </w:pPr>
      <w:r>
        <w:rPr>
          <w:rFonts w:ascii="Arial" w:cs="Arial" w:eastAsia="Arial" w:hAnsi="Arial"/>
          <w:sz w:val="12"/>
          <w:szCs w:val="12"/>
          <w:color w:val="auto"/>
        </w:rPr>
        <w:t>128,848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5715</wp:posOffset>
            </wp:positionV>
            <wp:extent cx="84074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14" w:lineRule="exact"/>
        <w:rPr>
          <w:sz w:val="20"/>
          <w:szCs w:val="20"/>
          <w:color w:val="auto"/>
        </w:rPr>
      </w:pPr>
    </w:p>
    <w:p>
      <w:pPr>
        <w:ind w:left="714" w:hanging="714"/>
        <w:spacing w:after="0"/>
        <w:tabs>
          <w:tab w:leader="none" w:pos="71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84074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30480</wp:posOffset>
            </wp:positionV>
            <wp:extent cx="84074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ectPr>
          <w:pgSz w:w="11900" w:h="16838" w:orient="portrait"/>
          <w:cols w:equalWidth="0" w:num="2">
            <w:col w:w="7486" w:space="720"/>
            <w:col w:w="2934"/>
          </w:cols>
          <w:pgMar w:left="240" w:top="459" w:right="51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28.</w:t>
      </w:r>
      <w:r>
        <w:rPr>
          <w:sz w:val="20"/>
          <w:szCs w:val="20"/>
          <w:color w:val="auto"/>
        </w:rPr>
        <w:tab/>
      </w:r>
      <w:r>
        <w:rPr>
          <w:rFonts w:ascii="Arial" w:cs="Arial" w:eastAsia="Arial" w:hAnsi="Arial"/>
          <w:sz w:val="12"/>
          <w:szCs w:val="12"/>
          <w:b w:val="1"/>
          <w:bCs w:val="1"/>
          <w:color w:val="auto"/>
        </w:rPr>
        <w:t>Persons controlled by or under common control with the registrant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lists sets forth each of the companies considered to be controlled by us as defined by the 1940 Act.</w:t>
      </w:r>
    </w:p>
    <w:p>
      <w:pPr>
        <w:spacing w:after="0" w:line="346"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Name of entity and place of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1028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922520" cy="10287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PennantPark Floating Rate Funding I, LLC (Delaware)</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59"/>
        <w:spacing w:after="0"/>
        <w:rPr>
          <w:sz w:val="20"/>
          <w:szCs w:val="20"/>
          <w:color w:val="auto"/>
        </w:rPr>
      </w:pPr>
      <w:r>
        <w:rPr>
          <w:rFonts w:ascii="Arial" w:cs="Arial" w:eastAsia="Arial" w:hAnsi="Arial"/>
          <w:sz w:val="12"/>
          <w:szCs w:val="12"/>
          <w:b w:val="1"/>
          <w:bCs w:val="1"/>
          <w:color w:val="auto"/>
        </w:rPr>
        <w:t>Voting Securities</w:t>
      </w:r>
    </w:p>
    <w:p>
      <w:pPr>
        <w:spacing w:after="0" w:line="25" w:lineRule="exact"/>
        <w:rPr>
          <w:sz w:val="20"/>
          <w:szCs w:val="20"/>
          <w:color w:val="auto"/>
        </w:rPr>
      </w:pPr>
    </w:p>
    <w:p>
      <w:pPr>
        <w:jc w:val="center"/>
        <w:ind w:right="1059"/>
        <w:spacing w:after="0"/>
        <w:rPr>
          <w:sz w:val="20"/>
          <w:szCs w:val="20"/>
          <w:color w:val="auto"/>
        </w:rPr>
      </w:pPr>
      <w:r>
        <w:rPr>
          <w:rFonts w:ascii="Arial" w:cs="Arial" w:eastAsia="Arial" w:hAnsi="Arial"/>
          <w:sz w:val="11"/>
          <w:szCs w:val="11"/>
          <w:b w:val="1"/>
          <w:bCs w:val="1"/>
          <w:color w:val="auto"/>
        </w:rPr>
        <w:t>Owned Percentage</w:t>
      </w:r>
    </w:p>
    <w:p>
      <w:pPr>
        <w:spacing w:after="0" w:line="22" w:lineRule="exact"/>
        <w:rPr>
          <w:sz w:val="20"/>
          <w:szCs w:val="20"/>
          <w:color w:val="auto"/>
        </w:rPr>
      </w:pPr>
    </w:p>
    <w:p>
      <w:pPr>
        <w:jc w:val="right"/>
        <w:ind w:right="659"/>
        <w:spacing w:after="0"/>
        <w:rPr>
          <w:sz w:val="20"/>
          <w:szCs w:val="20"/>
          <w:color w:val="auto"/>
        </w:rPr>
      </w:pPr>
      <w:r>
        <w:rPr>
          <w:rFonts w:ascii="Arial" w:cs="Arial" w:eastAsia="Arial" w:hAnsi="Arial"/>
          <w:sz w:val="14"/>
          <w:szCs w:val="14"/>
          <w:color w:val="auto"/>
        </w:rPr>
        <w:t>100%</w:t>
      </w:r>
    </w:p>
    <w:p>
      <w:pPr>
        <w:sectPr>
          <w:pgSz w:w="11900" w:h="16838" w:orient="portrait"/>
          <w:cols w:equalWidth="0" w:num="2">
            <w:col w:w="7360" w:space="720"/>
            <w:col w:w="2139"/>
          </w:cols>
          <w:pgMar w:left="240" w:top="459" w:right="1440"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29.</w:t>
      </w:r>
      <w:r>
        <w:rPr>
          <w:sz w:val="20"/>
          <w:szCs w:val="20"/>
          <w:color w:val="auto"/>
        </w:rPr>
        <w:tab/>
      </w:r>
      <w:r>
        <w:rPr>
          <w:rFonts w:ascii="Arial" w:cs="Arial" w:eastAsia="Arial" w:hAnsi="Arial"/>
          <w:sz w:val="12"/>
          <w:szCs w:val="12"/>
          <w:b w:val="1"/>
          <w:bCs w:val="1"/>
          <w:color w:val="auto"/>
        </w:rPr>
        <w:t>Number of holders of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May 8, 2012</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 of Record Holders</w:t>
      </w:r>
    </w:p>
    <w:tbl>
      <w:tblPr>
        <w:tblLayout w:type="fixed"/>
        <w:tblInd w:w="0" w:type="dxa"/>
        <w:tblCellMar>
          <w:top w:w="0" w:type="dxa"/>
          <w:left w:w="0" w:type="dxa"/>
          <w:bottom w:w="0" w:type="dxa"/>
          <w:right w:w="0" w:type="dxa"/>
        </w:tblCellMar>
      </w:tblPr>
      <w:tr>
        <w:trPr>
          <w:trHeight w:val="169"/>
        </w:trPr>
        <w:tc>
          <w:tcPr>
            <w:tcW w:w="37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Title of Class</w:t>
            </w:r>
          </w:p>
        </w:tc>
        <w:tc>
          <w:tcPr>
            <w:tcW w:w="49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59"/>
        </w:trPr>
        <w:tc>
          <w:tcPr>
            <w:tcW w:w="3780" w:type="dxa"/>
            <w:vAlign w:val="bottom"/>
          </w:tcPr>
          <w:p>
            <w:pPr>
              <w:jc w:val="center"/>
              <w:spacing w:after="0" w:line="159" w:lineRule="exact"/>
              <w:rPr>
                <w:sz w:val="20"/>
                <w:szCs w:val="20"/>
                <w:color w:val="auto"/>
              </w:rPr>
            </w:pPr>
            <w:r>
              <w:rPr>
                <w:rFonts w:ascii="Arial" w:cs="Arial" w:eastAsia="Arial" w:hAnsi="Arial"/>
                <w:sz w:val="14"/>
                <w:szCs w:val="14"/>
                <w:color w:val="auto"/>
                <w:w w:val="87"/>
              </w:rPr>
              <w:t>Common Stock, $0.001 par value</w:t>
            </w:r>
          </w:p>
        </w:tc>
        <w:tc>
          <w:tcPr>
            <w:tcW w:w="6260" w:type="dxa"/>
            <w:vAlign w:val="bottom"/>
            <w:gridSpan w:val="2"/>
          </w:tcPr>
          <w:p>
            <w:pPr>
              <w:jc w:val="right"/>
              <w:ind w:right="620"/>
              <w:spacing w:after="0" w:line="153" w:lineRule="exact"/>
              <w:rPr>
                <w:sz w:val="20"/>
                <w:szCs w:val="20"/>
                <w:color w:val="auto"/>
              </w:rPr>
            </w:pPr>
            <w:r>
              <w:rPr>
                <w:rFonts w:ascii="Arial" w:cs="Arial" w:eastAsia="Arial" w:hAnsi="Arial"/>
                <w:sz w:val="14"/>
                <w:szCs w:val="14"/>
                <w:color w:val="auto"/>
              </w:rPr>
              <w:t>3</w:t>
            </w:r>
          </w:p>
        </w:tc>
      </w:tr>
      <w:tr>
        <w:trPr>
          <w:trHeight w:val="286"/>
        </w:trPr>
        <w:tc>
          <w:tcPr>
            <w:tcW w:w="3780" w:type="dxa"/>
            <w:vAlign w:val="bottom"/>
          </w:tcPr>
          <w:p>
            <w:pPr>
              <w:spacing w:after="0"/>
              <w:rPr>
                <w:sz w:val="24"/>
                <w:szCs w:val="24"/>
                <w:color w:val="auto"/>
              </w:rPr>
            </w:pPr>
          </w:p>
        </w:tc>
        <w:tc>
          <w:tcPr>
            <w:tcW w:w="6260" w:type="dxa"/>
            <w:vAlign w:val="bottom"/>
            <w:gridSpan w:val="2"/>
          </w:tcPr>
          <w:p>
            <w:pPr>
              <w:jc w:val="right"/>
              <w:ind w:right="4220"/>
              <w:spacing w:after="0"/>
              <w:rPr>
                <w:sz w:val="20"/>
                <w:szCs w:val="20"/>
                <w:color w:val="auto"/>
              </w:rPr>
            </w:pPr>
            <w:r>
              <w:rPr>
                <w:rFonts w:ascii="Arial" w:cs="Arial" w:eastAsia="Arial" w:hAnsi="Arial"/>
                <w:sz w:val="14"/>
                <w:szCs w:val="14"/>
                <w:color w:val="auto"/>
              </w:rPr>
              <w:t>C-4</w:t>
            </w:r>
          </w:p>
        </w:tc>
      </w:tr>
    </w:tbl>
    <w:p>
      <w:pPr>
        <w:sectPr>
          <w:pgSz w:w="11900" w:h="16838" w:orient="portrait"/>
          <w:cols w:equalWidth="0" w:num="1">
            <w:col w:w="10580"/>
          </w:cols>
          <w:pgMar w:left="240" w:top="460" w:right="10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30.</w:t>
      </w:r>
      <w:r>
        <w:rPr>
          <w:sz w:val="20"/>
          <w:szCs w:val="20"/>
          <w:color w:val="auto"/>
        </w:rPr>
        <w:tab/>
      </w:r>
      <w:r>
        <w:rPr>
          <w:rFonts w:ascii="Arial" w:cs="Arial" w:eastAsia="Arial" w:hAnsi="Arial"/>
          <w:sz w:val="12"/>
          <w:szCs w:val="12"/>
          <w:b w:val="1"/>
          <w:bCs w:val="1"/>
          <w:color w:val="auto"/>
        </w:rPr>
        <w:t>Indemnification</w:t>
      </w:r>
    </w:p>
    <w:p>
      <w:pPr>
        <w:spacing w:after="0" w:line="15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The information contained under the heading “Description of our Capital Stock —Limitation on Liability of Directors and Officers; Indemnification and Advance of Expenses” is incorporated herein by reference.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C-5</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31.</w:t>
      </w:r>
      <w:r>
        <w:rPr>
          <w:sz w:val="20"/>
          <w:szCs w:val="20"/>
          <w:color w:val="auto"/>
        </w:rPr>
        <w:tab/>
      </w:r>
      <w:r>
        <w:rPr>
          <w:rFonts w:ascii="Arial" w:cs="Arial" w:eastAsia="Arial" w:hAnsi="Arial"/>
          <w:sz w:val="11"/>
          <w:szCs w:val="11"/>
          <w:b w:val="1"/>
          <w:bCs w:val="1"/>
          <w:color w:val="auto"/>
        </w:rPr>
        <w:t>Business and other connections of Investment Adviser</w:t>
      </w:r>
    </w:p>
    <w:p>
      <w:pPr>
        <w:spacing w:after="0" w:line="15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32.</w:t>
      </w:r>
      <w:r>
        <w:rPr>
          <w:sz w:val="20"/>
          <w:szCs w:val="20"/>
          <w:color w:val="auto"/>
        </w:rPr>
        <w:tab/>
      </w:r>
      <w:r>
        <w:rPr>
          <w:rFonts w:ascii="Arial" w:cs="Arial" w:eastAsia="Arial" w:hAnsi="Arial"/>
          <w:sz w:val="11"/>
          <w:szCs w:val="11"/>
          <w:b w:val="1"/>
          <w:bCs w:val="1"/>
          <w:color w:val="auto"/>
        </w:rPr>
        <w:t>Location of accounts and records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All accounts, books and other documents required to be maintained by Section 31(a) of the 1940 Act, and the rules thereunder are maintained at the offices of:</w:t>
      </w:r>
    </w:p>
    <w:p>
      <w:pPr>
        <w:spacing w:after="0" w:line="173" w:lineRule="exact"/>
        <w:rPr>
          <w:sz w:val="20"/>
          <w:szCs w:val="20"/>
          <w:color w:val="auto"/>
        </w:rPr>
      </w:pPr>
    </w:p>
    <w:p>
      <w:pPr>
        <w:ind w:left="660" w:hanging="196"/>
        <w:spacing w:after="0"/>
        <w:tabs>
          <w:tab w:leader="none" w:pos="6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Registrant, PennantPark Floating Rate Capital Ltd., 590 Madison Avenue, 15th Floor, New York, NY 10022;</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Transfer Agent, American Stock Transfer &amp; Trust Company, LLC, 59 Maiden Lane, New York, NY 10038;</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Custodian, The Bank of New York Mellon, One Wall Street, New York, NY 10286; and</w:t>
      </w:r>
    </w:p>
    <w:p>
      <w:pPr>
        <w:spacing w:after="0" w:line="149" w:lineRule="exact"/>
        <w:rPr>
          <w:rFonts w:ascii="Arial" w:cs="Arial" w:eastAsia="Arial" w:hAnsi="Arial"/>
          <w:sz w:val="14"/>
          <w:szCs w:val="14"/>
          <w:color w:val="auto"/>
        </w:rPr>
      </w:pPr>
    </w:p>
    <w:p>
      <w:pPr>
        <w:ind w:left="5620" w:right="3579" w:hanging="5156"/>
        <w:spacing w:after="0" w:line="576" w:lineRule="auto"/>
        <w:tabs>
          <w:tab w:leader="none" w:pos="663"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Adviser, PennantPark Investment Advisers, LLC, 590 Madison Avenue, 15th Floor, New York, NY 10022. C-7</w:t>
      </w:r>
    </w:p>
    <w:p>
      <w:pPr>
        <w:sectPr>
          <w:pgSz w:w="11900" w:h="16838" w:orient="portrait"/>
          <w:cols w:equalWidth="0" w:num="1">
            <w:col w:w="10219"/>
          </w:cols>
          <w:pgMar w:left="240" w:top="459" w:right="1440"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33.</w:t>
      </w:r>
      <w:r>
        <w:rPr>
          <w:sz w:val="20"/>
          <w:szCs w:val="20"/>
          <w:color w:val="auto"/>
        </w:rPr>
        <w:tab/>
      </w:r>
      <w:r>
        <w:rPr>
          <w:rFonts w:ascii="Arial" w:cs="Arial" w:eastAsia="Arial" w:hAnsi="Arial"/>
          <w:sz w:val="11"/>
          <w:szCs w:val="11"/>
          <w:b w:val="1"/>
          <w:bCs w:val="1"/>
          <w:color w:val="auto"/>
        </w:rPr>
        <w:t>Management services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C-8</w:t>
      </w:r>
    </w:p>
    <w:p>
      <w:pPr>
        <w:sectPr>
          <w:pgSz w:w="11900" w:h="16838" w:orient="portrait"/>
          <w:cols w:equalWidth="0" w:num="1">
            <w:col w:w="10219"/>
          </w:cols>
          <w:pgMar w:left="240" w:top="459" w:right="1440"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34.</w:t>
      </w:r>
      <w:r>
        <w:rPr>
          <w:sz w:val="20"/>
          <w:szCs w:val="20"/>
          <w:color w:val="auto"/>
        </w:rPr>
        <w:tab/>
      </w:r>
      <w:r>
        <w:rPr>
          <w:rFonts w:ascii="Arial" w:cs="Arial" w:eastAsia="Arial" w:hAnsi="Arial"/>
          <w:sz w:val="12"/>
          <w:szCs w:val="12"/>
          <w:b w:val="1"/>
          <w:bCs w:val="1"/>
          <w:color w:val="auto"/>
        </w:rPr>
        <w:t>Undertakings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Registrant hereby undertakes:</w:t>
      </w:r>
    </w:p>
    <w:p>
      <w:pPr>
        <w:spacing w:after="0" w:line="150" w:lineRule="exact"/>
        <w:rPr>
          <w:sz w:val="20"/>
          <w:szCs w:val="20"/>
          <w:color w:val="auto"/>
        </w:rPr>
      </w:pPr>
    </w:p>
    <w:p>
      <w:pPr>
        <w:ind w:left="460" w:firstLine="4"/>
        <w:spacing w:after="0" w:line="318" w:lineRule="auto"/>
        <w:tabs>
          <w:tab w:leader="none" w:pos="651"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to suspend the offering of shares until the prospectus is amended if (1) subsequent to the effective date of its registration statement, the net asset value declines more than ten percent from its net asset value as of the effective date of the registrations statement or (2) the net asset value increases to an amount greater than its net proceeds as stated in the prospectus;</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firstLine="4"/>
        <w:spacing w:after="0" w:line="278" w:lineRule="auto"/>
        <w:tabs>
          <w:tab w:leader="none" w:pos="651" w:val="left"/>
        </w:tabs>
        <w:numPr>
          <w:ilvl w:val="0"/>
          <w:numId w:val="108"/>
        </w:numPr>
        <w:rPr>
          <w:rFonts w:ascii="Arial" w:cs="Arial" w:eastAsia="Arial" w:hAnsi="Arial"/>
          <w:sz w:val="12"/>
          <w:szCs w:val="12"/>
          <w:color w:val="auto"/>
        </w:rPr>
      </w:pPr>
      <w:r>
        <w:rPr>
          <w:rFonts w:ascii="Arial" w:cs="Arial" w:eastAsia="Arial" w:hAnsi="Arial"/>
          <w:sz w:val="12"/>
          <w:szCs w:val="12"/>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(4)(a) to file, during any period in which offers or sales are being made, a post-effective amendment to the registration statement:</w:t>
      </w:r>
    </w:p>
    <w:p>
      <w:pPr>
        <w:spacing w:after="0" w:line="69" w:lineRule="exact"/>
        <w:rPr>
          <w:sz w:val="20"/>
          <w:szCs w:val="20"/>
          <w:color w:val="auto"/>
        </w:rPr>
      </w:pPr>
    </w:p>
    <w:p>
      <w:pPr>
        <w:ind w:left="860" w:hanging="167"/>
        <w:spacing w:after="0"/>
        <w:tabs>
          <w:tab w:leader="none" w:pos="86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w:t>
      </w:r>
    </w:p>
    <w:p>
      <w:pPr>
        <w:spacing w:after="0" w:line="68" w:lineRule="exact"/>
        <w:rPr>
          <w:rFonts w:ascii="Arial" w:cs="Arial" w:eastAsia="Arial" w:hAnsi="Arial"/>
          <w:sz w:val="14"/>
          <w:szCs w:val="14"/>
          <w:color w:val="auto"/>
        </w:rPr>
      </w:pPr>
    </w:p>
    <w:p>
      <w:pPr>
        <w:ind w:left="700" w:right="120" w:hanging="7"/>
        <w:spacing w:after="0" w:line="239" w:lineRule="auto"/>
        <w:tabs>
          <w:tab w:leader="none" w:pos="899" w:val="left"/>
        </w:tabs>
        <w:numPr>
          <w:ilvl w:val="1"/>
          <w:numId w:val="109"/>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7" w:lineRule="exact"/>
        <w:rPr>
          <w:rFonts w:ascii="Arial" w:cs="Arial" w:eastAsia="Arial" w:hAnsi="Arial"/>
          <w:sz w:val="14"/>
          <w:szCs w:val="14"/>
          <w:color w:val="auto"/>
        </w:rPr>
      </w:pPr>
    </w:p>
    <w:p>
      <w:pPr>
        <w:ind w:left="700" w:right="220" w:hanging="7"/>
        <w:spacing w:after="0" w:line="239" w:lineRule="auto"/>
        <w:tabs>
          <w:tab w:leader="none" w:pos="936" w:val="left"/>
        </w:tabs>
        <w:numPr>
          <w:ilvl w:val="1"/>
          <w:numId w:val="109"/>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8" w:lineRule="exact"/>
        <w:rPr>
          <w:rFonts w:ascii="Arial" w:cs="Arial" w:eastAsia="Arial" w:hAnsi="Arial"/>
          <w:sz w:val="14"/>
          <w:szCs w:val="14"/>
          <w:color w:val="auto"/>
        </w:rPr>
      </w:pPr>
    </w:p>
    <w:p>
      <w:pPr>
        <w:ind w:left="580" w:right="40" w:hanging="1"/>
        <w:spacing w:after="0" w:line="239" w:lineRule="auto"/>
        <w:tabs>
          <w:tab w:leader="none" w:pos="77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7" w:lineRule="exact"/>
        <w:rPr>
          <w:rFonts w:ascii="Arial" w:cs="Arial" w:eastAsia="Arial" w:hAnsi="Arial"/>
          <w:sz w:val="14"/>
          <w:szCs w:val="14"/>
          <w:color w:val="auto"/>
        </w:rPr>
      </w:pPr>
    </w:p>
    <w:p>
      <w:pPr>
        <w:ind w:left="580" w:right="140" w:hanging="1"/>
        <w:spacing w:after="0" w:line="239" w:lineRule="auto"/>
        <w:tabs>
          <w:tab w:leader="none" w:pos="764"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7" w:lineRule="exact"/>
        <w:rPr>
          <w:rFonts w:ascii="Arial" w:cs="Arial" w:eastAsia="Arial" w:hAnsi="Arial"/>
          <w:sz w:val="14"/>
          <w:szCs w:val="14"/>
          <w:color w:val="auto"/>
        </w:rPr>
      </w:pPr>
    </w:p>
    <w:p>
      <w:pPr>
        <w:ind w:left="760" w:hanging="181"/>
        <w:spacing w:after="0"/>
        <w:tabs>
          <w:tab w:leader="none" w:pos="7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C-9</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80" w:hanging="1"/>
        <w:spacing w:after="0" w:line="270" w:lineRule="auto"/>
        <w:tabs>
          <w:tab w:leader="none" w:pos="764" w:val="left"/>
        </w:tabs>
        <w:numPr>
          <w:ilvl w:val="0"/>
          <w:numId w:val="111"/>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40" w:lineRule="exact"/>
        <w:rPr>
          <w:rFonts w:ascii="Arial" w:cs="Arial" w:eastAsia="Arial" w:hAnsi="Arial"/>
          <w:sz w:val="12"/>
          <w:szCs w:val="12"/>
          <w:color w:val="auto"/>
        </w:rPr>
      </w:pPr>
    </w:p>
    <w:p>
      <w:pPr>
        <w:ind w:left="580" w:hanging="1"/>
        <w:spacing w:after="0" w:line="230" w:lineRule="auto"/>
        <w:tabs>
          <w:tab w:leader="none" w:pos="749"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58" w:lineRule="exact"/>
        <w:rPr>
          <w:rFonts w:ascii="Arial" w:cs="Arial" w:eastAsia="Arial" w:hAnsi="Arial"/>
          <w:sz w:val="14"/>
          <w:szCs w:val="14"/>
          <w:color w:val="auto"/>
        </w:rPr>
      </w:pPr>
    </w:p>
    <w:p>
      <w:pPr>
        <w:ind w:left="860" w:hanging="167"/>
        <w:spacing w:after="0"/>
        <w:tabs>
          <w:tab w:leader="none" w:pos="86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497 under the Securities Act;</w:t>
      </w:r>
    </w:p>
    <w:p>
      <w:pPr>
        <w:spacing w:after="0" w:line="68" w:lineRule="exact"/>
        <w:rPr>
          <w:rFonts w:ascii="Arial" w:cs="Arial" w:eastAsia="Arial" w:hAnsi="Arial"/>
          <w:sz w:val="14"/>
          <w:szCs w:val="14"/>
          <w:color w:val="auto"/>
        </w:rPr>
      </w:pPr>
    </w:p>
    <w:p>
      <w:pPr>
        <w:ind w:left="700" w:right="100" w:hanging="7"/>
        <w:spacing w:after="0" w:line="239" w:lineRule="auto"/>
        <w:tabs>
          <w:tab w:leader="none" w:pos="899" w:val="left"/>
        </w:tabs>
        <w:numPr>
          <w:ilvl w:val="1"/>
          <w:numId w:val="111"/>
        </w:numPr>
        <w:rPr>
          <w:rFonts w:ascii="Arial" w:cs="Arial" w:eastAsia="Arial" w:hAnsi="Arial"/>
          <w:sz w:val="14"/>
          <w:szCs w:val="14"/>
          <w:color w:val="auto"/>
        </w:rPr>
      </w:pPr>
      <w:r>
        <w:rPr>
          <w:rFonts w:ascii="Arial" w:cs="Arial" w:eastAsia="Arial" w:hAnsi="Arial"/>
          <w:sz w:val="14"/>
          <w:szCs w:val="14"/>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7" w:lineRule="exact"/>
        <w:rPr>
          <w:rFonts w:ascii="Arial" w:cs="Arial" w:eastAsia="Arial" w:hAnsi="Arial"/>
          <w:sz w:val="14"/>
          <w:szCs w:val="14"/>
          <w:color w:val="auto"/>
        </w:rPr>
      </w:pPr>
    </w:p>
    <w:p>
      <w:pPr>
        <w:ind w:left="920" w:hanging="227"/>
        <w:spacing w:after="0"/>
        <w:tabs>
          <w:tab w:leader="none" w:pos="92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68" w:lineRule="exact"/>
        <w:rPr>
          <w:rFonts w:ascii="Arial" w:cs="Arial" w:eastAsia="Arial" w:hAnsi="Arial"/>
          <w:sz w:val="14"/>
          <w:szCs w:val="14"/>
          <w:color w:val="auto"/>
        </w:rPr>
      </w:pPr>
    </w:p>
    <w:p>
      <w:pPr>
        <w:ind w:left="580" w:right="380" w:hanging="1"/>
        <w:spacing w:after="0" w:line="228" w:lineRule="auto"/>
        <w:tabs>
          <w:tab w:leader="none" w:pos="771"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0"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58" w:lineRule="exact"/>
        <w:rPr>
          <w:sz w:val="20"/>
          <w:szCs w:val="20"/>
          <w:color w:val="auto"/>
        </w:rPr>
      </w:pPr>
    </w:p>
    <w:p>
      <w:pPr>
        <w:ind w:left="580" w:right="460" w:hanging="1"/>
        <w:spacing w:after="0" w:line="318" w:lineRule="auto"/>
        <w:tabs>
          <w:tab w:leader="none" w:pos="771" w:val="left"/>
        </w:tabs>
        <w:numPr>
          <w:ilvl w:val="1"/>
          <w:numId w:val="112"/>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right="80" w:firstLine="4"/>
        <w:spacing w:after="0" w:line="228" w:lineRule="auto"/>
        <w:tabs>
          <w:tab w:leader="none" w:pos="65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0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the Registrant has duly caused this Pre-Effective Amendment No. 1 to the Registration Statement on Form N-2 to be signed on its behalf by the undersigned, thereunto duly authorized, in the City of New York, and State of New York, on the 9th day of May 2012.</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Arthur H. Penn</w:t>
            </w:r>
          </w:p>
        </w:tc>
      </w:tr>
      <w:tr>
        <w:trPr>
          <w:trHeight w:val="169"/>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2" w:lineRule="exact"/>
        <w:rPr>
          <w:sz w:val="20"/>
          <w:szCs w:val="20"/>
          <w:color w:val="auto"/>
        </w:rPr>
      </w:pPr>
    </w:p>
    <w:p>
      <w:pPr>
        <w:ind w:right="10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this Pre-Effective Amendment No. 1 to the Registration Statement has been signed by the following persons in the capacities set forth below on the 9th day of May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center"/>
              <w:ind w:right="2140"/>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31"/>
        </w:trPr>
        <w:tc>
          <w:tcPr>
            <w:tcW w:w="6060" w:type="dxa"/>
            <w:vAlign w:val="bottom"/>
            <w:gridSpan w:val="8"/>
          </w:tcPr>
          <w:p>
            <w:pPr>
              <w:ind w:left="1940"/>
              <w:spacing w:after="0"/>
              <w:rPr>
                <w:sz w:val="20"/>
                <w:szCs w:val="20"/>
                <w:color w:val="auto"/>
              </w:rPr>
            </w:pPr>
            <w:r>
              <w:rPr>
                <w:rFonts w:ascii="Arial" w:cs="Arial" w:eastAsia="Arial" w:hAnsi="Arial"/>
                <w:sz w:val="14"/>
                <w:szCs w:val="14"/>
                <w:color w:val="auto"/>
              </w:rPr>
              <w:t>/S/  Arthur H. Penn</w:t>
            </w: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Chairman of the Board of Directors and Chief Executive Officer (Principal Executive Officer)</w:t>
            </w:r>
          </w:p>
        </w:tc>
      </w:tr>
      <w:tr>
        <w:trPr>
          <w:trHeight w:val="168"/>
        </w:trPr>
        <w:tc>
          <w:tcPr>
            <w:tcW w:w="19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Arthur H. Penn</w:t>
            </w:r>
          </w:p>
        </w:tc>
        <w:tc>
          <w:tcPr>
            <w:tcW w:w="2740" w:type="dxa"/>
            <w:vAlign w:val="bottom"/>
            <w:gridSpan w:val="2"/>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gridSpan w:val="5"/>
          </w:tcPr>
          <w:p>
            <w:pPr>
              <w:spacing w:after="0"/>
              <w:rPr>
                <w:sz w:val="20"/>
                <w:szCs w:val="20"/>
                <w:color w:val="auto"/>
              </w:rPr>
            </w:pPr>
            <w:r>
              <w:rPr>
                <w:rFonts w:ascii="Arial" w:cs="Arial" w:eastAsia="Arial" w:hAnsi="Arial"/>
                <w:sz w:val="14"/>
                <w:szCs w:val="14"/>
                <w:color w:val="auto"/>
              </w:rPr>
              <w:t>/S/  Aviv Efrat</w:t>
            </w: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Chief Financial Officer and Treasurer (Principal Financial and Accounting Officer)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Aviv Efrat</w:t>
            </w:r>
          </w:p>
        </w:tc>
        <w:tc>
          <w:tcPr>
            <w:tcW w:w="100" w:type="dxa"/>
            <w:vAlign w:val="bottom"/>
          </w:tcPr>
          <w:p>
            <w:pPr>
              <w:spacing w:after="0"/>
              <w:rPr>
                <w:sz w:val="14"/>
                <w:szCs w:val="14"/>
                <w:color w:val="auto"/>
              </w:rPr>
            </w:pP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Adam K. Bernstein</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8"/>
              </w:rPr>
              <w:t>Jeffrey Flug</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Samuel L. Katz</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bl>
    <w:p>
      <w:pPr>
        <w:spacing w:after="0" w:line="180" w:lineRule="exact"/>
        <w:rPr>
          <w:sz w:val="20"/>
          <w:szCs w:val="20"/>
          <w:color w:val="auto"/>
        </w:rPr>
      </w:pPr>
    </w:p>
    <w:p>
      <w:pPr>
        <w:ind w:left="5580" w:right="4460" w:hanging="5572"/>
        <w:spacing w:after="0" w:line="459" w:lineRule="auto"/>
        <w:tabs>
          <w:tab w:leader="none" w:pos="115" w:val="left"/>
        </w:tabs>
        <w:numPr>
          <w:ilvl w:val="0"/>
          <w:numId w:val="114"/>
        </w:numPr>
        <w:rPr>
          <w:rFonts w:ascii="Arial" w:cs="Arial" w:eastAsia="Arial" w:hAnsi="Arial"/>
          <w:sz w:val="14"/>
          <w:szCs w:val="14"/>
          <w:color w:val="auto"/>
        </w:rPr>
      </w:pPr>
      <w:r>
        <w:rPr>
          <w:rFonts w:ascii="Arial" w:cs="Arial" w:eastAsia="Arial" w:hAnsi="Arial"/>
          <w:sz w:val="14"/>
          <w:szCs w:val="14"/>
          <w:color w:val="auto"/>
        </w:rPr>
        <w:t>Signed by Aviv Efrat on behalf of those identified pursuant to his designation as an attorney-in-fact signed on March 14, 2012. C-11</w:t>
      </w:r>
    </w:p>
    <w:p>
      <w:pPr>
        <w:sectPr>
          <w:pgSz w:w="11900" w:h="16838" w:orient="portrait"/>
          <w:cols w:equalWidth="0" w:num="1">
            <w:col w:w="11420"/>
          </w:cols>
          <w:pgMar w:left="240" w:top="460"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ind w:right="480"/>
        <w:spacing w:after="0" w:line="318" w:lineRule="auto"/>
        <w:rPr>
          <w:sz w:val="20"/>
          <w:szCs w:val="20"/>
          <w:color w:val="auto"/>
        </w:rPr>
      </w:pPr>
      <w:r>
        <w:rPr>
          <w:rFonts w:ascii="Arial" w:cs="Arial" w:eastAsia="Arial" w:hAnsi="Arial"/>
          <w:sz w:val="12"/>
          <w:szCs w:val="12"/>
          <w:color w:val="auto"/>
        </w:rPr>
        <w:t>We consent to the use of our report dated November 17, 2011 for PennantPark Floating Rate Capital Ltd. and its Subsidiary included herein and to the references to our firm under the headings “Selected Financial Data”, “Senior Securities”, and “Independent Registered Public Accounting Firm” in the Pre-Effective Amendment No. 1 to the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534795" cy="3517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53479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9, 2012</w:t>
      </w:r>
    </w:p>
    <w:p>
      <w:pPr>
        <w:sectPr>
          <w:pgSz w:w="11900" w:h="16838" w:orient="portrait"/>
          <w:cols w:equalWidth="0" w:num="1">
            <w:col w:w="11420"/>
          </w:cols>
          <w:pgMar w:left="24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(n)(2)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Shareholders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Re: Pre-Effective Amendment No. 1 Shelf Registration Statement and Investment Company Act of 1940 File No. 814-00891.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the subject registration statement, we acknowledge our awareness of the use therein of our report dated May 3, 2012 related to our review of interim financial information.</w:t>
      </w:r>
    </w:p>
    <w:p>
      <w:pPr>
        <w:spacing w:after="0" w:line="173" w:lineRule="exact"/>
        <w:rPr>
          <w:sz w:val="20"/>
          <w:szCs w:val="20"/>
          <w:color w:val="auto"/>
        </w:rPr>
      </w:pPr>
    </w:p>
    <w:p>
      <w:pPr>
        <w:ind w:right="280"/>
        <w:spacing w:after="0" w:line="239" w:lineRule="auto"/>
        <w:rPr>
          <w:sz w:val="20"/>
          <w:szCs w:val="20"/>
          <w:color w:val="auto"/>
        </w:rPr>
      </w:pPr>
      <w:r>
        <w:rPr>
          <w:rFonts w:ascii="Arial" w:cs="Arial" w:eastAsia="Arial" w:hAnsi="Arial"/>
          <w:sz w:val="14"/>
          <w:szCs w:val="14"/>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534795" cy="3517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53479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9, 2012</w:t>
      </w:r>
    </w:p>
    <w:p>
      <w:pPr>
        <w:sectPr>
          <w:pgSz w:w="11900" w:h="16838" w:orient="portrait"/>
          <w:cols w:equalWidth="0" w:num="1">
            <w:col w:w="11420"/>
          </w:cols>
          <w:pgMar w:left="240" w:top="125" w:right="239" w:bottom="1440" w:gutter="0" w:footer="0" w:header="0"/>
        </w:sectPr>
      </w:pPr>
    </w:p>
    <w:bookmarkStart w:id="163" w:name="page164"/>
    <w:bookmarkEnd w:id="163"/>
    <w:p>
      <w:pPr>
        <w:ind w:left="8340"/>
        <w:spacing w:after="0"/>
        <w:rPr>
          <w:sz w:val="20"/>
          <w:szCs w:val="20"/>
          <w:color w:val="auto"/>
        </w:rPr>
      </w:pPr>
      <w:r>
        <w:rPr>
          <w:rFonts w:ascii="Arial" w:cs="Arial" w:eastAsia="Arial" w:hAnsi="Arial"/>
          <w:sz w:val="18"/>
          <w:szCs w:val="18"/>
          <w:color w:val="auto"/>
        </w:rPr>
        <w:t>1775 I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106170" cy="4032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06170" cy="403225"/>
                    </a:xfrm>
                    <a:prstGeom prst="rect">
                      <a:avLst/>
                    </a:prstGeom>
                    <a:noFill/>
                  </pic:spPr>
                </pic:pic>
              </a:graphicData>
            </a:graphic>
          </wp:anchor>
        </w:drawing>
      </w:r>
    </w:p>
    <w:p>
      <w:pPr>
        <w:ind w:left="8340"/>
        <w:spacing w:after="0"/>
        <w:rPr>
          <w:sz w:val="20"/>
          <w:szCs w:val="20"/>
          <w:color w:val="auto"/>
        </w:rPr>
      </w:pPr>
      <w:r>
        <w:rPr>
          <w:rFonts w:ascii="Arial" w:cs="Arial" w:eastAsia="Arial" w:hAnsi="Arial"/>
          <w:sz w:val="18"/>
          <w:szCs w:val="18"/>
          <w:color w:val="auto"/>
        </w:rPr>
        <w:t>Washington, DC 20006-2401</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+1 202 261 3300 Main</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+1 202 261 3333 Fax</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161290</wp:posOffset>
            </wp:positionV>
            <wp:extent cx="195516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WILLIAM J. TUTTLE</w:t>
      </w:r>
    </w:p>
    <w:p>
      <w:pPr>
        <w:spacing w:after="0" w:line="218"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william.tuttle@dechert.com</w:t>
      </w:r>
    </w:p>
    <w:p>
      <w:pPr>
        <w:spacing w:after="0" w:line="15"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+1 202 261 3352 Direct</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+1 202 261 3009 Fax</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May 9,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Ganley</w:t>
      </w:r>
    </w:p>
    <w:p>
      <w:pPr>
        <w:spacing w:after="0" w:line="205" w:lineRule="exact"/>
        <w:rPr>
          <w:sz w:val="20"/>
          <w:szCs w:val="20"/>
          <w:color w:val="auto"/>
        </w:rPr>
      </w:pPr>
    </w:p>
    <w:p>
      <w:pPr>
        <w:ind w:left="680"/>
        <w:spacing w:after="0"/>
        <w:tabs>
          <w:tab w:leader="none" w:pos="1140" w:val="left"/>
        </w:tabs>
        <w:rPr>
          <w:sz w:val="20"/>
          <w:szCs w:val="20"/>
          <w:color w:val="auto"/>
        </w:rPr>
      </w:pPr>
      <w:r>
        <w:rPr>
          <w:rFonts w:ascii="Arial" w:cs="Arial" w:eastAsia="Arial" w:hAnsi="Arial"/>
          <w:sz w:val="18"/>
          <w:szCs w:val="18"/>
          <w:color w:val="auto"/>
        </w:rPr>
        <w:t>Re:</w:t>
        <w:tab/>
        <w:t>PennantPark Floating Rate Capital Ltd.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Registration Statement on Form N-2</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File Numbers 333-180084 and 814-00891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PennantPark Floating Rate Capital Ltd.,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has today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Amendment No. 1 (“</w:t>
      </w:r>
      <w:r>
        <w:rPr>
          <w:rFonts w:ascii="Arial" w:cs="Arial" w:eastAsia="Arial" w:hAnsi="Arial"/>
          <w:sz w:val="16"/>
          <w:szCs w:val="16"/>
          <w:u w:val="single" w:color="auto"/>
          <w:color w:val="auto"/>
        </w:rPr>
        <w:t>Amendment No. 1</w:t>
      </w:r>
      <w:r>
        <w:rPr>
          <w:rFonts w:ascii="Arial" w:cs="Arial" w:eastAsia="Arial" w:hAnsi="Arial"/>
          <w:sz w:val="16"/>
          <w:szCs w:val="16"/>
          <w:color w:val="auto"/>
        </w:rPr>
        <w:t>”) to its Registration Statement on Form N-2 (Registration No. 333-180084) (the “</w:t>
      </w: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On behalf of the Company, we hereby respond to the comments raised by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Commission pursuant to a letter dated April 13, 2012 from John Ganley of the Staff to Thomas Friedmann and pursuant to a subsequent telephone call between Mr. Ganley and William Tuttle on April 26, 2012. For your convenience, a transcription of the Staff’s comments is included in this letter, and each comment is followed by the applicable response. We will also provide to you under separate cover courtesy copies of Amendment No. 1, as filed and marked to show the changes from the initial filing of the Registration Statement. Capitalized terms used in this letter and not otherwise defined herein shall have the meanings specified in the Registration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Floating Rate Capital Ltd. (Page 1)</w:t>
      </w:r>
    </w:p>
    <w:p>
      <w:pPr>
        <w:spacing w:after="0" w:line="90" w:lineRule="exact"/>
        <w:rPr>
          <w:sz w:val="20"/>
          <w:szCs w:val="20"/>
          <w:color w:val="auto"/>
        </w:rPr>
      </w:pPr>
    </w:p>
    <w:p>
      <w:pPr>
        <w:ind w:left="900" w:right="80" w:hanging="446"/>
        <w:spacing w:after="0" w:line="293" w:lineRule="auto"/>
        <w:tabs>
          <w:tab w:leader="none" w:pos="90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The third paragraph of this section provides that at least 80% of the value of Managed Assets “will be invested in Floating Rate Loans and investments with similar economic characteristics, including cash equivalents invested in money market funds.” Please identify or describe the investments that will be deemed to have similar economic characteristics to Floating Rate Loans, including whether such investments will include derivative instruments. Please explain how such investments will be valued for purposes of the Fund’s 80% policy, including whether the notional value of derivative instruments would be used. Finally, please explain to us why cash equivalents invested in money market funds would be considered to have similar economic characteristics of Floating Rate Loans.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US Austin Boston Charlotte Hartford Los Angeles New York Orange County Philadelphia Princeton San Francisco Silicon Valley</w:t>
      </w:r>
    </w:p>
    <w:p>
      <w:pPr>
        <w:jc w:val="center"/>
        <w:ind w:right="-79"/>
        <w:spacing w:after="0"/>
        <w:rPr>
          <w:sz w:val="20"/>
          <w:szCs w:val="20"/>
          <w:color w:val="auto"/>
        </w:rPr>
      </w:pPr>
      <w:r>
        <w:rPr>
          <w:rFonts w:ascii="Arial" w:cs="Arial" w:eastAsia="Arial" w:hAnsi="Arial"/>
          <w:sz w:val="14"/>
          <w:szCs w:val="14"/>
          <w:color w:val="auto"/>
        </w:rPr>
        <w:t>Washington DC EUROPE Brussels Dublin Frankfurt London  Luxembourg Moscow Munich Paris ASIA Beijing Hong Kong</w:t>
      </w:r>
    </w:p>
    <w:p>
      <w:pPr>
        <w:sectPr>
          <w:pgSz w:w="11900" w:h="16838" w:orient="portrait"/>
          <w:cols w:equalWidth="0" w:num="1">
            <w:col w:w="11340"/>
          </w:cols>
          <w:pgMar w:left="240" w:top="131" w:right="319" w:bottom="1440" w:gutter="0" w:footer="0" w:header="0"/>
        </w:sectPr>
      </w:pPr>
    </w:p>
    <w:bookmarkStart w:id="164" w:name="page165"/>
    <w:bookmarkEnd w:id="164"/>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John Ganley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06170" cy="4032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06170" cy="40322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May 9, 2012</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requested, the Company has revised its disclosure in Amendment No. 1 under the headings “Management’s Discussion and Analysis of Financial Condition and Results of Operations — Overview,” “Business — PennantPark Floating Rate Capital Ltd.” and “Investment Objectives and Policies — Due Diligence” to state that 80% of the value of its Managed Assets “will be invested in Floating Rate Loans and other instruments bearing a variable rate of interest which may, from time to time, include cash equivalents invested in money market funds and variable rate derivative instruments.” The Company respectfully submits that it does not currently hold any derivatives and that the inclusion of disclosure in the Prospectus Summary regarding derivatives is potentially confusing to investors because such investments are not a material component of the Company’s investment strategy. To the extent that the Company acquires derivatives in the future, they would be valued at fair value in accordance with the Company’s valuation procedures as described in Amendment No. 1 under the heading “Determination of Net Asset Value”; the notional value of such instruments would not be used in the valuation process.</w:t>
      </w:r>
    </w:p>
    <w:p>
      <w:pPr>
        <w:spacing w:after="0" w:line="11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Company believes that cash equivalents invested in money market funds have similar economic characteristics of Floating Rate Loans because the return on money market funds changes in approximate correlation with changes in interest rates; these investments do not bear interest at a fixed rate.</w:t>
      </w:r>
    </w:p>
    <w:p>
      <w:pPr>
        <w:spacing w:after="0" w:line="7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Risk Factors — Risks Related to Our Investments — Our Investments in foreign securities may involve significant risks in addition to the risks inherent in U.S. investments (Page 19)</w:t>
      </w:r>
    </w:p>
    <w:p>
      <w:pPr>
        <w:spacing w:after="0" w:line="39" w:lineRule="exact"/>
        <w:rPr>
          <w:sz w:val="20"/>
          <w:szCs w:val="20"/>
          <w:color w:val="auto"/>
        </w:rPr>
      </w:pPr>
    </w:p>
    <w:p>
      <w:pPr>
        <w:ind w:left="900" w:right="360" w:hanging="446"/>
        <w:spacing w:after="0" w:line="262" w:lineRule="auto"/>
        <w:tabs>
          <w:tab w:leader="none" w:pos="9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This section states that the investment strategy contemplates potential investments in securities of companies located outside the United States. Please disclose that such assets would not meet the requirements for qualifying assets under paragraphs (1) through (6) of Section 55(a) of the Investment Company Act of 1940.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 requested, the Company has revised the disclosure throughout Amendment No. 1 to state that investments in securities of companies located outside the United States would not be qualifying assets under Section 55(a) of the 1940 Act.</w:t>
      </w:r>
    </w:p>
    <w:p>
      <w:pPr>
        <w:sectPr>
          <w:pgSz w:w="11900" w:h="16838" w:orient="portrait"/>
          <w:cols w:equalWidth="0" w:num="1">
            <w:col w:w="11360"/>
          </w:cols>
          <w:pgMar w:left="240" w:top="280" w:right="299" w:bottom="1440" w:gutter="0" w:footer="0" w:header="0"/>
        </w:sectPr>
      </w:pPr>
    </w:p>
    <w:bookmarkStart w:id="165" w:name="page166"/>
    <w:bookmarkEnd w:id="165"/>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Ganley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106170" cy="4032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06170" cy="40322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May 9, 2012</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Certain Relationships and Transactions — Investment Management Agreement — </w:t>
      </w:r>
      <w:r>
        <w:rPr>
          <w:rFonts w:ascii="Arial" w:cs="Arial" w:eastAsia="Arial" w:hAnsi="Arial"/>
          <w:sz w:val="18"/>
          <w:szCs w:val="18"/>
          <w:b w:val="1"/>
          <w:bCs w:val="1"/>
          <w:i w:val="1"/>
          <w:iCs w:val="1"/>
          <w:color w:val="auto"/>
        </w:rPr>
        <w:t>Investment Advisory Agreement</w:t>
      </w:r>
      <w:r>
        <w:rPr>
          <w:rFonts w:ascii="Arial" w:cs="Arial" w:eastAsia="Arial" w:hAnsi="Arial"/>
          <w:sz w:val="18"/>
          <w:szCs w:val="18"/>
          <w:b w:val="1"/>
          <w:bCs w:val="1"/>
          <w:color w:val="auto"/>
        </w:rPr>
        <w:t xml:space="preserve"> (Page 62)</w:t>
      </w:r>
    </w:p>
    <w:p>
      <w:pPr>
        <w:spacing w:after="0" w:line="90" w:lineRule="exact"/>
        <w:rPr>
          <w:sz w:val="20"/>
          <w:szCs w:val="20"/>
          <w:color w:val="auto"/>
        </w:rPr>
      </w:pPr>
    </w:p>
    <w:p>
      <w:pPr>
        <w:ind w:left="900" w:right="60" w:hanging="446"/>
        <w:spacing w:after="0" w:line="296" w:lineRule="auto"/>
        <w:tabs>
          <w:tab w:leader="none" w:pos="90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The first paragraph of this section provides that the base management fee is based on “the average value of our average adjusted gross assets at the end of the two most recently completed calendar quarters, and appropriately adjusted for any share issuances or repurchases during the current calendar quarter.” Please provide us an example of how the average adjusted gross assets is calculated. Please disclose how derivatives will be valued for purposes of determining gross assets. Confirm that the Fund will not use notional value for purposes of calculating gross assets. Please also explain to us how gross assets differ from Managed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has prepared the following hypothetical example of the calculation of average adjusted gross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2012 = $160 million</w:t>
      </w:r>
    </w:p>
    <w:p>
      <w:pPr>
        <w:spacing w:after="0" w:line="15" w:lineRule="exact"/>
        <w:rPr>
          <w:sz w:val="20"/>
          <w:szCs w:val="20"/>
          <w:color w:val="auto"/>
        </w:rPr>
      </w:pPr>
    </w:p>
    <w:p>
      <w:pPr>
        <w:ind w:left="460" w:right="4100"/>
        <w:spacing w:after="0" w:line="261" w:lineRule="auto"/>
        <w:rPr>
          <w:sz w:val="20"/>
          <w:szCs w:val="20"/>
          <w:color w:val="auto"/>
        </w:rPr>
      </w:pPr>
      <w:r>
        <w:rPr>
          <w:rFonts w:ascii="Arial" w:cs="Arial" w:eastAsia="Arial" w:hAnsi="Arial"/>
          <w:sz w:val="18"/>
          <w:szCs w:val="18"/>
          <w:color w:val="auto"/>
        </w:rPr>
        <w:t>U.S. Treasury bills and temporary draws on credit facilities as of March 31, 2012 = $10 million Adjusted gross assets as of March 31, 2012 = $150 million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June 30, 2012 = $200 million</w:t>
      </w:r>
    </w:p>
    <w:p>
      <w:pPr>
        <w:spacing w:after="0" w:line="15" w:lineRule="exact"/>
        <w:rPr>
          <w:sz w:val="20"/>
          <w:szCs w:val="20"/>
          <w:color w:val="auto"/>
        </w:rPr>
      </w:pPr>
    </w:p>
    <w:p>
      <w:pPr>
        <w:ind w:left="460" w:right="4780"/>
        <w:spacing w:after="0" w:line="261" w:lineRule="auto"/>
        <w:rPr>
          <w:sz w:val="20"/>
          <w:szCs w:val="20"/>
          <w:color w:val="auto"/>
        </w:rPr>
      </w:pPr>
      <w:r>
        <w:rPr>
          <w:rFonts w:ascii="Arial" w:cs="Arial" w:eastAsia="Arial" w:hAnsi="Arial"/>
          <w:sz w:val="18"/>
          <w:szCs w:val="18"/>
          <w:color w:val="auto"/>
        </w:rPr>
        <w:t>U.S. Treasury bills and temporary draws on credit facilities as of June 30, 2012 = $20 Adjusted gross assets as of June 30, 2012 = $180 million</w:t>
      </w:r>
    </w:p>
    <w:p>
      <w:pPr>
        <w:spacing w:after="0" w:line="57"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Average value of adjusted gross assets as of June 30, 2012 at the end of the two most recently completed calendar quarters, and appropriately adjusted for any share issuances or repurchases during the current calendar quarter = ($150 million + $180 million) / 2 = $165 million</w:t>
      </w:r>
    </w:p>
    <w:p>
      <w:pPr>
        <w:spacing w:after="0" w:line="8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As noted above, the Company respectfully submits that it does not currently hold any derivatives. To the extent that it acquires derivatives in the future, they would be valued in accordance with the Company’s valuation procedures as described in Amendment No. 1 under the heading “Determination of Net Asset Value.” As requested, the Company has revised the disclosure under the heading “Determination of Net Asset Value” to disclose that derivative instruments would be valued at fair value in accordance with the Company’s valuation policy. In addition, the Company confirms that it will not use notional value for purposes of calculating gross assets.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Company respectfully submits that gross assets consists of net assets plus all liabilities and is computed in accordance with GAAP, while Managed Assets consists of net assets plus borrowings for investment purposes (i.e., draws on the Company’s Credit Facility to fund the acquisition of portfolio company investments).</w:t>
      </w:r>
    </w:p>
    <w:p>
      <w:pPr>
        <w:sectPr>
          <w:pgSz w:w="11900" w:h="16838" w:orient="portrait"/>
          <w:cols w:equalWidth="0" w:num="1">
            <w:col w:w="11260"/>
          </w:cols>
          <w:pgMar w:left="240" w:top="280" w:right="399" w:bottom="1440" w:gutter="0" w:footer="0" w:header="0"/>
        </w:sectPr>
      </w:pPr>
    </w:p>
    <w:bookmarkStart w:id="166" w:name="page167"/>
    <w:bookmarkEnd w:id="166"/>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John Ganley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06170" cy="4032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06170" cy="40322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May 9, 2012</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C — OTHER INFORMATION</w:t>
      </w:r>
      <w:r>
        <w:rPr>
          <w:rFonts w:ascii="Arial" w:cs="Arial" w:eastAsia="Arial" w:hAnsi="Arial"/>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90"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Please include the undertaking provided in Item 34.1 of Form N-2. Alternatively, please explain to us why the undertaking is not required.</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has included in Amendment No. 1 the undertaking required by Item 34.1 of Form N-2.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COMMENTS</w:t>
      </w:r>
      <w:r>
        <w:rPr>
          <w:rFonts w:ascii="Arial" w:cs="Arial" w:eastAsia="Arial" w:hAnsi="Arial"/>
          <w:sz w:val="18"/>
          <w:szCs w:val="18"/>
          <w:b w:val="1"/>
          <w:bCs w:val="1"/>
          <w:color w:val="auto"/>
        </w:rPr>
        <w:t>:</w:t>
      </w:r>
    </w:p>
    <w:p>
      <w:pPr>
        <w:spacing w:after="0" w:line="90"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Where a comment is made in one location, it is applicable to all similar disclosure appearing elsewhere in the registration statement.</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has made conforming revisions where appropriate.</w:t>
      </w:r>
    </w:p>
    <w:p>
      <w:pPr>
        <w:spacing w:after="0" w:line="84" w:lineRule="exact"/>
        <w:rPr>
          <w:sz w:val="20"/>
          <w:szCs w:val="20"/>
          <w:color w:val="auto"/>
        </w:rPr>
      </w:pPr>
    </w:p>
    <w:p>
      <w:pPr>
        <w:ind w:left="900" w:hanging="446"/>
        <w:spacing w:after="0" w:line="262" w:lineRule="auto"/>
        <w:tabs>
          <w:tab w:leader="none" w:pos="9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portions of the filing are incomplete. We may have additional comments on such portions when you complete them in a pre-effective amendment, on disclosures made in response to this letter, on information supplied supplementally, or on exhibits added in any pre-effective amendments.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right="20"/>
        <w:spacing w:after="0" w:line="352" w:lineRule="auto"/>
        <w:rPr>
          <w:sz w:val="20"/>
          <w:szCs w:val="20"/>
          <w:color w:val="auto"/>
        </w:rPr>
      </w:pPr>
      <w:r>
        <w:rPr>
          <w:rFonts w:ascii="Arial" w:cs="Arial" w:eastAsia="Arial" w:hAnsi="Arial"/>
          <w:sz w:val="15"/>
          <w:szCs w:val="15"/>
          <w:color w:val="auto"/>
        </w:rPr>
        <w:t>The Company respectfully submits that Amendment No. 1 is complete with the exception of the stockholder transaction fee information in the Fees and Expenses table and other information that may be omitted under the Securities Act because it is dependent on the public offering price of any offering of securities.</w:t>
      </w:r>
    </w:p>
    <w:p>
      <w:pPr>
        <w:spacing w:after="0" w:line="1" w:lineRule="exact"/>
        <w:rPr>
          <w:sz w:val="20"/>
          <w:szCs w:val="20"/>
          <w:color w:val="auto"/>
        </w:rPr>
      </w:pPr>
    </w:p>
    <w:p>
      <w:pPr>
        <w:ind w:left="900" w:right="220" w:hanging="446"/>
        <w:spacing w:after="0" w:line="262" w:lineRule="auto"/>
        <w:tabs>
          <w:tab w:leader="none" w:pos="9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If you intend to omit certain information from the form of prospectus included with the registration statement that is declared effective in reliance on Rule 430A under the Securities Act of 1933 (“Securities Act”), please identify the omitted information to us supplementally, preferably before filing the final pre-effective amendment.</w:t>
      </w:r>
    </w:p>
    <w:p>
      <w:pPr>
        <w:sectPr>
          <w:pgSz w:w="11900" w:h="16838" w:orient="portrait"/>
          <w:cols w:equalWidth="0" w:num="1">
            <w:col w:w="11400"/>
          </w:cols>
          <w:pgMar w:left="240" w:top="280" w:right="259" w:bottom="1440" w:gutter="0" w:footer="0" w:header="0"/>
        </w:sectPr>
      </w:pPr>
    </w:p>
    <w:bookmarkStart w:id="167" w:name="page168"/>
    <w:bookmarkEnd w:id="167"/>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John Ganley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06170" cy="4032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06170" cy="40322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May 9, 2012</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respectfully submits that it does not intend to omit information from the form of prospectus in reliance on Rule 430A under the Securities Act. Rather, the Company supplementally advises the Staff that, in accordance with its undertaking pursuant to Item 34.4 of Form N-2 and Rule 430C under the Securities Act, it expects that information related to any offering of securities under the Registration Statement will be contained in a prospectus supplement that will be filed, together with the accompanying prospectus, in accordance with Rule 497 of the Securities Act (and deemed to be part of and included in the Registration Statement on the date it is first used after effectiveness).</w:t>
      </w:r>
    </w:p>
    <w:p>
      <w:pPr>
        <w:spacing w:after="0" w:line="56" w:lineRule="exact"/>
        <w:rPr>
          <w:sz w:val="20"/>
          <w:szCs w:val="20"/>
          <w:color w:val="auto"/>
        </w:rPr>
      </w:pPr>
    </w:p>
    <w:p>
      <w:pPr>
        <w:ind w:left="900" w:right="880" w:hanging="446"/>
        <w:spacing w:after="0" w:line="275" w:lineRule="auto"/>
        <w:tabs>
          <w:tab w:leader="none" w:pos="9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Please advise us if you have submitted or expect to submit an exemptive application or no-action request in connection with your registration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respectfully submits that it has not submitted and does not expect to submit an exemptive application or no-action request in connection with the Registration Statement.</w:t>
      </w:r>
    </w:p>
    <w:p>
      <w:pPr>
        <w:spacing w:after="0" w:line="45" w:lineRule="exact"/>
        <w:rPr>
          <w:sz w:val="20"/>
          <w:szCs w:val="20"/>
          <w:color w:val="auto"/>
        </w:rPr>
      </w:pPr>
    </w:p>
    <w:p>
      <w:pPr>
        <w:jc w:val="both"/>
        <w:ind w:left="900" w:right="280" w:hanging="446"/>
        <w:spacing w:after="0" w:line="262" w:lineRule="auto"/>
        <w:tabs>
          <w:tab w:leader="none" w:pos="9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Response to this letter should be in the form of a pre-effective amendment filed pursuant to Rule 472 under the Securities Act. Where no change will be made in the filing in response to a comment, please indicate this fact in a supplemental letter and briefly state the basis for your position.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the Staff’s comment.</w:t>
      </w:r>
    </w:p>
    <w:p>
      <w:pPr>
        <w:spacing w:after="0" w:line="84" w:lineRule="exact"/>
        <w:rPr>
          <w:sz w:val="20"/>
          <w:szCs w:val="20"/>
          <w:color w:val="auto"/>
        </w:rPr>
      </w:pPr>
    </w:p>
    <w:p>
      <w:pPr>
        <w:ind w:left="900" w:hanging="446"/>
        <w:spacing w:after="0" w:line="310" w:lineRule="auto"/>
        <w:tabs>
          <w:tab w:leader="none" w:pos="90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We urge all persons who are responsible for the accuracy and adequacy of the disclosure in the filings reviewed by the staff to be certain that they have provided all information investors require for an informed decision. Since the Fund and its management are in possession of all facts relating to the Fund’s disclosure, they are responsible for the accuracy and adequacy of the disclosures they have made.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The Company acknowledges the Staff’s comment and advises that Staff that all persons who are responsible for the accuracy and adequacy of the disclosure in the Company’s filings with the Commission have confirmed that the Registration Statement provides all information investors require for an informed decision.</w:t>
      </w:r>
    </w:p>
    <w:p>
      <w:pPr>
        <w:sectPr>
          <w:pgSz w:w="11900" w:h="16838" w:orient="portrait"/>
          <w:cols w:equalWidth="0" w:num="1">
            <w:col w:w="11400"/>
          </w:cols>
          <w:pgMar w:left="240" w:top="280" w:right="259" w:bottom="1440" w:gutter="0" w:footer="0" w:header="0"/>
        </w:sectPr>
      </w:pPr>
    </w:p>
    <w:bookmarkStart w:id="168" w:name="page169"/>
    <w:bookmarkEnd w:id="168"/>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Ganley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106170" cy="4032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06170" cy="40322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May 9, 2012</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LEGAL COMMENTS:</w:t>
      </w:r>
    </w:p>
    <w:p>
      <w:pPr>
        <w:spacing w:after="0" w:line="90" w:lineRule="exact"/>
        <w:rPr>
          <w:sz w:val="20"/>
          <w:szCs w:val="20"/>
          <w:color w:val="auto"/>
        </w:rPr>
      </w:pPr>
    </w:p>
    <w:p>
      <w:pPr>
        <w:ind w:left="900" w:right="40" w:hanging="446"/>
        <w:spacing w:after="0" w:line="310" w:lineRule="auto"/>
        <w:tabs>
          <w:tab w:leader="none" w:pos="90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In accordance with Rule 35d-1 under the 1940 Act, please revise the disclosure to state that 80% of the Company’s Managed Assets will be invested in Floating Rate Loans, rather than Floating Rate Loans and other instruments bearing a variable rate of interest which may, from time to time, include cash equivalents invested in money market funds and variable rate derivative instruments.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Rule 35d-1 under the 1940 Act provides that a materially deceptive and misleading name of a fund includes a name suggesting that such fund focuses its investments in a particular type of investment or investments unless the fund has adopted a policy to invest, under normal circumstances, at least 80% of the value of its assets in the particular types of investments suggested by the fund’s name. The Company believes that its policy of investing 80% of its Managed Assets in Floating Rate Loans and other instruments bearing a variable rate of interest which may, from time to time, include cash equivalents invested in money market funds and variable rate derivative instruments is consistent with the use of “Floating Rate” in its name. In fact, the Company believes that treating investments in floating rate instruments such as money market funds as being fixed rate instruments for purposes of determining compliance with the 80% floating rate requirement would potentially be both confusing to investors and misleading because the rate of return on such instruments is variable and not fixed. Therefore, the Company respectfully submits that its name does not suggest that its assets will be invested in floating rate loans, as opposed in stark contrast to an entity with “Floating Rate Loans” in its name. Rather, the name suggests only that the Company will focus on investments that bear interest at a floating rate or otherwise provide a variable rate of return.</w:t>
      </w:r>
    </w:p>
    <w:p>
      <w:pPr>
        <w:spacing w:after="0" w:line="36" w:lineRule="exact"/>
        <w:rPr>
          <w:sz w:val="20"/>
          <w:szCs w:val="20"/>
          <w:color w:val="auto"/>
        </w:rPr>
      </w:pPr>
    </w:p>
    <w:p>
      <w:pPr>
        <w:ind w:left="900" w:right="40" w:hanging="446"/>
        <w:spacing w:after="0" w:line="275" w:lineRule="auto"/>
        <w:tabs>
          <w:tab w:leader="none" w:pos="9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presentation of the high and low sales prices to NAV under the heading “Price Range of Common Stock” to instead present the discount of such prices to NAV as a percentage of NAV (expressed as a percentage of NAV).</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As requested, the Company has revised the presentation of the high and low sales prices to NAV under the heading “Price Range of Common Stock” in Amendment No. 1 to instead present the discount of such prices to NAV (expressed as a percentage of NAV).</w:t>
      </w:r>
    </w:p>
    <w:p>
      <w:pPr>
        <w:spacing w:after="0" w:line="45" w:lineRule="exact"/>
        <w:rPr>
          <w:sz w:val="20"/>
          <w:szCs w:val="20"/>
          <w:color w:val="auto"/>
        </w:rPr>
      </w:pPr>
    </w:p>
    <w:p>
      <w:pPr>
        <w:ind w:left="900" w:right="40" w:hanging="446"/>
        <w:spacing w:after="0" w:line="310" w:lineRule="auto"/>
        <w:tabs>
          <w:tab w:leader="none" w:pos="900"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the disclosure under the heading “Certain Relationships and Transactions—Investment Management Agreement—Investment Advisory Fees” to describe in greater detail how an adjustment for any share issuances or repurchases during a calendar quarter would be made in connection with the computation of average adjusted gross assets.</w:t>
      </w:r>
    </w:p>
    <w:p>
      <w:pPr>
        <w:sectPr>
          <w:pgSz w:w="11900" w:h="16838" w:orient="portrait"/>
          <w:cols w:equalWidth="0" w:num="1">
            <w:col w:w="11400"/>
          </w:cols>
          <w:pgMar w:left="240" w:top="280" w:right="259" w:bottom="1440" w:gutter="0" w:footer="0" w:header="0"/>
        </w:sectPr>
      </w:pPr>
    </w:p>
    <w:bookmarkStart w:id="169" w:name="page170"/>
    <w:bookmarkEnd w:id="169"/>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John Ganley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06170" cy="4032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06170" cy="40322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May 9, 2012</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requested, the Company has revised the disclosure under the heading “Certain Relationships and Transactions—Investment Management Agreement— Investment Advisory Fees” to describe in greater detail how an adjustment for any share issuances or repurchases during a calendar quarter would be made in connection with the computation of average adjusted gross assets.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 * * * *</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hereby acknowledges that (i) it is responsible for the adequacy and accuracy of the disclosure in its filings with the Commission, (ii) Staff comments or changes to disclosure in response to Staff comments do not foreclose the Commission from taking any action with respect to any filing and (iii) the Company may not assert Staff comments as a defense in any proceeding initiated by the Commission or any person under the federal securities laws of the United States.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 * * * *</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If you have any questions, please feel free to contact the undersigned by telephone at 202.261.3352 (or by facsimile at 202.261.3333) or Thomas J. Friedmann at 202.261.3313 (or by facsimile at 202.261.3333). Thank you for your cooperation and attention to this matter.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Tuttle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J. Tuttle</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H. Penn, PennantPark Investment Advisers,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J. Friedmann, Dechert LLP</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1)"/>
      <w:numFmt w:val="decimal"/>
      <w:start w:val="1"/>
    </w:lvl>
  </w:abstractNum>
  <w:abstractNum w:abstractNumId="3">
    <w:nsid w:val="25A70BF7"/>
    <w:multiLevelType w:val="hybridMultilevel"/>
    <w:lvl w:ilvl="0">
      <w:lvlJc w:val="left"/>
      <w:lvlText w:val="(%1)"/>
      <w:numFmt w:val="decimal"/>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1)"/>
      <w:numFmt w:val="decimal"/>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1)"/>
      <w:numFmt w:val="decimal"/>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1)"/>
      <w:numFmt w:val="decimal"/>
      <w:start w:val="1"/>
    </w:lvl>
  </w:abstractNum>
  <w:abstractNum w:abstractNumId="15">
    <w:nsid w:val="6B94764"/>
    <w:multiLevelType w:val="hybridMultilevel"/>
    <w:lvl w:ilvl="0">
      <w:lvlJc w:val="left"/>
      <w:lvlText w:val="(%1)"/>
      <w:numFmt w:val="decimal"/>
      <w:start w:val="1"/>
    </w:lvl>
  </w:abstractNum>
  <w:abstractNum w:abstractNumId="16">
    <w:nsid w:val="42C296BD"/>
    <w:multiLevelType w:val="hybridMultilevel"/>
    <w:lvl w:ilvl="0">
      <w:lvlJc w:val="left"/>
      <w:lvlText w:val="%1."/>
      <w:numFmt w:val="decimal"/>
      <w:start w:val="820"/>
    </w:lvl>
  </w:abstractNum>
  <w:abstractNum w:abstractNumId="17">
    <w:nsid w:val="168E121F"/>
    <w:multiLevelType w:val="hybridMultilevel"/>
    <w:lvl w:ilvl="0">
      <w:lvlJc w:val="left"/>
      <w:lvlText w:val="(%1)"/>
      <w:numFmt w:val="decimal"/>
      <w:start w:val="1"/>
    </w:lvl>
  </w:abstractNum>
  <w:abstractNum w:abstractNumId="18">
    <w:nsid w:val="1EBA5D23"/>
    <w:multiLevelType w:val="hybridMultilevel"/>
    <w:lvl w:ilvl="0">
      <w:lvlJc w:val="left"/>
      <w:lvlText w:val="(%1)"/>
      <w:numFmt w:val="decimal"/>
      <w:start w:val="1"/>
    </w:lvl>
  </w:abstractNum>
  <w:abstractNum w:abstractNumId="19">
    <w:nsid w:val="661E3F1E"/>
    <w:multiLevelType w:val="hybridMultilevel"/>
    <w:lvl w:ilvl="0">
      <w:lvlJc w:val="left"/>
      <w:lvlText w:val="(%1)"/>
      <w:numFmt w:val="decimal"/>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1)"/>
      <w:numFmt w:val="decimal"/>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1)"/>
      <w:numFmt w:val="decimal"/>
      <w:start w:val="4"/>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1)"/>
      <w:numFmt w:val="decimal"/>
      <w:start w:val="3"/>
    </w:lvl>
  </w:abstractNum>
  <w:abstractNum w:abstractNumId="31">
    <w:nsid w:val="3B0FD379"/>
    <w:multiLevelType w:val="hybridMultilevel"/>
    <w:lvl w:ilvl="0">
      <w:lvlJc w:val="left"/>
      <w:lvlText w:val="(%1)"/>
      <w:numFmt w:val="decimal"/>
      <w:start w:val="1"/>
    </w:lvl>
  </w:abstractNum>
  <w:abstractNum w:abstractNumId="32">
    <w:nsid w:val="68EB2F63"/>
    <w:multiLevelType w:val="hybridMultilevel"/>
    <w:lvl w:ilvl="0">
      <w:lvlJc w:val="left"/>
      <w:lvlText w:val="(%1)"/>
      <w:numFmt w:val="decimal"/>
      <w:start w:val="1"/>
    </w:lvl>
  </w:abstractNum>
  <w:abstractNum w:abstractNumId="33">
    <w:nsid w:val="4962813B"/>
    <w:multiLevelType w:val="hybridMultilevel"/>
    <w:lvl w:ilvl="0">
      <w:lvlJc w:val="left"/>
      <w:lvlText w:val="(%1)"/>
      <w:numFmt w:val="decimal"/>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1)"/>
      <w:numFmt w:val="decimal"/>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1)"/>
      <w:numFmt w:val="decimal"/>
      <w:start w:val="1"/>
    </w:lvl>
  </w:abstractNum>
  <w:abstractNum w:abstractNumId="41">
    <w:nsid w:val="7FB7E0AA"/>
    <w:multiLevelType w:val="hybridMultilevel"/>
    <w:lvl w:ilvl="0">
      <w:lvlJc w:val="left"/>
      <w:lvlText w:val="(%1)"/>
      <w:numFmt w:val="decimal"/>
      <w:start w:val="1"/>
    </w:lvl>
  </w:abstractNum>
  <w:abstractNum w:abstractNumId="42">
    <w:nsid w:val="6EB5BD4"/>
    <w:multiLevelType w:val="hybridMultilevel"/>
    <w:lvl w:ilvl="0">
      <w:lvlJc w:val="left"/>
      <w:lvlText w:val="(%1)"/>
      <w:numFmt w:val="decimal"/>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1)"/>
      <w:numFmt w:val="lowerLetter"/>
      <w:start w:val="3"/>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1)"/>
      <w:numFmt w:val="decimal"/>
      <w:start w:val="1"/>
    </w:lvl>
    <w:lvl w:ilvl="1">
      <w:lvlJc w:val="left"/>
      <w:lvlText w:val="(%2)"/>
      <w:numFmt w:val="lowerLetter"/>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lvl w:ilvl="1">
      <w:lvlJc w:val="left"/>
      <w:lvlText w:val="%2)"/>
      <w:numFmt w:val="decimal"/>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1)"/>
      <w:numFmt w:val="decimal"/>
      <w:start w:val="1"/>
    </w:lvl>
  </w:abstractNum>
  <w:abstractNum w:abstractNumId="77">
    <w:nsid w:val="555C55B5"/>
    <w:multiLevelType w:val="hybridMultilevel"/>
    <w:lvl w:ilvl="0">
      <w:lvlJc w:val="left"/>
      <w:lvlText w:val="(%1)"/>
      <w:numFmt w:val="decimal"/>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
      <w:numFmt w:val="bullet"/>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1)"/>
      <w:numFmt w:val="decimal"/>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1)"/>
      <w:numFmt w:val="decimal"/>
      <w:start w:val="1"/>
    </w:lvl>
  </w:abstractNum>
  <w:abstractNum w:abstractNumId="86">
    <w:nsid w:val="1D545C4D"/>
    <w:multiLevelType w:val="hybridMultilevel"/>
    <w:lvl w:ilvl="0">
      <w:lvlJc w:val="left"/>
      <w:lvlText w:val="(%1)"/>
      <w:numFmt w:val="decimal"/>
      <w:start w:val="1"/>
    </w:lvl>
  </w:abstractNum>
  <w:abstractNum w:abstractNumId="87">
    <w:nsid w:val="59ADEA3D"/>
    <w:multiLevelType w:val="hybridMultilevel"/>
    <w:lvl w:ilvl="0">
      <w:lvlJc w:val="left"/>
      <w:lvlText w:val="(%1)"/>
      <w:numFmt w:val="decimal"/>
      <w:start w:val="1"/>
    </w:lvl>
  </w:abstractNum>
  <w:abstractNum w:abstractNumId="88">
    <w:nsid w:val="288F1A34"/>
    <w:multiLevelType w:val="hybridMultilevel"/>
    <w:lvl w:ilvl="0">
      <w:lvlJc w:val="left"/>
      <w:lvlText w:val="(%1)"/>
      <w:numFmt w:val="decimal"/>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1"/>
      <w:numFmt w:val="bullet"/>
      <w:start w:val="1"/>
    </w:lvl>
  </w:abstractNum>
  <w:abstractNum w:abstractNumId="91">
    <w:nsid w:val="97E1B4E"/>
    <w:multiLevelType w:val="hybridMultilevel"/>
    <w:lvl w:ilvl="0">
      <w:lvlJc w:val="left"/>
      <w:lvlText w:val="2"/>
      <w:numFmt w:val="bullet"/>
      <w:start w:val="1"/>
    </w:lvl>
  </w:abstractNum>
  <w:abstractNum w:abstractNumId="92">
    <w:nsid w:val="51088277"/>
    <w:multiLevelType w:val="hybridMultilevel"/>
    <w:lvl w:ilvl="0">
      <w:lvlJc w:val="left"/>
      <w:lvlText w:val="(%1)"/>
      <w:numFmt w:val="lowerLetter"/>
      <w:start w:val="1"/>
    </w:lvl>
  </w:abstractNum>
  <w:abstractNum w:abstractNumId="93">
    <w:nsid w:val="1CA0C5FA"/>
    <w:multiLevelType w:val="hybridMultilevel"/>
    <w:lvl w:ilvl="0">
      <w:lvlJc w:val="left"/>
      <w:lvlText w:val="(%1)"/>
      <w:numFmt w:val="lowerLetter"/>
      <w:start w:val="5"/>
    </w:lvl>
  </w:abstractNum>
  <w:abstractNum w:abstractNumId="94">
    <w:nsid w:val="53584BCB"/>
    <w:multiLevelType w:val="hybridMultilevel"/>
    <w:lvl w:ilvl="0">
      <w:lvlJc w:val="left"/>
      <w:lvlText w:val="(%1)"/>
      <w:numFmt w:val="lowerLetter"/>
      <w:start w:val="7"/>
    </w:lvl>
  </w:abstractNum>
  <w:abstractNum w:abstractNumId="95">
    <w:nsid w:val="415E286C"/>
    <w:multiLevelType w:val="hybridMultilevel"/>
    <w:lvl w:ilvl="0">
      <w:lvlJc w:val="left"/>
      <w:lvlText w:val="(%1)"/>
      <w:numFmt w:val="lowerLetter"/>
      <w:start w:val="10"/>
    </w:lvl>
  </w:abstractNum>
  <w:abstractNum w:abstractNumId="96">
    <w:nsid w:val="7C58FD05"/>
    <w:multiLevelType w:val="hybridMultilevel"/>
    <w:lvl w:ilvl="0">
      <w:lvlJc w:val="left"/>
      <w:lvlText w:val="2"/>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
      <w:numFmt w:val="bullet"/>
      <w:start w:val="1"/>
    </w:lvl>
  </w:abstractNum>
  <w:abstractNum w:abstractNumId="99">
    <w:nsid w:val="5C10FE21"/>
    <w:multiLevelType w:val="hybridMultilevel"/>
    <w:lvl w:ilvl="0">
      <w:lvlJc w:val="left"/>
      <w:lvlText w:val="$"/>
      <w:numFmt w:val="bullet"/>
      <w:start w:val="1"/>
    </w:lvl>
  </w:abstractNum>
  <w:abstractNum w:abstractNumId="100">
    <w:nsid w:val="E7FFA2B"/>
    <w:multiLevelType w:val="hybridMultilevel"/>
    <w:lvl w:ilvl="0">
      <w:lvlJc w:val="left"/>
      <w:lvlText w:val="$"/>
      <w:numFmt w:val="bullet"/>
      <w:start w:val="1"/>
    </w:lvl>
  </w:abstractNum>
  <w:abstractNum w:abstractNumId="101">
    <w:nsid w:val="3C5991AA"/>
    <w:multiLevelType w:val="hybridMultilevel"/>
    <w:lvl w:ilvl="0">
      <w:lvlJc w:val="left"/>
      <w:lvlText w:val="$"/>
      <w:numFmt w:val="bullet"/>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
      <w:numFmt w:val="bullet"/>
      <w:start w:val="1"/>
    </w:lvl>
  </w:abstractNum>
  <w:abstractNum w:abstractNumId="104">
    <w:nsid w:val="39B7AAA2"/>
    <w:multiLevelType w:val="hybridMultilevel"/>
    <w:lvl w:ilvl="0">
      <w:lvlJc w:val="left"/>
      <w:lvlText w:val="$"/>
      <w:numFmt w:val="bullet"/>
      <w:start w:val="1"/>
    </w:lvl>
  </w:abstractNum>
  <w:abstractNum w:abstractNumId="105">
    <w:nsid w:val="2B0D8DBE"/>
    <w:multiLevelType w:val="hybridMultilevel"/>
    <w:lvl w:ilvl="0">
      <w:lvlJc w:val="left"/>
      <w:lvlText w:val="$"/>
      <w:numFmt w:val="bullet"/>
      <w:start w:val="1"/>
    </w:lvl>
  </w:abstractNum>
  <w:abstractNum w:abstractNumId="106">
    <w:nsid w:val="6C80EC70"/>
    <w:multiLevelType w:val="hybridMultilevel"/>
    <w:lvl w:ilvl="0">
      <w:lvlJc w:val="left"/>
      <w:lvlText w:val="(%1)"/>
      <w:numFmt w:val="decimal"/>
      <w:start w:val="1"/>
    </w:lvl>
  </w:abstractNum>
  <w:abstractNum w:abstractNumId="107">
    <w:nsid w:val="379E21B5"/>
    <w:multiLevelType w:val="hybridMultilevel"/>
    <w:lvl w:ilvl="0">
      <w:lvlJc w:val="left"/>
      <w:lvlText w:val="(%1)"/>
      <w:numFmt w:val="decimal"/>
      <w:start w:val="1"/>
    </w:lvl>
  </w:abstractNum>
  <w:abstractNum w:abstractNumId="108">
    <w:nsid w:val="69E373"/>
    <w:multiLevelType w:val="hybridMultilevel"/>
    <w:lvl w:ilvl="0">
      <w:lvlJc w:val="left"/>
      <w:lvlText w:val="%1"/>
      <w:numFmt w:val="lowerLetter"/>
      <w:start w:val="1"/>
    </w:lvl>
    <w:lvl w:ilvl="1">
      <w:lvlJc w:val="left"/>
      <w:lvlText w:val="(%2)"/>
      <w:numFmt w:val="lowerRoman"/>
      <w:start w:val="1"/>
    </w:lvl>
  </w:abstractNum>
  <w:abstractNum w:abstractNumId="109">
    <w:nsid w:val="2C27173B"/>
    <w:multiLevelType w:val="hybridMultilevel"/>
    <w:lvl w:ilvl="0">
      <w:lvlJc w:val="left"/>
      <w:lvlText w:val="(%1)"/>
      <w:numFmt w:val="lowerLetter"/>
      <w:start w:val="2"/>
    </w:lvl>
    <w:lvl w:ilvl="1">
      <w:lvlJc w:val="left"/>
      <w:lvlText w:val="%2"/>
      <w:numFmt w:val="lowerRoman"/>
      <w:start w:val="1"/>
    </w:lvl>
  </w:abstractNum>
  <w:abstractNum w:abstractNumId="110">
    <w:nsid w:val="4C9B0904"/>
    <w:multiLevelType w:val="hybridMultilevel"/>
    <w:lvl w:ilvl="0">
      <w:lvlJc w:val="left"/>
      <w:lvlText w:val="(%1)"/>
      <w:numFmt w:val="lowerLetter"/>
      <w:start w:val="5"/>
    </w:lvl>
    <w:lvl w:ilvl="1">
      <w:lvlJc w:val="left"/>
      <w:lvlText w:val="(%2)"/>
      <w:numFmt w:val="lowerRoman"/>
      <w:start w:val="1"/>
    </w:lvl>
  </w:abstractNum>
  <w:abstractNum w:abstractNumId="111">
    <w:nsid w:val="6AA7B75C"/>
    <w:multiLevelType w:val="hybridMultilevel"/>
    <w:lvl w:ilvl="0">
      <w:lvlJc w:val="left"/>
      <w:lvlText w:val="%1"/>
      <w:numFmt w:val="decimal"/>
      <w:start w:val="1"/>
    </w:lvl>
    <w:lvl w:ilvl="1">
      <w:lvlJc w:val="left"/>
      <w:lvlText w:val="(%2)"/>
      <w:numFmt w:val="lowerLetter"/>
      <w:start w:val="2"/>
    </w:lvl>
  </w:abstractNum>
  <w:abstractNum w:abstractNumId="112">
    <w:nsid w:val="1DF029D3"/>
    <w:multiLevelType w:val="hybridMultilevel"/>
    <w:lvl w:ilvl="0">
      <w:lvlJc w:val="left"/>
      <w:lvlText w:val="(%1)"/>
      <w:numFmt w:val="decimal"/>
      <w:start w:val="6"/>
    </w:lvl>
    <w:lvl w:ilvl="1">
      <w:lvlJc w:val="left"/>
      <w:lvlText w:val="%2"/>
      <w:numFmt w:val="lowerLetter"/>
      <w:start w:val="1"/>
    </w:lvl>
  </w:abstractNum>
  <w:abstractNum w:abstractNumId="113">
    <w:nsid w:val="5675FF36"/>
    <w:multiLevelType w:val="hybridMultilevel"/>
    <w:lvl w:ilvl="0">
      <w:lvlJc w:val="left"/>
      <w:lvlText w:val="*"/>
      <w:numFmt w:val="bullet"/>
      <w:start w:val="1"/>
    </w:lvl>
  </w:abstractNum>
  <w:abstractNum w:abstractNumId="114">
    <w:nsid w:val="3DD15094"/>
    <w:multiLevelType w:val="hybridMultilevel"/>
    <w:lvl w:ilvl="0">
      <w:lvlJc w:val="left"/>
      <w:lvlText w:val="%1."/>
      <w:numFmt w:val="decimal"/>
      <w:start w:val="1"/>
    </w:lvl>
  </w:abstractNum>
  <w:abstractNum w:abstractNumId="115">
    <w:nsid w:val="3DB012B3"/>
    <w:multiLevelType w:val="hybridMultilevel"/>
    <w:lvl w:ilvl="0">
      <w:lvlJc w:val="left"/>
      <w:lvlText w:val="%1."/>
      <w:numFmt w:val="decimal"/>
      <w:start w:val="2"/>
    </w:lvl>
  </w:abstractNum>
  <w:abstractNum w:abstractNumId="116">
    <w:nsid w:val="2708C9AF"/>
    <w:multiLevelType w:val="hybridMultilevel"/>
    <w:lvl w:ilvl="0">
      <w:lvlJc w:val="left"/>
      <w:lvlText w:val="%1."/>
      <w:numFmt w:val="decimal"/>
      <w:start w:val="3"/>
    </w:lvl>
  </w:abstractNum>
  <w:abstractNum w:abstractNumId="117">
    <w:nsid w:val="5B25ACE2"/>
    <w:multiLevelType w:val="hybridMultilevel"/>
    <w:lvl w:ilvl="0">
      <w:lvlJc w:val="left"/>
      <w:lvlText w:val="%1."/>
      <w:numFmt w:val="decimal"/>
      <w:start w:val="4"/>
    </w:lvl>
  </w:abstractNum>
  <w:abstractNum w:abstractNumId="118">
    <w:nsid w:val="175DFCF0"/>
    <w:multiLevelType w:val="hybridMultilevel"/>
    <w:lvl w:ilvl="0">
      <w:lvlJc w:val="left"/>
      <w:lvlText w:val="%1."/>
      <w:numFmt w:val="decimal"/>
      <w:start w:val="5"/>
    </w:lvl>
  </w:abstractNum>
  <w:abstractNum w:abstractNumId="119">
    <w:nsid w:val="4F97E3E4"/>
    <w:multiLevelType w:val="hybridMultilevel"/>
    <w:lvl w:ilvl="0">
      <w:lvlJc w:val="left"/>
      <w:lvlText w:val="%1."/>
      <w:numFmt w:val="decimal"/>
      <w:start w:val="6"/>
    </w:lvl>
  </w:abstractNum>
  <w:abstractNum w:abstractNumId="120">
    <w:nsid w:val="53B0A9E"/>
    <w:multiLevelType w:val="hybridMultilevel"/>
    <w:lvl w:ilvl="0">
      <w:lvlJc w:val="left"/>
      <w:lvlText w:val="%1."/>
      <w:numFmt w:val="decimal"/>
      <w:start w:val="7"/>
    </w:lvl>
  </w:abstractNum>
  <w:abstractNum w:abstractNumId="121">
    <w:nsid w:val="34FD6B4F"/>
    <w:multiLevelType w:val="hybridMultilevel"/>
    <w:lvl w:ilvl="0">
      <w:lvlJc w:val="left"/>
      <w:lvlText w:val="%1."/>
      <w:numFmt w:val="decimal"/>
      <w:start w:val="8"/>
    </w:lvl>
  </w:abstractNum>
  <w:abstractNum w:abstractNumId="122">
    <w:nsid w:val="5915FF32"/>
    <w:multiLevelType w:val="hybridMultilevel"/>
    <w:lvl w:ilvl="0">
      <w:lvlJc w:val="left"/>
      <w:lvlText w:val="%1."/>
      <w:numFmt w:val="decimal"/>
      <w:start w:val="9"/>
    </w:lvl>
  </w:abstractNum>
  <w:abstractNum w:abstractNumId="123">
    <w:nsid w:val="56438D15"/>
    <w:multiLevelType w:val="hybridMultilevel"/>
    <w:lvl w:ilvl="0">
      <w:lvlJc w:val="left"/>
      <w:lvlText w:val="%1."/>
      <w:numFmt w:val="decimal"/>
      <w:start w:val="10"/>
    </w:lvl>
  </w:abstractNum>
  <w:abstractNum w:abstractNumId="124">
    <w:nsid w:val="519E3149"/>
    <w:multiLevelType w:val="hybridMultilevel"/>
    <w:lvl w:ilvl="0">
      <w:lvlJc w:val="left"/>
      <w:lvlText w:val="%1."/>
      <w:numFmt w:val="decimal"/>
      <w:start w:val="11"/>
    </w:lvl>
  </w:abstractNum>
  <w:abstractNum w:abstractNumId="125">
    <w:nsid w:val="2C6E4AFD"/>
    <w:multiLevelType w:val="hybridMultilevel"/>
    <w:lvl w:ilvl="0">
      <w:lvlJc w:val="left"/>
      <w:lvlText w:val="%1."/>
      <w:numFmt w:val="decimal"/>
      <w:start w:val="12"/>
    </w:lvl>
  </w:abstractNum>
  <w:abstractNum w:abstractNumId="126">
    <w:nsid w:val="17A1B58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2019-12-09T21:21:07Z</dcterms:created>
  <dcterms:modified xsi:type="dcterms:W3CDTF">2019-12-09T21:21:07Z</dcterms:modified>
</cp:coreProperties>
</file>