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ind w:left="3460" w:right="1860" w:hanging="3452"/>
        <w:spacing w:after="0" w:line="470" w:lineRule="auto"/>
        <w:tabs>
          <w:tab w:leader="none" w:pos="24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296"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860" w:type="dxa"/>
            <w:vAlign w:val="bottom"/>
            <w:gridSpan w:val="2"/>
          </w:tcPr>
          <w:p>
            <w:pPr>
              <w:ind w:left="3480"/>
              <w:spacing w:after="0"/>
              <w:rPr>
                <w:sz w:val="20"/>
                <w:szCs w:val="20"/>
                <w:color w:val="auto"/>
              </w:rPr>
            </w:pPr>
            <w:r>
              <w:rPr>
                <w:rFonts w:ascii="Arial" w:cs="Arial" w:eastAsia="Arial" w:hAnsi="Arial"/>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300" w:type="dxa"/>
            <w:vAlign w:val="bottom"/>
          </w:tcPr>
          <w:p>
            <w:pPr>
              <w:ind w:left="40"/>
              <w:spacing w:after="0"/>
              <w:rPr>
                <w:sz w:val="20"/>
                <w:szCs w:val="20"/>
                <w:color w:val="auto"/>
              </w:rPr>
            </w:pPr>
            <w:r>
              <w:rPr>
                <w:rFonts w:ascii="Arial" w:cs="Arial" w:eastAsia="Arial" w:hAnsi="Arial"/>
                <w:sz w:val="18"/>
                <w:szCs w:val="18"/>
                <w:b w:val="1"/>
                <w:bCs w:val="1"/>
                <w:color w:val="auto"/>
                <w:w w:val="95"/>
              </w:rPr>
              <w:t>TO</w:t>
            </w:r>
          </w:p>
        </w:tc>
        <w:tc>
          <w:tcPr>
            <w:tcW w:w="540" w:type="dxa"/>
            <w:vAlign w:val="bottom"/>
            <w:tcBorders>
              <w:bottom w:val="single" w:sz="8" w:color="auto"/>
            </w:tcBorders>
          </w:tcPr>
          <w:p>
            <w:pPr>
              <w:spacing w:after="0"/>
              <w:rPr>
                <w:sz w:val="17"/>
                <w:szCs w:val="17"/>
                <w:color w:val="auto"/>
              </w:rPr>
            </w:pPr>
          </w:p>
        </w:tc>
        <w:tc>
          <w:tcPr>
            <w:tcW w:w="3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3860" w:type="dxa"/>
            <w:vAlign w:val="bottom"/>
          </w:tcPr>
          <w:p>
            <w:pPr>
              <w:spacing w:after="0"/>
              <w:rPr>
                <w:sz w:val="24"/>
                <w:szCs w:val="24"/>
                <w:color w:val="auto"/>
              </w:rPr>
            </w:pPr>
          </w:p>
        </w:tc>
        <w:tc>
          <w:tcPr>
            <w:tcW w:w="35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9"/>
              </w:rPr>
              <w:t>COMMISSION FILE NUMBER: 814-00891</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860" w:type="dxa"/>
            <w:vAlign w:val="bottom"/>
            <w:tcBorders>
              <w:bottom w:val="single" w:sz="8" w:color="auto"/>
            </w:tcBorders>
            <w:gridSpan w:val="2"/>
          </w:tcPr>
          <w:p>
            <w:pPr>
              <w:spacing w:after="0"/>
              <w:rPr>
                <w:sz w:val="12"/>
                <w:szCs w:val="12"/>
                <w:color w:val="auto"/>
              </w:rPr>
            </w:pPr>
          </w:p>
        </w:tc>
        <w:tc>
          <w:tcPr>
            <w:tcW w:w="840" w:type="dxa"/>
            <w:vAlign w:val="bottom"/>
            <w:tcBorders>
              <w:bottom w:val="single" w:sz="8" w:color="auto"/>
            </w:tcBorders>
            <w:gridSpan w:val="2"/>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70"/>
        </w:trPr>
        <w:tc>
          <w:tcPr>
            <w:tcW w:w="11240" w:type="dxa"/>
            <w:vAlign w:val="bottom"/>
            <w:gridSpan w:val="6"/>
          </w:tcPr>
          <w:p>
            <w:pPr>
              <w:jc w:val="center"/>
              <w:spacing w:after="0"/>
              <w:rPr>
                <w:sz w:val="20"/>
                <w:szCs w:val="20"/>
                <w:color w:val="auto"/>
              </w:rPr>
            </w:pPr>
            <w:r>
              <w:rPr>
                <w:rFonts w:ascii="Arial" w:cs="Arial" w:eastAsia="Arial" w:hAnsi="Arial"/>
                <w:sz w:val="31"/>
                <w:szCs w:val="31"/>
                <w:b w:val="1"/>
                <w:bCs w:val="1"/>
                <w:color w:val="auto"/>
                <w:w w:val="98"/>
              </w:rPr>
              <w:t>PENNANTPARK FLOATING RATE CAPITAL LTD.</w:t>
            </w:r>
          </w:p>
        </w:tc>
        <w:tc>
          <w:tcPr>
            <w:tcW w:w="0" w:type="dxa"/>
            <w:vAlign w:val="bottom"/>
          </w:tcPr>
          <w:p>
            <w:pPr>
              <w:spacing w:after="0"/>
              <w:rPr>
                <w:sz w:val="1"/>
                <w:szCs w:val="1"/>
                <w:color w:val="auto"/>
              </w:rPr>
            </w:pPr>
          </w:p>
        </w:tc>
      </w:tr>
      <w:tr>
        <w:trPr>
          <w:trHeight w:val="186"/>
        </w:trPr>
        <w:tc>
          <w:tcPr>
            <w:tcW w:w="3860" w:type="dxa"/>
            <w:vAlign w:val="bottom"/>
          </w:tcPr>
          <w:p>
            <w:pPr>
              <w:spacing w:after="0"/>
              <w:rPr>
                <w:sz w:val="16"/>
                <w:szCs w:val="16"/>
                <w:color w:val="auto"/>
              </w:rPr>
            </w:pPr>
          </w:p>
        </w:tc>
        <w:tc>
          <w:tcPr>
            <w:tcW w:w="3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3860" w:type="dxa"/>
            <w:vAlign w:val="bottom"/>
          </w:tcPr>
          <w:p>
            <w:pPr>
              <w:jc w:val="center"/>
              <w:ind w:left="1701"/>
              <w:spacing w:after="0"/>
              <w:rPr>
                <w:sz w:val="20"/>
                <w:szCs w:val="20"/>
                <w:color w:val="auto"/>
              </w:rPr>
            </w:pPr>
            <w:r>
              <w:rPr>
                <w:rFonts w:ascii="Arial" w:cs="Arial" w:eastAsia="Arial" w:hAnsi="Arial"/>
                <w:sz w:val="14"/>
                <w:szCs w:val="14"/>
                <w:b w:val="1"/>
                <w:bCs w:val="1"/>
                <w:color w:val="auto"/>
              </w:rPr>
              <w:t>MARYLAND</w:t>
            </w:r>
          </w:p>
        </w:tc>
        <w:tc>
          <w:tcPr>
            <w:tcW w:w="3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40" w:type="dxa"/>
            <w:vAlign w:val="bottom"/>
            <w:gridSpan w:val="3"/>
          </w:tcPr>
          <w:p>
            <w:pPr>
              <w:jc w:val="right"/>
              <w:ind w:right="2275"/>
              <w:spacing w:after="0"/>
              <w:rPr>
                <w:sz w:val="20"/>
                <w:szCs w:val="20"/>
                <w:color w:val="auto"/>
              </w:rPr>
            </w:pPr>
            <w:r>
              <w:rPr>
                <w:rFonts w:ascii="Arial" w:cs="Arial" w:eastAsia="Arial" w:hAnsi="Arial"/>
                <w:sz w:val="14"/>
                <w:szCs w:val="14"/>
                <w:b w:val="1"/>
                <w:bCs w:val="1"/>
                <w:color w:val="auto"/>
              </w:rPr>
              <w:t>27-3794690</w:t>
            </w:r>
          </w:p>
        </w:tc>
        <w:tc>
          <w:tcPr>
            <w:tcW w:w="0" w:type="dxa"/>
            <w:vAlign w:val="bottom"/>
          </w:tcPr>
          <w:p>
            <w:pPr>
              <w:spacing w:after="0"/>
              <w:rPr>
                <w:sz w:val="1"/>
                <w:szCs w:val="1"/>
                <w:color w:val="auto"/>
              </w:rPr>
            </w:pPr>
          </w:p>
        </w:tc>
      </w:tr>
      <w:tr>
        <w:trPr>
          <w:trHeight w:val="168"/>
        </w:trPr>
        <w:tc>
          <w:tcPr>
            <w:tcW w:w="7400" w:type="dxa"/>
            <w:vAlign w:val="bottom"/>
            <w:gridSpan w:val="3"/>
          </w:tcPr>
          <w:p>
            <w:pPr>
              <w:jc w:val="center"/>
              <w:ind w:right="1740"/>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3840" w:type="dxa"/>
            <w:vAlign w:val="bottom"/>
            <w:gridSpan w:val="3"/>
          </w:tcPr>
          <w:p>
            <w:pPr>
              <w:jc w:val="center"/>
              <w:ind w:right="1475"/>
              <w:spacing w:after="0"/>
              <w:rPr>
                <w:sz w:val="20"/>
                <w:szCs w:val="20"/>
                <w:color w:val="auto"/>
              </w:rPr>
            </w:pPr>
            <w:r>
              <w:rPr>
                <w:rFonts w:ascii="Arial" w:cs="Arial" w:eastAsia="Arial" w:hAnsi="Arial"/>
                <w:sz w:val="12"/>
                <w:szCs w:val="12"/>
                <w:b w:val="1"/>
                <w:bCs w:val="1"/>
                <w:color w:val="auto"/>
                <w:w w:val="90"/>
              </w:rPr>
              <w:t>(I.R.S. Employer Identification No.)</w:t>
            </w:r>
          </w:p>
        </w:tc>
        <w:tc>
          <w:tcPr>
            <w:tcW w:w="0" w:type="dxa"/>
            <w:vAlign w:val="bottom"/>
          </w:tcPr>
          <w:p>
            <w:pPr>
              <w:spacing w:after="0"/>
              <w:rPr>
                <w:sz w:val="1"/>
                <w:szCs w:val="1"/>
                <w:color w:val="auto"/>
              </w:rPr>
            </w:pPr>
          </w:p>
        </w:tc>
      </w:tr>
      <w:tr>
        <w:trPr>
          <w:trHeight w:val="456"/>
        </w:trPr>
        <w:tc>
          <w:tcPr>
            <w:tcW w:w="3860" w:type="dxa"/>
            <w:vAlign w:val="bottom"/>
          </w:tcPr>
          <w:p>
            <w:pPr>
              <w:jc w:val="center"/>
              <w:ind w:left="1701"/>
              <w:spacing w:after="0"/>
              <w:rPr>
                <w:sz w:val="20"/>
                <w:szCs w:val="20"/>
                <w:color w:val="auto"/>
              </w:rPr>
            </w:pPr>
            <w:r>
              <w:rPr>
                <w:rFonts w:ascii="Arial" w:cs="Arial" w:eastAsia="Arial" w:hAnsi="Arial"/>
                <w:sz w:val="14"/>
                <w:szCs w:val="14"/>
                <w:b w:val="1"/>
                <w:bCs w:val="1"/>
                <w:color w:val="auto"/>
                <w:w w:val="92"/>
              </w:rPr>
              <w:t>590 Madison Avenue, 15</w:t>
            </w:r>
            <w:r>
              <w:rPr>
                <w:rFonts w:ascii="Arial" w:cs="Arial" w:eastAsia="Arial" w:hAnsi="Arial"/>
                <w:sz w:val="12"/>
                <w:szCs w:val="12"/>
                <w:b w:val="1"/>
                <w:bCs w:val="1"/>
                <w:color w:val="auto"/>
                <w:w w:val="92"/>
              </w:rPr>
              <w:t>th</w:t>
            </w:r>
            <w:r>
              <w:rPr>
                <w:rFonts w:ascii="Arial" w:cs="Arial" w:eastAsia="Arial" w:hAnsi="Arial"/>
                <w:sz w:val="14"/>
                <w:szCs w:val="14"/>
                <w:b w:val="1"/>
                <w:bCs w:val="1"/>
                <w:color w:val="auto"/>
                <w:w w:val="92"/>
              </w:rPr>
              <w:t xml:space="preserve"> Floor</w:t>
            </w:r>
          </w:p>
        </w:tc>
        <w:tc>
          <w:tcPr>
            <w:tcW w:w="3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860" w:type="dxa"/>
            <w:vAlign w:val="bottom"/>
          </w:tcPr>
          <w:p>
            <w:pPr>
              <w:jc w:val="center"/>
              <w:ind w:left="1701"/>
              <w:spacing w:after="0"/>
              <w:rPr>
                <w:sz w:val="20"/>
                <w:szCs w:val="20"/>
                <w:color w:val="auto"/>
              </w:rPr>
            </w:pPr>
            <w:r>
              <w:rPr>
                <w:rFonts w:ascii="Arial" w:cs="Arial" w:eastAsia="Arial" w:hAnsi="Arial"/>
                <w:sz w:val="14"/>
                <w:szCs w:val="14"/>
                <w:b w:val="1"/>
                <w:bCs w:val="1"/>
                <w:color w:val="auto"/>
                <w:w w:val="97"/>
              </w:rPr>
              <w:t>New York, N.Y.</w:t>
            </w:r>
          </w:p>
        </w:tc>
        <w:tc>
          <w:tcPr>
            <w:tcW w:w="3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40" w:type="dxa"/>
            <w:vAlign w:val="bottom"/>
            <w:gridSpan w:val="3"/>
            <w:vMerge w:val="restart"/>
          </w:tcPr>
          <w:p>
            <w:pPr>
              <w:jc w:val="right"/>
              <w:ind w:right="2455"/>
              <w:spacing w:after="0"/>
              <w:rPr>
                <w:sz w:val="20"/>
                <w:szCs w:val="20"/>
                <w:color w:val="auto"/>
              </w:rPr>
            </w:pPr>
            <w:r>
              <w:rPr>
                <w:rFonts w:ascii="Arial" w:cs="Arial" w:eastAsia="Arial" w:hAnsi="Arial"/>
                <w:sz w:val="14"/>
                <w:szCs w:val="14"/>
                <w:b w:val="1"/>
                <w:bCs w:val="1"/>
                <w:color w:val="auto"/>
              </w:rPr>
              <w:t>10022</w:t>
            </w:r>
          </w:p>
        </w:tc>
        <w:tc>
          <w:tcPr>
            <w:tcW w:w="0" w:type="dxa"/>
            <w:vAlign w:val="bottom"/>
          </w:tcPr>
          <w:p>
            <w:pPr>
              <w:spacing w:after="0"/>
              <w:rPr>
                <w:sz w:val="1"/>
                <w:szCs w:val="1"/>
                <w:color w:val="auto"/>
              </w:rPr>
            </w:pPr>
          </w:p>
        </w:tc>
      </w:tr>
      <w:tr>
        <w:trPr>
          <w:trHeight w:val="71"/>
        </w:trPr>
        <w:tc>
          <w:tcPr>
            <w:tcW w:w="3860" w:type="dxa"/>
            <w:vAlign w:val="bottom"/>
          </w:tcPr>
          <w:p>
            <w:pPr>
              <w:spacing w:after="0"/>
              <w:rPr>
                <w:sz w:val="6"/>
                <w:szCs w:val="6"/>
                <w:color w:val="auto"/>
              </w:rPr>
            </w:pPr>
          </w:p>
        </w:tc>
        <w:tc>
          <w:tcPr>
            <w:tcW w:w="30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3860" w:type="dxa"/>
            <w:vAlign w:val="bottom"/>
          </w:tcPr>
          <w:p>
            <w:pPr>
              <w:jc w:val="center"/>
              <w:ind w:left="1701"/>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3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0" w:type="dxa"/>
            <w:vAlign w:val="bottom"/>
          </w:tcPr>
          <w:p>
            <w:pPr>
              <w:jc w:val="center"/>
              <w:ind w:right="2315"/>
              <w:spacing w:after="0"/>
              <w:rPr>
                <w:sz w:val="20"/>
                <w:szCs w:val="20"/>
                <w:color w:val="auto"/>
              </w:rPr>
            </w:pPr>
            <w:r>
              <w:rPr>
                <w:rFonts w:ascii="Arial" w:cs="Arial" w:eastAsia="Arial" w:hAnsi="Arial"/>
                <w:sz w:val="12"/>
                <w:szCs w:val="12"/>
                <w:b w:val="1"/>
                <w:bCs w:val="1"/>
                <w:color w:val="auto"/>
                <w:w w:val="90"/>
              </w:rPr>
              <w:t>(Zip Code)</w:t>
            </w:r>
          </w:p>
        </w:tc>
        <w:tc>
          <w:tcPr>
            <w:tcW w:w="0" w:type="dxa"/>
            <w:vAlign w:val="bottom"/>
          </w:tcPr>
          <w:p>
            <w:pPr>
              <w:spacing w:after="0"/>
              <w:rPr>
                <w:sz w:val="1"/>
                <w:szCs w:val="1"/>
                <w:color w:val="auto"/>
              </w:rPr>
            </w:pPr>
          </w:p>
        </w:tc>
      </w:tr>
      <w:tr>
        <w:trPr>
          <w:trHeight w:val="282"/>
        </w:trPr>
        <w:tc>
          <w:tcPr>
            <w:tcW w:w="3860" w:type="dxa"/>
            <w:vAlign w:val="bottom"/>
          </w:tcPr>
          <w:p>
            <w:pPr>
              <w:spacing w:after="0"/>
              <w:rPr>
                <w:sz w:val="24"/>
                <w:szCs w:val="24"/>
                <w:color w:val="auto"/>
              </w:rPr>
            </w:pPr>
          </w:p>
        </w:tc>
        <w:tc>
          <w:tcPr>
            <w:tcW w:w="3000" w:type="dxa"/>
            <w:vAlign w:val="bottom"/>
          </w:tcPr>
          <w:p>
            <w:pPr>
              <w:jc w:val="center"/>
              <w:ind w:left="467"/>
              <w:spacing w:after="0"/>
              <w:rPr>
                <w:sz w:val="20"/>
                <w:szCs w:val="20"/>
                <w:color w:val="auto"/>
              </w:rPr>
            </w:pPr>
            <w:r>
              <w:rPr>
                <w:rFonts w:ascii="Arial" w:cs="Arial" w:eastAsia="Arial" w:hAnsi="Arial"/>
                <w:sz w:val="14"/>
                <w:szCs w:val="14"/>
                <w:b w:val="1"/>
                <w:bCs w:val="1"/>
                <w:color w:val="auto"/>
                <w:w w:val="93"/>
              </w:rPr>
              <w:t>(212) 905-1000</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3860" w:type="dxa"/>
            <w:vAlign w:val="bottom"/>
          </w:tcPr>
          <w:p>
            <w:pPr>
              <w:spacing w:after="0"/>
              <w:rPr>
                <w:sz w:val="13"/>
                <w:szCs w:val="13"/>
                <w:color w:val="auto"/>
              </w:rPr>
            </w:pPr>
          </w:p>
        </w:tc>
        <w:tc>
          <w:tcPr>
            <w:tcW w:w="354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88"/>
              </w:rPr>
              <w:t>(Registrant’s Telephone Number, Including Area Code)</w:t>
            </w: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3860" w:type="dxa"/>
            <w:vAlign w:val="bottom"/>
            <w:tcBorders>
              <w:bottom w:val="single" w:sz="8" w:color="auto"/>
            </w:tcBorders>
          </w:tcPr>
          <w:p>
            <w:pPr>
              <w:spacing w:after="0"/>
              <w:rPr>
                <w:sz w:val="6"/>
                <w:szCs w:val="6"/>
                <w:color w:val="auto"/>
              </w:rPr>
            </w:pPr>
          </w:p>
        </w:tc>
        <w:tc>
          <w:tcPr>
            <w:tcW w:w="30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3860" w:type="dxa"/>
            <w:vAlign w:val="bottom"/>
          </w:tcPr>
          <w:p>
            <w:pPr>
              <w:ind w:left="480"/>
              <w:spacing w:after="0"/>
              <w:rPr>
                <w:sz w:val="20"/>
                <w:szCs w:val="20"/>
                <w:color w:val="auto"/>
              </w:rPr>
            </w:pPr>
            <w:r>
              <w:rPr>
                <w:rFonts w:ascii="Arial" w:cs="Arial" w:eastAsia="Arial" w:hAnsi="Arial"/>
                <w:sz w:val="14"/>
                <w:szCs w:val="14"/>
                <w:color w:val="auto"/>
                <w:w w:val="94"/>
              </w:rPr>
              <w:t>Securities registered pursuant to Section 12(b) of the Act:</w:t>
            </w:r>
          </w:p>
        </w:tc>
        <w:tc>
          <w:tcPr>
            <w:tcW w:w="3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860" w:type="dxa"/>
            <w:vAlign w:val="bottom"/>
          </w:tcPr>
          <w:p>
            <w:pPr>
              <w:jc w:val="center"/>
              <w:ind w:right="41"/>
              <w:spacing w:after="0"/>
              <w:rPr>
                <w:sz w:val="20"/>
                <w:szCs w:val="20"/>
                <w:color w:val="auto"/>
              </w:rPr>
            </w:pPr>
            <w:r>
              <w:rPr>
                <w:rFonts w:ascii="Arial" w:cs="Arial" w:eastAsia="Arial" w:hAnsi="Arial"/>
                <w:sz w:val="14"/>
                <w:szCs w:val="14"/>
                <w:b w:val="1"/>
                <w:bCs w:val="1"/>
                <w:color w:val="auto"/>
                <w:w w:val="91"/>
              </w:rPr>
              <w:t>Title of Each Class</w:t>
            </w:r>
          </w:p>
        </w:tc>
        <w:tc>
          <w:tcPr>
            <w:tcW w:w="35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Trading Symbol(s)</w:t>
            </w:r>
          </w:p>
        </w:tc>
        <w:tc>
          <w:tcPr>
            <w:tcW w:w="300" w:type="dxa"/>
            <w:vAlign w:val="bottom"/>
          </w:tcPr>
          <w:p>
            <w:pPr>
              <w:spacing w:after="0"/>
              <w:rPr>
                <w:sz w:val="22"/>
                <w:szCs w:val="22"/>
                <w:color w:val="auto"/>
              </w:rPr>
            </w:pPr>
          </w:p>
        </w:tc>
        <w:tc>
          <w:tcPr>
            <w:tcW w:w="3540" w:type="dxa"/>
            <w:vAlign w:val="bottom"/>
            <w:gridSpan w:val="2"/>
          </w:tcPr>
          <w:p>
            <w:pPr>
              <w:jc w:val="center"/>
              <w:ind w:right="175"/>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182"/>
        </w:trPr>
        <w:tc>
          <w:tcPr>
            <w:tcW w:w="3860" w:type="dxa"/>
            <w:vAlign w:val="bottom"/>
          </w:tcPr>
          <w:p>
            <w:pPr>
              <w:jc w:val="center"/>
              <w:ind w:right="41"/>
              <w:spacing w:after="0"/>
              <w:rPr>
                <w:sz w:val="20"/>
                <w:szCs w:val="20"/>
                <w:color w:val="auto"/>
              </w:rPr>
            </w:pPr>
            <w:r>
              <w:rPr>
                <w:rFonts w:ascii="Arial" w:cs="Arial" w:eastAsia="Arial" w:hAnsi="Arial"/>
                <w:sz w:val="14"/>
                <w:szCs w:val="14"/>
                <w:color w:val="auto"/>
                <w:w w:val="92"/>
              </w:rPr>
              <w:t>Common Stock, par value $0.001 per share</w:t>
            </w:r>
          </w:p>
        </w:tc>
        <w:tc>
          <w:tcPr>
            <w:tcW w:w="3540" w:type="dxa"/>
            <w:vAlign w:val="bottom"/>
            <w:gridSpan w:val="2"/>
          </w:tcPr>
          <w:p>
            <w:pPr>
              <w:jc w:val="center"/>
              <w:ind w:right="60"/>
              <w:spacing w:after="0"/>
              <w:rPr>
                <w:sz w:val="20"/>
                <w:szCs w:val="20"/>
                <w:color w:val="auto"/>
              </w:rPr>
            </w:pPr>
            <w:r>
              <w:rPr>
                <w:rFonts w:ascii="Arial" w:cs="Arial" w:eastAsia="Arial" w:hAnsi="Arial"/>
                <w:sz w:val="14"/>
                <w:szCs w:val="14"/>
                <w:color w:val="auto"/>
                <w:w w:val="93"/>
              </w:rPr>
              <w:t>PFLT</w:t>
            </w: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0" w:type="dxa"/>
            <w:vAlign w:val="bottom"/>
          </w:tcPr>
          <w:p>
            <w:pPr>
              <w:jc w:val="center"/>
              <w:ind w:right="715"/>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bl>
    <w:p>
      <w:pPr>
        <w:spacing w:after="0" w:line="115" w:lineRule="exact"/>
        <w:rPr>
          <w:sz w:val="24"/>
          <w:szCs w:val="24"/>
          <w:color w:val="auto"/>
        </w:rPr>
      </w:pPr>
    </w:p>
    <w:p>
      <w:pPr>
        <w:jc w:val="both"/>
        <w:ind w:firstLine="467"/>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3" w:lineRule="exact"/>
        <w:rPr>
          <w:sz w:val="24"/>
          <w:szCs w:val="24"/>
          <w:color w:val="auto"/>
        </w:rPr>
      </w:pPr>
    </w:p>
    <w:p>
      <w:pPr>
        <w:jc w:val="both"/>
        <w:ind w:firstLine="467"/>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3" w:lineRule="exact"/>
        <w:rPr>
          <w:sz w:val="24"/>
          <w:szCs w:val="24"/>
          <w:color w:val="auto"/>
        </w:rPr>
      </w:pPr>
    </w:p>
    <w:p>
      <w:pPr>
        <w:ind w:right="180" w:firstLine="467"/>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2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2900"/>
              <w:spacing w:after="0"/>
              <w:rPr>
                <w:sz w:val="20"/>
                <w:szCs w:val="20"/>
                <w:color w:val="auto"/>
              </w:rPr>
            </w:pPr>
            <w:r>
              <w:rPr>
                <w:rFonts w:ascii="Arial" w:cs="Arial" w:eastAsia="Arial" w:hAnsi="Arial"/>
                <w:sz w:val="14"/>
                <w:szCs w:val="14"/>
                <w:color w:val="auto"/>
              </w:rPr>
              <w:t>Accelerated filer</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10"/>
        </w:trPr>
        <w:tc>
          <w:tcPr>
            <w:tcW w:w="2160" w:type="dxa"/>
            <w:vAlign w:val="bottom"/>
          </w:tcPr>
          <w:p>
            <w:pPr>
              <w:spacing w:after="0"/>
              <w:rPr>
                <w:sz w:val="20"/>
                <w:szCs w:val="20"/>
                <w:color w:val="auto"/>
              </w:rPr>
            </w:pPr>
            <w:r>
              <w:rPr>
                <w:rFonts w:ascii="Arial" w:cs="Arial" w:eastAsia="Arial" w:hAnsi="Arial"/>
                <w:sz w:val="14"/>
                <w:szCs w:val="14"/>
                <w:color w:val="auto"/>
              </w:rPr>
              <w:t>Non-accelerated filer</w:t>
            </w:r>
          </w:p>
        </w:tc>
        <w:tc>
          <w:tcPr>
            <w:tcW w:w="362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2900"/>
              <w:spacing w:after="0"/>
              <w:rPr>
                <w:sz w:val="20"/>
                <w:szCs w:val="20"/>
                <w:color w:val="auto"/>
              </w:rPr>
            </w:pPr>
            <w:r>
              <w:rPr>
                <w:rFonts w:ascii="Arial" w:cs="Arial" w:eastAsia="Arial" w:hAnsi="Arial"/>
                <w:sz w:val="14"/>
                <w:szCs w:val="14"/>
                <w:color w:val="auto"/>
              </w:rPr>
              <w:t>Smaller reporting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10"/>
        </w:trPr>
        <w:tc>
          <w:tcPr>
            <w:tcW w:w="21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2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112" w:lineRule="exact"/>
        <w:rPr>
          <w:sz w:val="24"/>
          <w:szCs w:val="24"/>
          <w:color w:val="auto"/>
        </w:rPr>
      </w:pPr>
    </w:p>
    <w:p>
      <w:pPr>
        <w:jc w:val="both"/>
        <w:ind w:right="100" w:firstLine="46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480" w:right="3200"/>
        <w:spacing w:after="0" w:line="253"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The number of shares of the registrant’s common stock, $0.001 par value per share, outstanding as of May 5, 2021 was 38,772,074.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140970</wp:posOffset>
            </wp:positionV>
            <wp:extent cx="71748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PENNANTPARK FLOATING RATE CAPITAL LTD.</w:t>
      </w:r>
    </w:p>
    <w:p>
      <w:pPr>
        <w:jc w:val="center"/>
        <w:spacing w:after="0" w:line="226" w:lineRule="auto"/>
        <w:rPr>
          <w:sz w:val="20"/>
          <w:szCs w:val="20"/>
          <w:color w:val="auto"/>
        </w:rPr>
      </w:pPr>
      <w:r>
        <w:rPr>
          <w:rFonts w:ascii="Arial" w:cs="Arial" w:eastAsia="Arial" w:hAnsi="Arial"/>
          <w:sz w:val="14"/>
          <w:szCs w:val="14"/>
          <w:b w:val="1"/>
          <w:bCs w:val="1"/>
          <w:color w:val="auto"/>
        </w:rPr>
        <w:t>FORM 10-Q FOR THE QUARTER ENDED MARCH 31, 2021</w:t>
      </w:r>
    </w:p>
    <w:p>
      <w:pPr>
        <w:jc w:val="center"/>
        <w:spacing w:after="0"/>
        <w:rPr>
          <w:sz w:val="20"/>
          <w:szCs w:val="20"/>
          <w:color w:val="auto"/>
        </w:rPr>
      </w:pPr>
      <w:r>
        <w:rPr>
          <w:rFonts w:ascii="Arial" w:cs="Arial" w:eastAsia="Arial" w:hAnsi="Arial"/>
          <w:sz w:val="14"/>
          <w:szCs w:val="14"/>
          <w:b w:val="1"/>
          <w:bCs w:val="1"/>
          <w:color w:val="auto"/>
        </w:rPr>
        <w:t>TABLE OF CONTENTS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720" w:type="dxa"/>
            <w:vAlign w:val="bottom"/>
            <w:gridSpan w:val="15"/>
          </w:tcPr>
          <w:p>
            <w:pPr>
              <w:jc w:val="center"/>
              <w:ind w:right="1080"/>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PART I. CONSOLIDATED FINANCIAL INFORMATION</w:t>
              </w:r>
            </w:hyperlink>
          </w:p>
        </w:tc>
        <w:tc>
          <w:tcPr>
            <w:tcW w:w="1920" w:type="dxa"/>
            <w:vAlign w:val="bottom"/>
          </w:tcPr>
          <w:p>
            <w:pPr>
              <w:spacing w:after="0"/>
              <w:rPr>
                <w:sz w:val="14"/>
                <w:szCs w:val="14"/>
                <w:color w:val="auto"/>
              </w:rPr>
            </w:pPr>
          </w:p>
        </w:tc>
      </w:tr>
      <w:tr>
        <w:trPr>
          <w:trHeight w:val="277"/>
        </w:trPr>
        <w:tc>
          <w:tcPr>
            <w:tcW w:w="3600" w:type="dxa"/>
            <w:vAlign w:val="bottom"/>
            <w:gridSpan w:val="12"/>
          </w:tcPr>
          <w:p>
            <w:pPr>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Item 1. Consolidated Financial Statements</w:t>
              </w:r>
            </w:hyperlink>
          </w:p>
        </w:tc>
        <w:tc>
          <w:tcPr>
            <w:tcW w:w="3640" w:type="dxa"/>
            <w:vAlign w:val="bottom"/>
            <w:tcBorders>
              <w:top w:val="single" w:sz="8" w:color="0000EE"/>
            </w:tcBorders>
            <w:gridSpan w:val="12"/>
          </w:tcPr>
          <w:p>
            <w:pPr>
              <w:spacing w:after="0"/>
              <w:rPr>
                <w:sz w:val="24"/>
                <w:szCs w:val="24"/>
                <w:color w:val="auto"/>
              </w:rPr>
            </w:pPr>
          </w:p>
        </w:tc>
        <w:tc>
          <w:tcPr>
            <w:tcW w:w="2080" w:type="dxa"/>
            <w:vAlign w:val="bottom"/>
            <w:gridSpan w:val="2"/>
          </w:tcPr>
          <w:p>
            <w:pPr>
              <w:spacing w:after="0"/>
              <w:rPr>
                <w:sz w:val="24"/>
                <w:szCs w:val="24"/>
                <w:color w:val="auto"/>
              </w:rPr>
            </w:pPr>
          </w:p>
        </w:tc>
        <w:tc>
          <w:tcPr>
            <w:tcW w:w="1920" w:type="dxa"/>
            <w:vAlign w:val="bottom"/>
          </w:tcPr>
          <w:p>
            <w:pPr>
              <w:spacing w:after="0"/>
              <w:rPr>
                <w:sz w:val="24"/>
                <w:szCs w:val="24"/>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60" w:type="dxa"/>
            <w:vAlign w:val="bottom"/>
            <w:tcBorders>
              <w:bottom w:val="single" w:sz="8" w:color="0000EE"/>
            </w:tcBorders>
            <w:gridSpan w:val="20"/>
          </w:tcPr>
          <w:p>
            <w:pPr>
              <w:spacing w:after="0"/>
              <w:rPr>
                <w:rFonts w:ascii="Arial" w:cs="Arial" w:eastAsia="Arial" w:hAnsi="Arial"/>
                <w:sz w:val="14"/>
                <w:szCs w:val="14"/>
                <w:color w:val="0000EE"/>
                <w:w w:val="92"/>
              </w:rPr>
            </w:pPr>
            <w:hyperlink w:anchor="page4">
              <w:r>
                <w:rPr>
                  <w:rFonts w:ascii="Arial" w:cs="Arial" w:eastAsia="Arial" w:hAnsi="Arial"/>
                  <w:sz w:val="14"/>
                  <w:szCs w:val="14"/>
                  <w:color w:val="0000EE"/>
                  <w:w w:val="92"/>
                </w:rPr>
                <w:t>Consolidated Statements of Assets and Liabilities as of March 31, 2021 (unaudited) and September 30, 2020</w:t>
              </w:r>
            </w:hyperlink>
          </w:p>
        </w:tc>
        <w:tc>
          <w:tcPr>
            <w:tcW w:w="2680" w:type="dxa"/>
            <w:vAlign w:val="bottom"/>
            <w:gridSpan w:val="4"/>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77"/>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00" w:type="dxa"/>
            <w:vAlign w:val="bottom"/>
            <w:tcBorders>
              <w:bottom w:val="single" w:sz="8" w:color="0000EE"/>
            </w:tcBorders>
            <w:gridSpan w:val="21"/>
          </w:tcPr>
          <w:p>
            <w:pPr>
              <w:spacing w:after="0"/>
              <w:rPr>
                <w:rFonts w:ascii="Arial" w:cs="Arial" w:eastAsia="Arial" w:hAnsi="Arial"/>
                <w:sz w:val="14"/>
                <w:szCs w:val="14"/>
                <w:color w:val="0000EE"/>
                <w:w w:val="92"/>
              </w:rPr>
            </w:pPr>
            <w:hyperlink w:anchor="page5">
              <w:r>
                <w:rPr>
                  <w:rFonts w:ascii="Arial" w:cs="Arial" w:eastAsia="Arial" w:hAnsi="Arial"/>
                  <w:sz w:val="14"/>
                  <w:szCs w:val="14"/>
                  <w:color w:val="0000EE"/>
                  <w:w w:val="92"/>
                </w:rPr>
                <w:t>Consolidated Statements of Operations for the three and six months ended March 31, 2021 and 2020 (unaudited)</w:t>
              </w:r>
            </w:hyperlink>
          </w:p>
        </w:tc>
        <w:tc>
          <w:tcPr>
            <w:tcW w:w="2440" w:type="dxa"/>
            <w:vAlign w:val="bottom"/>
            <w:gridSpan w:val="3"/>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77"/>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40" w:type="dxa"/>
            <w:vAlign w:val="bottom"/>
            <w:gridSpan w:val="24"/>
          </w:tcPr>
          <w:p>
            <w:pPr>
              <w:spacing w:after="0"/>
              <w:rPr>
                <w:rFonts w:ascii="Arial" w:cs="Arial" w:eastAsia="Arial" w:hAnsi="Arial"/>
                <w:sz w:val="14"/>
                <w:szCs w:val="14"/>
                <w:color w:val="0000EE"/>
              </w:rPr>
            </w:pPr>
            <w:hyperlink w:anchor="page6">
              <w:r>
                <w:rPr>
                  <w:rFonts w:ascii="Arial" w:cs="Arial" w:eastAsia="Arial" w:hAnsi="Arial"/>
                  <w:sz w:val="14"/>
                  <w:szCs w:val="14"/>
                  <w:color w:val="0000EE"/>
                </w:rPr>
                <w:t>Consolidated Statements of Changes in Net Assets for the three and six months ended March 31, 2021 and 2020 (unaudited)</w:t>
              </w:r>
            </w:hyperlink>
          </w:p>
        </w:tc>
        <w:tc>
          <w:tcPr>
            <w:tcW w:w="19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77"/>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980" w:type="dxa"/>
            <w:vAlign w:val="bottom"/>
            <w:tcBorders>
              <w:top w:val="single" w:sz="8" w:color="0000EE"/>
              <w:bottom w:val="single" w:sz="8" w:color="0000EE"/>
            </w:tcBorders>
            <w:gridSpan w:val="18"/>
          </w:tcPr>
          <w:p>
            <w:pPr>
              <w:spacing w:after="0"/>
              <w:rPr>
                <w:rFonts w:ascii="Arial" w:cs="Arial" w:eastAsia="Arial" w:hAnsi="Arial"/>
                <w:sz w:val="14"/>
                <w:szCs w:val="14"/>
                <w:color w:val="0000EE"/>
                <w:w w:val="92"/>
              </w:rPr>
            </w:pPr>
            <w:hyperlink w:anchor="page7">
              <w:r>
                <w:rPr>
                  <w:rFonts w:ascii="Arial" w:cs="Arial" w:eastAsia="Arial" w:hAnsi="Arial"/>
                  <w:sz w:val="14"/>
                  <w:szCs w:val="14"/>
                  <w:color w:val="0000EE"/>
                  <w:w w:val="92"/>
                </w:rPr>
                <w:t>Consolidated Statements of Cash Flows for the six months ended March 31, 2021 and 2020 (unaudited)</w:t>
              </w:r>
            </w:hyperlink>
          </w:p>
        </w:tc>
        <w:tc>
          <w:tcPr>
            <w:tcW w:w="1180" w:type="dxa"/>
            <w:vAlign w:val="bottom"/>
            <w:tcBorders>
              <w:top w:val="single" w:sz="8" w:color="0000EE"/>
            </w:tcBorders>
            <w:gridSpan w:val="5"/>
          </w:tcPr>
          <w:p>
            <w:pPr>
              <w:spacing w:after="0"/>
              <w:rPr>
                <w:sz w:val="24"/>
                <w:szCs w:val="24"/>
                <w:color w:val="auto"/>
              </w:rPr>
            </w:pPr>
          </w:p>
        </w:tc>
        <w:tc>
          <w:tcPr>
            <w:tcW w:w="178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77"/>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40" w:type="dxa"/>
            <w:vAlign w:val="bottom"/>
            <w:gridSpan w:val="24"/>
          </w:tcPr>
          <w:p>
            <w:pPr>
              <w:spacing w:after="0"/>
              <w:rPr>
                <w:rFonts w:ascii="Arial" w:cs="Arial" w:eastAsia="Arial" w:hAnsi="Arial"/>
                <w:sz w:val="14"/>
                <w:szCs w:val="14"/>
                <w:color w:val="0000EE"/>
              </w:rPr>
            </w:pPr>
            <w:hyperlink w:anchor="page8">
              <w:r>
                <w:rPr>
                  <w:rFonts w:ascii="Arial" w:cs="Arial" w:eastAsia="Arial" w:hAnsi="Arial"/>
                  <w:sz w:val="14"/>
                  <w:szCs w:val="14"/>
                  <w:color w:val="0000EE"/>
                </w:rPr>
                <w:t>Consolidated Schedules of Investments as of March 31, 2021 (unaudited) and September 30, 2020</w:t>
              </w:r>
            </w:hyperlink>
          </w:p>
        </w:tc>
        <w:tc>
          <w:tcPr>
            <w:tcW w:w="192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77"/>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40" w:type="dxa"/>
            <w:vAlign w:val="bottom"/>
            <w:tcBorders>
              <w:top w:val="single" w:sz="8" w:color="0000EE"/>
              <w:bottom w:val="single" w:sz="8" w:color="0000EE"/>
            </w:tcBorders>
            <w:gridSpan w:val="11"/>
          </w:tcPr>
          <w:p>
            <w:pPr>
              <w:spacing w:after="0"/>
              <w:rPr>
                <w:rFonts w:ascii="Arial" w:cs="Arial" w:eastAsia="Arial" w:hAnsi="Arial"/>
                <w:sz w:val="14"/>
                <w:szCs w:val="14"/>
                <w:color w:val="0000EE"/>
                <w:w w:val="92"/>
              </w:rPr>
            </w:pPr>
            <w:hyperlink w:anchor="page16">
              <w:r>
                <w:rPr>
                  <w:rFonts w:ascii="Arial" w:cs="Arial" w:eastAsia="Arial" w:hAnsi="Arial"/>
                  <w:sz w:val="14"/>
                  <w:szCs w:val="14"/>
                  <w:color w:val="0000EE"/>
                  <w:w w:val="92"/>
                </w:rPr>
                <w:t>Notes to Consolidated Financial Statements (unaudited)</w:t>
              </w:r>
            </w:hyperlink>
          </w:p>
        </w:tc>
        <w:tc>
          <w:tcPr>
            <w:tcW w:w="2420" w:type="dxa"/>
            <w:vAlign w:val="bottom"/>
            <w:tcBorders>
              <w:top w:val="single" w:sz="8" w:color="0000EE"/>
            </w:tcBorders>
            <w:gridSpan w:val="6"/>
          </w:tcPr>
          <w:p>
            <w:pPr>
              <w:spacing w:after="0"/>
              <w:rPr>
                <w:sz w:val="24"/>
                <w:szCs w:val="24"/>
                <w:color w:val="auto"/>
              </w:rPr>
            </w:pPr>
          </w:p>
        </w:tc>
        <w:tc>
          <w:tcPr>
            <w:tcW w:w="3280" w:type="dxa"/>
            <w:vAlign w:val="bottom"/>
            <w:gridSpan w:val="7"/>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77"/>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80" w:type="dxa"/>
            <w:vAlign w:val="bottom"/>
            <w:tcBorders>
              <w:bottom w:val="single" w:sz="8" w:color="0000EE"/>
            </w:tcBorders>
            <w:gridSpan w:val="12"/>
          </w:tcPr>
          <w:p>
            <w:pPr>
              <w:spacing w:after="0"/>
              <w:rPr>
                <w:rFonts w:ascii="Arial" w:cs="Arial" w:eastAsia="Arial" w:hAnsi="Arial"/>
                <w:sz w:val="14"/>
                <w:szCs w:val="14"/>
                <w:color w:val="0000EE"/>
                <w:w w:val="93"/>
              </w:rPr>
            </w:pPr>
            <w:hyperlink w:anchor="page33">
              <w:r>
                <w:rPr>
                  <w:rFonts w:ascii="Arial" w:cs="Arial" w:eastAsia="Arial" w:hAnsi="Arial"/>
                  <w:sz w:val="14"/>
                  <w:szCs w:val="14"/>
                  <w:color w:val="0000EE"/>
                  <w:w w:val="93"/>
                </w:rPr>
                <w:t>Report of Independent Registered Public Accounting Firm</w:t>
              </w:r>
            </w:hyperlink>
          </w:p>
        </w:tc>
        <w:tc>
          <w:tcPr>
            <w:tcW w:w="5560" w:type="dxa"/>
            <w:vAlign w:val="bottom"/>
            <w:gridSpan w:val="12"/>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77"/>
        </w:trPr>
        <w:tc>
          <w:tcPr>
            <w:tcW w:w="20" w:type="dxa"/>
            <w:vAlign w:val="bottom"/>
          </w:tcPr>
          <w:p>
            <w:pPr>
              <w:spacing w:after="0"/>
              <w:rPr>
                <w:sz w:val="24"/>
                <w:szCs w:val="24"/>
                <w:color w:val="auto"/>
              </w:rPr>
            </w:pPr>
          </w:p>
        </w:tc>
        <w:tc>
          <w:tcPr>
            <w:tcW w:w="5940" w:type="dxa"/>
            <w:vAlign w:val="bottom"/>
            <w:tcBorders>
              <w:bottom w:val="single" w:sz="8" w:color="0000EE"/>
            </w:tcBorders>
            <w:gridSpan w:val="17"/>
          </w:tcPr>
          <w:p>
            <w:pPr>
              <w:spacing w:after="0"/>
              <w:rPr>
                <w:rFonts w:ascii="Arial" w:cs="Arial" w:eastAsia="Arial" w:hAnsi="Arial"/>
                <w:sz w:val="14"/>
                <w:szCs w:val="14"/>
                <w:b w:val="1"/>
                <w:bCs w:val="1"/>
                <w:color w:val="0000EE"/>
                <w:w w:val="92"/>
              </w:rPr>
            </w:pPr>
            <w:hyperlink w:anchor="page34">
              <w:r>
                <w:rPr>
                  <w:rFonts w:ascii="Arial" w:cs="Arial" w:eastAsia="Arial" w:hAnsi="Arial"/>
                  <w:sz w:val="14"/>
                  <w:szCs w:val="14"/>
                  <w:b w:val="1"/>
                  <w:bCs w:val="1"/>
                  <w:color w:val="0000EE"/>
                  <w:w w:val="92"/>
                </w:rPr>
                <w:t>Item 2. Management’s Discussion and Analysis of Financial Condition and Results of Operations</w:t>
              </w:r>
            </w:hyperlink>
          </w:p>
        </w:tc>
        <w:tc>
          <w:tcPr>
            <w:tcW w:w="3360" w:type="dxa"/>
            <w:vAlign w:val="bottom"/>
            <w:gridSpan w:val="8"/>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77"/>
        </w:trPr>
        <w:tc>
          <w:tcPr>
            <w:tcW w:w="20" w:type="dxa"/>
            <w:vAlign w:val="bottom"/>
          </w:tcPr>
          <w:p>
            <w:pPr>
              <w:spacing w:after="0"/>
              <w:rPr>
                <w:sz w:val="24"/>
                <w:szCs w:val="24"/>
                <w:color w:val="auto"/>
              </w:rPr>
            </w:pPr>
          </w:p>
        </w:tc>
        <w:tc>
          <w:tcPr>
            <w:tcW w:w="9300" w:type="dxa"/>
            <w:vAlign w:val="bottom"/>
            <w:gridSpan w:val="25"/>
          </w:tcPr>
          <w:p>
            <w:pPr>
              <w:spacing w:after="0"/>
              <w:rPr>
                <w:rFonts w:ascii="Arial" w:cs="Arial" w:eastAsia="Arial" w:hAnsi="Arial"/>
                <w:sz w:val="14"/>
                <w:szCs w:val="14"/>
                <w:b w:val="1"/>
                <w:bCs w:val="1"/>
                <w:color w:val="0000EE"/>
              </w:rPr>
            </w:pPr>
            <w:hyperlink w:anchor="page46">
              <w:r>
                <w:rPr>
                  <w:rFonts w:ascii="Arial" w:cs="Arial" w:eastAsia="Arial" w:hAnsi="Arial"/>
                  <w:sz w:val="14"/>
                  <w:szCs w:val="14"/>
                  <w:b w:val="1"/>
                  <w:bCs w:val="1"/>
                  <w:color w:val="0000EE"/>
                </w:rPr>
                <w:t>Item 3. Quantitative and Qualitative Disclosures About Market Risk</w:t>
              </w:r>
            </w:hyperlink>
          </w:p>
        </w:tc>
        <w:tc>
          <w:tcPr>
            <w:tcW w:w="192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277"/>
        </w:trPr>
        <w:tc>
          <w:tcPr>
            <w:tcW w:w="20" w:type="dxa"/>
            <w:vAlign w:val="bottom"/>
          </w:tcPr>
          <w:p>
            <w:pPr>
              <w:spacing w:after="0"/>
              <w:rPr>
                <w:sz w:val="24"/>
                <w:szCs w:val="24"/>
                <w:color w:val="auto"/>
              </w:rPr>
            </w:pPr>
          </w:p>
        </w:tc>
        <w:tc>
          <w:tcPr>
            <w:tcW w:w="4200" w:type="dxa"/>
            <w:vAlign w:val="bottom"/>
            <w:tcBorders>
              <w:top w:val="single" w:sz="8" w:color="0000EE"/>
            </w:tcBorders>
            <w:gridSpan w:val="15"/>
          </w:tcPr>
          <w:p>
            <w:pPr>
              <w:spacing w:after="0"/>
              <w:rPr>
                <w:rFonts w:ascii="Arial" w:cs="Arial" w:eastAsia="Arial" w:hAnsi="Arial"/>
                <w:sz w:val="14"/>
                <w:szCs w:val="14"/>
                <w:b w:val="1"/>
                <w:bCs w:val="1"/>
                <w:color w:val="0000EE"/>
              </w:rPr>
            </w:pPr>
            <w:hyperlink w:anchor="page47">
              <w:r>
                <w:rPr>
                  <w:rFonts w:ascii="Arial" w:cs="Arial" w:eastAsia="Arial" w:hAnsi="Arial"/>
                  <w:sz w:val="14"/>
                  <w:szCs w:val="14"/>
                  <w:b w:val="1"/>
                  <w:bCs w:val="1"/>
                  <w:color w:val="0000EE"/>
                </w:rPr>
                <w:t>Item 4. Controls and Procedures</w:t>
              </w:r>
            </w:hyperlink>
          </w:p>
        </w:tc>
        <w:tc>
          <w:tcPr>
            <w:tcW w:w="5100" w:type="dxa"/>
            <w:vAlign w:val="bottom"/>
            <w:gridSpan w:val="10"/>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277"/>
        </w:trPr>
        <w:tc>
          <w:tcPr>
            <w:tcW w:w="2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0" w:type="dxa"/>
            <w:vAlign w:val="bottom"/>
            <w:gridSpan w:val="9"/>
          </w:tcPr>
          <w:p>
            <w:pPr>
              <w:jc w:val="center"/>
              <w:ind w:right="2800"/>
              <w:spacing w:after="0"/>
              <w:rPr>
                <w:rFonts w:ascii="Arial" w:cs="Arial" w:eastAsia="Arial" w:hAnsi="Arial"/>
                <w:sz w:val="14"/>
                <w:szCs w:val="14"/>
                <w:b w:val="1"/>
                <w:bCs w:val="1"/>
                <w:color w:val="0000EE"/>
              </w:rPr>
            </w:pPr>
            <w:hyperlink w:anchor="page48">
              <w:r>
                <w:rPr>
                  <w:rFonts w:ascii="Arial" w:cs="Arial" w:eastAsia="Arial" w:hAnsi="Arial"/>
                  <w:sz w:val="14"/>
                  <w:szCs w:val="14"/>
                  <w:b w:val="1"/>
                  <w:bCs w:val="1"/>
                  <w:color w:val="0000EE"/>
                </w:rPr>
                <w:t>PART II. OTHER INFORMATION</w:t>
              </w:r>
            </w:hyperlink>
          </w:p>
        </w:tc>
        <w:tc>
          <w:tcPr>
            <w:tcW w:w="192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600" w:type="dxa"/>
            <w:vAlign w:val="bottom"/>
            <w:tcBorders>
              <w:bottom w:val="single" w:sz="8" w:color="0000EE"/>
            </w:tcBorders>
            <w:gridSpan w:val="5"/>
          </w:tcPr>
          <w:p>
            <w:pPr>
              <w:spacing w:after="0"/>
              <w:rPr>
                <w:rFonts w:ascii="Arial" w:cs="Arial" w:eastAsia="Arial" w:hAnsi="Arial"/>
                <w:sz w:val="14"/>
                <w:szCs w:val="14"/>
                <w:b w:val="1"/>
                <w:bCs w:val="1"/>
                <w:color w:val="0000EE"/>
                <w:w w:val="91"/>
              </w:rPr>
            </w:pPr>
            <w:hyperlink w:anchor="page48">
              <w:r>
                <w:rPr>
                  <w:rFonts w:ascii="Arial" w:cs="Arial" w:eastAsia="Arial" w:hAnsi="Arial"/>
                  <w:sz w:val="14"/>
                  <w:szCs w:val="14"/>
                  <w:b w:val="1"/>
                  <w:bCs w:val="1"/>
                  <w:color w:val="0000EE"/>
                  <w:w w:val="91"/>
                </w:rPr>
                <w:t>Item 1. Legal Proceedings</w:t>
              </w:r>
            </w:hyperlink>
          </w:p>
        </w:tc>
        <w:tc>
          <w:tcPr>
            <w:tcW w:w="2700" w:type="dxa"/>
            <w:vAlign w:val="bottom"/>
            <w:gridSpan w:val="11"/>
          </w:tcPr>
          <w:p>
            <w:pPr>
              <w:spacing w:after="0"/>
              <w:rPr>
                <w:sz w:val="24"/>
                <w:szCs w:val="24"/>
                <w:color w:val="auto"/>
              </w:rPr>
            </w:pPr>
          </w:p>
        </w:tc>
        <w:tc>
          <w:tcPr>
            <w:tcW w:w="2200" w:type="dxa"/>
            <w:vAlign w:val="bottom"/>
            <w:tcBorders>
              <w:top w:val="single" w:sz="8" w:color="0000EE"/>
            </w:tcBorders>
            <w:gridSpan w:val="4"/>
          </w:tcPr>
          <w:p>
            <w:pPr>
              <w:spacing w:after="0"/>
              <w:rPr>
                <w:sz w:val="24"/>
                <w:szCs w:val="24"/>
                <w:color w:val="auto"/>
              </w:rPr>
            </w:pPr>
          </w:p>
        </w:tc>
        <w:tc>
          <w:tcPr>
            <w:tcW w:w="2800" w:type="dxa"/>
            <w:vAlign w:val="bottom"/>
            <w:gridSpan w:val="5"/>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277"/>
        </w:trPr>
        <w:tc>
          <w:tcPr>
            <w:tcW w:w="20" w:type="dxa"/>
            <w:vAlign w:val="bottom"/>
          </w:tcPr>
          <w:p>
            <w:pPr>
              <w:spacing w:after="0"/>
              <w:rPr>
                <w:sz w:val="24"/>
                <w:szCs w:val="24"/>
                <w:color w:val="auto"/>
              </w:rPr>
            </w:pPr>
          </w:p>
        </w:tc>
        <w:tc>
          <w:tcPr>
            <w:tcW w:w="1360" w:type="dxa"/>
            <w:vAlign w:val="bottom"/>
            <w:tcBorders>
              <w:bottom w:val="single" w:sz="8" w:color="0000EE"/>
            </w:tcBorders>
            <w:gridSpan w:val="4"/>
          </w:tcPr>
          <w:p>
            <w:pPr>
              <w:spacing w:after="0"/>
              <w:rPr>
                <w:rFonts w:ascii="Arial" w:cs="Arial" w:eastAsia="Arial" w:hAnsi="Arial"/>
                <w:sz w:val="14"/>
                <w:szCs w:val="14"/>
                <w:b w:val="1"/>
                <w:bCs w:val="1"/>
                <w:color w:val="0000EE"/>
                <w:w w:val="94"/>
              </w:rPr>
            </w:pPr>
            <w:hyperlink w:anchor="page48">
              <w:r>
                <w:rPr>
                  <w:rFonts w:ascii="Arial" w:cs="Arial" w:eastAsia="Arial" w:hAnsi="Arial"/>
                  <w:sz w:val="14"/>
                  <w:szCs w:val="14"/>
                  <w:b w:val="1"/>
                  <w:bCs w:val="1"/>
                  <w:color w:val="0000EE"/>
                  <w:w w:val="94"/>
                </w:rPr>
                <w:t>Item 1A. Risk Factors</w:t>
              </w:r>
            </w:hyperlink>
          </w:p>
        </w:tc>
        <w:tc>
          <w:tcPr>
            <w:tcW w:w="7940" w:type="dxa"/>
            <w:vAlign w:val="bottom"/>
            <w:gridSpan w:val="21"/>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277"/>
        </w:trPr>
        <w:tc>
          <w:tcPr>
            <w:tcW w:w="20" w:type="dxa"/>
            <w:vAlign w:val="bottom"/>
          </w:tcPr>
          <w:p>
            <w:pPr>
              <w:spacing w:after="0"/>
              <w:rPr>
                <w:sz w:val="24"/>
                <w:szCs w:val="24"/>
                <w:color w:val="auto"/>
              </w:rPr>
            </w:pPr>
          </w:p>
        </w:tc>
        <w:tc>
          <w:tcPr>
            <w:tcW w:w="9300" w:type="dxa"/>
            <w:vAlign w:val="bottom"/>
            <w:gridSpan w:val="25"/>
          </w:tcPr>
          <w:p>
            <w:pPr>
              <w:spacing w:after="0"/>
              <w:rPr>
                <w:rFonts w:ascii="Arial" w:cs="Arial" w:eastAsia="Arial" w:hAnsi="Arial"/>
                <w:sz w:val="14"/>
                <w:szCs w:val="14"/>
                <w:b w:val="1"/>
                <w:bCs w:val="1"/>
                <w:color w:val="0000EE"/>
              </w:rPr>
            </w:pPr>
            <w:hyperlink w:anchor="page48">
              <w:r>
                <w:rPr>
                  <w:rFonts w:ascii="Arial" w:cs="Arial" w:eastAsia="Arial" w:hAnsi="Arial"/>
                  <w:sz w:val="14"/>
                  <w:szCs w:val="14"/>
                  <w:b w:val="1"/>
                  <w:bCs w:val="1"/>
                  <w:color w:val="0000EE"/>
                </w:rPr>
                <w:t>Item 2. Unregistered Sales of Equity Securities and Use of Proceeds</w:t>
              </w:r>
            </w:hyperlink>
          </w:p>
        </w:tc>
        <w:tc>
          <w:tcPr>
            <w:tcW w:w="192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277"/>
        </w:trPr>
        <w:tc>
          <w:tcPr>
            <w:tcW w:w="20" w:type="dxa"/>
            <w:vAlign w:val="bottom"/>
          </w:tcPr>
          <w:p>
            <w:pPr>
              <w:spacing w:after="0"/>
              <w:rPr>
                <w:sz w:val="24"/>
                <w:szCs w:val="24"/>
                <w:color w:val="auto"/>
              </w:rPr>
            </w:pPr>
          </w:p>
        </w:tc>
        <w:tc>
          <w:tcPr>
            <w:tcW w:w="4120" w:type="dxa"/>
            <w:vAlign w:val="bottom"/>
            <w:tcBorders>
              <w:top w:val="single" w:sz="8" w:color="0000EE"/>
            </w:tcBorders>
            <w:gridSpan w:val="14"/>
          </w:tcPr>
          <w:p>
            <w:pPr>
              <w:spacing w:after="0"/>
              <w:rPr>
                <w:rFonts w:ascii="Arial" w:cs="Arial" w:eastAsia="Arial" w:hAnsi="Arial"/>
                <w:sz w:val="14"/>
                <w:szCs w:val="14"/>
                <w:b w:val="1"/>
                <w:bCs w:val="1"/>
                <w:color w:val="0000EE"/>
              </w:rPr>
            </w:pPr>
            <w:hyperlink w:anchor="page48">
              <w:r>
                <w:rPr>
                  <w:rFonts w:ascii="Arial" w:cs="Arial" w:eastAsia="Arial" w:hAnsi="Arial"/>
                  <w:sz w:val="14"/>
                  <w:szCs w:val="14"/>
                  <w:b w:val="1"/>
                  <w:bCs w:val="1"/>
                  <w:color w:val="0000EE"/>
                </w:rPr>
                <w:t>Item 3. Defaults Upon Senior Securities</w:t>
              </w:r>
            </w:hyperlink>
          </w:p>
        </w:tc>
        <w:tc>
          <w:tcPr>
            <w:tcW w:w="5180" w:type="dxa"/>
            <w:vAlign w:val="bottom"/>
            <w:gridSpan w:val="11"/>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277"/>
        </w:trPr>
        <w:tc>
          <w:tcPr>
            <w:tcW w:w="20" w:type="dxa"/>
            <w:vAlign w:val="bottom"/>
          </w:tcPr>
          <w:p>
            <w:pPr>
              <w:spacing w:after="0"/>
              <w:rPr>
                <w:sz w:val="24"/>
                <w:szCs w:val="24"/>
                <w:color w:val="auto"/>
              </w:rPr>
            </w:pPr>
          </w:p>
        </w:tc>
        <w:tc>
          <w:tcPr>
            <w:tcW w:w="2420" w:type="dxa"/>
            <w:vAlign w:val="bottom"/>
            <w:tcBorders>
              <w:top w:val="single" w:sz="8" w:color="0000EE"/>
            </w:tcBorders>
            <w:gridSpan w:val="9"/>
          </w:tcPr>
          <w:p>
            <w:pPr>
              <w:spacing w:after="0"/>
              <w:rPr>
                <w:rFonts w:ascii="Arial" w:cs="Arial" w:eastAsia="Arial" w:hAnsi="Arial"/>
                <w:sz w:val="14"/>
                <w:szCs w:val="14"/>
                <w:b w:val="1"/>
                <w:bCs w:val="1"/>
                <w:color w:val="0000EE"/>
              </w:rPr>
            </w:pPr>
            <w:hyperlink w:anchor="page49">
              <w:r>
                <w:rPr>
                  <w:rFonts w:ascii="Arial" w:cs="Arial" w:eastAsia="Arial" w:hAnsi="Arial"/>
                  <w:sz w:val="14"/>
                  <w:szCs w:val="14"/>
                  <w:b w:val="1"/>
                  <w:bCs w:val="1"/>
                  <w:color w:val="0000EE"/>
                </w:rPr>
                <w:t>Item 4. Mine Safety Disclosures</w:t>
              </w:r>
            </w:hyperlink>
          </w:p>
        </w:tc>
        <w:tc>
          <w:tcPr>
            <w:tcW w:w="6880" w:type="dxa"/>
            <w:vAlign w:val="bottom"/>
            <w:gridSpan w:val="16"/>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277"/>
        </w:trPr>
        <w:tc>
          <w:tcPr>
            <w:tcW w:w="20" w:type="dxa"/>
            <w:vAlign w:val="bottom"/>
          </w:tcPr>
          <w:p>
            <w:pPr>
              <w:spacing w:after="0"/>
              <w:rPr>
                <w:sz w:val="24"/>
                <w:szCs w:val="24"/>
                <w:color w:val="auto"/>
              </w:rPr>
            </w:pPr>
          </w:p>
        </w:tc>
        <w:tc>
          <w:tcPr>
            <w:tcW w:w="1940" w:type="dxa"/>
            <w:vAlign w:val="bottom"/>
            <w:tcBorders>
              <w:top w:val="single" w:sz="8" w:color="0000EE"/>
            </w:tcBorders>
            <w:gridSpan w:val="7"/>
          </w:tcPr>
          <w:p>
            <w:pPr>
              <w:spacing w:after="0"/>
              <w:rPr>
                <w:rFonts w:ascii="Arial" w:cs="Arial" w:eastAsia="Arial" w:hAnsi="Arial"/>
                <w:sz w:val="14"/>
                <w:szCs w:val="14"/>
                <w:b w:val="1"/>
                <w:bCs w:val="1"/>
                <w:color w:val="0000EE"/>
              </w:rPr>
            </w:pPr>
            <w:hyperlink w:anchor="page49">
              <w:r>
                <w:rPr>
                  <w:rFonts w:ascii="Arial" w:cs="Arial" w:eastAsia="Arial" w:hAnsi="Arial"/>
                  <w:sz w:val="14"/>
                  <w:szCs w:val="14"/>
                  <w:b w:val="1"/>
                  <w:bCs w:val="1"/>
                  <w:color w:val="0000EE"/>
                </w:rPr>
                <w:t>Item 5. Other Information</w:t>
              </w:r>
            </w:hyperlink>
          </w:p>
        </w:tc>
        <w:tc>
          <w:tcPr>
            <w:tcW w:w="7360" w:type="dxa"/>
            <w:vAlign w:val="bottom"/>
            <w:gridSpan w:val="18"/>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277"/>
        </w:trPr>
        <w:tc>
          <w:tcPr>
            <w:tcW w:w="20" w:type="dxa"/>
            <w:vAlign w:val="bottom"/>
          </w:tcPr>
          <w:p>
            <w:pPr>
              <w:spacing w:after="0"/>
              <w:rPr>
                <w:sz w:val="24"/>
                <w:szCs w:val="24"/>
                <w:color w:val="auto"/>
              </w:rPr>
            </w:pPr>
          </w:p>
        </w:tc>
        <w:tc>
          <w:tcPr>
            <w:tcW w:w="1620" w:type="dxa"/>
            <w:vAlign w:val="bottom"/>
            <w:tcBorders>
              <w:top w:val="single" w:sz="8" w:color="0000EE"/>
            </w:tcBorders>
            <w:gridSpan w:val="6"/>
          </w:tcPr>
          <w:p>
            <w:pPr>
              <w:spacing w:after="0"/>
              <w:rPr>
                <w:rFonts w:ascii="Arial" w:cs="Arial" w:eastAsia="Arial" w:hAnsi="Arial"/>
                <w:sz w:val="14"/>
                <w:szCs w:val="14"/>
                <w:b w:val="1"/>
                <w:bCs w:val="1"/>
                <w:color w:val="0000EE"/>
              </w:rPr>
            </w:pPr>
            <w:hyperlink w:anchor="page50">
              <w:r>
                <w:rPr>
                  <w:rFonts w:ascii="Arial" w:cs="Arial" w:eastAsia="Arial" w:hAnsi="Arial"/>
                  <w:sz w:val="14"/>
                  <w:szCs w:val="14"/>
                  <w:b w:val="1"/>
                  <w:bCs w:val="1"/>
                  <w:color w:val="0000EE"/>
                </w:rPr>
                <w:t>Item 6. Exhibits</w:t>
              </w:r>
            </w:hyperlink>
          </w:p>
        </w:tc>
        <w:tc>
          <w:tcPr>
            <w:tcW w:w="7680" w:type="dxa"/>
            <w:vAlign w:val="bottom"/>
            <w:gridSpan w:val="19"/>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277"/>
        </w:trPr>
        <w:tc>
          <w:tcPr>
            <w:tcW w:w="20" w:type="dxa"/>
            <w:vAlign w:val="bottom"/>
          </w:tcPr>
          <w:p>
            <w:pPr>
              <w:spacing w:after="0"/>
              <w:rPr>
                <w:sz w:val="24"/>
                <w:szCs w:val="24"/>
                <w:color w:val="auto"/>
              </w:rPr>
            </w:pPr>
          </w:p>
        </w:tc>
        <w:tc>
          <w:tcPr>
            <w:tcW w:w="940" w:type="dxa"/>
            <w:vAlign w:val="bottom"/>
            <w:tcBorders>
              <w:top w:val="single" w:sz="8" w:color="0000EE"/>
              <w:bottom w:val="single" w:sz="8" w:color="0000EE"/>
            </w:tcBorders>
            <w:gridSpan w:val="2"/>
          </w:tcPr>
          <w:p>
            <w:pPr>
              <w:spacing w:after="0"/>
              <w:rPr>
                <w:rFonts w:ascii="Arial" w:cs="Arial" w:eastAsia="Arial" w:hAnsi="Arial"/>
                <w:sz w:val="14"/>
                <w:szCs w:val="14"/>
                <w:b w:val="1"/>
                <w:bCs w:val="1"/>
                <w:color w:val="0000EE"/>
              </w:rPr>
            </w:pPr>
            <w:hyperlink w:anchor="page51">
              <w:r>
                <w:rPr>
                  <w:rFonts w:ascii="Arial" w:cs="Arial" w:eastAsia="Arial" w:hAnsi="Arial"/>
                  <w:sz w:val="14"/>
                  <w:szCs w:val="14"/>
                  <w:b w:val="1"/>
                  <w:bCs w:val="1"/>
                  <w:color w:val="0000EE"/>
                </w:rPr>
                <w:t>SIGNATURES</w:t>
              </w:r>
            </w:hyperlink>
          </w:p>
        </w:tc>
        <w:tc>
          <w:tcPr>
            <w:tcW w:w="40" w:type="dxa"/>
            <w:vAlign w:val="bottom"/>
            <w:tcBorders>
              <w:top w:val="single" w:sz="8" w:color="0000EE"/>
            </w:tcBorders>
          </w:tcPr>
          <w:p>
            <w:pPr>
              <w:spacing w:after="0"/>
              <w:rPr>
                <w:sz w:val="24"/>
                <w:szCs w:val="24"/>
                <w:color w:val="auto"/>
              </w:rPr>
            </w:pPr>
          </w:p>
        </w:tc>
        <w:tc>
          <w:tcPr>
            <w:tcW w:w="8320" w:type="dxa"/>
            <w:vAlign w:val="bottom"/>
            <w:gridSpan w:val="22"/>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51</w:t>
            </w: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4"/>
          <w:szCs w:val="14"/>
          <w:b w:val="1"/>
          <w:bCs w:val="1"/>
          <w:color w:val="auto"/>
        </w:rPr>
        <w:t>PART I—CONSOLIDATED FINANCIAL INFORMATION</w:t>
      </w:r>
    </w:p>
    <w:p>
      <w:pPr>
        <w:spacing w:after="0" w:line="275" w:lineRule="exact"/>
        <w:rPr>
          <w:sz w:val="20"/>
          <w:szCs w:val="20"/>
          <w:color w:val="auto"/>
        </w:rPr>
      </w:pPr>
    </w:p>
    <w:p>
      <w:pPr>
        <w:ind w:firstLine="438"/>
        <w:spacing w:after="0" w:line="151" w:lineRule="exact"/>
        <w:rPr>
          <w:sz w:val="20"/>
          <w:szCs w:val="20"/>
          <w:color w:val="auto"/>
        </w:rPr>
      </w:pPr>
      <w:r>
        <w:rPr>
          <w:rFonts w:ascii="Arial" w:cs="Arial" w:eastAsia="Arial" w:hAnsi="Arial"/>
          <w:sz w:val="13"/>
          <w:szCs w:val="13"/>
          <w:color w:val="auto"/>
        </w:rPr>
        <w:t>We are filing this Quarterly Report on Form 10-Q, or the Report, in compliance with Rule 13a-13 as promulgated by the Securities and Exchange Commission, or the SEC, under the Securities Exchange Act of 1934, as amended, or the Exchange Act. In this Report, except where the context suggests otherwise, the terms “Company,” “we,” “our” or “us” refers to PennantPark Floating Rate Capital Ltd. and its wholly-owned consolidated subsidiaries; “Funding I” refers to PennantPark Floating Rate Funding I, LLC; “Taxable Subsidiary” refers to PFLT Investment Holdings, LLC; “PSSL” refers to PennantPark Senior Secured Loan Fund I LLC, an unconsolidated joint venture; “PennantPark Investment Advisers” or “Investment Adviser” refers to PennantPark Investment Advisers, LLC; “PennantPark Investment Administration” or “Administrator” refers to PennantPark Investment Administration, LLC; “2023 Notes” refers to our 4.3% Series A notes due 2023; “2026 Notes” refers to our 4.25% notes due 2026; “1940 Act” refers to the Investment Company Act of 1940, as amended; “SBCAA” refers to the Small Business Credit Availability Act; “Code” refers to the Internal Revenue Code of 1986, as amended; “RIC” refers to a regulated investment company under the Code; “BDC” refers to a business development company under the 1940 Act; “MCG” refers to MCG Capital Corporation; “Credit Facility” refers to our multi-currency senior secured revolving credit facility, as amended and restated with Truist Bank (formerly SunTrust Bank) and other lenders, or the Lenders; “Securitization Issuer” refers to PennantPark CLO I, Ltd.; “Securitization Issuers” refers to the Securitization Issuer and PennantPark CLO I, LLC; “Debt Securitization” refers to the $301.4 million term debt securitization completed by the Securitization Issuers; “2031 Asset-Backed Debt” refers to (i) the issuance of the Class A-1 Senior Secured Floating Rate Notes due 2031, the Class A-2 Senior Secured Fixed Rate Notes due 2031, the Class B-1 Senior Secured Floating Rate Notes due 2031, the Class B-2 Senior Secured Fixed Rate Notes due 2031, the Class C-1 Secured Deferrable Floating Rate Notes due 2031, the Class C-2 Notes Secured Deferrable Fixed Rate Notes due 2031, and the Class D Secured Deferrable Floating Notes due 2031 and (ii) the borrowing of the Class A</w:t>
      </w:r>
      <w:r>
        <w:rPr>
          <w:rFonts w:ascii="MS PGothic" w:cs="MS PGothic" w:eastAsia="MS PGothic" w:hAnsi="MS PGothic"/>
          <w:sz w:val="13"/>
          <w:szCs w:val="13"/>
          <w:color w:val="auto"/>
        </w:rPr>
        <w:t>‑</w:t>
      </w:r>
      <w:r>
        <w:rPr>
          <w:rFonts w:ascii="Arial" w:cs="Arial" w:eastAsia="Arial" w:hAnsi="Arial"/>
          <w:sz w:val="13"/>
          <w:szCs w:val="13"/>
          <w:color w:val="auto"/>
        </w:rPr>
        <w:t>1 Senior Secured Floating Rate Loans due 2031 by the Securitization Issuers in connection with the Debt Securitization; and “Depositor” refers to PennantPark CLO I Depositor, LLC. References to our portfolio, our investments, our Credit Facility, and our business include investments we make through our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6"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6"/>
        </w:trPr>
        <w:tc>
          <w:tcPr>
            <w:tcW w:w="680" w:type="dxa"/>
            <w:vAlign w:val="bottom"/>
          </w:tcPr>
          <w:p>
            <w:pPr>
              <w:spacing w:after="0"/>
              <w:rPr>
                <w:sz w:val="20"/>
                <w:szCs w:val="20"/>
                <w:color w:val="auto"/>
              </w:rPr>
            </w:pPr>
            <w:r>
              <w:rPr>
                <w:rFonts w:ascii="Arial" w:cs="Arial" w:eastAsia="Arial" w:hAnsi="Arial"/>
                <w:sz w:val="14"/>
                <w:szCs w:val="14"/>
                <w:b w:val="1"/>
                <w:bCs w:val="1"/>
                <w:color w:val="auto"/>
              </w:rPr>
              <w:t>Item 1.</w:t>
            </w:r>
          </w:p>
        </w:tc>
        <w:tc>
          <w:tcPr>
            <w:tcW w:w="7080" w:type="dxa"/>
            <w:vAlign w:val="bottom"/>
          </w:tcPr>
          <w:p>
            <w:pPr>
              <w:ind w:left="80"/>
              <w:spacing w:after="0"/>
              <w:rPr>
                <w:sz w:val="20"/>
                <w:szCs w:val="20"/>
                <w:color w:val="auto"/>
              </w:rPr>
            </w:pPr>
            <w:r>
              <w:rPr>
                <w:rFonts w:ascii="Arial" w:cs="Arial" w:eastAsia="Arial" w:hAnsi="Arial"/>
                <w:sz w:val="14"/>
                <w:szCs w:val="14"/>
                <w:b w:val="1"/>
                <w:bCs w:val="1"/>
                <w:color w:val="auto"/>
              </w:rPr>
              <w:t>Consolidated Financial Statements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8"/>
        </w:trPr>
        <w:tc>
          <w:tcPr>
            <w:tcW w:w="680" w:type="dxa"/>
            <w:vAlign w:val="bottom"/>
          </w:tcPr>
          <w:p>
            <w:pPr>
              <w:spacing w:after="0"/>
              <w:rPr>
                <w:sz w:val="24"/>
                <w:szCs w:val="24"/>
                <w:color w:val="auto"/>
              </w:rPr>
            </w:pPr>
          </w:p>
        </w:tc>
        <w:tc>
          <w:tcPr>
            <w:tcW w:w="7340" w:type="dxa"/>
            <w:vAlign w:val="bottom"/>
            <w:gridSpan w:val="3"/>
          </w:tcPr>
          <w:p>
            <w:pPr>
              <w:ind w:left="2580"/>
              <w:spacing w:after="0"/>
              <w:rPr>
                <w:sz w:val="20"/>
                <w:szCs w:val="20"/>
                <w:color w:val="auto"/>
              </w:rPr>
            </w:pPr>
            <w:r>
              <w:rPr>
                <w:rFonts w:ascii="Arial" w:cs="Arial" w:eastAsia="Arial" w:hAnsi="Arial"/>
                <w:sz w:val="14"/>
                <w:szCs w:val="14"/>
                <w:b w:val="1"/>
                <w:bCs w:val="1"/>
                <w:color w:val="auto"/>
              </w:rPr>
              <w:t>PENNANTPARK FLOATING RATE CAPITAL LTD. AND SUBSIDIARIES</w:t>
            </w: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680" w:type="dxa"/>
            <w:vAlign w:val="bottom"/>
          </w:tcPr>
          <w:p>
            <w:pPr>
              <w:spacing w:after="0"/>
              <w:rPr>
                <w:sz w:val="16"/>
                <w:szCs w:val="16"/>
                <w:color w:val="auto"/>
              </w:rPr>
            </w:pPr>
          </w:p>
        </w:tc>
        <w:tc>
          <w:tcPr>
            <w:tcW w:w="7080" w:type="dxa"/>
            <w:vAlign w:val="bottom"/>
          </w:tcPr>
          <w:p>
            <w:pPr>
              <w:ind w:left="2820"/>
              <w:spacing w:after="0"/>
              <w:rPr>
                <w:sz w:val="20"/>
                <w:szCs w:val="20"/>
                <w:color w:val="auto"/>
              </w:rPr>
            </w:pPr>
            <w:r>
              <w:rPr>
                <w:rFonts w:ascii="Arial" w:cs="Arial" w:eastAsia="Arial" w:hAnsi="Arial"/>
                <w:sz w:val="14"/>
                <w:szCs w:val="14"/>
                <w:b w:val="1"/>
                <w:bCs w:val="1"/>
                <w:color w:val="auto"/>
              </w:rPr>
              <w:t>CONSOLIDATED STATEMENTS OF ASSETS AND LIABILITIES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68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6"/>
              </w:rPr>
              <w:t>March 31, 2021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September 30, 2020</w:t>
            </w:r>
          </w:p>
        </w:tc>
        <w:tc>
          <w:tcPr>
            <w:tcW w:w="0" w:type="dxa"/>
            <w:vAlign w:val="bottom"/>
          </w:tcPr>
          <w:p>
            <w:pPr>
              <w:spacing w:after="0"/>
              <w:rPr>
                <w:sz w:val="1"/>
                <w:szCs w:val="1"/>
                <w:color w:val="auto"/>
              </w:rPr>
            </w:pPr>
          </w:p>
        </w:tc>
      </w:tr>
      <w:tr>
        <w:trPr>
          <w:trHeight w:val="171"/>
        </w:trPr>
        <w:tc>
          <w:tcPr>
            <w:tcW w:w="68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8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708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spacing w:after="0"/>
              <w:rPr>
                <w:sz w:val="13"/>
                <w:szCs w:val="13"/>
                <w:color w:val="auto"/>
              </w:rPr>
            </w:pPr>
          </w:p>
        </w:tc>
        <w:tc>
          <w:tcPr>
            <w:tcW w:w="1280" w:type="dxa"/>
            <w:vAlign w:val="bottom"/>
            <w:tcBorders>
              <w:top w:val="single" w:sz="8" w:color="auto"/>
            </w:tcBorders>
            <w:shd w:val="clear" w:color="auto" w:fill="CCECFF"/>
          </w:tcPr>
          <w:p>
            <w:pPr>
              <w:spacing w:after="0"/>
              <w:rPr>
                <w:sz w:val="13"/>
                <w:szCs w:val="13"/>
                <w:color w:val="auto"/>
              </w:rPr>
            </w:pPr>
          </w:p>
        </w:tc>
        <w:tc>
          <w:tcPr>
            <w:tcW w:w="28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142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60" w:type="dxa"/>
            <w:vAlign w:val="bottom"/>
            <w:gridSpan w:val="2"/>
          </w:tcPr>
          <w:p>
            <w:pPr>
              <w:spacing w:after="0"/>
              <w:rPr>
                <w:sz w:val="20"/>
                <w:szCs w:val="20"/>
                <w:color w:val="auto"/>
              </w:rPr>
            </w:pPr>
            <w:r>
              <w:rPr>
                <w:rFonts w:ascii="Arial" w:cs="Arial" w:eastAsia="Arial" w:hAnsi="Arial"/>
                <w:sz w:val="14"/>
                <w:szCs w:val="14"/>
                <w:color w:val="auto"/>
              </w:rPr>
              <w:t>Investments at fair value</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 (cost—$835,250,686 and $915,874,757, respectively)</w:t>
            </w:r>
          </w:p>
        </w:tc>
        <w:tc>
          <w:tcPr>
            <w:tcW w:w="260" w:type="dxa"/>
            <w:vAlign w:val="bottom"/>
            <w:gridSpan w:val="2"/>
            <w:shd w:val="clear" w:color="auto" w:fill="CCECFF"/>
          </w:tcPr>
          <w:p>
            <w:pPr>
              <w:jc w:val="right"/>
              <w:ind w:right="12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866,861,275</w:t>
            </w:r>
          </w:p>
        </w:tc>
        <w:tc>
          <w:tcPr>
            <w:tcW w:w="280" w:type="dxa"/>
            <w:vAlign w:val="bottom"/>
            <w:shd w:val="clear" w:color="auto" w:fill="CCECFF"/>
          </w:tcPr>
          <w:p>
            <w:pPr>
              <w:spacing w:after="0"/>
              <w:rPr>
                <w:sz w:val="14"/>
                <w:szCs w:val="14"/>
                <w:color w:val="auto"/>
              </w:rPr>
            </w:pPr>
          </w:p>
        </w:tc>
        <w:tc>
          <w:tcPr>
            <w:tcW w:w="1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910,552,309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gridSpan w:val="2"/>
          </w:tcPr>
          <w:p>
            <w:pPr>
              <w:ind w:left="260"/>
              <w:spacing w:after="0"/>
              <w:rPr>
                <w:sz w:val="20"/>
                <w:szCs w:val="20"/>
                <w:color w:val="auto"/>
              </w:rPr>
            </w:pPr>
            <w:r>
              <w:rPr>
                <w:rFonts w:ascii="Arial" w:cs="Arial" w:eastAsia="Arial" w:hAnsi="Arial"/>
                <w:sz w:val="14"/>
                <w:szCs w:val="14"/>
                <w:color w:val="auto"/>
              </w:rPr>
              <w:t>Non-controlled, affiliated investments (cost—$26,156,024 and $21,964,181, respectively)</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6,841,460</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11,086,834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Controlled, affiliated investments (cost—$203,046,955 and $179,112,500, respectively)</w:t>
            </w:r>
          </w:p>
        </w:tc>
        <w:tc>
          <w:tcPr>
            <w:tcW w:w="2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2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195,434,406</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165,289,324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60" w:type="dxa"/>
            <w:vAlign w:val="bottom"/>
            <w:gridSpan w:val="2"/>
          </w:tcPr>
          <w:p>
            <w:pPr>
              <w:ind w:left="260"/>
              <w:spacing w:after="0" w:line="155" w:lineRule="exact"/>
              <w:rPr>
                <w:sz w:val="20"/>
                <w:szCs w:val="20"/>
                <w:color w:val="auto"/>
              </w:rPr>
            </w:pPr>
            <w:r>
              <w:rPr>
                <w:rFonts w:ascii="Arial" w:cs="Arial" w:eastAsia="Arial" w:hAnsi="Arial"/>
                <w:sz w:val="14"/>
                <w:szCs w:val="14"/>
                <w:color w:val="auto"/>
              </w:rPr>
              <w:t>Total of investments (cost—$1,064,453,665 and $1,116,951,438, respectively)</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right"/>
              <w:spacing w:after="0" w:line="155" w:lineRule="exact"/>
              <w:rPr>
                <w:sz w:val="20"/>
                <w:szCs w:val="20"/>
                <w:color w:val="auto"/>
              </w:rPr>
            </w:pPr>
            <w:r>
              <w:rPr>
                <w:rFonts w:ascii="Arial" w:cs="Arial" w:eastAsia="Arial" w:hAnsi="Arial"/>
                <w:sz w:val="14"/>
                <w:szCs w:val="14"/>
                <w:color w:val="auto"/>
              </w:rPr>
              <w:t>1,069,137,141</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right"/>
              <w:spacing w:after="0" w:line="155" w:lineRule="exact"/>
              <w:rPr>
                <w:sz w:val="20"/>
                <w:szCs w:val="20"/>
                <w:color w:val="auto"/>
              </w:rPr>
            </w:pPr>
            <w:r>
              <w:rPr>
                <w:rFonts w:ascii="Arial" w:cs="Arial" w:eastAsia="Arial" w:hAnsi="Arial"/>
                <w:sz w:val="14"/>
                <w:szCs w:val="14"/>
                <w:color w:val="auto"/>
              </w:rPr>
              <w:t>1,086,928,467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Cash and cash equivalents (cost—$66,572,341 and $57,534,421, respectively)</w:t>
            </w: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66,572,811</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57,511,928</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gridSpan w:val="2"/>
          </w:tcPr>
          <w:p>
            <w:pPr>
              <w:spacing w:after="0"/>
              <w:rPr>
                <w:sz w:val="20"/>
                <w:szCs w:val="20"/>
                <w:color w:val="auto"/>
              </w:rPr>
            </w:pPr>
            <w:r>
              <w:rPr>
                <w:rFonts w:ascii="Arial" w:cs="Arial" w:eastAsia="Arial" w:hAnsi="Arial"/>
                <w:sz w:val="14"/>
                <w:szCs w:val="14"/>
                <w:color w:val="auto"/>
              </w:rPr>
              <w:t>Interest receivable</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2,818,433</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3,673,502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Prepaid expenses and other assets</w:t>
            </w: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56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173,318</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80" w:type="dxa"/>
            <w:vAlign w:val="bottom"/>
            <w:tcBorders>
              <w:bottom w:val="single" w:sz="8" w:color="CCECFF"/>
            </w:tcBorders>
          </w:tcPr>
          <w:p>
            <w:pPr>
              <w:spacing w:after="0"/>
              <w:rPr>
                <w:sz w:val="13"/>
                <w:szCs w:val="13"/>
                <w:color w:val="auto"/>
              </w:rPr>
            </w:pPr>
          </w:p>
        </w:tc>
        <w:tc>
          <w:tcPr>
            <w:tcW w:w="7080" w:type="dxa"/>
            <w:vAlign w:val="bottom"/>
            <w:tcBorders>
              <w:bottom w:val="single" w:sz="8" w:color="CCECFF"/>
            </w:tcBorders>
          </w:tcPr>
          <w:p>
            <w:pPr>
              <w:ind w:left="60"/>
              <w:spacing w:after="0" w:line="155" w:lineRule="exact"/>
              <w:rPr>
                <w:sz w:val="20"/>
                <w:szCs w:val="20"/>
                <w:color w:val="auto"/>
              </w:rPr>
            </w:pPr>
            <w:r>
              <w:rPr>
                <w:rFonts w:ascii="Arial" w:cs="Arial" w:eastAsia="Arial" w:hAnsi="Arial"/>
                <w:sz w:val="14"/>
                <w:szCs w:val="14"/>
                <w:b w:val="1"/>
                <w:bCs w:val="1"/>
                <w:color w:val="auto"/>
              </w:rPr>
              <w:t>Total assets</w:t>
            </w:r>
          </w:p>
        </w:tc>
        <w:tc>
          <w:tcPr>
            <w:tcW w:w="2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1,138,528,385</w:t>
            </w:r>
          </w:p>
        </w:tc>
        <w:tc>
          <w:tcPr>
            <w:tcW w:w="28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1,148,287,215</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70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2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4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60" w:type="dxa"/>
            <w:vAlign w:val="bottom"/>
            <w:gridSpan w:val="2"/>
          </w:tcPr>
          <w:p>
            <w:pPr>
              <w:spacing w:after="0"/>
              <w:rPr>
                <w:sz w:val="20"/>
                <w:szCs w:val="20"/>
                <w:color w:val="auto"/>
              </w:rPr>
            </w:pPr>
            <w:r>
              <w:rPr>
                <w:rFonts w:ascii="Arial" w:cs="Arial" w:eastAsia="Arial" w:hAnsi="Arial"/>
                <w:sz w:val="14"/>
                <w:szCs w:val="14"/>
                <w:color w:val="auto"/>
              </w:rPr>
              <w:t>Distributions payable</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3,683,347</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3,683,347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Payable for investments purchased</w:t>
            </w: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50,469,362</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3,800,000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gridSpan w:val="2"/>
          </w:tcPr>
          <w:p>
            <w:pPr>
              <w:spacing w:after="0"/>
              <w:rPr>
                <w:sz w:val="20"/>
                <w:szCs w:val="20"/>
                <w:color w:val="auto"/>
              </w:rPr>
            </w:pPr>
            <w:r>
              <w:rPr>
                <w:rFonts w:ascii="Arial" w:cs="Arial" w:eastAsia="Arial" w:hAnsi="Arial"/>
                <w:sz w:val="14"/>
                <w:szCs w:val="14"/>
                <w:color w:val="auto"/>
              </w:rPr>
              <w:t>Credit Facility payable, at fair value (cost—$146,900,000 and $308,598,500, respectively) (See Notes 5 and 10)</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146,205,500</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299,047,275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2023 Notes payable, at fair value (par—$117,792,879 and $138,579,858, respectively) (See Notes 5 and 10)</w:t>
            </w: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114,200,197</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129,295,008</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gridSpan w:val="2"/>
          </w:tcPr>
          <w:p>
            <w:pPr>
              <w:spacing w:after="0"/>
              <w:rPr>
                <w:sz w:val="20"/>
                <w:szCs w:val="20"/>
                <w:color w:val="auto"/>
              </w:rPr>
            </w:pPr>
            <w:r>
              <w:rPr>
                <w:rFonts w:ascii="Arial" w:cs="Arial" w:eastAsia="Arial" w:hAnsi="Arial"/>
                <w:sz w:val="14"/>
                <w:szCs w:val="14"/>
                <w:color w:val="auto"/>
              </w:rPr>
              <w:t>2026 Notes payable, net (par—$100,000,000) (See Notes 5 and 10)</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96,856,485</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2031 Asset-Backed Debt, net (par—$228,000,000) (See Notes 5 and 10)</w:t>
            </w: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225,181,755</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224,866,334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gridSpan w:val="2"/>
          </w:tcPr>
          <w:p>
            <w:pPr>
              <w:spacing w:after="0"/>
              <w:rPr>
                <w:sz w:val="20"/>
                <w:szCs w:val="20"/>
                <w:color w:val="auto"/>
              </w:rPr>
            </w:pPr>
            <w:r>
              <w:rPr>
                <w:rFonts w:ascii="Arial" w:cs="Arial" w:eastAsia="Arial" w:hAnsi="Arial"/>
                <w:sz w:val="14"/>
                <w:szCs w:val="14"/>
                <w:color w:val="auto"/>
              </w:rPr>
              <w:t>Interest payable on debt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3,026,964</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3,601,479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Base management fee payable (See Note 3)</w:t>
            </w: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2,633,715</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2,776,477</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gridSpan w:val="2"/>
          </w:tcPr>
          <w:p>
            <w:pPr>
              <w:spacing w:after="0"/>
              <w:rPr>
                <w:sz w:val="20"/>
                <w:szCs w:val="20"/>
                <w:color w:val="auto"/>
              </w:rPr>
            </w:pPr>
            <w:r>
              <w:rPr>
                <w:rFonts w:ascii="Arial" w:cs="Arial" w:eastAsia="Arial" w:hAnsi="Arial"/>
                <w:sz w:val="14"/>
                <w:szCs w:val="14"/>
                <w:color w:val="auto"/>
              </w:rPr>
              <w:t>Performance-based incentive fee payable (See Note 3)</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1,302,025</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2,071,622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Accrued other expenses</w:t>
            </w:r>
          </w:p>
        </w:tc>
        <w:tc>
          <w:tcPr>
            <w:tcW w:w="2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2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1,994,792</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1,875,281</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80" w:type="dxa"/>
            <w:vAlign w:val="bottom"/>
            <w:tcBorders>
              <w:bottom w:val="single" w:sz="8" w:color="CCECFF"/>
            </w:tcBorders>
          </w:tcPr>
          <w:p>
            <w:pPr>
              <w:spacing w:after="0"/>
              <w:rPr>
                <w:sz w:val="13"/>
                <w:szCs w:val="13"/>
                <w:color w:val="auto"/>
              </w:rPr>
            </w:pPr>
          </w:p>
        </w:tc>
        <w:tc>
          <w:tcPr>
            <w:tcW w:w="7080" w:type="dxa"/>
            <w:vAlign w:val="bottom"/>
            <w:tcBorders>
              <w:bottom w:val="single" w:sz="8" w:color="CCECFF"/>
            </w:tcBorders>
          </w:tcPr>
          <w:p>
            <w:pPr>
              <w:ind w:left="60"/>
              <w:spacing w:after="0" w:line="155" w:lineRule="exact"/>
              <w:rPr>
                <w:sz w:val="20"/>
                <w:szCs w:val="20"/>
                <w:color w:val="auto"/>
              </w:rPr>
            </w:pPr>
            <w:r>
              <w:rPr>
                <w:rFonts w:ascii="Arial" w:cs="Arial" w:eastAsia="Arial" w:hAnsi="Arial"/>
                <w:sz w:val="14"/>
                <w:szCs w:val="14"/>
                <w:b w:val="1"/>
                <w:bCs w:val="1"/>
                <w:color w:val="auto"/>
              </w:rPr>
              <w:t>Total liabilities</w:t>
            </w:r>
          </w:p>
        </w:tc>
        <w:tc>
          <w:tcPr>
            <w:tcW w:w="2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645,554,142</w:t>
            </w:r>
          </w:p>
        </w:tc>
        <w:tc>
          <w:tcPr>
            <w:tcW w:w="28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671,016,823</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6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Commitments and contingencies (See Note 11)</w:t>
            </w:r>
          </w:p>
        </w:tc>
        <w:tc>
          <w:tcPr>
            <w:tcW w:w="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2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4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20"/>
                <w:szCs w:val="20"/>
                <w:color w:val="auto"/>
              </w:rPr>
            </w:pPr>
            <w:r>
              <w:rPr>
                <w:rFonts w:ascii="Arial" w:cs="Arial" w:eastAsia="Arial" w:hAnsi="Arial"/>
                <w:sz w:val="14"/>
                <w:szCs w:val="14"/>
                <w:b w:val="1"/>
                <w:bCs w:val="1"/>
                <w:color w:val="auto"/>
                <w:w w:val="94"/>
              </w:rPr>
              <w:t>Net assets</w:t>
            </w:r>
          </w:p>
        </w:tc>
        <w:tc>
          <w:tcPr>
            <w:tcW w:w="7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760" w:type="dxa"/>
            <w:vAlign w:val="bottom"/>
            <w:gridSpan w:val="2"/>
            <w:shd w:val="clear" w:color="auto" w:fill="CCECFF"/>
          </w:tcPr>
          <w:p>
            <w:pPr>
              <w:spacing w:after="0" w:line="143" w:lineRule="exact"/>
              <w:rPr>
                <w:sz w:val="20"/>
                <w:szCs w:val="20"/>
                <w:color w:val="auto"/>
              </w:rPr>
            </w:pPr>
            <w:r>
              <w:rPr>
                <w:rFonts w:ascii="Arial" w:cs="Arial" w:eastAsia="Arial" w:hAnsi="Arial"/>
                <w:sz w:val="14"/>
                <w:szCs w:val="14"/>
                <w:color w:val="auto"/>
              </w:rPr>
              <w:t>Common stock, 38,772,074 shares issued and outstanding Par value $0.001 per share and 100,000,000</w:t>
            </w:r>
          </w:p>
        </w:tc>
        <w:tc>
          <w:tcPr>
            <w:tcW w:w="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2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4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60" w:type="dxa"/>
            <w:vAlign w:val="bottom"/>
            <w:gridSpan w:val="2"/>
            <w:shd w:val="clear" w:color="auto" w:fill="CCECFF"/>
          </w:tcPr>
          <w:p>
            <w:pPr>
              <w:ind w:left="120"/>
              <w:spacing w:after="0"/>
              <w:rPr>
                <w:sz w:val="20"/>
                <w:szCs w:val="20"/>
                <w:color w:val="auto"/>
              </w:rPr>
            </w:pPr>
            <w:r>
              <w:rPr>
                <w:rFonts w:ascii="Arial" w:cs="Arial" w:eastAsia="Arial" w:hAnsi="Arial"/>
                <w:sz w:val="14"/>
                <w:szCs w:val="14"/>
                <w:color w:val="auto"/>
              </w:rPr>
              <w:t>shares authorized</w:t>
            </w: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38,772</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38,772</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gridSpan w:val="2"/>
          </w:tcPr>
          <w:p>
            <w:pPr>
              <w:spacing w:after="0"/>
              <w:rPr>
                <w:sz w:val="20"/>
                <w:szCs w:val="20"/>
                <w:color w:val="auto"/>
              </w:rPr>
            </w:pPr>
            <w:r>
              <w:rPr>
                <w:rFonts w:ascii="Arial" w:cs="Arial" w:eastAsia="Arial" w:hAnsi="Arial"/>
                <w:sz w:val="14"/>
                <w:szCs w:val="14"/>
                <w:color w:val="auto"/>
              </w:rPr>
              <w:t>Paid-in capital in excess of par value</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538,151,528</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538,151,528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Accumulated distributable net loss</w:t>
            </w: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56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(45,216,057)</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54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(60,919,908)</w:t>
            </w:r>
          </w:p>
        </w:tc>
        <w:tc>
          <w:tcPr>
            <w:tcW w:w="0" w:type="dxa"/>
            <w:vAlign w:val="bottom"/>
          </w:tcPr>
          <w:p>
            <w:pPr>
              <w:spacing w:after="0"/>
              <w:rPr>
                <w:sz w:val="1"/>
                <w:szCs w:val="1"/>
                <w:color w:val="auto"/>
              </w:rPr>
            </w:pPr>
          </w:p>
        </w:tc>
      </w:tr>
      <w:tr>
        <w:trPr>
          <w:trHeight w:val="156"/>
        </w:trPr>
        <w:tc>
          <w:tcPr>
            <w:tcW w:w="680" w:type="dxa"/>
            <w:vAlign w:val="bottom"/>
            <w:tcBorders>
              <w:bottom w:val="single" w:sz="8" w:color="CCECFF"/>
            </w:tcBorders>
          </w:tcPr>
          <w:p>
            <w:pPr>
              <w:spacing w:after="0"/>
              <w:rPr>
                <w:sz w:val="13"/>
                <w:szCs w:val="13"/>
                <w:color w:val="auto"/>
              </w:rPr>
            </w:pPr>
          </w:p>
        </w:tc>
        <w:tc>
          <w:tcPr>
            <w:tcW w:w="7080" w:type="dxa"/>
            <w:vAlign w:val="bottom"/>
            <w:tcBorders>
              <w:bottom w:val="single" w:sz="8" w:color="CCECFF"/>
            </w:tcBorders>
          </w:tcPr>
          <w:p>
            <w:pPr>
              <w:ind w:left="60"/>
              <w:spacing w:after="0" w:line="155" w:lineRule="exact"/>
              <w:rPr>
                <w:sz w:val="20"/>
                <w:szCs w:val="20"/>
                <w:color w:val="auto"/>
              </w:rPr>
            </w:pPr>
            <w:r>
              <w:rPr>
                <w:rFonts w:ascii="Arial" w:cs="Arial" w:eastAsia="Arial" w:hAnsi="Arial"/>
                <w:sz w:val="14"/>
                <w:szCs w:val="14"/>
                <w:b w:val="1"/>
                <w:bCs w:val="1"/>
                <w:color w:val="auto"/>
              </w:rPr>
              <w:t>Total net assets</w:t>
            </w:r>
          </w:p>
        </w:tc>
        <w:tc>
          <w:tcPr>
            <w:tcW w:w="2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492,974,243</w:t>
            </w:r>
          </w:p>
        </w:tc>
        <w:tc>
          <w:tcPr>
            <w:tcW w:w="28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477,270,392</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80" w:type="dxa"/>
            <w:vAlign w:val="bottom"/>
            <w:tcBorders>
              <w:bottom w:val="single" w:sz="8" w:color="CCECFF"/>
            </w:tcBorders>
            <w:shd w:val="clear" w:color="auto" w:fill="CCECFF"/>
          </w:tcPr>
          <w:p>
            <w:pPr>
              <w:spacing w:after="0"/>
              <w:rPr>
                <w:sz w:val="13"/>
                <w:szCs w:val="13"/>
                <w:color w:val="auto"/>
              </w:rPr>
            </w:pPr>
          </w:p>
        </w:tc>
        <w:tc>
          <w:tcPr>
            <w:tcW w:w="7080" w:type="dxa"/>
            <w:vAlign w:val="bottom"/>
            <w:tcBorders>
              <w:bottom w:val="single" w:sz="8" w:color="CCECFF"/>
            </w:tcBorders>
            <w:shd w:val="clear" w:color="auto" w:fill="CCECFF"/>
          </w:tcPr>
          <w:p>
            <w:pPr>
              <w:ind w:left="6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2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1,138,528,385</w:t>
            </w:r>
          </w:p>
        </w:tc>
        <w:tc>
          <w:tcPr>
            <w:tcW w:w="280" w:type="dxa"/>
            <w:vAlign w:val="bottom"/>
            <w:tcBorders>
              <w:bottom w:val="single" w:sz="8" w:color="CCECFF"/>
            </w:tcBorders>
            <w:shd w:val="clear" w:color="auto" w:fill="CCECFF"/>
          </w:tcPr>
          <w:p>
            <w:pPr>
              <w:spacing w:after="0"/>
              <w:rPr>
                <w:sz w:val="13"/>
                <w:szCs w:val="13"/>
                <w:color w:val="auto"/>
              </w:rPr>
            </w:pPr>
          </w:p>
        </w:tc>
        <w:tc>
          <w:tcPr>
            <w:tcW w:w="2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1,148,287,215</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asset value per share</w:t>
            </w:r>
          </w:p>
        </w:tc>
        <w:tc>
          <w:tcPr>
            <w:tcW w:w="2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12.71</w:t>
            </w:r>
          </w:p>
        </w:tc>
        <w:tc>
          <w:tcPr>
            <w:tcW w:w="2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12.31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OPERATIONS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8"/>
              </w:rPr>
              <w:t>Three Months Ended March 31,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56"/>
        </w:trPr>
        <w:tc>
          <w:tcPr>
            <w:tcW w:w="6000" w:type="dxa"/>
            <w:vAlign w:val="bottom"/>
            <w:tcBorders>
              <w:bottom w:val="single" w:sz="8" w:color="CCEC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CFF"/>
            </w:tcBorders>
          </w:tcPr>
          <w:p>
            <w:pPr>
              <w:spacing w:after="0"/>
              <w:rPr>
                <w:sz w:val="13"/>
                <w:szCs w:val="13"/>
                <w:color w:val="auto"/>
              </w:rPr>
            </w:pPr>
          </w:p>
        </w:tc>
        <w:tc>
          <w:tcPr>
            <w:tcW w:w="80" w:type="dxa"/>
            <w:vAlign w:val="bottom"/>
            <w:tcBorders>
              <w:bottom w:val="single" w:sz="8" w:color="CCEC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0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14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20"/>
                <w:szCs w:val="20"/>
                <w:color w:val="auto"/>
              </w:rPr>
            </w:pPr>
            <w:r>
              <w:rPr>
                <w:rFonts w:ascii="Arial" w:cs="Arial" w:eastAsia="Arial" w:hAnsi="Arial"/>
                <w:sz w:val="14"/>
                <w:szCs w:val="14"/>
                <w:color w:val="auto"/>
              </w:rPr>
              <w:t>From non-controlled, non-affiliated investments:</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14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13,724,538</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20,307,380</w:t>
            </w:r>
          </w:p>
        </w:tc>
        <w:tc>
          <w:tcPr>
            <w:tcW w:w="140" w:type="dxa"/>
            <w:vAlign w:val="bottom"/>
            <w:shd w:val="clear" w:color="auto" w:fill="CCECFF"/>
          </w:tcPr>
          <w:p>
            <w:pPr>
              <w:spacing w:after="0"/>
              <w:rPr>
                <w:sz w:val="14"/>
                <w:szCs w:val="14"/>
                <w:color w:val="auto"/>
              </w:rPr>
            </w:pPr>
          </w:p>
        </w:tc>
        <w:tc>
          <w:tcPr>
            <w:tcW w:w="280" w:type="dxa"/>
            <w:vAlign w:val="bottom"/>
            <w:gridSpan w:val="2"/>
            <w:shd w:val="clear" w:color="auto" w:fill="CCEC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29,025,969</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39,217,274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Other income</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490,763</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1,140,500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1,372,548</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1,913,603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CECFF"/>
          </w:tcPr>
          <w:p>
            <w:pPr>
              <w:spacing w:after="0"/>
              <w:rPr>
                <w:sz w:val="20"/>
                <w:szCs w:val="20"/>
                <w:color w:val="auto"/>
              </w:rPr>
            </w:pPr>
            <w:r>
              <w:rPr>
                <w:rFonts w:ascii="Arial" w:cs="Arial" w:eastAsia="Arial" w:hAnsi="Arial"/>
                <w:sz w:val="14"/>
                <w:szCs w:val="14"/>
                <w:color w:val="auto"/>
              </w:rPr>
              <w:t>From non-controlled, affiliated investments:</w:t>
            </w:r>
          </w:p>
        </w:tc>
        <w:tc>
          <w:tcPr>
            <w:tcW w:w="14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8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9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Interest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183,438</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233,772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279,900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459,125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income</w:t>
            </w:r>
          </w:p>
        </w:tc>
        <w:tc>
          <w:tcPr>
            <w:tcW w:w="14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102,263</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122,570</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0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000" w:type="dxa"/>
            <w:vAlign w:val="bottom"/>
          </w:tcPr>
          <w:p>
            <w:pPr>
              <w:spacing w:after="0"/>
              <w:rPr>
                <w:sz w:val="20"/>
                <w:szCs w:val="20"/>
                <w:color w:val="auto"/>
              </w:rPr>
            </w:pPr>
            <w:r>
              <w:rPr>
                <w:rFonts w:ascii="Arial" w:cs="Arial" w:eastAsia="Arial" w:hAnsi="Arial"/>
                <w:sz w:val="14"/>
                <w:szCs w:val="14"/>
                <w:color w:val="auto"/>
              </w:rPr>
              <w:t>From controlled, affiliated investments:</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14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2,659,019</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3,069,785</w:t>
            </w:r>
          </w:p>
        </w:tc>
        <w:tc>
          <w:tcPr>
            <w:tcW w:w="1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5,321,895</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6,225,109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Dividend</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2,275,000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1,575,000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3,850,000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3,150,000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income</w:t>
            </w:r>
          </w:p>
        </w:tc>
        <w:tc>
          <w:tcPr>
            <w:tcW w:w="14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195,630</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0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00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1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19,435,021</w:t>
            </w:r>
          </w:p>
        </w:tc>
        <w:tc>
          <w:tcPr>
            <w:tcW w:w="22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26,326,437</w:t>
            </w:r>
          </w:p>
        </w:tc>
        <w:tc>
          <w:tcPr>
            <w:tcW w:w="140" w:type="dxa"/>
            <w:vAlign w:val="bottom"/>
            <w:tcBorders>
              <w:bottom w:val="single" w:sz="8" w:color="CCECFF"/>
            </w:tcBorders>
          </w:tcPr>
          <w:p>
            <w:pPr>
              <w:spacing w:after="0"/>
              <w:rPr>
                <w:sz w:val="13"/>
                <w:szCs w:val="13"/>
                <w:color w:val="auto"/>
              </w:rPr>
            </w:pPr>
          </w:p>
        </w:tc>
        <w:tc>
          <w:tcPr>
            <w:tcW w:w="80" w:type="dxa"/>
            <w:vAlign w:val="bottom"/>
            <w:tcBorders>
              <w:bottom w:val="single" w:sz="8" w:color="CCEC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40,168,512</w:t>
            </w:r>
          </w:p>
        </w:tc>
        <w:tc>
          <w:tcPr>
            <w:tcW w:w="24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50,965,111</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0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14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Base management fee (See Note 3)</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2,633,715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2,948,941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5,349,887</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5,779,100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Performance-based incentive fee (See Note 3)</w:t>
            </w:r>
          </w:p>
        </w:tc>
        <w:tc>
          <w:tcPr>
            <w:tcW w:w="14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1,302,025</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2,937,024</w:t>
            </w:r>
          </w:p>
        </w:tc>
        <w:tc>
          <w:tcPr>
            <w:tcW w:w="1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3,063,899</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5,252,859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Interest and expenses on debt (See Note 10)</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4,781,114</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7,626,550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10,122,455</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14,933,814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Administrative services expenses (See Note 3)</w:t>
            </w:r>
          </w:p>
        </w:tc>
        <w:tc>
          <w:tcPr>
            <w:tcW w:w="14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300,000</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350,000</w:t>
            </w:r>
          </w:p>
        </w:tc>
        <w:tc>
          <w:tcPr>
            <w:tcW w:w="1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600,000</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Other general and administrative expenses</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400,000</w:t>
            </w:r>
          </w:p>
        </w:tc>
        <w:tc>
          <w:tcPr>
            <w:tcW w:w="22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616,077</w:t>
            </w:r>
          </w:p>
        </w:tc>
        <w:tc>
          <w:tcPr>
            <w:tcW w:w="140" w:type="dxa"/>
            <w:vAlign w:val="bottom"/>
            <w:tcBorders>
              <w:bottom w:val="single" w:sz="8" w:color="CCECFF"/>
            </w:tcBorders>
          </w:tcPr>
          <w:p>
            <w:pPr>
              <w:spacing w:after="0"/>
              <w:rPr>
                <w:sz w:val="14"/>
                <w:szCs w:val="14"/>
                <w:color w:val="auto"/>
              </w:rPr>
            </w:pPr>
          </w:p>
        </w:tc>
        <w:tc>
          <w:tcPr>
            <w:tcW w:w="80" w:type="dxa"/>
            <w:vAlign w:val="bottom"/>
            <w:tcBorders>
              <w:bottom w:val="single" w:sz="8" w:color="CCEC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800,000</w:t>
            </w:r>
          </w:p>
        </w:tc>
        <w:tc>
          <w:tcPr>
            <w:tcW w:w="24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1,232,153</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0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Expenses before provision for taxes:</w:t>
            </w:r>
          </w:p>
        </w:tc>
        <w:tc>
          <w:tcPr>
            <w:tcW w:w="14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9,416,854</w:t>
            </w:r>
          </w:p>
        </w:tc>
        <w:tc>
          <w:tcPr>
            <w:tcW w:w="2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14,478,592</w:t>
            </w:r>
          </w:p>
        </w:tc>
        <w:tc>
          <w:tcPr>
            <w:tcW w:w="1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9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19,936,241</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27,897,926</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0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Provision for taxes</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100,000</w:t>
            </w:r>
          </w:p>
        </w:tc>
        <w:tc>
          <w:tcPr>
            <w:tcW w:w="22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100,000</w:t>
            </w:r>
          </w:p>
        </w:tc>
        <w:tc>
          <w:tcPr>
            <w:tcW w:w="140" w:type="dxa"/>
            <w:vAlign w:val="bottom"/>
            <w:tcBorders>
              <w:bottom w:val="single" w:sz="8" w:color="CCECFF"/>
            </w:tcBorders>
          </w:tcPr>
          <w:p>
            <w:pPr>
              <w:spacing w:after="0"/>
              <w:rPr>
                <w:sz w:val="14"/>
                <w:szCs w:val="14"/>
                <w:color w:val="auto"/>
              </w:rPr>
            </w:pPr>
          </w:p>
        </w:tc>
        <w:tc>
          <w:tcPr>
            <w:tcW w:w="80" w:type="dxa"/>
            <w:vAlign w:val="bottom"/>
            <w:tcBorders>
              <w:bottom w:val="single" w:sz="8" w:color="CCEC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200,000</w:t>
            </w:r>
          </w:p>
        </w:tc>
        <w:tc>
          <w:tcPr>
            <w:tcW w:w="24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200,000</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0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Total expenses</w:t>
            </w:r>
          </w:p>
        </w:tc>
        <w:tc>
          <w:tcPr>
            <w:tcW w:w="140" w:type="dxa"/>
            <w:vAlign w:val="bottom"/>
            <w:tcBorders>
              <w:bottom w:val="single" w:sz="8" w:color="auto"/>
            </w:tcBorders>
            <w:shd w:val="clear" w:color="auto" w:fill="CCECFF"/>
          </w:tcPr>
          <w:p>
            <w:pPr>
              <w:spacing w:after="0"/>
              <w:rPr>
                <w:sz w:val="13"/>
                <w:szCs w:val="13"/>
                <w:color w:val="auto"/>
              </w:rPr>
            </w:pPr>
          </w:p>
        </w:tc>
        <w:tc>
          <w:tcPr>
            <w:tcW w:w="9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9,516,854</w:t>
            </w:r>
          </w:p>
        </w:tc>
        <w:tc>
          <w:tcPr>
            <w:tcW w:w="22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8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14,578,592</w:t>
            </w:r>
          </w:p>
        </w:tc>
        <w:tc>
          <w:tcPr>
            <w:tcW w:w="1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20,136,241</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8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28,097,926</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0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9,918,167</w:t>
            </w:r>
          </w:p>
        </w:tc>
        <w:tc>
          <w:tcPr>
            <w:tcW w:w="22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11,747,845</w:t>
            </w:r>
          </w:p>
        </w:tc>
        <w:tc>
          <w:tcPr>
            <w:tcW w:w="140" w:type="dxa"/>
            <w:vAlign w:val="bottom"/>
            <w:tcBorders>
              <w:bottom w:val="single" w:sz="8" w:color="CCECFF"/>
            </w:tcBorders>
          </w:tcPr>
          <w:p>
            <w:pPr>
              <w:spacing w:after="0"/>
              <w:rPr>
                <w:sz w:val="13"/>
                <w:szCs w:val="13"/>
                <w:color w:val="auto"/>
              </w:rPr>
            </w:pPr>
          </w:p>
        </w:tc>
        <w:tc>
          <w:tcPr>
            <w:tcW w:w="8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20,032,271</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22,867,185</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0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Realized and unrealized gain (loss) on investments and debt:</w:t>
            </w:r>
          </w:p>
        </w:tc>
        <w:tc>
          <w:tcPr>
            <w:tcW w:w="14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20"/>
                <w:szCs w:val="20"/>
                <w:color w:val="auto"/>
              </w:rPr>
            </w:pPr>
            <w:r>
              <w:rPr>
                <w:rFonts w:ascii="Arial" w:cs="Arial" w:eastAsia="Arial" w:hAnsi="Arial"/>
                <w:sz w:val="14"/>
                <w:szCs w:val="14"/>
                <w:color w:val="auto"/>
              </w:rPr>
              <w:t>Net realized gain (loss) on investments:</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14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473,661</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(1,599,285)</w:t>
            </w:r>
          </w:p>
        </w:tc>
        <w:tc>
          <w:tcPr>
            <w:tcW w:w="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(1,234,038)</w:t>
            </w:r>
          </w:p>
        </w:tc>
        <w:tc>
          <w:tcPr>
            <w:tcW w:w="240" w:type="dxa"/>
            <w:vAlign w:val="bottom"/>
            <w:shd w:val="clear" w:color="auto" w:fill="CCECFF"/>
          </w:tcPr>
          <w:p>
            <w:pPr>
              <w:spacing w:after="0"/>
              <w:rPr>
                <w:sz w:val="14"/>
                <w:szCs w:val="14"/>
                <w:color w:val="auto"/>
              </w:rPr>
            </w:pPr>
          </w:p>
        </w:tc>
        <w:tc>
          <w:tcPr>
            <w:tcW w:w="100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(586,972)</w:t>
            </w: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Non-controlled and controlled, affiliated investments</w:t>
            </w:r>
          </w:p>
        </w:tc>
        <w:tc>
          <w:tcPr>
            <w:tcW w:w="14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(1,052,048)</w:t>
            </w:r>
          </w:p>
        </w:tc>
        <w:tc>
          <w:tcPr>
            <w:tcW w:w="24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600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realized gain (loss) on investments</w:t>
            </w:r>
          </w:p>
        </w:tc>
        <w:tc>
          <w:tcPr>
            <w:tcW w:w="140" w:type="dxa"/>
            <w:vAlign w:val="bottom"/>
            <w:tcBorders>
              <w:top w:val="single" w:sz="8" w:color="auto"/>
              <w:bottom w:val="single" w:sz="8" w:color="auto"/>
            </w:tcBorders>
            <w:shd w:val="clear" w:color="auto" w:fill="CCECFF"/>
          </w:tcPr>
          <w:p>
            <w:pPr>
              <w:spacing w:after="0"/>
              <w:rPr>
                <w:sz w:val="13"/>
                <w:szCs w:val="13"/>
                <w:color w:val="auto"/>
              </w:rPr>
            </w:pPr>
          </w:p>
        </w:tc>
        <w:tc>
          <w:tcPr>
            <w:tcW w:w="9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473,661</w:t>
            </w:r>
          </w:p>
        </w:tc>
        <w:tc>
          <w:tcPr>
            <w:tcW w:w="22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spacing w:after="0"/>
              <w:rPr>
                <w:sz w:val="13"/>
                <w:szCs w:val="13"/>
                <w:color w:val="auto"/>
              </w:rPr>
            </w:pPr>
          </w:p>
        </w:tc>
        <w:tc>
          <w:tcPr>
            <w:tcW w:w="8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(1,599,285)</w:t>
            </w:r>
          </w:p>
        </w:tc>
        <w:tc>
          <w:tcPr>
            <w:tcW w:w="14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spacing w:after="0"/>
              <w:rPr>
                <w:sz w:val="13"/>
                <w:szCs w:val="13"/>
                <w:color w:val="auto"/>
              </w:rPr>
            </w:pPr>
          </w:p>
        </w:tc>
        <w:tc>
          <w:tcPr>
            <w:tcW w:w="9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(2,286,086)</w:t>
            </w:r>
          </w:p>
        </w:tc>
        <w:tc>
          <w:tcPr>
            <w:tcW w:w="2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spacing w:after="0"/>
              <w:rPr>
                <w:sz w:val="13"/>
                <w:szCs w:val="13"/>
                <w:color w:val="auto"/>
              </w:rPr>
            </w:pPr>
          </w:p>
        </w:tc>
        <w:tc>
          <w:tcPr>
            <w:tcW w:w="8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(586,972)</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00" w:type="dxa"/>
            <w:vAlign w:val="bottom"/>
          </w:tcPr>
          <w:p>
            <w:pPr>
              <w:spacing w:after="0" w:line="155" w:lineRule="exact"/>
              <w:rPr>
                <w:sz w:val="20"/>
                <w:szCs w:val="20"/>
                <w:color w:val="auto"/>
              </w:rPr>
            </w:pPr>
            <w:r>
              <w:rPr>
                <w:rFonts w:ascii="Arial" w:cs="Arial" w:eastAsia="Arial" w:hAnsi="Arial"/>
                <w:sz w:val="14"/>
                <w:szCs w:val="14"/>
                <w:color w:val="auto"/>
              </w:rPr>
              <w:t>Net change in unrealized appreciation (depreciation) on:</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14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12,150,548</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(40,004,484)</w:t>
            </w:r>
          </w:p>
        </w:tc>
        <w:tc>
          <w:tcPr>
            <w:tcW w:w="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34,687,828</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0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(37,625,126)</w:t>
            </w: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Controlled and non-controlled, affiliated investments</w:t>
            </w: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(333,952)</w:t>
            </w:r>
          </w:p>
        </w:tc>
        <w:tc>
          <w:tcPr>
            <w:tcW w:w="24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(24,782,772)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(81,186)</w:t>
            </w:r>
          </w:p>
        </w:tc>
        <w:tc>
          <w:tcPr>
            <w:tcW w:w="24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(30,682,477)</w:t>
            </w:r>
          </w:p>
        </w:tc>
        <w:tc>
          <w:tcPr>
            <w:tcW w:w="0" w:type="dxa"/>
            <w:vAlign w:val="bottom"/>
          </w:tcPr>
          <w:p>
            <w:pPr>
              <w:spacing w:after="0"/>
              <w:rPr>
                <w:sz w:val="1"/>
                <w:szCs w:val="1"/>
                <w:color w:val="auto"/>
              </w:rPr>
            </w:pPr>
          </w:p>
        </w:tc>
      </w:tr>
      <w:tr>
        <w:trPr>
          <w:trHeight w:val="162"/>
        </w:trPr>
        <w:tc>
          <w:tcPr>
            <w:tcW w:w="60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Debt (appreciation) depreciation (See Notes 5 and 10)</w:t>
            </w:r>
          </w:p>
        </w:tc>
        <w:tc>
          <w:tcPr>
            <w:tcW w:w="14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(10,535,079)</w:t>
            </w:r>
          </w:p>
        </w:tc>
        <w:tc>
          <w:tcPr>
            <w:tcW w:w="24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33,537,647</w:t>
            </w:r>
          </w:p>
        </w:tc>
        <w:tc>
          <w:tcPr>
            <w:tcW w:w="1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(14,548,894)</w:t>
            </w:r>
          </w:p>
        </w:tc>
        <w:tc>
          <w:tcPr>
            <w:tcW w:w="24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34,899,235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0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change in unrealized appreciation (depreciation) on investments and debt</w:t>
            </w:r>
          </w:p>
        </w:tc>
        <w:tc>
          <w:tcPr>
            <w:tcW w:w="1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1,281,517</w:t>
            </w:r>
          </w:p>
        </w:tc>
        <w:tc>
          <w:tcPr>
            <w:tcW w:w="22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(31,249,609)</w:t>
            </w:r>
          </w:p>
        </w:tc>
        <w:tc>
          <w:tcPr>
            <w:tcW w:w="140" w:type="dxa"/>
            <w:vAlign w:val="bottom"/>
            <w:tcBorders>
              <w:bottom w:val="single" w:sz="8" w:color="CCECFF"/>
            </w:tcBorders>
          </w:tcPr>
          <w:p>
            <w:pPr>
              <w:spacing w:after="0"/>
              <w:rPr>
                <w:sz w:val="13"/>
                <w:szCs w:val="13"/>
                <w:color w:val="auto"/>
              </w:rPr>
            </w:pPr>
          </w:p>
        </w:tc>
        <w:tc>
          <w:tcPr>
            <w:tcW w:w="80" w:type="dxa"/>
            <w:vAlign w:val="bottom"/>
            <w:tcBorders>
              <w:bottom w:val="single" w:sz="8" w:color="CCEC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20,057,748</w:t>
            </w:r>
          </w:p>
        </w:tc>
        <w:tc>
          <w:tcPr>
            <w:tcW w:w="24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(33,408,368)</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0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realized and unrealized gain (loss) from investments and debt</w:t>
            </w:r>
          </w:p>
        </w:tc>
        <w:tc>
          <w:tcPr>
            <w:tcW w:w="140" w:type="dxa"/>
            <w:vAlign w:val="bottom"/>
            <w:tcBorders>
              <w:bottom w:val="single" w:sz="8" w:color="auto"/>
            </w:tcBorders>
            <w:shd w:val="clear" w:color="auto" w:fill="CCECFF"/>
          </w:tcPr>
          <w:p>
            <w:pPr>
              <w:spacing w:after="0"/>
              <w:rPr>
                <w:sz w:val="13"/>
                <w:szCs w:val="13"/>
                <w:color w:val="auto"/>
              </w:rPr>
            </w:pPr>
          </w:p>
        </w:tc>
        <w:tc>
          <w:tcPr>
            <w:tcW w:w="9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1,755,178</w:t>
            </w:r>
          </w:p>
        </w:tc>
        <w:tc>
          <w:tcPr>
            <w:tcW w:w="22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8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(32,848,894)</w:t>
            </w:r>
          </w:p>
        </w:tc>
        <w:tc>
          <w:tcPr>
            <w:tcW w:w="1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17,771,662</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8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(33,995,340)</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00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increase (decrease) in net assets resulting from operations</w:t>
            </w: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11,673,345</w:t>
            </w:r>
          </w:p>
        </w:tc>
        <w:tc>
          <w:tcPr>
            <w:tcW w:w="220" w:type="dxa"/>
            <w:vAlign w:val="bottom"/>
            <w:tcBorders>
              <w:bottom w:val="single" w:sz="8" w:color="CCECFF"/>
            </w:tcBorders>
          </w:tcPr>
          <w:p>
            <w:pPr>
              <w:spacing w:after="0"/>
              <w:rPr>
                <w:sz w:val="17"/>
                <w:szCs w:val="17"/>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(21,101,049)</w:t>
            </w:r>
          </w:p>
        </w:tc>
        <w:tc>
          <w:tcPr>
            <w:tcW w:w="140" w:type="dxa"/>
            <w:vAlign w:val="bottom"/>
            <w:tcBorders>
              <w:bottom w:val="single" w:sz="8" w:color="CCECFF"/>
            </w:tcBorders>
          </w:tcPr>
          <w:p>
            <w:pPr>
              <w:spacing w:after="0"/>
              <w:rPr>
                <w:sz w:val="17"/>
                <w:szCs w:val="17"/>
                <w:color w:val="auto"/>
              </w:rPr>
            </w:pPr>
          </w:p>
        </w:tc>
        <w:tc>
          <w:tcPr>
            <w:tcW w:w="80" w:type="dxa"/>
            <w:vAlign w:val="bottom"/>
            <w:tcBorders>
              <w:bottom w:val="single" w:sz="8" w:color="CCECFF"/>
            </w:tcBorders>
          </w:tcPr>
          <w:p>
            <w:pPr>
              <w:spacing w:after="0"/>
              <w:rPr>
                <w:sz w:val="17"/>
                <w:szCs w:val="17"/>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37,803,933</w:t>
            </w:r>
          </w:p>
        </w:tc>
        <w:tc>
          <w:tcPr>
            <w:tcW w:w="240" w:type="dxa"/>
            <w:vAlign w:val="bottom"/>
            <w:tcBorders>
              <w:bottom w:val="single" w:sz="8" w:color="CCECFF"/>
            </w:tcBorders>
          </w:tcPr>
          <w:p>
            <w:pPr>
              <w:spacing w:after="0"/>
              <w:rPr>
                <w:sz w:val="17"/>
                <w:szCs w:val="17"/>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(11,128,155)</w:t>
            </w:r>
          </w:p>
        </w:tc>
        <w:tc>
          <w:tcPr>
            <w:tcW w:w="1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00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Net increase (decrease) in net assets resulting from operations per common share (See Note 7)</w:t>
            </w:r>
          </w:p>
        </w:tc>
        <w:tc>
          <w:tcPr>
            <w:tcW w:w="1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0.30</w:t>
            </w:r>
          </w:p>
        </w:tc>
        <w:tc>
          <w:tcPr>
            <w:tcW w:w="22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auto"/>
            </w:tcBorders>
            <w:shd w:val="clear" w:color="auto" w:fill="CCECFF"/>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(0.54)</w:t>
            </w:r>
          </w:p>
        </w:tc>
        <w:tc>
          <w:tcPr>
            <w:tcW w:w="1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auto"/>
            </w:tcBorders>
            <w:shd w:val="clear" w:color="auto" w:fill="CCECFF"/>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0.98</w:t>
            </w:r>
          </w:p>
        </w:tc>
        <w:tc>
          <w:tcPr>
            <w:tcW w:w="24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auto"/>
            </w:tcBorders>
            <w:shd w:val="clear" w:color="auto" w:fill="CCECFF"/>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(0.29)</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4"/>
                <w:szCs w:val="14"/>
                <w:color w:val="auto"/>
              </w:rPr>
              <w:t>Net investment income per common share</w:t>
            </w: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00" w:type="dxa"/>
            <w:vAlign w:val="bottom"/>
            <w:vMerge w:val="continue"/>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0.26</w:t>
            </w:r>
          </w:p>
        </w:tc>
        <w:tc>
          <w:tcPr>
            <w:tcW w:w="22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0.30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0.52</w:t>
            </w:r>
          </w:p>
        </w:tc>
        <w:tc>
          <w:tcPr>
            <w:tcW w:w="24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0.59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CHANGES IN NET ASSETS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9"/>
              </w:rPr>
              <w:t>Three Months Ended March 31,</w:t>
            </w:r>
          </w:p>
        </w:tc>
        <w:tc>
          <w:tcPr>
            <w:tcW w:w="220" w:type="dxa"/>
            <w:vAlign w:val="bottom"/>
          </w:tcPr>
          <w:p>
            <w:pPr>
              <w:spacing w:after="0"/>
              <w:rPr>
                <w:sz w:val="14"/>
                <w:szCs w:val="14"/>
                <w:color w:val="auto"/>
              </w:rPr>
            </w:pPr>
          </w:p>
        </w:tc>
        <w:tc>
          <w:tcPr>
            <w:tcW w:w="242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Six Months Ended March 31,</w:t>
            </w:r>
          </w:p>
        </w:tc>
      </w:tr>
      <w:tr>
        <w:trPr>
          <w:trHeight w:val="156"/>
        </w:trPr>
        <w:tc>
          <w:tcPr>
            <w:tcW w:w="5840" w:type="dxa"/>
            <w:vAlign w:val="bottom"/>
            <w:tcBorders>
              <w:bottom w:val="single" w:sz="8" w:color="CCEC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CFF"/>
            </w:tcBorders>
          </w:tcPr>
          <w:p>
            <w:pPr>
              <w:spacing w:after="0"/>
              <w:rPr>
                <w:sz w:val="13"/>
                <w:szCs w:val="13"/>
                <w:color w:val="auto"/>
              </w:rPr>
            </w:pPr>
          </w:p>
        </w:tc>
        <w:tc>
          <w:tcPr>
            <w:tcW w:w="100" w:type="dxa"/>
            <w:vAlign w:val="bottom"/>
            <w:tcBorders>
              <w:top w:val="single" w:sz="8" w:color="auto"/>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CFF"/>
            </w:tcBorders>
          </w:tcPr>
          <w:p>
            <w:pPr>
              <w:spacing w:after="0"/>
              <w:rPr>
                <w:sz w:val="13"/>
                <w:szCs w:val="13"/>
                <w:color w:val="auto"/>
              </w:rPr>
            </w:pPr>
          </w:p>
        </w:tc>
      </w:tr>
      <w:tr>
        <w:trPr>
          <w:trHeight w:val="155"/>
        </w:trPr>
        <w:tc>
          <w:tcPr>
            <w:tcW w:w="5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(decrease) in net assets resulting from operations:</w:t>
            </w:r>
          </w:p>
        </w:tc>
        <w:tc>
          <w:tcPr>
            <w:tcW w:w="16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Net investment income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9,918,167</w:t>
            </w:r>
          </w:p>
        </w:tc>
        <w:tc>
          <w:tcPr>
            <w:tcW w:w="240" w:type="dxa"/>
            <w:vAlign w:val="bottom"/>
          </w:tcPr>
          <w:p>
            <w:pPr>
              <w:spacing w:after="0"/>
              <w:rPr>
                <w:sz w:val="14"/>
                <w:szCs w:val="14"/>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11,747,845</w:t>
            </w:r>
          </w:p>
        </w:tc>
        <w:tc>
          <w:tcPr>
            <w:tcW w:w="240" w:type="dxa"/>
            <w:vAlign w:val="bottom"/>
          </w:tcPr>
          <w:p>
            <w:pPr>
              <w:spacing w:after="0"/>
              <w:rPr>
                <w:sz w:val="14"/>
                <w:szCs w:val="14"/>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20,032,271</w:t>
            </w:r>
          </w:p>
        </w:tc>
        <w:tc>
          <w:tcPr>
            <w:tcW w:w="140" w:type="dxa"/>
            <w:vAlign w:val="bottom"/>
          </w:tcPr>
          <w:p>
            <w:pPr>
              <w:spacing w:after="0"/>
              <w:rPr>
                <w:sz w:val="14"/>
                <w:szCs w:val="14"/>
                <w:color w:val="auto"/>
              </w:rPr>
            </w:pP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22,867,185</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realized gain (loss) on investments</w:t>
            </w:r>
          </w:p>
        </w:tc>
        <w:tc>
          <w:tcPr>
            <w:tcW w:w="16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473,661</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(1,599,285)</w:t>
            </w:r>
          </w:p>
        </w:tc>
        <w:tc>
          <w:tcPr>
            <w:tcW w:w="22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(2,286,086)</w:t>
            </w:r>
          </w:p>
        </w:tc>
        <w:tc>
          <w:tcPr>
            <w:tcW w:w="1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(586,972)</w:t>
            </w: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Net change in unrealized appreciation (depreciation) on investments</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11,816,596</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(64,787,256)</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34,606,642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(68,307,603)</w:t>
            </w: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change in unrealized (appreciation) depreciation on debt</w:t>
            </w:r>
          </w:p>
        </w:tc>
        <w:tc>
          <w:tcPr>
            <w:tcW w:w="16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(10,535,079)</w:t>
            </w: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33,537,647</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(14,548,894)</w:t>
            </w:r>
          </w:p>
        </w:tc>
        <w:tc>
          <w:tcPr>
            <w:tcW w:w="1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34,899,235</w:t>
            </w:r>
          </w:p>
        </w:tc>
        <w:tc>
          <w:tcPr>
            <w:tcW w:w="100" w:type="dxa"/>
            <w:vAlign w:val="bottom"/>
            <w:shd w:val="clear" w:color="auto" w:fill="CCECFF"/>
          </w:tcPr>
          <w:p>
            <w:pPr>
              <w:spacing w:after="0"/>
              <w:rPr>
                <w:sz w:val="14"/>
                <w:szCs w:val="14"/>
                <w:color w:val="auto"/>
              </w:rPr>
            </w:pPr>
          </w:p>
        </w:tc>
      </w:tr>
      <w:tr>
        <w:trPr>
          <w:trHeight w:val="155"/>
        </w:trPr>
        <w:tc>
          <w:tcPr>
            <w:tcW w:w="584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increase (decrease) in net assets resulting from operations</w:t>
            </w:r>
          </w:p>
        </w:tc>
        <w:tc>
          <w:tcPr>
            <w:tcW w:w="1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11,673,345</w:t>
            </w:r>
          </w:p>
        </w:tc>
        <w:tc>
          <w:tcPr>
            <w:tcW w:w="24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(21,101,049)</w:t>
            </w:r>
          </w:p>
        </w:tc>
        <w:tc>
          <w:tcPr>
            <w:tcW w:w="2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37,803,933</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(11,128,155)</w:t>
            </w:r>
          </w:p>
        </w:tc>
        <w:tc>
          <w:tcPr>
            <w:tcW w:w="100" w:type="dxa"/>
            <w:vAlign w:val="bottom"/>
            <w:tcBorders>
              <w:bottom w:val="single" w:sz="8" w:color="CCECFF"/>
            </w:tcBorders>
          </w:tcPr>
          <w:p>
            <w:pPr>
              <w:spacing w:after="0"/>
              <w:rPr>
                <w:sz w:val="13"/>
                <w:szCs w:val="13"/>
                <w:color w:val="auto"/>
              </w:rPr>
            </w:pPr>
          </w:p>
        </w:tc>
      </w:tr>
      <w:tr>
        <w:trPr>
          <w:trHeight w:val="156"/>
        </w:trPr>
        <w:tc>
          <w:tcPr>
            <w:tcW w:w="5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Distributions to stockholders</w:t>
            </w:r>
          </w:p>
        </w:tc>
        <w:tc>
          <w:tcPr>
            <w:tcW w:w="160" w:type="dxa"/>
            <w:vAlign w:val="bottom"/>
            <w:tcBorders>
              <w:bottom w:val="single" w:sz="8" w:color="auto"/>
            </w:tcBorders>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(11,050,041)</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(11,050,041)</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(22,100,082)</w:t>
            </w: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(22,100,082)</w:t>
            </w:r>
          </w:p>
        </w:tc>
        <w:tc>
          <w:tcPr>
            <w:tcW w:w="100" w:type="dxa"/>
            <w:vAlign w:val="bottom"/>
            <w:shd w:val="clear" w:color="auto" w:fill="CCECFF"/>
          </w:tcPr>
          <w:p>
            <w:pPr>
              <w:spacing w:after="0"/>
              <w:rPr>
                <w:sz w:val="13"/>
                <w:szCs w:val="13"/>
                <w:color w:val="auto"/>
              </w:rPr>
            </w:pPr>
          </w:p>
        </w:tc>
      </w:tr>
      <w:tr>
        <w:trPr>
          <w:trHeight w:val="155"/>
        </w:trPr>
        <w:tc>
          <w:tcPr>
            <w:tcW w:w="584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increase (decrease) in net assets</w:t>
            </w: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623,304</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(32,151,090)</w:t>
            </w:r>
          </w:p>
        </w:tc>
        <w:tc>
          <w:tcPr>
            <w:tcW w:w="2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15,703,851</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(33,228,237)</w:t>
            </w:r>
          </w:p>
        </w:tc>
        <w:tc>
          <w:tcPr>
            <w:tcW w:w="100" w:type="dxa"/>
            <w:vAlign w:val="bottom"/>
            <w:tcBorders>
              <w:bottom w:val="single" w:sz="8" w:color="CCECFF"/>
            </w:tcBorders>
          </w:tcPr>
          <w:p>
            <w:pPr>
              <w:spacing w:after="0"/>
              <w:rPr>
                <w:sz w:val="13"/>
                <w:szCs w:val="13"/>
                <w:color w:val="auto"/>
              </w:rPr>
            </w:pPr>
          </w:p>
        </w:tc>
      </w:tr>
      <w:tr>
        <w:trPr>
          <w:trHeight w:val="156"/>
        </w:trPr>
        <w:tc>
          <w:tcPr>
            <w:tcW w:w="5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assets:</w:t>
            </w:r>
          </w:p>
        </w:tc>
        <w:tc>
          <w:tcPr>
            <w:tcW w:w="16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584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Beginning of period</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492,350,939</w:t>
            </w:r>
          </w:p>
        </w:tc>
        <w:tc>
          <w:tcPr>
            <w:tcW w:w="24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501,980,364</w:t>
            </w:r>
          </w:p>
        </w:tc>
        <w:tc>
          <w:tcPr>
            <w:tcW w:w="240" w:type="dxa"/>
            <w:vAlign w:val="bottom"/>
            <w:tcBorders>
              <w:bottom w:val="single" w:sz="8" w:color="CCEC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477,270,392</w:t>
            </w:r>
          </w:p>
        </w:tc>
        <w:tc>
          <w:tcPr>
            <w:tcW w:w="140" w:type="dxa"/>
            <w:vAlign w:val="bottom"/>
            <w:tcBorders>
              <w:bottom w:val="single" w:sz="8" w:color="CCECFF"/>
            </w:tcBorders>
          </w:tcPr>
          <w:p>
            <w:pPr>
              <w:spacing w:after="0"/>
              <w:rPr>
                <w:sz w:val="14"/>
                <w:szCs w:val="14"/>
                <w:color w:val="auto"/>
              </w:rPr>
            </w:pPr>
          </w:p>
        </w:tc>
        <w:tc>
          <w:tcPr>
            <w:tcW w:w="10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503,057,511</w:t>
            </w:r>
          </w:p>
        </w:tc>
        <w:tc>
          <w:tcPr>
            <w:tcW w:w="100" w:type="dxa"/>
            <w:vAlign w:val="bottom"/>
            <w:tcBorders>
              <w:bottom w:val="single" w:sz="8" w:color="CCECFF"/>
            </w:tcBorders>
          </w:tcPr>
          <w:p>
            <w:pPr>
              <w:spacing w:after="0"/>
              <w:rPr>
                <w:sz w:val="14"/>
                <w:szCs w:val="14"/>
                <w:color w:val="auto"/>
              </w:rPr>
            </w:pPr>
          </w:p>
        </w:tc>
      </w:tr>
      <w:tr>
        <w:trPr>
          <w:trHeight w:val="156"/>
        </w:trPr>
        <w:tc>
          <w:tcPr>
            <w:tcW w:w="5840" w:type="dxa"/>
            <w:vAlign w:val="bottom"/>
            <w:tcBorders>
              <w:bottom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color w:val="auto"/>
              </w:rPr>
              <w:t>End of period</w:t>
            </w:r>
          </w:p>
        </w:tc>
        <w:tc>
          <w:tcPr>
            <w:tcW w:w="160" w:type="dxa"/>
            <w:vAlign w:val="bottom"/>
            <w:tcBorders>
              <w:bottom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492,974,243</w:t>
            </w:r>
          </w:p>
        </w:tc>
        <w:tc>
          <w:tcPr>
            <w:tcW w:w="24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469,829,274</w:t>
            </w:r>
          </w:p>
        </w:tc>
        <w:tc>
          <w:tcPr>
            <w:tcW w:w="240" w:type="dxa"/>
            <w:vAlign w:val="bottom"/>
            <w:tcBorders>
              <w:bottom w:val="single" w:sz="8" w:color="CCECFF"/>
            </w:tcBorders>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492,974,243</w:t>
            </w:r>
          </w:p>
        </w:tc>
        <w:tc>
          <w:tcPr>
            <w:tcW w:w="14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469,829,274</w:t>
            </w:r>
          </w:p>
        </w:tc>
        <w:tc>
          <w:tcPr>
            <w:tcW w:w="100" w:type="dxa"/>
            <w:vAlign w:val="bottom"/>
            <w:tcBorders>
              <w:bottom w:val="single" w:sz="8" w:color="CCECFF"/>
            </w:tcBorders>
            <w:shd w:val="clear" w:color="auto" w:fill="CCECFF"/>
          </w:tcPr>
          <w:p>
            <w:pPr>
              <w:spacing w:after="0"/>
              <w:rPr>
                <w:sz w:val="13"/>
                <w:szCs w:val="13"/>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CASH FLOWS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Net increase (decrease) in net assets resulting from operations</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37,803,933</w:t>
            </w:r>
          </w:p>
        </w:tc>
        <w:tc>
          <w:tcPr>
            <w:tcW w:w="28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(11,128,155)</w:t>
            </w:r>
          </w:p>
        </w:tc>
        <w:tc>
          <w:tcPr>
            <w:tcW w:w="0" w:type="dxa"/>
            <w:vAlign w:val="bottom"/>
          </w:tcPr>
          <w:p>
            <w:pPr>
              <w:spacing w:after="0"/>
              <w:rPr>
                <w:sz w:val="1"/>
                <w:szCs w:val="1"/>
                <w:color w:val="auto"/>
              </w:rPr>
            </w:pPr>
          </w:p>
        </w:tc>
      </w:tr>
      <w:tr>
        <w:trPr>
          <w:trHeight w:val="143"/>
        </w:trPr>
        <w:tc>
          <w:tcPr>
            <w:tcW w:w="7720" w:type="dxa"/>
            <w:vAlign w:val="bottom"/>
            <w:shd w:val="clear" w:color="auto" w:fill="CCECFF"/>
          </w:tcPr>
          <w:p>
            <w:pPr>
              <w:ind w:left="260"/>
              <w:spacing w:after="0" w:line="143" w:lineRule="exact"/>
              <w:rPr>
                <w:sz w:val="20"/>
                <w:szCs w:val="20"/>
                <w:color w:val="auto"/>
              </w:rPr>
            </w:pPr>
            <w:r>
              <w:rPr>
                <w:rFonts w:ascii="Arial" w:cs="Arial" w:eastAsia="Arial" w:hAnsi="Arial"/>
                <w:sz w:val="14"/>
                <w:szCs w:val="14"/>
                <w:color w:val="auto"/>
              </w:rPr>
              <w:t>Adjustments to reconcile net increase (decrease) in net assets resulting from operations to net cash</w:t>
            </w: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shd w:val="clear" w:color="auto" w:fill="CCECFF"/>
          </w:tcPr>
          <w:p>
            <w:pPr>
              <w:ind w:left="360"/>
              <w:spacing w:after="0"/>
              <w:rPr>
                <w:sz w:val="20"/>
                <w:szCs w:val="20"/>
                <w:color w:val="auto"/>
              </w:rPr>
            </w:pPr>
            <w:r>
              <w:rPr>
                <w:rFonts w:ascii="Arial" w:cs="Arial" w:eastAsia="Arial" w:hAnsi="Arial"/>
                <w:sz w:val="14"/>
                <w:szCs w:val="14"/>
                <w:color w:val="auto"/>
              </w:rPr>
              <w:t>provided by (used in) operating activities: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Net change in unrealized (appreciation) depreciation on investments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(34,606,642)</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68,307,603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change in unrealized appreciation (depreciation) on debt</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14,548,894</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(34,899,235)</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Net realized loss on investments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2,286,086</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586,972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accretion of discount and amortization of premium</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(1,355,492)</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(887,519)</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Purchases of investments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(227,201,031)</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(406,983,072)</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Payment-in-kind interest</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(2,055,853)</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(1,089,736)</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Proceeds from dispositions of investments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281,669,989</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243,107,247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Amortization of deferred financing costs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330,906</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229,072</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Decrease (increase) in interest receivable</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855,069</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(254,533)</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Increase in receivable for investments sold</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(6,052,454)</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Decrease (increase) in prepaid expenses and other assets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173,318</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(22,842)</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Increase (decrease) in payable for investments purchased</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46,669,362</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(12,033,794)</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(Decrease) increase in interest payable on debt</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(574,515)</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1,627,778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(Decrease) increase in base management fee payable</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(142,763)</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220,921</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(Decrease) increase in performance-based incentive fee payable</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(769,597)</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404,820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Increase (decrease) in accrued other expenses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119,512</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(82,519)</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ind w:left="740"/>
              <w:spacing w:after="0" w:line="155" w:lineRule="exact"/>
              <w:rPr>
                <w:sz w:val="20"/>
                <w:szCs w:val="20"/>
                <w:color w:val="auto"/>
              </w:rPr>
            </w:pPr>
            <w:r>
              <w:rPr>
                <w:rFonts w:ascii="Arial" w:cs="Arial" w:eastAsia="Arial" w:hAnsi="Arial"/>
                <w:sz w:val="14"/>
                <w:szCs w:val="14"/>
                <w:color w:val="auto"/>
              </w:rPr>
              <w:t>Net cash provided by (used in) operating activities</w:t>
            </w: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117,751,176</w:t>
            </w:r>
          </w:p>
        </w:tc>
        <w:tc>
          <w:tcPr>
            <w:tcW w:w="28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(158,949,446)</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Distributions paid to stockholders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(22,100,082)</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(22,100,082)</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Repayment of 2023 Notes (See Notes 5 and 10)</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(20,786,979)</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Proceeds from 2026 Notes issuance (See Note 10)</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96,841,000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Borrowings under Credit Facility (See Notes 5 and 10)</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113,500,000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245,000,000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Repayments under Credit Facility (See Notes 5 and 10)</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(275,198,500)</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(97,000,000)</w:t>
            </w:r>
          </w:p>
        </w:tc>
        <w:tc>
          <w:tcPr>
            <w:tcW w:w="0" w:type="dxa"/>
            <w:vAlign w:val="bottom"/>
          </w:tcPr>
          <w:p>
            <w:pPr>
              <w:spacing w:after="0"/>
              <w:rPr>
                <w:sz w:val="1"/>
                <w:szCs w:val="1"/>
                <w:color w:val="auto"/>
              </w:rPr>
            </w:pPr>
          </w:p>
        </w:tc>
      </w:tr>
      <w:tr>
        <w:trPr>
          <w:trHeight w:val="156"/>
        </w:trPr>
        <w:tc>
          <w:tcPr>
            <w:tcW w:w="7720" w:type="dxa"/>
            <w:vAlign w:val="bottom"/>
            <w:tcBorders>
              <w:top w:val="single" w:sz="8" w:color="CCECFF"/>
            </w:tcBorders>
            <w:shd w:val="clear" w:color="auto" w:fill="CCECFF"/>
          </w:tcPr>
          <w:p>
            <w:pPr>
              <w:ind w:left="740"/>
              <w:spacing w:after="0" w:line="155" w:lineRule="exact"/>
              <w:rPr>
                <w:sz w:val="20"/>
                <w:szCs w:val="20"/>
                <w:color w:val="auto"/>
              </w:rPr>
            </w:pPr>
            <w:r>
              <w:rPr>
                <w:rFonts w:ascii="Arial" w:cs="Arial" w:eastAsia="Arial" w:hAnsi="Arial"/>
                <w:sz w:val="14"/>
                <w:szCs w:val="14"/>
                <w:color w:val="auto"/>
              </w:rPr>
              <w:t>Net cash (used in) provided by financing activities</w:t>
            </w: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(107,744,561)</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125,899,918</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Net increase (decrease) in cash and cash equivalents</w:t>
            </w:r>
          </w:p>
        </w:tc>
        <w:tc>
          <w:tcPr>
            <w:tcW w:w="36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10,006,615</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(33,049,528)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Effect of exchange rate changes on cash</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(945,732)</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(294,448)</w:t>
            </w: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tcPr>
          <w:p>
            <w:pPr>
              <w:spacing w:after="0"/>
              <w:rPr>
                <w:sz w:val="20"/>
                <w:szCs w:val="20"/>
                <w:color w:val="auto"/>
              </w:rPr>
            </w:pPr>
            <w:r>
              <w:rPr>
                <w:rFonts w:ascii="Arial" w:cs="Arial" w:eastAsia="Arial" w:hAnsi="Arial"/>
                <w:sz w:val="14"/>
                <w:szCs w:val="14"/>
                <w:b w:val="1"/>
                <w:bCs w:val="1"/>
                <w:color w:val="auto"/>
              </w:rPr>
              <w:t>Cash and cash equivalents, beginning of period</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57,511,928</w:t>
            </w:r>
          </w:p>
        </w:tc>
        <w:tc>
          <w:tcPr>
            <w:tcW w:w="280" w:type="dxa"/>
            <w:vAlign w:val="bottom"/>
            <w:tcBorders>
              <w:bottom w:val="single" w:sz="8" w:color="CCEC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63,337,728</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and cash equivalents, end of period</w:t>
            </w: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66,572,811</w:t>
            </w:r>
          </w:p>
        </w:tc>
        <w:tc>
          <w:tcPr>
            <w:tcW w:w="280" w:type="dxa"/>
            <w:vAlign w:val="bottom"/>
            <w:tcBorders>
              <w:bottom w:val="single" w:sz="8" w:color="CCECFF"/>
            </w:tcBorders>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29,993,752</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shd w:val="clear" w:color="auto" w:fill="CCECFF"/>
          </w:tcPr>
          <w:p>
            <w:pPr>
              <w:ind w:left="260"/>
              <w:spacing w:after="0"/>
              <w:rPr>
                <w:sz w:val="20"/>
                <w:szCs w:val="20"/>
                <w:color w:val="auto"/>
              </w:rPr>
            </w:pPr>
            <w:r>
              <w:rPr>
                <w:rFonts w:ascii="Arial" w:cs="Arial" w:eastAsia="Arial" w:hAnsi="Arial"/>
                <w:sz w:val="14"/>
                <w:szCs w:val="14"/>
                <w:color w:val="auto"/>
              </w:rPr>
              <w:t>Interest paid</w:t>
            </w:r>
          </w:p>
        </w:tc>
        <w:tc>
          <w:tcPr>
            <w:tcW w:w="360" w:type="dxa"/>
            <w:vAlign w:val="bottom"/>
            <w:tcBorders>
              <w:bottom w:val="single" w:sz="8" w:color="auto"/>
            </w:tcBorders>
            <w:shd w:val="clear" w:color="auto" w:fill="CCEC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10,366,064</w:t>
            </w:r>
          </w:p>
        </w:tc>
        <w:tc>
          <w:tcPr>
            <w:tcW w:w="280" w:type="dxa"/>
            <w:vAlign w:val="bottom"/>
            <w:tcBorders>
              <w:bottom w:val="single" w:sz="8" w:color="CCECFF"/>
            </w:tcBorders>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13,076,964</w:t>
            </w:r>
          </w:p>
        </w:tc>
        <w:tc>
          <w:tcPr>
            <w:tcW w:w="12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4"/>
                <w:szCs w:val="14"/>
                <w:color w:val="auto"/>
              </w:rPr>
              <w:t>Taxes paid</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720" w:type="dxa"/>
            <w:vAlign w:val="bottom"/>
            <w:tcBorders>
              <w:bottom w:val="single" w:sz="8" w:color="CCECFF"/>
            </w:tcBorders>
            <w:vMerge w:val="continue"/>
          </w:tcPr>
          <w:p>
            <w:pPr>
              <w:spacing w:after="0"/>
              <w:rPr>
                <w:sz w:val="15"/>
                <w:szCs w:val="15"/>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403,761</w:t>
            </w:r>
          </w:p>
        </w:tc>
        <w:tc>
          <w:tcPr>
            <w:tcW w:w="280" w:type="dxa"/>
            <w:vAlign w:val="bottom"/>
            <w:tcBorders>
              <w:bottom w:val="single" w:sz="8" w:color="CCECFF"/>
            </w:tcBorders>
          </w:tcPr>
          <w:p>
            <w:pPr>
              <w:spacing w:after="0"/>
              <w:rPr>
                <w:sz w:val="15"/>
                <w:szCs w:val="15"/>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501,633</w:t>
            </w:r>
          </w:p>
        </w:tc>
        <w:tc>
          <w:tcPr>
            <w:tcW w:w="12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720" w:type="dxa"/>
            <w:vAlign w:val="bottom"/>
            <w:tcBorders>
              <w:bottom w:val="single" w:sz="8" w:color="CCECFF"/>
            </w:tcBorders>
            <w:shd w:val="clear" w:color="auto" w:fill="CCECFF"/>
          </w:tcPr>
          <w:p>
            <w:pPr>
              <w:ind w:left="260"/>
              <w:spacing w:after="0" w:line="143" w:lineRule="exact"/>
              <w:rPr>
                <w:sz w:val="20"/>
                <w:szCs w:val="20"/>
                <w:color w:val="auto"/>
              </w:rPr>
            </w:pPr>
            <w:r>
              <w:rPr>
                <w:rFonts w:ascii="Arial" w:cs="Arial" w:eastAsia="Arial" w:hAnsi="Arial"/>
                <w:sz w:val="14"/>
                <w:szCs w:val="14"/>
                <w:color w:val="auto"/>
              </w:rPr>
              <w:t>Non-cash exchanges and conversions</w:t>
            </w:r>
          </w:p>
        </w:tc>
        <w:tc>
          <w:tcPr>
            <w:tcW w:w="360" w:type="dxa"/>
            <w:vAlign w:val="bottom"/>
            <w:tcBorders>
              <w:bottom w:val="single" w:sz="8" w:color="auto"/>
            </w:tcBorders>
            <w:shd w:val="clear" w:color="auto" w:fill="CCECFF"/>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20,334,379</w:t>
            </w:r>
          </w:p>
        </w:tc>
        <w:tc>
          <w:tcPr>
            <w:tcW w:w="280" w:type="dxa"/>
            <w:vAlign w:val="bottom"/>
            <w:tcBorders>
              <w:bottom w:val="single" w:sz="8" w:color="CCECFF"/>
            </w:tcBorders>
            <w:shd w:val="clear" w:color="auto" w:fill="CCECFF"/>
          </w:tcPr>
          <w:p>
            <w:pPr>
              <w:spacing w:after="0"/>
              <w:rPr>
                <w:sz w:val="12"/>
                <w:szCs w:val="12"/>
                <w:color w:val="auto"/>
              </w:rPr>
            </w:pPr>
          </w:p>
        </w:tc>
        <w:tc>
          <w:tcPr>
            <w:tcW w:w="360" w:type="dxa"/>
            <w:vAlign w:val="bottom"/>
            <w:tcBorders>
              <w:bottom w:val="single" w:sz="8" w:color="auto"/>
            </w:tcBorders>
            <w:shd w:val="clear" w:color="auto" w:fill="CCECFF"/>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8,025,882</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1" w:lineRule="auto"/>
        <w:rPr>
          <w:sz w:val="20"/>
          <w:szCs w:val="20"/>
          <w:color w:val="auto"/>
        </w:rPr>
      </w:pPr>
      <w:r>
        <w:rPr>
          <w:rFonts w:ascii="Arial" w:cs="Arial" w:eastAsia="Arial" w:hAnsi="Arial"/>
          <w:sz w:val="14"/>
          <w:szCs w:val="14"/>
          <w:b w:val="1"/>
          <w:bCs w:val="1"/>
          <w:color w:val="auto"/>
        </w:rPr>
        <w:t>MARCH 31,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3"/>
              </w:rPr>
              <w:t>Basis Point</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3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1"/>
              </w:rPr>
              <w:t>Spread</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1"/>
        </w:trPr>
        <w:tc>
          <w:tcPr>
            <w:tcW w:w="3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right"/>
              <w:ind w:right="440"/>
              <w:spacing w:after="0" w:line="122" w:lineRule="exact"/>
              <w:rPr>
                <w:sz w:val="20"/>
                <w:szCs w:val="20"/>
                <w:color w:val="auto"/>
              </w:rPr>
            </w:pPr>
            <w:r>
              <w:rPr>
                <w:rFonts w:ascii="Arial" w:cs="Arial" w:eastAsia="Arial" w:hAnsi="Arial"/>
                <w:sz w:val="11"/>
                <w:szCs w:val="11"/>
                <w:b w:val="1"/>
                <w:bCs w:val="1"/>
                <w:color w:val="auto"/>
              </w:rPr>
              <w:t>Current</w:t>
            </w:r>
          </w:p>
        </w:tc>
        <w:tc>
          <w:tcPr>
            <w:tcW w:w="9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Above</w:t>
            </w:r>
          </w:p>
        </w:tc>
        <w:tc>
          <w:tcPr>
            <w:tcW w:w="68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b w:val="1"/>
                <w:bCs w:val="1"/>
                <w:color w:val="auto"/>
              </w:rPr>
              <w:t>Issuer Name</w:t>
            </w:r>
          </w:p>
        </w:tc>
        <w:tc>
          <w:tcPr>
            <w:tcW w:w="800" w:type="dxa"/>
            <w:vAlign w:val="bottom"/>
          </w:tcPr>
          <w:p>
            <w:pPr>
              <w:jc w:val="center"/>
              <w:ind w:left="6"/>
              <w:spacing w:after="0"/>
              <w:rPr>
                <w:sz w:val="20"/>
                <w:szCs w:val="20"/>
                <w:color w:val="auto"/>
              </w:rPr>
            </w:pPr>
            <w:r>
              <w:rPr>
                <w:rFonts w:ascii="Arial" w:cs="Arial" w:eastAsia="Arial" w:hAnsi="Arial"/>
                <w:sz w:val="11"/>
                <w:szCs w:val="11"/>
                <w:b w:val="1"/>
                <w:bCs w:val="1"/>
                <w:color w:val="auto"/>
                <w:w w:val="98"/>
              </w:rPr>
              <w:t>Maturity</w:t>
            </w:r>
          </w:p>
        </w:tc>
        <w:tc>
          <w:tcPr>
            <w:tcW w:w="25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2"/>
              </w:rPr>
              <w:t>Industry</w:t>
            </w:r>
          </w:p>
        </w:tc>
        <w:tc>
          <w:tcPr>
            <w:tcW w:w="940" w:type="dxa"/>
            <w:vAlign w:val="bottom"/>
            <w:gridSpan w:val="2"/>
          </w:tcPr>
          <w:p>
            <w:pPr>
              <w:jc w:val="right"/>
              <w:ind w:right="440"/>
              <w:spacing w:after="0"/>
              <w:rPr>
                <w:sz w:val="20"/>
                <w:szCs w:val="20"/>
                <w:color w:val="auto"/>
              </w:rPr>
            </w:pPr>
            <w:r>
              <w:rPr>
                <w:rFonts w:ascii="Arial" w:cs="Arial" w:eastAsia="Arial" w:hAnsi="Arial"/>
                <w:sz w:val="11"/>
                <w:szCs w:val="11"/>
                <w:b w:val="1"/>
                <w:bCs w:val="1"/>
                <w:color w:val="auto"/>
              </w:rPr>
              <w:t>Coupon</w:t>
            </w:r>
          </w:p>
        </w:tc>
        <w:tc>
          <w:tcPr>
            <w:tcW w:w="9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680" w:type="dxa"/>
            <w:vAlign w:val="bottom"/>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40" w:type="dxa"/>
            <w:vAlign w:val="bottom"/>
          </w:tcPr>
          <w:p>
            <w:pPr>
              <w:spacing w:after="0"/>
              <w:rPr>
                <w:sz w:val="11"/>
                <w:szCs w:val="11"/>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9"/>
                <w:szCs w:val="9"/>
                <w:b w:val="1"/>
                <w:bCs w:val="1"/>
                <w:color w:val="auto"/>
                <w:w w:val="92"/>
              </w:rPr>
              <w:t>(2)</w:t>
            </w:r>
          </w:p>
        </w:tc>
      </w:tr>
      <w:tr>
        <w:trPr>
          <w:trHeight w:val="128"/>
        </w:trPr>
        <w:tc>
          <w:tcPr>
            <w:tcW w:w="416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1"/>
                <w:szCs w:val="11"/>
                <w:b w:val="1"/>
                <w:bCs w:val="1"/>
                <w:color w:val="auto"/>
                <w:w w:val="96"/>
              </w:rPr>
              <w:t xml:space="preserve">Investments in Non-Controlled, Non-Affiliated Portfolio Companies—175.8% </w:t>
            </w:r>
            <w:r>
              <w:rPr>
                <w:rFonts w:ascii="Arial" w:cs="Arial" w:eastAsia="Arial" w:hAnsi="Arial"/>
                <w:sz w:val="9"/>
                <w:szCs w:val="9"/>
                <w:b w:val="1"/>
                <w:bCs w:val="1"/>
                <w:color w:val="auto"/>
                <w:w w:val="96"/>
              </w:rPr>
              <w:t>(3), (4)</w:t>
            </w:r>
          </w:p>
        </w:tc>
        <w:tc>
          <w:tcPr>
            <w:tcW w:w="244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8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b w:val="1"/>
                <w:bCs w:val="1"/>
                <w:color w:val="auto"/>
              </w:rPr>
              <w:t>First Lien Secured Debt—154.0%</w:t>
            </w:r>
          </w:p>
        </w:tc>
        <w:tc>
          <w:tcPr>
            <w:tcW w:w="8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18 Freemont Street Acquisition, LLC</w:t>
            </w:r>
          </w:p>
        </w:tc>
        <w:tc>
          <w:tcPr>
            <w:tcW w:w="800" w:type="dxa"/>
            <w:vAlign w:val="bottom"/>
            <w:shd w:val="clear" w:color="auto" w:fill="CCECFF"/>
          </w:tcPr>
          <w:p>
            <w:pPr>
              <w:jc w:val="center"/>
              <w:ind w:left="6"/>
              <w:spacing w:after="0"/>
              <w:rPr>
                <w:sz w:val="20"/>
                <w:szCs w:val="20"/>
                <w:color w:val="auto"/>
              </w:rPr>
            </w:pPr>
            <w:r>
              <w:rPr>
                <w:rFonts w:ascii="Arial" w:cs="Arial" w:eastAsia="Arial" w:hAnsi="Arial"/>
                <w:sz w:val="11"/>
                <w:szCs w:val="11"/>
                <w:color w:val="auto"/>
                <w:w w:val="90"/>
              </w:rPr>
              <w:t>08/11/2025</w:t>
            </w:r>
          </w:p>
        </w:tc>
        <w:tc>
          <w:tcPr>
            <w:tcW w:w="2580" w:type="dxa"/>
            <w:vAlign w:val="bottom"/>
            <w:gridSpan w:val="2"/>
            <w:shd w:val="clear" w:color="auto" w:fill="CCECFF"/>
          </w:tcPr>
          <w:p>
            <w:pPr>
              <w:jc w:val="center"/>
              <w:ind w:right="80"/>
              <w:spacing w:after="0"/>
              <w:rPr>
                <w:sz w:val="20"/>
                <w:szCs w:val="20"/>
                <w:color w:val="auto"/>
              </w:rPr>
            </w:pPr>
            <w:r>
              <w:rPr>
                <w:rFonts w:ascii="Arial" w:cs="Arial" w:eastAsia="Arial" w:hAnsi="Arial"/>
                <w:sz w:val="11"/>
                <w:szCs w:val="11"/>
                <w:color w:val="auto"/>
                <w:w w:val="87"/>
              </w:rPr>
              <w:t>Hotels, Restaurants and Leisure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L+800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6,697,697</w:t>
            </w:r>
          </w:p>
        </w:tc>
        <w:tc>
          <w:tcPr>
            <w:tcW w:w="36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6,590,489</w:t>
            </w:r>
          </w:p>
        </w:tc>
        <w:tc>
          <w:tcPr>
            <w:tcW w:w="360" w:type="dxa"/>
            <w:vAlign w:val="bottom"/>
            <w:gridSpan w:val="2"/>
            <w:shd w:val="clear" w:color="auto" w:fill="CCECFF"/>
          </w:tcPr>
          <w:p>
            <w:pPr>
              <w:jc w:val="right"/>
              <w:ind w:right="6"/>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6,764,674</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Altamira Technologies, LLC</w:t>
            </w:r>
          </w:p>
        </w:tc>
        <w:tc>
          <w:tcPr>
            <w:tcW w:w="800" w:type="dxa"/>
            <w:vAlign w:val="bottom"/>
          </w:tcPr>
          <w:p>
            <w:pPr>
              <w:jc w:val="center"/>
              <w:ind w:left="6"/>
              <w:spacing w:after="0"/>
              <w:rPr>
                <w:sz w:val="20"/>
                <w:szCs w:val="20"/>
                <w:color w:val="auto"/>
              </w:rPr>
            </w:pPr>
            <w:r>
              <w:rPr>
                <w:rFonts w:ascii="Arial" w:cs="Arial" w:eastAsia="Arial" w:hAnsi="Arial"/>
                <w:sz w:val="11"/>
                <w:szCs w:val="11"/>
                <w:color w:val="auto"/>
                <w:w w:val="90"/>
              </w:rPr>
              <w:t>07/24/2025</w:t>
            </w:r>
          </w:p>
        </w:tc>
        <w:tc>
          <w:tcPr>
            <w:tcW w:w="2580" w:type="dxa"/>
            <w:vAlign w:val="bottom"/>
            <w:gridSpan w:val="2"/>
          </w:tcPr>
          <w:p>
            <w:pPr>
              <w:jc w:val="center"/>
              <w:ind w:right="8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8.00%</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3M L+700</w:t>
            </w:r>
          </w:p>
        </w:tc>
        <w:tc>
          <w:tcPr>
            <w:tcW w:w="680" w:type="dxa"/>
            <w:vAlign w:val="bottom"/>
          </w:tcPr>
          <w:p>
            <w:pPr>
              <w:jc w:val="right"/>
              <w:spacing w:after="0"/>
              <w:rPr>
                <w:sz w:val="20"/>
                <w:szCs w:val="20"/>
                <w:color w:val="auto"/>
              </w:rPr>
            </w:pPr>
            <w:r>
              <w:rPr>
                <w:rFonts w:ascii="Arial" w:cs="Arial" w:eastAsia="Arial" w:hAnsi="Arial"/>
                <w:sz w:val="11"/>
                <w:szCs w:val="11"/>
                <w:color w:val="auto"/>
              </w:rPr>
              <w:t>5,206,625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5,146,716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5,011,376</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Altamira Technologies, LLC (Revolver) </w:t>
            </w:r>
            <w:r>
              <w:rPr>
                <w:rFonts w:ascii="Arial" w:cs="Arial" w:eastAsia="Arial" w:hAnsi="Arial"/>
                <w:sz w:val="9"/>
                <w:szCs w:val="9"/>
                <w:color w:val="auto"/>
              </w:rPr>
              <w:t>(7)</w:t>
            </w:r>
          </w:p>
        </w:tc>
        <w:tc>
          <w:tcPr>
            <w:tcW w:w="800" w:type="dxa"/>
            <w:vAlign w:val="bottom"/>
            <w:shd w:val="clear" w:color="auto" w:fill="CCECFF"/>
          </w:tcPr>
          <w:p>
            <w:pPr>
              <w:jc w:val="center"/>
              <w:ind w:left="6"/>
              <w:spacing w:after="0"/>
              <w:rPr>
                <w:sz w:val="20"/>
                <w:szCs w:val="20"/>
                <w:color w:val="auto"/>
              </w:rPr>
            </w:pPr>
            <w:r>
              <w:rPr>
                <w:rFonts w:ascii="Arial" w:cs="Arial" w:eastAsia="Arial" w:hAnsi="Arial"/>
                <w:sz w:val="11"/>
                <w:szCs w:val="11"/>
                <w:color w:val="auto"/>
                <w:w w:val="90"/>
              </w:rPr>
              <w:t>07/24/2025</w:t>
            </w:r>
          </w:p>
        </w:tc>
        <w:tc>
          <w:tcPr>
            <w:tcW w:w="2580" w:type="dxa"/>
            <w:vAlign w:val="bottom"/>
            <w:gridSpan w:val="2"/>
            <w:shd w:val="clear" w:color="auto" w:fill="CCECFF"/>
          </w:tcPr>
          <w:p>
            <w:pPr>
              <w:jc w:val="center"/>
              <w:ind w:right="8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L+700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575,000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575,000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553,437</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Altamira Technologies, LLC (Revolver) </w:t>
            </w:r>
            <w:r>
              <w:rPr>
                <w:rFonts w:ascii="Arial" w:cs="Arial" w:eastAsia="Arial" w:hAnsi="Arial"/>
                <w:sz w:val="9"/>
                <w:szCs w:val="9"/>
                <w:color w:val="auto"/>
              </w:rPr>
              <w:t>(7), (9)</w:t>
            </w:r>
          </w:p>
        </w:tc>
        <w:tc>
          <w:tcPr>
            <w:tcW w:w="800" w:type="dxa"/>
            <w:vAlign w:val="bottom"/>
          </w:tcPr>
          <w:p>
            <w:pPr>
              <w:jc w:val="center"/>
              <w:ind w:left="6"/>
              <w:spacing w:after="0"/>
              <w:rPr>
                <w:sz w:val="20"/>
                <w:szCs w:val="20"/>
                <w:color w:val="auto"/>
              </w:rPr>
            </w:pPr>
            <w:r>
              <w:rPr>
                <w:rFonts w:ascii="Arial" w:cs="Arial" w:eastAsia="Arial" w:hAnsi="Arial"/>
                <w:sz w:val="11"/>
                <w:szCs w:val="11"/>
                <w:color w:val="auto"/>
                <w:w w:val="90"/>
              </w:rPr>
              <w:t>07/24/2025</w:t>
            </w:r>
          </w:p>
        </w:tc>
        <w:tc>
          <w:tcPr>
            <w:tcW w:w="2580" w:type="dxa"/>
            <w:vAlign w:val="bottom"/>
            <w:gridSpan w:val="2"/>
          </w:tcPr>
          <w:p>
            <w:pPr>
              <w:jc w:val="center"/>
              <w:ind w:right="8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1,581,250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(59,297)</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American Auto Auction Group, LLC</w:t>
            </w:r>
          </w:p>
        </w:tc>
        <w:tc>
          <w:tcPr>
            <w:tcW w:w="800" w:type="dxa"/>
            <w:vAlign w:val="bottom"/>
            <w:shd w:val="clear" w:color="auto" w:fill="CCECFF"/>
          </w:tcPr>
          <w:p>
            <w:pPr>
              <w:jc w:val="center"/>
              <w:ind w:left="6"/>
              <w:spacing w:after="0"/>
              <w:rPr>
                <w:sz w:val="20"/>
                <w:szCs w:val="20"/>
                <w:color w:val="auto"/>
              </w:rPr>
            </w:pPr>
            <w:r>
              <w:rPr>
                <w:rFonts w:ascii="Arial" w:cs="Arial" w:eastAsia="Arial" w:hAnsi="Arial"/>
                <w:sz w:val="11"/>
                <w:szCs w:val="11"/>
                <w:color w:val="auto"/>
                <w:w w:val="90"/>
              </w:rPr>
              <w:t>01/02/2024</w:t>
            </w:r>
          </w:p>
        </w:tc>
        <w:tc>
          <w:tcPr>
            <w:tcW w:w="2580" w:type="dxa"/>
            <w:vAlign w:val="bottom"/>
            <w:gridSpan w:val="2"/>
            <w:shd w:val="clear" w:color="auto" w:fill="CCECFF"/>
          </w:tcPr>
          <w:p>
            <w:pPr>
              <w:jc w:val="center"/>
              <w:ind w:right="80"/>
              <w:spacing w:after="0"/>
              <w:rPr>
                <w:sz w:val="20"/>
                <w:szCs w:val="20"/>
                <w:color w:val="auto"/>
              </w:rPr>
            </w:pPr>
            <w:r>
              <w:rPr>
                <w:rFonts w:ascii="Arial" w:cs="Arial" w:eastAsia="Arial" w:hAnsi="Arial"/>
                <w:sz w:val="11"/>
                <w:szCs w:val="11"/>
                <w:color w:val="auto"/>
                <w:w w:val="89"/>
              </w:rPr>
              <w:t>Transportation: Consumer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5.75%</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L+475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6,829,816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6,776,332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6,624,922</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American Insulated Glass, LLC</w:t>
            </w:r>
          </w:p>
        </w:tc>
        <w:tc>
          <w:tcPr>
            <w:tcW w:w="800" w:type="dxa"/>
            <w:vAlign w:val="bottom"/>
          </w:tcPr>
          <w:p>
            <w:pPr>
              <w:jc w:val="center"/>
              <w:ind w:left="6"/>
              <w:spacing w:after="0"/>
              <w:rPr>
                <w:sz w:val="20"/>
                <w:szCs w:val="20"/>
                <w:color w:val="auto"/>
              </w:rPr>
            </w:pPr>
            <w:r>
              <w:rPr>
                <w:rFonts w:ascii="Arial" w:cs="Arial" w:eastAsia="Arial" w:hAnsi="Arial"/>
                <w:sz w:val="11"/>
                <w:szCs w:val="11"/>
                <w:color w:val="auto"/>
                <w:w w:val="90"/>
              </w:rPr>
              <w:t>12/21/2023</w:t>
            </w:r>
          </w:p>
        </w:tc>
        <w:tc>
          <w:tcPr>
            <w:tcW w:w="2580" w:type="dxa"/>
            <w:vAlign w:val="bottom"/>
            <w:gridSpan w:val="2"/>
          </w:tcPr>
          <w:p>
            <w:pPr>
              <w:jc w:val="center"/>
              <w:ind w:right="80"/>
              <w:spacing w:after="0"/>
              <w:rPr>
                <w:sz w:val="20"/>
                <w:szCs w:val="20"/>
                <w:color w:val="auto"/>
              </w:rPr>
            </w:pPr>
            <w:r>
              <w:rPr>
                <w:rFonts w:ascii="Arial" w:cs="Arial" w:eastAsia="Arial" w:hAnsi="Arial"/>
                <w:sz w:val="11"/>
                <w:szCs w:val="11"/>
                <w:color w:val="auto"/>
                <w:w w:val="91"/>
              </w:rPr>
              <w:t>Building Products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8,950,175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8,845,668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8,860,673</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American Teleconferencing Services, Ltd.</w:t>
            </w:r>
          </w:p>
        </w:tc>
        <w:tc>
          <w:tcPr>
            <w:tcW w:w="800" w:type="dxa"/>
            <w:vAlign w:val="bottom"/>
            <w:shd w:val="clear" w:color="auto" w:fill="CCECFF"/>
          </w:tcPr>
          <w:p>
            <w:pPr>
              <w:jc w:val="center"/>
              <w:ind w:left="6"/>
              <w:spacing w:after="0"/>
              <w:rPr>
                <w:sz w:val="20"/>
                <w:szCs w:val="20"/>
                <w:color w:val="auto"/>
              </w:rPr>
            </w:pPr>
            <w:r>
              <w:rPr>
                <w:rFonts w:ascii="Arial" w:cs="Arial" w:eastAsia="Arial" w:hAnsi="Arial"/>
                <w:sz w:val="11"/>
                <w:szCs w:val="11"/>
                <w:color w:val="auto"/>
                <w:w w:val="90"/>
              </w:rPr>
              <w:t>06/08/2023</w:t>
            </w:r>
          </w:p>
        </w:tc>
        <w:tc>
          <w:tcPr>
            <w:tcW w:w="2580" w:type="dxa"/>
            <w:vAlign w:val="bottom"/>
            <w:gridSpan w:val="2"/>
            <w:shd w:val="clear" w:color="auto" w:fill="CCECFF"/>
          </w:tcPr>
          <w:p>
            <w:pPr>
              <w:jc w:val="center"/>
              <w:ind w:right="8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9,642,556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9,553,435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7,521,194</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Apex Service Partners, LLC</w:t>
            </w:r>
          </w:p>
        </w:tc>
        <w:tc>
          <w:tcPr>
            <w:tcW w:w="800" w:type="dxa"/>
            <w:vAlign w:val="bottom"/>
          </w:tcPr>
          <w:p>
            <w:pPr>
              <w:jc w:val="center"/>
              <w:ind w:left="6"/>
              <w:spacing w:after="0"/>
              <w:rPr>
                <w:sz w:val="20"/>
                <w:szCs w:val="20"/>
                <w:color w:val="auto"/>
              </w:rPr>
            </w:pPr>
            <w:r>
              <w:rPr>
                <w:rFonts w:ascii="Arial" w:cs="Arial" w:eastAsia="Arial" w:hAnsi="Arial"/>
                <w:sz w:val="11"/>
                <w:szCs w:val="11"/>
                <w:color w:val="auto"/>
                <w:w w:val="90"/>
              </w:rPr>
              <w:t>07/31/2025</w:t>
            </w:r>
          </w:p>
        </w:tc>
        <w:tc>
          <w:tcPr>
            <w:tcW w:w="2580" w:type="dxa"/>
            <w:vAlign w:val="bottom"/>
            <w:gridSpan w:val="2"/>
          </w:tcPr>
          <w:p>
            <w:pPr>
              <w:jc w:val="center"/>
              <w:ind w:right="80"/>
              <w:spacing w:after="0"/>
              <w:rPr>
                <w:sz w:val="20"/>
                <w:szCs w:val="20"/>
                <w:color w:val="auto"/>
              </w:rPr>
            </w:pPr>
            <w:r>
              <w:rPr>
                <w:rFonts w:ascii="Arial" w:cs="Arial" w:eastAsia="Arial" w:hAnsi="Arial"/>
                <w:sz w:val="11"/>
                <w:szCs w:val="11"/>
                <w:color w:val="auto"/>
                <w:w w:val="87"/>
              </w:rPr>
              <w:t>Energy Equipment and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6.25%</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1M L+525</w:t>
            </w:r>
          </w:p>
        </w:tc>
        <w:tc>
          <w:tcPr>
            <w:tcW w:w="680" w:type="dxa"/>
            <w:vAlign w:val="bottom"/>
          </w:tcPr>
          <w:p>
            <w:pPr>
              <w:jc w:val="right"/>
              <w:spacing w:after="0"/>
              <w:rPr>
                <w:sz w:val="20"/>
                <w:szCs w:val="20"/>
                <w:color w:val="auto"/>
              </w:rPr>
            </w:pPr>
            <w:r>
              <w:rPr>
                <w:rFonts w:ascii="Arial" w:cs="Arial" w:eastAsia="Arial" w:hAnsi="Arial"/>
                <w:sz w:val="11"/>
                <w:szCs w:val="11"/>
                <w:color w:val="auto"/>
              </w:rPr>
              <w:t>7,110,037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7,047,848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7,110,037</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Apex Service Partners, LLC Term Loan B</w:t>
            </w:r>
          </w:p>
        </w:tc>
        <w:tc>
          <w:tcPr>
            <w:tcW w:w="800" w:type="dxa"/>
            <w:vAlign w:val="bottom"/>
            <w:shd w:val="clear" w:color="auto" w:fill="CCECFF"/>
          </w:tcPr>
          <w:p>
            <w:pPr>
              <w:jc w:val="center"/>
              <w:ind w:left="6"/>
              <w:spacing w:after="0"/>
              <w:rPr>
                <w:sz w:val="20"/>
                <w:szCs w:val="20"/>
                <w:color w:val="auto"/>
              </w:rPr>
            </w:pPr>
            <w:r>
              <w:rPr>
                <w:rFonts w:ascii="Arial" w:cs="Arial" w:eastAsia="Arial" w:hAnsi="Arial"/>
                <w:sz w:val="11"/>
                <w:szCs w:val="11"/>
                <w:color w:val="auto"/>
                <w:w w:val="90"/>
              </w:rPr>
              <w:t>07/31/2025</w:t>
            </w:r>
          </w:p>
        </w:tc>
        <w:tc>
          <w:tcPr>
            <w:tcW w:w="2580" w:type="dxa"/>
            <w:vAlign w:val="bottom"/>
            <w:gridSpan w:val="2"/>
            <w:shd w:val="clear" w:color="auto" w:fill="CCECFF"/>
          </w:tcPr>
          <w:p>
            <w:pPr>
              <w:jc w:val="center"/>
              <w:ind w:right="80"/>
              <w:spacing w:after="0"/>
              <w:rPr>
                <w:sz w:val="20"/>
                <w:szCs w:val="20"/>
                <w:color w:val="auto"/>
              </w:rPr>
            </w:pPr>
            <w:r>
              <w:rPr>
                <w:rFonts w:ascii="Arial" w:cs="Arial" w:eastAsia="Arial" w:hAnsi="Arial"/>
                <w:sz w:val="11"/>
                <w:szCs w:val="11"/>
                <w:color w:val="auto"/>
                <w:w w:val="87"/>
              </w:rPr>
              <w:t>Energy Equipment and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1,253,880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1,245,348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1,253,880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Apex Service Partners, LLC Term Loan B </w:t>
            </w:r>
            <w:r>
              <w:rPr>
                <w:rFonts w:ascii="Arial" w:cs="Arial" w:eastAsia="Arial" w:hAnsi="Arial"/>
                <w:sz w:val="9"/>
                <w:szCs w:val="9"/>
                <w:color w:val="auto"/>
              </w:rPr>
              <w:t>(9)</w:t>
            </w:r>
          </w:p>
        </w:tc>
        <w:tc>
          <w:tcPr>
            <w:tcW w:w="800" w:type="dxa"/>
            <w:vAlign w:val="bottom"/>
          </w:tcPr>
          <w:p>
            <w:pPr>
              <w:jc w:val="center"/>
              <w:ind w:left="6"/>
              <w:spacing w:after="0"/>
              <w:rPr>
                <w:sz w:val="20"/>
                <w:szCs w:val="20"/>
                <w:color w:val="auto"/>
              </w:rPr>
            </w:pPr>
            <w:r>
              <w:rPr>
                <w:rFonts w:ascii="Arial" w:cs="Arial" w:eastAsia="Arial" w:hAnsi="Arial"/>
                <w:sz w:val="11"/>
                <w:szCs w:val="11"/>
                <w:color w:val="auto"/>
                <w:w w:val="90"/>
              </w:rPr>
              <w:t>07/31/2021</w:t>
            </w:r>
          </w:p>
        </w:tc>
        <w:tc>
          <w:tcPr>
            <w:tcW w:w="2580" w:type="dxa"/>
            <w:vAlign w:val="bottom"/>
            <w:gridSpan w:val="2"/>
          </w:tcPr>
          <w:p>
            <w:pPr>
              <w:jc w:val="center"/>
              <w:ind w:right="80"/>
              <w:spacing w:after="0"/>
              <w:rPr>
                <w:sz w:val="20"/>
                <w:szCs w:val="20"/>
                <w:color w:val="auto"/>
              </w:rPr>
            </w:pPr>
            <w:r>
              <w:rPr>
                <w:rFonts w:ascii="Arial" w:cs="Arial" w:eastAsia="Arial" w:hAnsi="Arial"/>
                <w:sz w:val="11"/>
                <w:szCs w:val="11"/>
                <w:color w:val="auto"/>
                <w:w w:val="87"/>
              </w:rPr>
              <w:t>Energy Equipment and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612,116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API Technologies Corp.</w:t>
            </w:r>
          </w:p>
        </w:tc>
        <w:tc>
          <w:tcPr>
            <w:tcW w:w="800" w:type="dxa"/>
            <w:vAlign w:val="bottom"/>
            <w:shd w:val="clear" w:color="auto" w:fill="CCECFF"/>
          </w:tcPr>
          <w:p>
            <w:pPr>
              <w:jc w:val="center"/>
              <w:ind w:left="6"/>
              <w:spacing w:after="0"/>
              <w:rPr>
                <w:sz w:val="20"/>
                <w:szCs w:val="20"/>
                <w:color w:val="auto"/>
              </w:rPr>
            </w:pPr>
            <w:r>
              <w:rPr>
                <w:rFonts w:ascii="Arial" w:cs="Arial" w:eastAsia="Arial" w:hAnsi="Arial"/>
                <w:sz w:val="11"/>
                <w:szCs w:val="11"/>
                <w:color w:val="auto"/>
                <w:w w:val="90"/>
              </w:rPr>
              <w:t>05/11/2026</w:t>
            </w:r>
          </w:p>
        </w:tc>
        <w:tc>
          <w:tcPr>
            <w:tcW w:w="2580" w:type="dxa"/>
            <w:vAlign w:val="bottom"/>
            <w:gridSpan w:val="2"/>
            <w:shd w:val="clear" w:color="auto" w:fill="CCECFF"/>
          </w:tcPr>
          <w:p>
            <w:pPr>
              <w:jc w:val="center"/>
              <w:ind w:right="8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4.36%</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L+425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5,895,000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5,869,364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5,791,838</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Applied Technical Services, LLC</w:t>
            </w:r>
          </w:p>
        </w:tc>
        <w:tc>
          <w:tcPr>
            <w:tcW w:w="800" w:type="dxa"/>
            <w:vAlign w:val="bottom"/>
          </w:tcPr>
          <w:p>
            <w:pPr>
              <w:jc w:val="center"/>
              <w:ind w:left="6"/>
              <w:spacing w:after="0"/>
              <w:rPr>
                <w:sz w:val="20"/>
                <w:szCs w:val="20"/>
                <w:color w:val="auto"/>
              </w:rPr>
            </w:pPr>
            <w:r>
              <w:rPr>
                <w:rFonts w:ascii="Arial" w:cs="Arial" w:eastAsia="Arial" w:hAnsi="Arial"/>
                <w:sz w:val="11"/>
                <w:szCs w:val="11"/>
                <w:color w:val="auto"/>
                <w:w w:val="90"/>
              </w:rPr>
              <w:t>12/29/2026</w:t>
            </w:r>
          </w:p>
        </w:tc>
        <w:tc>
          <w:tcPr>
            <w:tcW w:w="2580" w:type="dxa"/>
            <w:vAlign w:val="bottom"/>
            <w:gridSpan w:val="2"/>
          </w:tcPr>
          <w:p>
            <w:pPr>
              <w:jc w:val="center"/>
              <w:ind w:right="60"/>
              <w:spacing w:after="0"/>
              <w:rPr>
                <w:sz w:val="20"/>
                <w:szCs w:val="20"/>
                <w:color w:val="auto"/>
              </w:rPr>
            </w:pPr>
            <w:r>
              <w:rPr>
                <w:rFonts w:ascii="Arial" w:cs="Arial" w:eastAsia="Arial" w:hAnsi="Arial"/>
                <w:sz w:val="11"/>
                <w:szCs w:val="11"/>
                <w:color w:val="auto"/>
                <w:w w:val="90"/>
              </w:rPr>
              <w:t>Commercial Services &amp; Supplies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680" w:type="dxa"/>
            <w:vAlign w:val="bottom"/>
          </w:tcPr>
          <w:p>
            <w:pPr>
              <w:jc w:val="right"/>
              <w:spacing w:after="0"/>
              <w:rPr>
                <w:sz w:val="20"/>
                <w:szCs w:val="20"/>
                <w:color w:val="auto"/>
              </w:rPr>
            </w:pPr>
            <w:r>
              <w:rPr>
                <w:rFonts w:ascii="Arial" w:cs="Arial" w:eastAsia="Arial" w:hAnsi="Arial"/>
                <w:sz w:val="11"/>
                <w:szCs w:val="11"/>
                <w:color w:val="auto"/>
              </w:rPr>
              <w:t>4,987,500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4,880,541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4,912,688</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Applied Technical Services, LLC </w:t>
            </w:r>
            <w:r>
              <w:rPr>
                <w:rFonts w:ascii="Arial" w:cs="Arial" w:eastAsia="Arial" w:hAnsi="Arial"/>
                <w:sz w:val="9"/>
                <w:szCs w:val="9"/>
                <w:color w:val="auto"/>
              </w:rPr>
              <w:t>(7), (9)</w:t>
            </w:r>
          </w:p>
        </w:tc>
        <w:tc>
          <w:tcPr>
            <w:tcW w:w="800" w:type="dxa"/>
            <w:vAlign w:val="bottom"/>
            <w:shd w:val="clear" w:color="auto" w:fill="CCECFF"/>
          </w:tcPr>
          <w:p>
            <w:pPr>
              <w:jc w:val="center"/>
              <w:ind w:left="6"/>
              <w:spacing w:after="0"/>
              <w:rPr>
                <w:sz w:val="20"/>
                <w:szCs w:val="20"/>
                <w:color w:val="auto"/>
              </w:rPr>
            </w:pPr>
            <w:r>
              <w:rPr>
                <w:rFonts w:ascii="Arial" w:cs="Arial" w:eastAsia="Arial" w:hAnsi="Arial"/>
                <w:sz w:val="11"/>
                <w:szCs w:val="11"/>
                <w:color w:val="auto"/>
                <w:w w:val="90"/>
              </w:rPr>
              <w:t>06/29/2022</w:t>
            </w:r>
          </w:p>
        </w:tc>
        <w:tc>
          <w:tcPr>
            <w:tcW w:w="2580" w:type="dxa"/>
            <w:vAlign w:val="bottom"/>
            <w:gridSpan w:val="2"/>
            <w:shd w:val="clear" w:color="auto" w:fill="CCECFF"/>
          </w:tcPr>
          <w:p>
            <w:pPr>
              <w:jc w:val="center"/>
              <w:ind w:right="60"/>
              <w:spacing w:after="0"/>
              <w:rPr>
                <w:sz w:val="20"/>
                <w:szCs w:val="20"/>
                <w:color w:val="auto"/>
              </w:rPr>
            </w:pPr>
            <w:r>
              <w:rPr>
                <w:rFonts w:ascii="Arial" w:cs="Arial" w:eastAsia="Arial" w:hAnsi="Arial"/>
                <w:sz w:val="11"/>
                <w:szCs w:val="11"/>
                <w:color w:val="auto"/>
                <w:w w:val="90"/>
              </w:rPr>
              <w:t>Commercial Services &amp; Supplies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3,181,818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(11,932)</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Applied Technical Services, LLC (Revolver) </w:t>
            </w:r>
            <w:r>
              <w:rPr>
                <w:rFonts w:ascii="Arial" w:cs="Arial" w:eastAsia="Arial" w:hAnsi="Arial"/>
                <w:sz w:val="9"/>
                <w:szCs w:val="9"/>
                <w:color w:val="auto"/>
              </w:rPr>
              <w:t>(7), (9)</w:t>
            </w:r>
          </w:p>
        </w:tc>
        <w:tc>
          <w:tcPr>
            <w:tcW w:w="800" w:type="dxa"/>
            <w:vAlign w:val="bottom"/>
          </w:tcPr>
          <w:p>
            <w:pPr>
              <w:jc w:val="center"/>
              <w:ind w:left="6"/>
              <w:spacing w:after="0"/>
              <w:rPr>
                <w:sz w:val="20"/>
                <w:szCs w:val="20"/>
                <w:color w:val="auto"/>
              </w:rPr>
            </w:pPr>
            <w:r>
              <w:rPr>
                <w:rFonts w:ascii="Arial" w:cs="Arial" w:eastAsia="Arial" w:hAnsi="Arial"/>
                <w:sz w:val="11"/>
                <w:szCs w:val="11"/>
                <w:color w:val="auto"/>
                <w:w w:val="90"/>
              </w:rPr>
              <w:t>12/29/2026</w:t>
            </w:r>
          </w:p>
        </w:tc>
        <w:tc>
          <w:tcPr>
            <w:tcW w:w="2580" w:type="dxa"/>
            <w:vAlign w:val="bottom"/>
            <w:gridSpan w:val="2"/>
          </w:tcPr>
          <w:p>
            <w:pPr>
              <w:jc w:val="center"/>
              <w:ind w:right="60"/>
              <w:spacing w:after="0"/>
              <w:rPr>
                <w:sz w:val="20"/>
                <w:szCs w:val="20"/>
                <w:color w:val="auto"/>
              </w:rPr>
            </w:pPr>
            <w:r>
              <w:rPr>
                <w:rFonts w:ascii="Arial" w:cs="Arial" w:eastAsia="Arial" w:hAnsi="Arial"/>
                <w:sz w:val="11"/>
                <w:szCs w:val="11"/>
                <w:color w:val="auto"/>
                <w:w w:val="90"/>
              </w:rPr>
              <w:t>Commercial Services &amp; Supplies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1,272,727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(19,091)</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BEI Precision Systems &amp; Space Company, Inc.</w:t>
            </w:r>
          </w:p>
        </w:tc>
        <w:tc>
          <w:tcPr>
            <w:tcW w:w="800" w:type="dxa"/>
            <w:vAlign w:val="bottom"/>
            <w:shd w:val="clear" w:color="auto" w:fill="CCECFF"/>
          </w:tcPr>
          <w:p>
            <w:pPr>
              <w:jc w:val="center"/>
              <w:ind w:left="6"/>
              <w:spacing w:after="0"/>
              <w:rPr>
                <w:sz w:val="20"/>
                <w:szCs w:val="20"/>
                <w:color w:val="auto"/>
              </w:rPr>
            </w:pPr>
            <w:r>
              <w:rPr>
                <w:rFonts w:ascii="Arial" w:cs="Arial" w:eastAsia="Arial" w:hAnsi="Arial"/>
                <w:sz w:val="11"/>
                <w:szCs w:val="11"/>
                <w:color w:val="auto"/>
                <w:w w:val="90"/>
              </w:rPr>
              <w:t>04/28/2023</w:t>
            </w:r>
          </w:p>
        </w:tc>
        <w:tc>
          <w:tcPr>
            <w:tcW w:w="2580" w:type="dxa"/>
            <w:vAlign w:val="bottom"/>
            <w:gridSpan w:val="2"/>
            <w:shd w:val="clear" w:color="auto" w:fill="CCECFF"/>
          </w:tcPr>
          <w:p>
            <w:pPr>
              <w:jc w:val="center"/>
              <w:ind w:right="8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6,433,162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6,385,809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6,433,162</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By Light Professional IT Services, LLC</w:t>
            </w:r>
          </w:p>
        </w:tc>
        <w:tc>
          <w:tcPr>
            <w:tcW w:w="800" w:type="dxa"/>
            <w:vAlign w:val="bottom"/>
          </w:tcPr>
          <w:p>
            <w:pPr>
              <w:jc w:val="center"/>
              <w:ind w:left="6"/>
              <w:spacing w:after="0"/>
              <w:rPr>
                <w:sz w:val="20"/>
                <w:szCs w:val="20"/>
                <w:color w:val="auto"/>
              </w:rPr>
            </w:pPr>
            <w:r>
              <w:rPr>
                <w:rFonts w:ascii="Arial" w:cs="Arial" w:eastAsia="Arial" w:hAnsi="Arial"/>
                <w:sz w:val="11"/>
                <w:szCs w:val="11"/>
                <w:color w:val="auto"/>
                <w:w w:val="90"/>
              </w:rPr>
              <w:t>05/16/2022</w:t>
            </w:r>
          </w:p>
        </w:tc>
        <w:tc>
          <w:tcPr>
            <w:tcW w:w="2580" w:type="dxa"/>
            <w:vAlign w:val="bottom"/>
            <w:gridSpan w:val="2"/>
          </w:tcPr>
          <w:p>
            <w:pPr>
              <w:jc w:val="center"/>
              <w:ind w:right="8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7.25%</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3M L+625</w:t>
            </w:r>
          </w:p>
        </w:tc>
        <w:tc>
          <w:tcPr>
            <w:tcW w:w="680" w:type="dxa"/>
            <w:vAlign w:val="bottom"/>
          </w:tcPr>
          <w:p>
            <w:pPr>
              <w:jc w:val="right"/>
              <w:spacing w:after="0"/>
              <w:rPr>
                <w:sz w:val="20"/>
                <w:szCs w:val="20"/>
                <w:color w:val="auto"/>
              </w:rPr>
            </w:pPr>
            <w:r>
              <w:rPr>
                <w:rFonts w:ascii="Arial" w:cs="Arial" w:eastAsia="Arial" w:hAnsi="Arial"/>
                <w:sz w:val="11"/>
                <w:szCs w:val="11"/>
                <w:color w:val="auto"/>
              </w:rPr>
              <w:t>28,373,444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28,266,763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28,373,444</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By Light Professional IT Services, LLC (Revolver)</w:t>
            </w:r>
          </w:p>
        </w:tc>
        <w:tc>
          <w:tcPr>
            <w:tcW w:w="800" w:type="dxa"/>
            <w:vAlign w:val="bottom"/>
            <w:shd w:val="clear" w:color="auto" w:fill="CCECFF"/>
          </w:tcPr>
          <w:p>
            <w:pPr>
              <w:jc w:val="center"/>
              <w:ind w:left="6"/>
              <w:spacing w:after="0"/>
              <w:rPr>
                <w:sz w:val="20"/>
                <w:szCs w:val="20"/>
                <w:color w:val="auto"/>
              </w:rPr>
            </w:pPr>
            <w:r>
              <w:rPr>
                <w:rFonts w:ascii="Arial" w:cs="Arial" w:eastAsia="Arial" w:hAnsi="Arial"/>
                <w:sz w:val="11"/>
                <w:szCs w:val="11"/>
                <w:color w:val="auto"/>
                <w:w w:val="90"/>
              </w:rPr>
              <w:t>05/16/2022</w:t>
            </w:r>
          </w:p>
        </w:tc>
        <w:tc>
          <w:tcPr>
            <w:tcW w:w="2580" w:type="dxa"/>
            <w:vAlign w:val="bottom"/>
            <w:gridSpan w:val="2"/>
            <w:shd w:val="clear" w:color="auto" w:fill="CCECFF"/>
          </w:tcPr>
          <w:p>
            <w:pPr>
              <w:jc w:val="center"/>
              <w:ind w:right="8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7.25%</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600,982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600,982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600,982</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By Light Professional IT Services, LLC (Revolver) </w:t>
            </w:r>
            <w:r>
              <w:rPr>
                <w:rFonts w:ascii="Arial" w:cs="Arial" w:eastAsia="Arial" w:hAnsi="Arial"/>
                <w:sz w:val="9"/>
                <w:szCs w:val="9"/>
                <w:color w:val="auto"/>
              </w:rPr>
              <w:t>(9)</w:t>
            </w:r>
          </w:p>
        </w:tc>
        <w:tc>
          <w:tcPr>
            <w:tcW w:w="800" w:type="dxa"/>
            <w:vAlign w:val="bottom"/>
          </w:tcPr>
          <w:p>
            <w:pPr>
              <w:jc w:val="center"/>
              <w:ind w:left="6"/>
              <w:spacing w:after="0"/>
              <w:rPr>
                <w:sz w:val="20"/>
                <w:szCs w:val="20"/>
                <w:color w:val="auto"/>
              </w:rPr>
            </w:pPr>
            <w:r>
              <w:rPr>
                <w:rFonts w:ascii="Arial" w:cs="Arial" w:eastAsia="Arial" w:hAnsi="Arial"/>
                <w:sz w:val="11"/>
                <w:szCs w:val="11"/>
                <w:color w:val="auto"/>
                <w:w w:val="90"/>
              </w:rPr>
              <w:t>05/16/2022</w:t>
            </w:r>
          </w:p>
        </w:tc>
        <w:tc>
          <w:tcPr>
            <w:tcW w:w="2580" w:type="dxa"/>
            <w:vAlign w:val="bottom"/>
            <w:gridSpan w:val="2"/>
          </w:tcPr>
          <w:p>
            <w:pPr>
              <w:jc w:val="center"/>
              <w:ind w:right="8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2,461,620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Cadence Aerospace, LLC </w:t>
            </w:r>
            <w:r>
              <w:rPr>
                <w:rFonts w:ascii="Arial" w:cs="Arial" w:eastAsia="Arial" w:hAnsi="Arial"/>
                <w:sz w:val="9"/>
                <w:szCs w:val="9"/>
                <w:color w:val="auto"/>
              </w:rPr>
              <w:t>(7)</w:t>
            </w:r>
          </w:p>
        </w:tc>
        <w:tc>
          <w:tcPr>
            <w:tcW w:w="800" w:type="dxa"/>
            <w:vAlign w:val="bottom"/>
            <w:shd w:val="clear" w:color="auto" w:fill="CCECFF"/>
          </w:tcPr>
          <w:p>
            <w:pPr>
              <w:jc w:val="center"/>
              <w:ind w:left="6"/>
              <w:spacing w:after="0"/>
              <w:rPr>
                <w:sz w:val="20"/>
                <w:szCs w:val="20"/>
                <w:color w:val="auto"/>
              </w:rPr>
            </w:pPr>
            <w:r>
              <w:rPr>
                <w:rFonts w:ascii="Arial" w:cs="Arial" w:eastAsia="Arial" w:hAnsi="Arial"/>
                <w:sz w:val="11"/>
                <w:szCs w:val="11"/>
                <w:color w:val="auto"/>
                <w:w w:val="90"/>
              </w:rPr>
              <w:t>11/14/2023</w:t>
            </w:r>
          </w:p>
        </w:tc>
        <w:tc>
          <w:tcPr>
            <w:tcW w:w="2580" w:type="dxa"/>
            <w:vAlign w:val="bottom"/>
            <w:gridSpan w:val="2"/>
            <w:shd w:val="clear" w:color="auto" w:fill="CCECFF"/>
          </w:tcPr>
          <w:p>
            <w:pPr>
              <w:jc w:val="center"/>
              <w:ind w:right="8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L+850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2,961,464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2,941,151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2,869,658</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24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9.50%)</w:t>
            </w: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Cardenas Markets LLC</w:t>
            </w:r>
          </w:p>
        </w:tc>
        <w:tc>
          <w:tcPr>
            <w:tcW w:w="800" w:type="dxa"/>
            <w:vAlign w:val="bottom"/>
          </w:tcPr>
          <w:p>
            <w:pPr>
              <w:jc w:val="center"/>
              <w:ind w:left="6"/>
              <w:spacing w:after="0"/>
              <w:rPr>
                <w:sz w:val="20"/>
                <w:szCs w:val="20"/>
                <w:color w:val="auto"/>
              </w:rPr>
            </w:pPr>
            <w:r>
              <w:rPr>
                <w:rFonts w:ascii="Arial" w:cs="Arial" w:eastAsia="Arial" w:hAnsi="Arial"/>
                <w:sz w:val="11"/>
                <w:szCs w:val="11"/>
                <w:color w:val="auto"/>
                <w:w w:val="90"/>
              </w:rPr>
              <w:t>11/29/2023</w:t>
            </w:r>
          </w:p>
        </w:tc>
        <w:tc>
          <w:tcPr>
            <w:tcW w:w="2580" w:type="dxa"/>
            <w:vAlign w:val="bottom"/>
            <w:gridSpan w:val="2"/>
          </w:tcPr>
          <w:p>
            <w:pPr>
              <w:jc w:val="center"/>
              <w:ind w:right="8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1M L+575</w:t>
            </w:r>
          </w:p>
        </w:tc>
        <w:tc>
          <w:tcPr>
            <w:tcW w:w="680" w:type="dxa"/>
            <w:vAlign w:val="bottom"/>
          </w:tcPr>
          <w:p>
            <w:pPr>
              <w:jc w:val="right"/>
              <w:spacing w:after="0"/>
              <w:rPr>
                <w:sz w:val="20"/>
                <w:szCs w:val="20"/>
                <w:color w:val="auto"/>
              </w:rPr>
            </w:pPr>
            <w:r>
              <w:rPr>
                <w:rFonts w:ascii="Arial" w:cs="Arial" w:eastAsia="Arial" w:hAnsi="Arial"/>
                <w:sz w:val="11"/>
                <w:szCs w:val="11"/>
                <w:color w:val="auto"/>
              </w:rPr>
              <w:t>3,775,734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3,778,457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3,756,855</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CHA Holdings, Inc.</w:t>
            </w:r>
          </w:p>
        </w:tc>
        <w:tc>
          <w:tcPr>
            <w:tcW w:w="800" w:type="dxa"/>
            <w:vAlign w:val="bottom"/>
            <w:shd w:val="clear" w:color="auto" w:fill="CCECFF"/>
          </w:tcPr>
          <w:p>
            <w:pPr>
              <w:jc w:val="center"/>
              <w:ind w:left="6"/>
              <w:spacing w:after="0"/>
              <w:rPr>
                <w:sz w:val="20"/>
                <w:szCs w:val="20"/>
                <w:color w:val="auto"/>
              </w:rPr>
            </w:pPr>
            <w:r>
              <w:rPr>
                <w:rFonts w:ascii="Arial" w:cs="Arial" w:eastAsia="Arial" w:hAnsi="Arial"/>
                <w:sz w:val="11"/>
                <w:szCs w:val="11"/>
                <w:color w:val="auto"/>
                <w:w w:val="90"/>
              </w:rPr>
              <w:t>04/10/2025</w:t>
            </w:r>
          </w:p>
        </w:tc>
        <w:tc>
          <w:tcPr>
            <w:tcW w:w="2580" w:type="dxa"/>
            <w:vAlign w:val="bottom"/>
            <w:gridSpan w:val="2"/>
            <w:shd w:val="clear" w:color="auto" w:fill="CCECFF"/>
          </w:tcPr>
          <w:p>
            <w:pPr>
              <w:jc w:val="center"/>
              <w:ind w:right="80"/>
              <w:spacing w:after="0"/>
              <w:rPr>
                <w:sz w:val="20"/>
                <w:szCs w:val="20"/>
                <w:color w:val="auto"/>
              </w:rPr>
            </w:pPr>
            <w:r>
              <w:rPr>
                <w:rFonts w:ascii="Arial" w:cs="Arial" w:eastAsia="Arial" w:hAnsi="Arial"/>
                <w:sz w:val="11"/>
                <w:szCs w:val="11"/>
                <w:color w:val="auto"/>
                <w:w w:val="90"/>
              </w:rPr>
              <w:t>Environmental Industries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L+450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1,606,777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1,601,705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1,574,641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Challenger Performance Optimization, Inc. (Revolver) </w:t>
            </w:r>
            <w:r>
              <w:rPr>
                <w:rFonts w:ascii="Arial" w:cs="Arial" w:eastAsia="Arial" w:hAnsi="Arial"/>
                <w:sz w:val="9"/>
                <w:szCs w:val="9"/>
                <w:color w:val="auto"/>
              </w:rPr>
              <w:t>(7), (9)</w:t>
            </w:r>
          </w:p>
        </w:tc>
        <w:tc>
          <w:tcPr>
            <w:tcW w:w="800" w:type="dxa"/>
            <w:vAlign w:val="bottom"/>
          </w:tcPr>
          <w:p>
            <w:pPr>
              <w:jc w:val="center"/>
              <w:ind w:left="6"/>
              <w:spacing w:after="0"/>
              <w:rPr>
                <w:sz w:val="20"/>
                <w:szCs w:val="20"/>
                <w:color w:val="auto"/>
              </w:rPr>
            </w:pPr>
            <w:r>
              <w:rPr>
                <w:rFonts w:ascii="Arial" w:cs="Arial" w:eastAsia="Arial" w:hAnsi="Arial"/>
                <w:sz w:val="11"/>
                <w:szCs w:val="11"/>
                <w:color w:val="auto"/>
                <w:w w:val="90"/>
              </w:rPr>
              <w:t>08/31/2023</w:t>
            </w:r>
          </w:p>
        </w:tc>
        <w:tc>
          <w:tcPr>
            <w:tcW w:w="2580" w:type="dxa"/>
            <w:vAlign w:val="bottom"/>
            <w:gridSpan w:val="2"/>
          </w:tcPr>
          <w:p>
            <w:pPr>
              <w:jc w:val="center"/>
              <w:ind w:right="8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711,447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(32,015)</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Compex Legal Services, Inc.</w:t>
            </w:r>
          </w:p>
        </w:tc>
        <w:tc>
          <w:tcPr>
            <w:tcW w:w="800" w:type="dxa"/>
            <w:vAlign w:val="bottom"/>
            <w:shd w:val="clear" w:color="auto" w:fill="CCECFF"/>
          </w:tcPr>
          <w:p>
            <w:pPr>
              <w:jc w:val="center"/>
              <w:ind w:left="6"/>
              <w:spacing w:after="0"/>
              <w:rPr>
                <w:sz w:val="20"/>
                <w:szCs w:val="20"/>
                <w:color w:val="auto"/>
              </w:rPr>
            </w:pPr>
            <w:r>
              <w:rPr>
                <w:rFonts w:ascii="Arial" w:cs="Arial" w:eastAsia="Arial" w:hAnsi="Arial"/>
                <w:sz w:val="11"/>
                <w:szCs w:val="11"/>
                <w:color w:val="auto"/>
                <w:w w:val="90"/>
              </w:rPr>
              <w:t>02/09/2026</w:t>
            </w:r>
          </w:p>
        </w:tc>
        <w:tc>
          <w:tcPr>
            <w:tcW w:w="2580" w:type="dxa"/>
            <w:vAlign w:val="bottom"/>
            <w:gridSpan w:val="2"/>
            <w:shd w:val="clear" w:color="auto" w:fill="CCECFF"/>
          </w:tcPr>
          <w:p>
            <w:pPr>
              <w:jc w:val="center"/>
              <w:ind w:right="60"/>
              <w:spacing w:after="0"/>
              <w:rPr>
                <w:sz w:val="20"/>
                <w:szCs w:val="20"/>
                <w:color w:val="auto"/>
              </w:rPr>
            </w:pPr>
            <w:r>
              <w:rPr>
                <w:rFonts w:ascii="Arial" w:cs="Arial" w:eastAsia="Arial" w:hAnsi="Arial"/>
                <w:sz w:val="11"/>
                <w:szCs w:val="11"/>
                <w:color w:val="auto"/>
                <w:w w:val="86"/>
              </w:rPr>
              <w:t>Professional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7,691,774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7,555,914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7,437,176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Compex Legal Services, Inc. (Revolver) </w:t>
            </w:r>
            <w:r>
              <w:rPr>
                <w:rFonts w:ascii="Arial" w:cs="Arial" w:eastAsia="Arial" w:hAnsi="Arial"/>
                <w:sz w:val="9"/>
                <w:szCs w:val="9"/>
                <w:color w:val="auto"/>
              </w:rPr>
              <w:t>(7)</w:t>
            </w:r>
          </w:p>
        </w:tc>
        <w:tc>
          <w:tcPr>
            <w:tcW w:w="800" w:type="dxa"/>
            <w:vAlign w:val="bottom"/>
          </w:tcPr>
          <w:p>
            <w:pPr>
              <w:jc w:val="center"/>
              <w:ind w:left="6"/>
              <w:spacing w:after="0"/>
              <w:rPr>
                <w:sz w:val="20"/>
                <w:szCs w:val="20"/>
                <w:color w:val="auto"/>
              </w:rPr>
            </w:pPr>
            <w:r>
              <w:rPr>
                <w:rFonts w:ascii="Arial" w:cs="Arial" w:eastAsia="Arial" w:hAnsi="Arial"/>
                <w:sz w:val="11"/>
                <w:szCs w:val="11"/>
                <w:color w:val="auto"/>
                <w:w w:val="90"/>
              </w:rPr>
              <w:t>02/07/2025</w:t>
            </w:r>
          </w:p>
        </w:tc>
        <w:tc>
          <w:tcPr>
            <w:tcW w:w="2580" w:type="dxa"/>
            <w:vAlign w:val="bottom"/>
            <w:gridSpan w:val="2"/>
          </w:tcPr>
          <w:p>
            <w:pPr>
              <w:jc w:val="center"/>
              <w:ind w:right="60"/>
              <w:spacing w:after="0"/>
              <w:rPr>
                <w:sz w:val="20"/>
                <w:szCs w:val="20"/>
                <w:color w:val="auto"/>
              </w:rPr>
            </w:pPr>
            <w:r>
              <w:rPr>
                <w:rFonts w:ascii="Arial" w:cs="Arial" w:eastAsia="Arial" w:hAnsi="Arial"/>
                <w:sz w:val="11"/>
                <w:szCs w:val="11"/>
                <w:color w:val="auto"/>
                <w:w w:val="86"/>
              </w:rPr>
              <w:t>Professional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680" w:type="dxa"/>
            <w:vAlign w:val="bottom"/>
          </w:tcPr>
          <w:p>
            <w:pPr>
              <w:jc w:val="right"/>
              <w:spacing w:after="0"/>
              <w:rPr>
                <w:sz w:val="20"/>
                <w:szCs w:val="20"/>
                <w:color w:val="auto"/>
              </w:rPr>
            </w:pPr>
            <w:r>
              <w:rPr>
                <w:rFonts w:ascii="Arial" w:cs="Arial" w:eastAsia="Arial" w:hAnsi="Arial"/>
                <w:sz w:val="11"/>
                <w:szCs w:val="11"/>
                <w:color w:val="auto"/>
              </w:rPr>
              <w:t>983,962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983,962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951,393</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Compex Legal Services, Inc. (Revolver) </w:t>
            </w:r>
            <w:r>
              <w:rPr>
                <w:rFonts w:ascii="Arial" w:cs="Arial" w:eastAsia="Arial" w:hAnsi="Arial"/>
                <w:sz w:val="9"/>
                <w:szCs w:val="9"/>
                <w:color w:val="auto"/>
              </w:rPr>
              <w:t>(7), (9)</w:t>
            </w:r>
          </w:p>
        </w:tc>
        <w:tc>
          <w:tcPr>
            <w:tcW w:w="800" w:type="dxa"/>
            <w:vAlign w:val="bottom"/>
            <w:shd w:val="clear" w:color="auto" w:fill="CCECFF"/>
          </w:tcPr>
          <w:p>
            <w:pPr>
              <w:jc w:val="center"/>
              <w:ind w:left="6"/>
              <w:spacing w:after="0"/>
              <w:rPr>
                <w:sz w:val="20"/>
                <w:szCs w:val="20"/>
                <w:color w:val="auto"/>
              </w:rPr>
            </w:pPr>
            <w:r>
              <w:rPr>
                <w:rFonts w:ascii="Arial" w:cs="Arial" w:eastAsia="Arial" w:hAnsi="Arial"/>
                <w:sz w:val="11"/>
                <w:szCs w:val="11"/>
                <w:color w:val="auto"/>
                <w:w w:val="90"/>
              </w:rPr>
              <w:t>02/07/2025</w:t>
            </w:r>
          </w:p>
        </w:tc>
        <w:tc>
          <w:tcPr>
            <w:tcW w:w="2580" w:type="dxa"/>
            <w:vAlign w:val="bottom"/>
            <w:gridSpan w:val="2"/>
            <w:shd w:val="clear" w:color="auto" w:fill="CCECFF"/>
          </w:tcPr>
          <w:p>
            <w:pPr>
              <w:jc w:val="center"/>
              <w:ind w:right="60"/>
              <w:spacing w:after="0"/>
              <w:rPr>
                <w:sz w:val="20"/>
                <w:szCs w:val="20"/>
                <w:color w:val="auto"/>
              </w:rPr>
            </w:pPr>
            <w:r>
              <w:rPr>
                <w:rFonts w:ascii="Arial" w:cs="Arial" w:eastAsia="Arial" w:hAnsi="Arial"/>
                <w:sz w:val="11"/>
                <w:szCs w:val="11"/>
                <w:color w:val="auto"/>
                <w:w w:val="86"/>
              </w:rPr>
              <w:t>Professional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421,698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(13,958)</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Confluent Health, LLC</w:t>
            </w:r>
          </w:p>
        </w:tc>
        <w:tc>
          <w:tcPr>
            <w:tcW w:w="800" w:type="dxa"/>
            <w:vAlign w:val="bottom"/>
          </w:tcPr>
          <w:p>
            <w:pPr>
              <w:jc w:val="center"/>
              <w:ind w:left="6"/>
              <w:spacing w:after="0"/>
              <w:rPr>
                <w:sz w:val="20"/>
                <w:szCs w:val="20"/>
                <w:color w:val="auto"/>
              </w:rPr>
            </w:pPr>
            <w:r>
              <w:rPr>
                <w:rFonts w:ascii="Arial" w:cs="Arial" w:eastAsia="Arial" w:hAnsi="Arial"/>
                <w:sz w:val="11"/>
                <w:szCs w:val="11"/>
                <w:color w:val="auto"/>
                <w:w w:val="90"/>
              </w:rPr>
              <w:t>06/24/2026</w:t>
            </w:r>
          </w:p>
        </w:tc>
        <w:tc>
          <w:tcPr>
            <w:tcW w:w="2580" w:type="dxa"/>
            <w:vAlign w:val="bottom"/>
            <w:gridSpan w:val="2"/>
          </w:tcPr>
          <w:p>
            <w:pPr>
              <w:jc w:val="center"/>
              <w:ind w:right="80"/>
              <w:spacing w:after="0"/>
              <w:rPr>
                <w:sz w:val="20"/>
                <w:szCs w:val="20"/>
                <w:color w:val="auto"/>
              </w:rPr>
            </w:pPr>
            <w:r>
              <w:rPr>
                <w:rFonts w:ascii="Arial" w:cs="Arial" w:eastAsia="Arial" w:hAnsi="Arial"/>
                <w:sz w:val="11"/>
                <w:szCs w:val="11"/>
                <w:color w:val="auto"/>
                <w:w w:val="87"/>
              </w:rPr>
              <w:t>Health Providers and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5.11%</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1M L+500</w:t>
            </w:r>
          </w:p>
        </w:tc>
        <w:tc>
          <w:tcPr>
            <w:tcW w:w="680" w:type="dxa"/>
            <w:vAlign w:val="bottom"/>
          </w:tcPr>
          <w:p>
            <w:pPr>
              <w:jc w:val="right"/>
              <w:spacing w:after="0"/>
              <w:rPr>
                <w:sz w:val="20"/>
                <w:szCs w:val="20"/>
                <w:color w:val="auto"/>
              </w:rPr>
            </w:pPr>
            <w:r>
              <w:rPr>
                <w:rFonts w:ascii="Arial" w:cs="Arial" w:eastAsia="Arial" w:hAnsi="Arial"/>
                <w:sz w:val="11"/>
                <w:szCs w:val="11"/>
                <w:color w:val="auto"/>
              </w:rPr>
              <w:t>3,930,000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3,896,502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3,920,175</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Datalot Inc.</w:t>
            </w:r>
          </w:p>
        </w:tc>
        <w:tc>
          <w:tcPr>
            <w:tcW w:w="800" w:type="dxa"/>
            <w:vAlign w:val="bottom"/>
            <w:shd w:val="clear" w:color="auto" w:fill="CCECFF"/>
          </w:tcPr>
          <w:p>
            <w:pPr>
              <w:jc w:val="center"/>
              <w:ind w:left="6"/>
              <w:spacing w:after="0"/>
              <w:rPr>
                <w:sz w:val="20"/>
                <w:szCs w:val="20"/>
                <w:color w:val="auto"/>
              </w:rPr>
            </w:pPr>
            <w:r>
              <w:rPr>
                <w:rFonts w:ascii="Arial" w:cs="Arial" w:eastAsia="Arial" w:hAnsi="Arial"/>
                <w:sz w:val="11"/>
                <w:szCs w:val="11"/>
                <w:color w:val="auto"/>
                <w:w w:val="90"/>
              </w:rPr>
              <w:t>01/24/2025</w:t>
            </w:r>
          </w:p>
        </w:tc>
        <w:tc>
          <w:tcPr>
            <w:tcW w:w="2580" w:type="dxa"/>
            <w:vAlign w:val="bottom"/>
            <w:gridSpan w:val="2"/>
            <w:shd w:val="clear" w:color="auto" w:fill="CCECFF"/>
          </w:tcPr>
          <w:p>
            <w:pPr>
              <w:jc w:val="center"/>
              <w:ind w:right="80"/>
              <w:spacing w:after="0"/>
              <w:rPr>
                <w:sz w:val="20"/>
                <w:szCs w:val="20"/>
                <w:color w:val="auto"/>
              </w:rPr>
            </w:pPr>
            <w:r>
              <w:rPr>
                <w:rFonts w:ascii="Arial" w:cs="Arial" w:eastAsia="Arial" w:hAnsi="Arial"/>
                <w:sz w:val="11"/>
                <w:szCs w:val="11"/>
                <w:color w:val="auto"/>
                <w:w w:val="86"/>
              </w:rPr>
              <w:t>Insurance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9,445,616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9,292,410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9,445,616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Datalot Inc. (Revolver) </w:t>
            </w:r>
            <w:r>
              <w:rPr>
                <w:rFonts w:ascii="Arial" w:cs="Arial" w:eastAsia="Arial" w:hAnsi="Arial"/>
                <w:sz w:val="9"/>
                <w:szCs w:val="9"/>
                <w:color w:val="auto"/>
              </w:rPr>
              <w:t>(7)</w:t>
            </w:r>
            <w:r>
              <w:rPr>
                <w:rFonts w:ascii="Arial" w:cs="Arial" w:eastAsia="Arial" w:hAnsi="Arial"/>
                <w:sz w:val="11"/>
                <w:szCs w:val="11"/>
                <w:color w:val="auto"/>
              </w:rPr>
              <w:t xml:space="preserve">, </w:t>
            </w:r>
            <w:r>
              <w:rPr>
                <w:rFonts w:ascii="Arial" w:cs="Arial" w:eastAsia="Arial" w:hAnsi="Arial"/>
                <w:sz w:val="9"/>
                <w:szCs w:val="9"/>
                <w:color w:val="auto"/>
              </w:rPr>
              <w:t>(9)</w:t>
            </w:r>
          </w:p>
        </w:tc>
        <w:tc>
          <w:tcPr>
            <w:tcW w:w="800" w:type="dxa"/>
            <w:vAlign w:val="bottom"/>
          </w:tcPr>
          <w:p>
            <w:pPr>
              <w:jc w:val="center"/>
              <w:ind w:left="6"/>
              <w:spacing w:after="0"/>
              <w:rPr>
                <w:sz w:val="20"/>
                <w:szCs w:val="20"/>
                <w:color w:val="auto"/>
              </w:rPr>
            </w:pPr>
            <w:r>
              <w:rPr>
                <w:rFonts w:ascii="Arial" w:cs="Arial" w:eastAsia="Arial" w:hAnsi="Arial"/>
                <w:sz w:val="11"/>
                <w:szCs w:val="11"/>
                <w:color w:val="auto"/>
                <w:w w:val="90"/>
              </w:rPr>
              <w:t>01/24/2025</w:t>
            </w:r>
          </w:p>
        </w:tc>
        <w:tc>
          <w:tcPr>
            <w:tcW w:w="2580" w:type="dxa"/>
            <w:vAlign w:val="bottom"/>
            <w:gridSpan w:val="2"/>
          </w:tcPr>
          <w:p>
            <w:pPr>
              <w:jc w:val="center"/>
              <w:ind w:right="80"/>
              <w:spacing w:after="0"/>
              <w:rPr>
                <w:sz w:val="20"/>
                <w:szCs w:val="20"/>
                <w:color w:val="auto"/>
              </w:rPr>
            </w:pPr>
            <w:r>
              <w:rPr>
                <w:rFonts w:ascii="Arial" w:cs="Arial" w:eastAsia="Arial" w:hAnsi="Arial"/>
                <w:sz w:val="11"/>
                <w:szCs w:val="11"/>
                <w:color w:val="auto"/>
                <w:w w:val="86"/>
              </w:rPr>
              <w:t>Insurance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3,833,619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Digital Room Holdings, Inc.</w:t>
            </w:r>
          </w:p>
        </w:tc>
        <w:tc>
          <w:tcPr>
            <w:tcW w:w="800" w:type="dxa"/>
            <w:vAlign w:val="bottom"/>
            <w:shd w:val="clear" w:color="auto" w:fill="CCECFF"/>
          </w:tcPr>
          <w:p>
            <w:pPr>
              <w:jc w:val="center"/>
              <w:ind w:left="6"/>
              <w:spacing w:after="0"/>
              <w:rPr>
                <w:sz w:val="20"/>
                <w:szCs w:val="20"/>
                <w:color w:val="auto"/>
              </w:rPr>
            </w:pPr>
            <w:r>
              <w:rPr>
                <w:rFonts w:ascii="Arial" w:cs="Arial" w:eastAsia="Arial" w:hAnsi="Arial"/>
                <w:sz w:val="11"/>
                <w:szCs w:val="11"/>
                <w:color w:val="auto"/>
                <w:w w:val="90"/>
              </w:rPr>
              <w:t>05/22/2026</w:t>
            </w:r>
          </w:p>
        </w:tc>
        <w:tc>
          <w:tcPr>
            <w:tcW w:w="2580" w:type="dxa"/>
            <w:vAlign w:val="bottom"/>
            <w:gridSpan w:val="2"/>
            <w:shd w:val="clear" w:color="auto" w:fill="CCECFF"/>
          </w:tcPr>
          <w:p>
            <w:pPr>
              <w:jc w:val="center"/>
              <w:ind w:right="60"/>
              <w:spacing w:after="0"/>
              <w:rPr>
                <w:sz w:val="20"/>
                <w:szCs w:val="20"/>
                <w:color w:val="auto"/>
              </w:rPr>
            </w:pPr>
            <w:r>
              <w:rPr>
                <w:rFonts w:ascii="Arial" w:cs="Arial" w:eastAsia="Arial" w:hAnsi="Arial"/>
                <w:sz w:val="11"/>
                <w:szCs w:val="11"/>
                <w:color w:val="auto"/>
                <w:w w:val="91"/>
              </w:rPr>
              <w:t>Media: Advertising, Printing and Publishing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5.20%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6,580,487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6,494,335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6,437,888</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Douglas Products and Packaging Company LLC</w:t>
            </w:r>
          </w:p>
        </w:tc>
        <w:tc>
          <w:tcPr>
            <w:tcW w:w="800" w:type="dxa"/>
            <w:vAlign w:val="bottom"/>
          </w:tcPr>
          <w:p>
            <w:pPr>
              <w:jc w:val="center"/>
              <w:ind w:left="6"/>
              <w:spacing w:after="0"/>
              <w:rPr>
                <w:sz w:val="20"/>
                <w:szCs w:val="20"/>
                <w:color w:val="auto"/>
              </w:rPr>
            </w:pPr>
            <w:r>
              <w:rPr>
                <w:rFonts w:ascii="Arial" w:cs="Arial" w:eastAsia="Arial" w:hAnsi="Arial"/>
                <w:sz w:val="11"/>
                <w:szCs w:val="11"/>
                <w:color w:val="auto"/>
                <w:w w:val="90"/>
              </w:rPr>
              <w:t>10/19/2022</w:t>
            </w:r>
          </w:p>
        </w:tc>
        <w:tc>
          <w:tcPr>
            <w:tcW w:w="2580" w:type="dxa"/>
            <w:vAlign w:val="bottom"/>
            <w:gridSpan w:val="2"/>
          </w:tcPr>
          <w:p>
            <w:pPr>
              <w:jc w:val="center"/>
              <w:ind w:right="60"/>
              <w:spacing w:after="0"/>
              <w:rPr>
                <w:sz w:val="20"/>
                <w:szCs w:val="20"/>
                <w:color w:val="auto"/>
              </w:rPr>
            </w:pPr>
            <w:r>
              <w:rPr>
                <w:rFonts w:ascii="Arial" w:cs="Arial" w:eastAsia="Arial" w:hAnsi="Arial"/>
                <w:sz w:val="11"/>
                <w:szCs w:val="11"/>
                <w:color w:val="auto"/>
                <w:w w:val="87"/>
              </w:rPr>
              <w:t>Chemicals, Plastics and Rubber</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680" w:type="dxa"/>
            <w:vAlign w:val="bottom"/>
          </w:tcPr>
          <w:p>
            <w:pPr>
              <w:jc w:val="right"/>
              <w:spacing w:after="0"/>
              <w:rPr>
                <w:sz w:val="20"/>
                <w:szCs w:val="20"/>
                <w:color w:val="auto"/>
              </w:rPr>
            </w:pPr>
            <w:r>
              <w:rPr>
                <w:rFonts w:ascii="Arial" w:cs="Arial" w:eastAsia="Arial" w:hAnsi="Arial"/>
                <w:sz w:val="11"/>
                <w:szCs w:val="11"/>
                <w:color w:val="auto"/>
              </w:rPr>
              <w:t>6,579,004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6,534,437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6,513,213</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Douglas Products and Packaging Company LLC</w:t>
            </w:r>
          </w:p>
        </w:tc>
        <w:tc>
          <w:tcPr>
            <w:tcW w:w="800" w:type="dxa"/>
            <w:vAlign w:val="bottom"/>
            <w:shd w:val="clear" w:color="auto" w:fill="CCECFF"/>
          </w:tcPr>
          <w:p>
            <w:pPr>
              <w:jc w:val="center"/>
              <w:ind w:left="6"/>
              <w:spacing w:after="0"/>
              <w:rPr>
                <w:sz w:val="20"/>
                <w:szCs w:val="20"/>
                <w:color w:val="auto"/>
              </w:rPr>
            </w:pPr>
            <w:r>
              <w:rPr>
                <w:rFonts w:ascii="Arial" w:cs="Arial" w:eastAsia="Arial" w:hAnsi="Arial"/>
                <w:sz w:val="11"/>
                <w:szCs w:val="11"/>
                <w:color w:val="auto"/>
                <w:w w:val="90"/>
              </w:rPr>
              <w:t>10/19/2022</w:t>
            </w:r>
          </w:p>
        </w:tc>
        <w:tc>
          <w:tcPr>
            <w:tcW w:w="2580" w:type="dxa"/>
            <w:vAlign w:val="bottom"/>
            <w:gridSpan w:val="2"/>
            <w:shd w:val="clear" w:color="auto" w:fill="CCECFF"/>
          </w:tcPr>
          <w:p>
            <w:pPr>
              <w:jc w:val="center"/>
              <w:ind w:right="60"/>
              <w:spacing w:after="0"/>
              <w:rPr>
                <w:sz w:val="20"/>
                <w:szCs w:val="20"/>
                <w:color w:val="auto"/>
              </w:rPr>
            </w:pPr>
            <w:r>
              <w:rPr>
                <w:rFonts w:ascii="Arial" w:cs="Arial" w:eastAsia="Arial" w:hAnsi="Arial"/>
                <w:sz w:val="11"/>
                <w:szCs w:val="11"/>
                <w:color w:val="auto"/>
                <w:w w:val="87"/>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P+475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2,049,216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2,049,216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2,028,723</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(Revolver)</w:t>
            </w:r>
          </w:p>
        </w:tc>
        <w:tc>
          <w:tcPr>
            <w:tcW w:w="800" w:type="dxa"/>
            <w:vAlign w:val="bottom"/>
            <w:shd w:val="clear" w:color="auto" w:fill="CCECFF"/>
          </w:tcPr>
          <w:p>
            <w:pPr>
              <w:spacing w:after="0"/>
              <w:rPr>
                <w:sz w:val="11"/>
                <w:szCs w:val="11"/>
                <w:color w:val="auto"/>
              </w:rPr>
            </w:pPr>
          </w:p>
        </w:tc>
        <w:tc>
          <w:tcPr>
            <w:tcW w:w="24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Douglas Products and Packaging Company LLC</w:t>
            </w:r>
          </w:p>
        </w:tc>
        <w:tc>
          <w:tcPr>
            <w:tcW w:w="800" w:type="dxa"/>
            <w:vAlign w:val="bottom"/>
          </w:tcPr>
          <w:p>
            <w:pPr>
              <w:jc w:val="center"/>
              <w:ind w:left="6"/>
              <w:spacing w:after="0"/>
              <w:rPr>
                <w:sz w:val="20"/>
                <w:szCs w:val="20"/>
                <w:color w:val="auto"/>
              </w:rPr>
            </w:pPr>
            <w:r>
              <w:rPr>
                <w:rFonts w:ascii="Arial" w:cs="Arial" w:eastAsia="Arial" w:hAnsi="Arial"/>
                <w:sz w:val="11"/>
                <w:szCs w:val="11"/>
                <w:color w:val="auto"/>
                <w:w w:val="90"/>
              </w:rPr>
              <w:t>10/19/2022</w:t>
            </w:r>
          </w:p>
        </w:tc>
        <w:tc>
          <w:tcPr>
            <w:tcW w:w="2580" w:type="dxa"/>
            <w:vAlign w:val="bottom"/>
            <w:gridSpan w:val="2"/>
          </w:tcPr>
          <w:p>
            <w:pPr>
              <w:jc w:val="center"/>
              <w:ind w:right="60"/>
              <w:spacing w:after="0"/>
              <w:rPr>
                <w:sz w:val="20"/>
                <w:szCs w:val="20"/>
                <w:color w:val="auto"/>
              </w:rPr>
            </w:pPr>
            <w:r>
              <w:rPr>
                <w:rFonts w:ascii="Arial" w:cs="Arial" w:eastAsia="Arial" w:hAnsi="Arial"/>
                <w:sz w:val="11"/>
                <w:szCs w:val="11"/>
                <w:color w:val="auto"/>
                <w:w w:val="87"/>
              </w:rPr>
              <w:t>Chemicals, Plastics and Rubber</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2,341,961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(23,420)</w:t>
            </w:r>
          </w:p>
        </w:tc>
      </w:tr>
      <w:tr>
        <w:trPr>
          <w:trHeight w:val="131"/>
        </w:trPr>
        <w:tc>
          <w:tcPr>
            <w:tcW w:w="3360" w:type="dxa"/>
            <w:vAlign w:val="bottom"/>
          </w:tcPr>
          <w:p>
            <w:pPr>
              <w:ind w:left="140"/>
              <w:spacing w:after="0"/>
              <w:rPr>
                <w:sz w:val="20"/>
                <w:szCs w:val="20"/>
                <w:color w:val="auto"/>
              </w:rPr>
            </w:pPr>
            <w:r>
              <w:rPr>
                <w:rFonts w:ascii="Arial" w:cs="Arial" w:eastAsia="Arial" w:hAnsi="Arial"/>
                <w:sz w:val="11"/>
                <w:szCs w:val="11"/>
                <w:color w:val="auto"/>
              </w:rPr>
              <w:t xml:space="preserve">(Revolver) </w:t>
            </w:r>
            <w:r>
              <w:rPr>
                <w:rFonts w:ascii="Arial" w:cs="Arial" w:eastAsia="Arial" w:hAnsi="Arial"/>
                <w:sz w:val="9"/>
                <w:szCs w:val="9"/>
                <w:color w:val="auto"/>
              </w:rPr>
              <w:t>(9)</w:t>
            </w:r>
          </w:p>
        </w:tc>
        <w:tc>
          <w:tcPr>
            <w:tcW w:w="8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Douglas Sewer Intermediate, LLC</w:t>
            </w:r>
          </w:p>
        </w:tc>
        <w:tc>
          <w:tcPr>
            <w:tcW w:w="800" w:type="dxa"/>
            <w:vAlign w:val="bottom"/>
            <w:shd w:val="clear" w:color="auto" w:fill="CCECFF"/>
          </w:tcPr>
          <w:p>
            <w:pPr>
              <w:jc w:val="center"/>
              <w:ind w:left="6"/>
              <w:spacing w:after="0"/>
              <w:rPr>
                <w:sz w:val="20"/>
                <w:szCs w:val="20"/>
                <w:color w:val="auto"/>
              </w:rPr>
            </w:pPr>
            <w:r>
              <w:rPr>
                <w:rFonts w:ascii="Arial" w:cs="Arial" w:eastAsia="Arial" w:hAnsi="Arial"/>
                <w:sz w:val="11"/>
                <w:szCs w:val="11"/>
                <w:color w:val="auto"/>
                <w:w w:val="90"/>
              </w:rPr>
              <w:t>10/19/2022</w:t>
            </w:r>
          </w:p>
        </w:tc>
        <w:tc>
          <w:tcPr>
            <w:tcW w:w="2580" w:type="dxa"/>
            <w:vAlign w:val="bottom"/>
            <w:gridSpan w:val="2"/>
            <w:shd w:val="clear" w:color="auto" w:fill="CCECFF"/>
          </w:tcPr>
          <w:p>
            <w:pPr>
              <w:jc w:val="center"/>
              <w:ind w:right="60"/>
              <w:spacing w:after="0"/>
              <w:rPr>
                <w:sz w:val="20"/>
                <w:szCs w:val="20"/>
                <w:color w:val="auto"/>
              </w:rPr>
            </w:pPr>
            <w:r>
              <w:rPr>
                <w:rFonts w:ascii="Arial" w:cs="Arial" w:eastAsia="Arial" w:hAnsi="Arial"/>
                <w:sz w:val="11"/>
                <w:szCs w:val="11"/>
                <w:color w:val="auto"/>
                <w:w w:val="87"/>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3,006,420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2,996,507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2,976,356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DRS Holdings III, Inc.</w:t>
            </w:r>
          </w:p>
        </w:tc>
        <w:tc>
          <w:tcPr>
            <w:tcW w:w="800" w:type="dxa"/>
            <w:vAlign w:val="bottom"/>
          </w:tcPr>
          <w:p>
            <w:pPr>
              <w:jc w:val="center"/>
              <w:ind w:left="6"/>
              <w:spacing w:after="0"/>
              <w:rPr>
                <w:sz w:val="20"/>
                <w:szCs w:val="20"/>
                <w:color w:val="auto"/>
              </w:rPr>
            </w:pPr>
            <w:r>
              <w:rPr>
                <w:rFonts w:ascii="Arial" w:cs="Arial" w:eastAsia="Arial" w:hAnsi="Arial"/>
                <w:sz w:val="11"/>
                <w:szCs w:val="11"/>
                <w:color w:val="auto"/>
                <w:w w:val="90"/>
              </w:rPr>
              <w:t>11/03/2025</w:t>
            </w:r>
          </w:p>
        </w:tc>
        <w:tc>
          <w:tcPr>
            <w:tcW w:w="2580" w:type="dxa"/>
            <w:vAlign w:val="bottom"/>
            <w:gridSpan w:val="2"/>
          </w:tcPr>
          <w:p>
            <w:pPr>
              <w:jc w:val="center"/>
              <w:ind w:right="80"/>
              <w:spacing w:after="0"/>
              <w:rPr>
                <w:sz w:val="20"/>
                <w:szCs w:val="20"/>
                <w:color w:val="auto"/>
              </w:rPr>
            </w:pPr>
            <w:r>
              <w:rPr>
                <w:rFonts w:ascii="Arial" w:cs="Arial" w:eastAsia="Arial" w:hAnsi="Arial"/>
                <w:sz w:val="11"/>
                <w:szCs w:val="11"/>
                <w:color w:val="auto"/>
                <w:w w:val="86"/>
              </w:rPr>
              <w:t>Personal Products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680" w:type="dxa"/>
            <w:vAlign w:val="bottom"/>
          </w:tcPr>
          <w:p>
            <w:pPr>
              <w:jc w:val="right"/>
              <w:spacing w:after="0"/>
              <w:rPr>
                <w:sz w:val="20"/>
                <w:szCs w:val="20"/>
                <w:color w:val="auto"/>
              </w:rPr>
            </w:pPr>
            <w:r>
              <w:rPr>
                <w:rFonts w:ascii="Arial" w:cs="Arial" w:eastAsia="Arial" w:hAnsi="Arial"/>
                <w:sz w:val="11"/>
                <w:szCs w:val="11"/>
                <w:color w:val="auto"/>
              </w:rPr>
              <w:t>4,937,500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4,896,911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4,986,875</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DRS Holdings III, Inc. (Revolver) </w:t>
            </w:r>
            <w:r>
              <w:rPr>
                <w:rFonts w:ascii="Arial" w:cs="Arial" w:eastAsia="Arial" w:hAnsi="Arial"/>
                <w:sz w:val="9"/>
                <w:szCs w:val="9"/>
                <w:color w:val="auto"/>
              </w:rPr>
              <w:t>(7), (9)</w:t>
            </w:r>
          </w:p>
        </w:tc>
        <w:tc>
          <w:tcPr>
            <w:tcW w:w="800" w:type="dxa"/>
            <w:vAlign w:val="bottom"/>
            <w:shd w:val="clear" w:color="auto" w:fill="CCECFF"/>
          </w:tcPr>
          <w:p>
            <w:pPr>
              <w:jc w:val="center"/>
              <w:ind w:left="6"/>
              <w:spacing w:after="0"/>
              <w:rPr>
                <w:sz w:val="20"/>
                <w:szCs w:val="20"/>
                <w:color w:val="auto"/>
              </w:rPr>
            </w:pPr>
            <w:r>
              <w:rPr>
                <w:rFonts w:ascii="Arial" w:cs="Arial" w:eastAsia="Arial" w:hAnsi="Arial"/>
                <w:sz w:val="11"/>
                <w:szCs w:val="11"/>
                <w:color w:val="auto"/>
                <w:w w:val="90"/>
              </w:rPr>
              <w:t>11/03/2025</w:t>
            </w:r>
          </w:p>
        </w:tc>
        <w:tc>
          <w:tcPr>
            <w:tcW w:w="2580" w:type="dxa"/>
            <w:vAlign w:val="bottom"/>
            <w:gridSpan w:val="2"/>
            <w:shd w:val="clear" w:color="auto" w:fill="CCECFF"/>
          </w:tcPr>
          <w:p>
            <w:pPr>
              <w:jc w:val="center"/>
              <w:ind w:right="80"/>
              <w:spacing w:after="0"/>
              <w:rPr>
                <w:sz w:val="20"/>
                <w:szCs w:val="20"/>
                <w:color w:val="auto"/>
              </w:rPr>
            </w:pPr>
            <w:r>
              <w:rPr>
                <w:rFonts w:ascii="Arial" w:cs="Arial" w:eastAsia="Arial" w:hAnsi="Arial"/>
                <w:sz w:val="11"/>
                <w:szCs w:val="11"/>
                <w:color w:val="auto"/>
                <w:w w:val="86"/>
              </w:rPr>
              <w:t>Personal Products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903,716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9,037</w:t>
            </w:r>
          </w:p>
        </w:tc>
        <w:tc>
          <w:tcPr>
            <w:tcW w:w="120" w:type="dxa"/>
            <w:vAlign w:val="bottom"/>
            <w:shd w:val="clear" w:color="auto" w:fill="CCECFF"/>
          </w:tcPr>
          <w:p>
            <w:pPr>
              <w:spacing w:after="0"/>
              <w:rPr>
                <w:sz w:val="11"/>
                <w:szCs w:val="11"/>
                <w:color w:val="auto"/>
              </w:rPr>
            </w:pP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East Valley Tourist Development Authority</w:t>
            </w:r>
          </w:p>
        </w:tc>
        <w:tc>
          <w:tcPr>
            <w:tcW w:w="800" w:type="dxa"/>
            <w:vAlign w:val="bottom"/>
          </w:tcPr>
          <w:p>
            <w:pPr>
              <w:jc w:val="center"/>
              <w:ind w:left="6"/>
              <w:spacing w:after="0"/>
              <w:rPr>
                <w:sz w:val="20"/>
                <w:szCs w:val="20"/>
                <w:color w:val="auto"/>
              </w:rPr>
            </w:pPr>
            <w:r>
              <w:rPr>
                <w:rFonts w:ascii="Arial" w:cs="Arial" w:eastAsia="Arial" w:hAnsi="Arial"/>
                <w:sz w:val="11"/>
                <w:szCs w:val="11"/>
                <w:color w:val="auto"/>
                <w:w w:val="90"/>
              </w:rPr>
              <w:t>03/07/2022</w:t>
            </w:r>
          </w:p>
        </w:tc>
        <w:tc>
          <w:tcPr>
            <w:tcW w:w="2580" w:type="dxa"/>
            <w:vAlign w:val="bottom"/>
            <w:gridSpan w:val="2"/>
          </w:tcPr>
          <w:p>
            <w:pPr>
              <w:jc w:val="center"/>
              <w:ind w:right="80"/>
              <w:spacing w:after="0"/>
              <w:rPr>
                <w:sz w:val="20"/>
                <w:szCs w:val="20"/>
                <w:color w:val="auto"/>
              </w:rPr>
            </w:pPr>
            <w:r>
              <w:rPr>
                <w:rFonts w:ascii="Arial" w:cs="Arial" w:eastAsia="Arial" w:hAnsi="Arial"/>
                <w:sz w:val="11"/>
                <w:szCs w:val="11"/>
                <w:color w:val="auto"/>
                <w:w w:val="90"/>
              </w:rPr>
              <w:t>Hotel, Gaming and Leisure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9.00%</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3M L+800</w:t>
            </w:r>
          </w:p>
        </w:tc>
        <w:tc>
          <w:tcPr>
            <w:tcW w:w="680" w:type="dxa"/>
            <w:vAlign w:val="bottom"/>
          </w:tcPr>
          <w:p>
            <w:pPr>
              <w:jc w:val="right"/>
              <w:spacing w:after="0"/>
              <w:rPr>
                <w:sz w:val="20"/>
                <w:szCs w:val="20"/>
                <w:color w:val="auto"/>
              </w:rPr>
            </w:pPr>
            <w:r>
              <w:rPr>
                <w:rFonts w:ascii="Arial" w:cs="Arial" w:eastAsia="Arial" w:hAnsi="Arial"/>
                <w:sz w:val="11"/>
                <w:szCs w:val="11"/>
                <w:color w:val="auto"/>
              </w:rPr>
              <w:t>13,289,079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13,237,939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13,089,743</w:t>
            </w:r>
          </w:p>
        </w:tc>
        <w:tc>
          <w:tcPr>
            <w:tcW w:w="120" w:type="dxa"/>
            <w:vAlign w:val="bottom"/>
          </w:tcPr>
          <w:p>
            <w:pPr>
              <w:spacing w:after="0"/>
              <w:rPr>
                <w:sz w:val="12"/>
                <w:szCs w:val="12"/>
                <w:color w:val="auto"/>
              </w:rPr>
            </w:pPr>
          </w:p>
        </w:tc>
      </w:tr>
      <w:tr>
        <w:trPr>
          <w:trHeight w:val="131"/>
        </w:trPr>
        <w:tc>
          <w:tcPr>
            <w:tcW w:w="3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(PIK 3.50%)</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ECL Entertainment, LLC</w:t>
            </w:r>
          </w:p>
        </w:tc>
        <w:tc>
          <w:tcPr>
            <w:tcW w:w="800" w:type="dxa"/>
            <w:vAlign w:val="bottom"/>
            <w:shd w:val="clear" w:color="auto" w:fill="CCECFF"/>
          </w:tcPr>
          <w:p>
            <w:pPr>
              <w:jc w:val="center"/>
              <w:ind w:left="6"/>
              <w:spacing w:after="0"/>
              <w:rPr>
                <w:sz w:val="20"/>
                <w:szCs w:val="20"/>
                <w:color w:val="auto"/>
              </w:rPr>
            </w:pPr>
            <w:r>
              <w:rPr>
                <w:rFonts w:ascii="Arial" w:cs="Arial" w:eastAsia="Arial" w:hAnsi="Arial"/>
                <w:sz w:val="11"/>
                <w:szCs w:val="11"/>
                <w:color w:val="auto"/>
                <w:w w:val="90"/>
              </w:rPr>
              <w:t>04/01/2028</w:t>
            </w:r>
          </w:p>
        </w:tc>
        <w:tc>
          <w:tcPr>
            <w:tcW w:w="2580" w:type="dxa"/>
            <w:vAlign w:val="bottom"/>
            <w:gridSpan w:val="2"/>
            <w:shd w:val="clear" w:color="auto" w:fill="CCECFF"/>
          </w:tcPr>
          <w:p>
            <w:pPr>
              <w:jc w:val="center"/>
              <w:ind w:right="80"/>
              <w:spacing w:after="0"/>
              <w:rPr>
                <w:sz w:val="20"/>
                <w:szCs w:val="20"/>
                <w:color w:val="auto"/>
              </w:rPr>
            </w:pPr>
            <w:r>
              <w:rPr>
                <w:rFonts w:ascii="Arial" w:cs="Arial" w:eastAsia="Arial" w:hAnsi="Arial"/>
                <w:sz w:val="11"/>
                <w:szCs w:val="11"/>
                <w:color w:val="auto"/>
                <w:w w:val="87"/>
              </w:rPr>
              <w:t>Hotels, Restaurants and Leisure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8.25%</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L+750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10,269,231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10,166,538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10,269,231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ECM Industries, LLC (Revolver)</w:t>
            </w:r>
          </w:p>
        </w:tc>
        <w:tc>
          <w:tcPr>
            <w:tcW w:w="800" w:type="dxa"/>
            <w:vAlign w:val="bottom"/>
          </w:tcPr>
          <w:p>
            <w:pPr>
              <w:jc w:val="center"/>
              <w:ind w:left="6"/>
              <w:spacing w:after="0"/>
              <w:rPr>
                <w:sz w:val="20"/>
                <w:szCs w:val="20"/>
                <w:color w:val="auto"/>
              </w:rPr>
            </w:pPr>
            <w:r>
              <w:rPr>
                <w:rFonts w:ascii="Arial" w:cs="Arial" w:eastAsia="Arial" w:hAnsi="Arial"/>
                <w:sz w:val="11"/>
                <w:szCs w:val="11"/>
                <w:color w:val="auto"/>
                <w:w w:val="90"/>
              </w:rPr>
              <w:t>12/23/2025</w:t>
            </w:r>
          </w:p>
        </w:tc>
        <w:tc>
          <w:tcPr>
            <w:tcW w:w="2580" w:type="dxa"/>
            <w:vAlign w:val="bottom"/>
            <w:gridSpan w:val="2"/>
          </w:tcPr>
          <w:p>
            <w:pPr>
              <w:jc w:val="center"/>
              <w:ind w:right="8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5.50%</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1M L+450</w:t>
            </w:r>
          </w:p>
        </w:tc>
        <w:tc>
          <w:tcPr>
            <w:tcW w:w="680" w:type="dxa"/>
            <w:vAlign w:val="bottom"/>
          </w:tcPr>
          <w:p>
            <w:pPr>
              <w:jc w:val="right"/>
              <w:spacing w:after="0"/>
              <w:rPr>
                <w:sz w:val="20"/>
                <w:szCs w:val="20"/>
                <w:color w:val="auto"/>
              </w:rPr>
            </w:pPr>
            <w:r>
              <w:rPr>
                <w:rFonts w:ascii="Arial" w:cs="Arial" w:eastAsia="Arial" w:hAnsi="Arial"/>
                <w:sz w:val="11"/>
                <w:szCs w:val="11"/>
                <w:color w:val="auto"/>
              </w:rPr>
              <w:t>457,208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457,208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454,922</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ECM Industries, LLC (Revolver) </w:t>
            </w:r>
            <w:r>
              <w:rPr>
                <w:rFonts w:ascii="Arial" w:cs="Arial" w:eastAsia="Arial" w:hAnsi="Arial"/>
                <w:sz w:val="9"/>
                <w:szCs w:val="9"/>
                <w:color w:val="auto"/>
              </w:rPr>
              <w:t>(9)</w:t>
            </w:r>
          </w:p>
        </w:tc>
        <w:tc>
          <w:tcPr>
            <w:tcW w:w="800" w:type="dxa"/>
            <w:vAlign w:val="bottom"/>
            <w:shd w:val="clear" w:color="auto" w:fill="CCECFF"/>
          </w:tcPr>
          <w:p>
            <w:pPr>
              <w:jc w:val="center"/>
              <w:ind w:left="6"/>
              <w:spacing w:after="0"/>
              <w:rPr>
                <w:sz w:val="20"/>
                <w:szCs w:val="20"/>
                <w:color w:val="auto"/>
              </w:rPr>
            </w:pPr>
            <w:r>
              <w:rPr>
                <w:rFonts w:ascii="Arial" w:cs="Arial" w:eastAsia="Arial" w:hAnsi="Arial"/>
                <w:sz w:val="11"/>
                <w:szCs w:val="11"/>
                <w:color w:val="auto"/>
                <w:w w:val="90"/>
              </w:rPr>
              <w:t>12/23/2025</w:t>
            </w:r>
          </w:p>
        </w:tc>
        <w:tc>
          <w:tcPr>
            <w:tcW w:w="2580" w:type="dxa"/>
            <w:vAlign w:val="bottom"/>
            <w:gridSpan w:val="2"/>
            <w:shd w:val="clear" w:color="auto" w:fill="CCECFF"/>
          </w:tcPr>
          <w:p>
            <w:pPr>
              <w:jc w:val="center"/>
              <w:ind w:right="8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457,208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(2,286)</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eCommission Financial Services, Inc. </w:t>
            </w:r>
            <w:r>
              <w:rPr>
                <w:rFonts w:ascii="Arial" w:cs="Arial" w:eastAsia="Arial" w:hAnsi="Arial"/>
                <w:sz w:val="9"/>
                <w:szCs w:val="9"/>
                <w:color w:val="auto"/>
              </w:rPr>
              <w:t>(10)</w:t>
            </w:r>
          </w:p>
        </w:tc>
        <w:tc>
          <w:tcPr>
            <w:tcW w:w="800" w:type="dxa"/>
            <w:vAlign w:val="bottom"/>
          </w:tcPr>
          <w:p>
            <w:pPr>
              <w:jc w:val="center"/>
              <w:ind w:left="6"/>
              <w:spacing w:after="0"/>
              <w:rPr>
                <w:sz w:val="20"/>
                <w:szCs w:val="20"/>
                <w:color w:val="auto"/>
              </w:rPr>
            </w:pPr>
            <w:r>
              <w:rPr>
                <w:rFonts w:ascii="Arial" w:cs="Arial" w:eastAsia="Arial" w:hAnsi="Arial"/>
                <w:sz w:val="11"/>
                <w:szCs w:val="11"/>
                <w:color w:val="auto"/>
                <w:w w:val="90"/>
              </w:rPr>
              <w:t>10/05/2023</w:t>
            </w:r>
          </w:p>
        </w:tc>
        <w:tc>
          <w:tcPr>
            <w:tcW w:w="2580" w:type="dxa"/>
            <w:vAlign w:val="bottom"/>
            <w:gridSpan w:val="2"/>
          </w:tcPr>
          <w:p>
            <w:pPr>
              <w:jc w:val="center"/>
              <w:ind w:right="80"/>
              <w:spacing w:after="0"/>
              <w:rPr>
                <w:sz w:val="20"/>
                <w:szCs w:val="20"/>
                <w:color w:val="auto"/>
              </w:rPr>
            </w:pPr>
            <w:r>
              <w:rPr>
                <w:rFonts w:ascii="Arial" w:cs="Arial" w:eastAsia="Arial" w:hAnsi="Arial"/>
                <w:sz w:val="11"/>
                <w:szCs w:val="11"/>
                <w:color w:val="auto"/>
                <w:w w:val="88"/>
              </w:rPr>
              <w:t>Banking, Finance, Insurance &amp; Real Estate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6.00%</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1M L+500</w:t>
            </w:r>
          </w:p>
        </w:tc>
        <w:tc>
          <w:tcPr>
            <w:tcW w:w="680" w:type="dxa"/>
            <w:vAlign w:val="bottom"/>
          </w:tcPr>
          <w:p>
            <w:pPr>
              <w:jc w:val="right"/>
              <w:spacing w:after="0"/>
              <w:rPr>
                <w:sz w:val="20"/>
                <w:szCs w:val="20"/>
                <w:color w:val="auto"/>
              </w:rPr>
            </w:pPr>
            <w:r>
              <w:rPr>
                <w:rFonts w:ascii="Arial" w:cs="Arial" w:eastAsia="Arial" w:hAnsi="Arial"/>
                <w:sz w:val="11"/>
                <w:szCs w:val="11"/>
                <w:color w:val="auto"/>
              </w:rPr>
              <w:t>15,821,875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15,821,875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15,584,547</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eCommission Financial Services, Inc. (Revolver) </w:t>
            </w:r>
            <w:r>
              <w:rPr>
                <w:rFonts w:ascii="Arial" w:cs="Arial" w:eastAsia="Arial" w:hAnsi="Arial"/>
                <w:sz w:val="9"/>
                <w:szCs w:val="9"/>
                <w:color w:val="auto"/>
              </w:rPr>
              <w:t>(7), (9), (10)</w:t>
            </w:r>
          </w:p>
        </w:tc>
        <w:tc>
          <w:tcPr>
            <w:tcW w:w="800" w:type="dxa"/>
            <w:vAlign w:val="bottom"/>
            <w:shd w:val="clear" w:color="auto" w:fill="CCECFF"/>
          </w:tcPr>
          <w:p>
            <w:pPr>
              <w:jc w:val="center"/>
              <w:ind w:left="6"/>
              <w:spacing w:after="0"/>
              <w:rPr>
                <w:sz w:val="20"/>
                <w:szCs w:val="20"/>
                <w:color w:val="auto"/>
              </w:rPr>
            </w:pPr>
            <w:r>
              <w:rPr>
                <w:rFonts w:ascii="Arial" w:cs="Arial" w:eastAsia="Arial" w:hAnsi="Arial"/>
                <w:sz w:val="11"/>
                <w:szCs w:val="11"/>
                <w:color w:val="auto"/>
                <w:w w:val="90"/>
              </w:rPr>
              <w:t>10/05/2023</w:t>
            </w:r>
          </w:p>
        </w:tc>
        <w:tc>
          <w:tcPr>
            <w:tcW w:w="2580" w:type="dxa"/>
            <w:vAlign w:val="bottom"/>
            <w:gridSpan w:val="2"/>
            <w:shd w:val="clear" w:color="auto" w:fill="CCECFF"/>
          </w:tcPr>
          <w:p>
            <w:pPr>
              <w:jc w:val="center"/>
              <w:ind w:right="80"/>
              <w:spacing w:after="0"/>
              <w:rPr>
                <w:sz w:val="20"/>
                <w:szCs w:val="20"/>
                <w:color w:val="auto"/>
              </w:rPr>
            </w:pPr>
            <w:r>
              <w:rPr>
                <w:rFonts w:ascii="Arial" w:cs="Arial" w:eastAsia="Arial" w:hAnsi="Arial"/>
                <w:sz w:val="11"/>
                <w:szCs w:val="11"/>
                <w:color w:val="auto"/>
                <w:w w:val="88"/>
              </w:rPr>
              <w:t>Banking, Finance, Insurance &amp; Real Estate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(75,000)</w:t>
            </w: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Education Networks of America, Inc.</w:t>
            </w:r>
          </w:p>
        </w:tc>
        <w:tc>
          <w:tcPr>
            <w:tcW w:w="800" w:type="dxa"/>
            <w:vAlign w:val="bottom"/>
          </w:tcPr>
          <w:p>
            <w:pPr>
              <w:jc w:val="center"/>
              <w:ind w:left="6"/>
              <w:spacing w:after="0"/>
              <w:rPr>
                <w:sz w:val="20"/>
                <w:szCs w:val="20"/>
                <w:color w:val="auto"/>
              </w:rPr>
            </w:pPr>
            <w:r>
              <w:rPr>
                <w:rFonts w:ascii="Arial" w:cs="Arial" w:eastAsia="Arial" w:hAnsi="Arial"/>
                <w:sz w:val="11"/>
                <w:szCs w:val="11"/>
                <w:color w:val="auto"/>
                <w:w w:val="90"/>
              </w:rPr>
              <w:t>05/06/2021</w:t>
            </w:r>
          </w:p>
        </w:tc>
        <w:tc>
          <w:tcPr>
            <w:tcW w:w="2580" w:type="dxa"/>
            <w:vAlign w:val="bottom"/>
            <w:gridSpan w:val="2"/>
          </w:tcPr>
          <w:p>
            <w:pPr>
              <w:jc w:val="center"/>
              <w:ind w:right="8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10.00%</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1M L+925</w:t>
            </w:r>
          </w:p>
        </w:tc>
        <w:tc>
          <w:tcPr>
            <w:tcW w:w="680" w:type="dxa"/>
            <w:vAlign w:val="bottom"/>
          </w:tcPr>
          <w:p>
            <w:pPr>
              <w:jc w:val="right"/>
              <w:spacing w:after="0"/>
              <w:rPr>
                <w:sz w:val="20"/>
                <w:szCs w:val="20"/>
                <w:color w:val="auto"/>
              </w:rPr>
            </w:pPr>
            <w:r>
              <w:rPr>
                <w:rFonts w:ascii="Arial" w:cs="Arial" w:eastAsia="Arial" w:hAnsi="Arial"/>
                <w:sz w:val="11"/>
                <w:szCs w:val="11"/>
                <w:color w:val="auto"/>
              </w:rPr>
              <w:t>9,601,188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9,601,188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9,601,188</w:t>
            </w:r>
          </w:p>
        </w:tc>
        <w:tc>
          <w:tcPr>
            <w:tcW w:w="120" w:type="dxa"/>
            <w:vAlign w:val="bottom"/>
          </w:tcPr>
          <w:p>
            <w:pPr>
              <w:spacing w:after="0"/>
              <w:rPr>
                <w:sz w:val="12"/>
                <w:szCs w:val="12"/>
                <w:color w:val="auto"/>
              </w:rPr>
            </w:pPr>
          </w:p>
        </w:tc>
      </w:tr>
      <w:tr>
        <w:trPr>
          <w:trHeight w:val="131"/>
        </w:trPr>
        <w:tc>
          <w:tcPr>
            <w:tcW w:w="3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(PIK 4.75%)</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Education Networks of America, Inc. (Revolver)</w:t>
            </w:r>
          </w:p>
        </w:tc>
        <w:tc>
          <w:tcPr>
            <w:tcW w:w="800" w:type="dxa"/>
            <w:vAlign w:val="bottom"/>
            <w:shd w:val="clear" w:color="auto" w:fill="CCECFF"/>
          </w:tcPr>
          <w:p>
            <w:pPr>
              <w:jc w:val="center"/>
              <w:ind w:left="6"/>
              <w:spacing w:after="0"/>
              <w:rPr>
                <w:sz w:val="20"/>
                <w:szCs w:val="20"/>
                <w:color w:val="auto"/>
              </w:rPr>
            </w:pPr>
            <w:r>
              <w:rPr>
                <w:rFonts w:ascii="Arial" w:cs="Arial" w:eastAsia="Arial" w:hAnsi="Arial"/>
                <w:sz w:val="11"/>
                <w:szCs w:val="11"/>
                <w:color w:val="auto"/>
                <w:w w:val="90"/>
              </w:rPr>
              <w:t>05/06/2021</w:t>
            </w:r>
          </w:p>
        </w:tc>
        <w:tc>
          <w:tcPr>
            <w:tcW w:w="2580" w:type="dxa"/>
            <w:vAlign w:val="bottom"/>
            <w:gridSpan w:val="2"/>
            <w:shd w:val="clear" w:color="auto" w:fill="CCECFF"/>
          </w:tcPr>
          <w:p>
            <w:pPr>
              <w:jc w:val="center"/>
              <w:ind w:right="8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10.00%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L+925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2,155,566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2,155,566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2,155,566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24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4.75%)</w:t>
            </w: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Education Networks of America, Inc. (Revolver) </w:t>
            </w:r>
            <w:r>
              <w:rPr>
                <w:rFonts w:ascii="Arial" w:cs="Arial" w:eastAsia="Arial" w:hAnsi="Arial"/>
                <w:sz w:val="9"/>
                <w:szCs w:val="9"/>
                <w:color w:val="auto"/>
              </w:rPr>
              <w:t>(9)</w:t>
            </w:r>
          </w:p>
        </w:tc>
        <w:tc>
          <w:tcPr>
            <w:tcW w:w="800" w:type="dxa"/>
            <w:vAlign w:val="bottom"/>
          </w:tcPr>
          <w:p>
            <w:pPr>
              <w:jc w:val="center"/>
              <w:ind w:left="6"/>
              <w:spacing w:after="0"/>
              <w:rPr>
                <w:sz w:val="20"/>
                <w:szCs w:val="20"/>
                <w:color w:val="auto"/>
              </w:rPr>
            </w:pPr>
            <w:r>
              <w:rPr>
                <w:rFonts w:ascii="Arial" w:cs="Arial" w:eastAsia="Arial" w:hAnsi="Arial"/>
                <w:sz w:val="11"/>
                <w:szCs w:val="11"/>
                <w:color w:val="auto"/>
                <w:w w:val="90"/>
              </w:rPr>
              <w:t>05/06/2021</w:t>
            </w:r>
          </w:p>
        </w:tc>
        <w:tc>
          <w:tcPr>
            <w:tcW w:w="2580" w:type="dxa"/>
            <w:vAlign w:val="bottom"/>
            <w:gridSpan w:val="2"/>
          </w:tcPr>
          <w:p>
            <w:pPr>
              <w:jc w:val="center"/>
              <w:ind w:right="8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114,630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Efficient Collaborative Retail Marketing Company, LLC</w:t>
            </w:r>
          </w:p>
        </w:tc>
        <w:tc>
          <w:tcPr>
            <w:tcW w:w="800" w:type="dxa"/>
            <w:vAlign w:val="bottom"/>
            <w:shd w:val="clear" w:color="auto" w:fill="CCECFF"/>
          </w:tcPr>
          <w:p>
            <w:pPr>
              <w:jc w:val="center"/>
              <w:ind w:left="6"/>
              <w:spacing w:after="0"/>
              <w:rPr>
                <w:sz w:val="20"/>
                <w:szCs w:val="20"/>
                <w:color w:val="auto"/>
              </w:rPr>
            </w:pPr>
            <w:r>
              <w:rPr>
                <w:rFonts w:ascii="Arial" w:cs="Arial" w:eastAsia="Arial" w:hAnsi="Arial"/>
                <w:sz w:val="11"/>
                <w:szCs w:val="11"/>
                <w:color w:val="auto"/>
                <w:w w:val="90"/>
              </w:rPr>
              <w:t>06/15/2022</w:t>
            </w:r>
          </w:p>
        </w:tc>
        <w:tc>
          <w:tcPr>
            <w:tcW w:w="2580" w:type="dxa"/>
            <w:vAlign w:val="bottom"/>
            <w:gridSpan w:val="2"/>
            <w:shd w:val="clear" w:color="auto" w:fill="CCECFF"/>
          </w:tcPr>
          <w:p>
            <w:pPr>
              <w:jc w:val="center"/>
              <w:ind w:right="80"/>
              <w:spacing w:after="0"/>
              <w:rPr>
                <w:sz w:val="20"/>
                <w:szCs w:val="20"/>
                <w:color w:val="auto"/>
              </w:rPr>
            </w:pPr>
            <w:r>
              <w:rPr>
                <w:rFonts w:ascii="Arial" w:cs="Arial" w:eastAsia="Arial" w:hAnsi="Arial"/>
                <w:sz w:val="11"/>
                <w:szCs w:val="11"/>
                <w:color w:val="auto"/>
                <w:w w:val="91"/>
              </w:rPr>
              <w:t>Media: Diversified and Production</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7.75%</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7,189,139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7,176,280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6,703,872</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GCOM Software LLC</w:t>
            </w:r>
          </w:p>
        </w:tc>
        <w:tc>
          <w:tcPr>
            <w:tcW w:w="800" w:type="dxa"/>
            <w:vAlign w:val="bottom"/>
          </w:tcPr>
          <w:p>
            <w:pPr>
              <w:jc w:val="center"/>
              <w:ind w:left="6"/>
              <w:spacing w:after="0"/>
              <w:rPr>
                <w:sz w:val="20"/>
                <w:szCs w:val="20"/>
                <w:color w:val="auto"/>
              </w:rPr>
            </w:pPr>
            <w:r>
              <w:rPr>
                <w:rFonts w:ascii="Arial" w:cs="Arial" w:eastAsia="Arial" w:hAnsi="Arial"/>
                <w:sz w:val="11"/>
                <w:szCs w:val="11"/>
                <w:color w:val="auto"/>
                <w:w w:val="90"/>
              </w:rPr>
              <w:t>11/14/2022</w:t>
            </w:r>
          </w:p>
        </w:tc>
        <w:tc>
          <w:tcPr>
            <w:tcW w:w="2580" w:type="dxa"/>
            <w:vAlign w:val="bottom"/>
            <w:gridSpan w:val="2"/>
          </w:tcPr>
          <w:p>
            <w:pPr>
              <w:jc w:val="center"/>
              <w:ind w:right="8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7.75%</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1M L+625</w:t>
            </w:r>
          </w:p>
        </w:tc>
        <w:tc>
          <w:tcPr>
            <w:tcW w:w="680" w:type="dxa"/>
            <w:vAlign w:val="bottom"/>
          </w:tcPr>
          <w:p>
            <w:pPr>
              <w:jc w:val="right"/>
              <w:spacing w:after="0"/>
              <w:rPr>
                <w:sz w:val="20"/>
                <w:szCs w:val="20"/>
                <w:color w:val="auto"/>
              </w:rPr>
            </w:pPr>
            <w:r>
              <w:rPr>
                <w:rFonts w:ascii="Arial" w:cs="Arial" w:eastAsia="Arial" w:hAnsi="Arial"/>
                <w:sz w:val="11"/>
                <w:szCs w:val="11"/>
                <w:color w:val="auto"/>
              </w:rPr>
              <w:t>13,468,460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13,322,903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13,468,460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GCOM Software LLC (Revolver) </w:t>
            </w:r>
            <w:r>
              <w:rPr>
                <w:rFonts w:ascii="Arial" w:cs="Arial" w:eastAsia="Arial" w:hAnsi="Arial"/>
                <w:sz w:val="9"/>
                <w:szCs w:val="9"/>
                <w:color w:val="auto"/>
              </w:rPr>
              <w:t>(7)</w:t>
            </w:r>
          </w:p>
        </w:tc>
        <w:tc>
          <w:tcPr>
            <w:tcW w:w="800" w:type="dxa"/>
            <w:vAlign w:val="bottom"/>
            <w:shd w:val="clear" w:color="auto" w:fill="CCECFF"/>
          </w:tcPr>
          <w:p>
            <w:pPr>
              <w:jc w:val="center"/>
              <w:ind w:left="6"/>
              <w:spacing w:after="0"/>
              <w:rPr>
                <w:sz w:val="20"/>
                <w:szCs w:val="20"/>
                <w:color w:val="auto"/>
              </w:rPr>
            </w:pPr>
            <w:r>
              <w:rPr>
                <w:rFonts w:ascii="Arial" w:cs="Arial" w:eastAsia="Arial" w:hAnsi="Arial"/>
                <w:sz w:val="11"/>
                <w:szCs w:val="11"/>
                <w:color w:val="auto"/>
                <w:w w:val="90"/>
              </w:rPr>
              <w:t>11/14/2022</w:t>
            </w:r>
          </w:p>
        </w:tc>
        <w:tc>
          <w:tcPr>
            <w:tcW w:w="2580" w:type="dxa"/>
            <w:vAlign w:val="bottom"/>
            <w:gridSpan w:val="2"/>
            <w:shd w:val="clear" w:color="auto" w:fill="CCECFF"/>
          </w:tcPr>
          <w:p>
            <w:pPr>
              <w:jc w:val="center"/>
              <w:ind w:right="8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8.75%</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533,333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533,333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533,333</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GCOM Software LLC (Revolver) </w:t>
            </w:r>
            <w:r>
              <w:rPr>
                <w:rFonts w:ascii="Arial" w:cs="Arial" w:eastAsia="Arial" w:hAnsi="Arial"/>
                <w:sz w:val="9"/>
                <w:szCs w:val="9"/>
                <w:color w:val="auto"/>
              </w:rPr>
              <w:t>(7), (9)</w:t>
            </w:r>
          </w:p>
        </w:tc>
        <w:tc>
          <w:tcPr>
            <w:tcW w:w="800" w:type="dxa"/>
            <w:vAlign w:val="bottom"/>
          </w:tcPr>
          <w:p>
            <w:pPr>
              <w:jc w:val="center"/>
              <w:ind w:left="6"/>
              <w:spacing w:after="0"/>
              <w:rPr>
                <w:sz w:val="20"/>
                <w:szCs w:val="20"/>
                <w:color w:val="auto"/>
              </w:rPr>
            </w:pPr>
            <w:r>
              <w:rPr>
                <w:rFonts w:ascii="Arial" w:cs="Arial" w:eastAsia="Arial" w:hAnsi="Arial"/>
                <w:sz w:val="11"/>
                <w:szCs w:val="11"/>
                <w:color w:val="auto"/>
                <w:w w:val="90"/>
              </w:rPr>
              <w:t>11/14/2022</w:t>
            </w:r>
          </w:p>
        </w:tc>
        <w:tc>
          <w:tcPr>
            <w:tcW w:w="2580" w:type="dxa"/>
            <w:vAlign w:val="bottom"/>
            <w:gridSpan w:val="2"/>
          </w:tcPr>
          <w:p>
            <w:pPr>
              <w:jc w:val="center"/>
              <w:ind w:right="8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2,133,333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Global Holdings InterCo LLC</w:t>
            </w:r>
          </w:p>
        </w:tc>
        <w:tc>
          <w:tcPr>
            <w:tcW w:w="800" w:type="dxa"/>
            <w:vAlign w:val="bottom"/>
            <w:shd w:val="clear" w:color="auto" w:fill="CCECFF"/>
          </w:tcPr>
          <w:p>
            <w:pPr>
              <w:jc w:val="center"/>
              <w:ind w:left="6"/>
              <w:spacing w:after="0"/>
              <w:rPr>
                <w:sz w:val="20"/>
                <w:szCs w:val="20"/>
                <w:color w:val="auto"/>
              </w:rPr>
            </w:pPr>
            <w:r>
              <w:rPr>
                <w:rFonts w:ascii="Arial" w:cs="Arial" w:eastAsia="Arial" w:hAnsi="Arial"/>
                <w:sz w:val="11"/>
                <w:szCs w:val="11"/>
                <w:color w:val="auto"/>
                <w:w w:val="90"/>
              </w:rPr>
              <w:t>03/16/2026</w:t>
            </w:r>
          </w:p>
        </w:tc>
        <w:tc>
          <w:tcPr>
            <w:tcW w:w="2580" w:type="dxa"/>
            <w:vAlign w:val="bottom"/>
            <w:gridSpan w:val="2"/>
            <w:shd w:val="clear" w:color="auto" w:fill="CCECFF"/>
          </w:tcPr>
          <w:p>
            <w:pPr>
              <w:jc w:val="center"/>
              <w:ind w:right="80"/>
              <w:spacing w:after="0"/>
              <w:rPr>
                <w:sz w:val="20"/>
                <w:szCs w:val="20"/>
                <w:color w:val="auto"/>
              </w:rPr>
            </w:pPr>
            <w:r>
              <w:rPr>
                <w:rFonts w:ascii="Arial" w:cs="Arial" w:eastAsia="Arial" w:hAnsi="Arial"/>
                <w:sz w:val="11"/>
                <w:szCs w:val="11"/>
                <w:color w:val="auto"/>
                <w:w w:val="90"/>
              </w:rPr>
              <w:t>Diversified Financial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12,500,000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12,312,694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12,468,750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Good2Grow LLC</w:t>
            </w:r>
          </w:p>
        </w:tc>
        <w:tc>
          <w:tcPr>
            <w:tcW w:w="800" w:type="dxa"/>
            <w:vAlign w:val="bottom"/>
          </w:tcPr>
          <w:p>
            <w:pPr>
              <w:jc w:val="center"/>
              <w:ind w:left="6"/>
              <w:spacing w:after="0"/>
              <w:rPr>
                <w:sz w:val="20"/>
                <w:szCs w:val="20"/>
                <w:color w:val="auto"/>
              </w:rPr>
            </w:pPr>
            <w:r>
              <w:rPr>
                <w:rFonts w:ascii="Arial" w:cs="Arial" w:eastAsia="Arial" w:hAnsi="Arial"/>
                <w:sz w:val="11"/>
                <w:szCs w:val="11"/>
                <w:color w:val="auto"/>
                <w:w w:val="90"/>
              </w:rPr>
              <w:t>11/18/2024</w:t>
            </w:r>
          </w:p>
        </w:tc>
        <w:tc>
          <w:tcPr>
            <w:tcW w:w="2580" w:type="dxa"/>
            <w:vAlign w:val="bottom"/>
            <w:gridSpan w:val="2"/>
          </w:tcPr>
          <w:p>
            <w:pPr>
              <w:jc w:val="center"/>
              <w:ind w:right="80"/>
              <w:spacing w:after="0"/>
              <w:rPr>
                <w:sz w:val="20"/>
                <w:szCs w:val="20"/>
                <w:color w:val="auto"/>
              </w:rPr>
            </w:pPr>
            <w:r>
              <w:rPr>
                <w:rFonts w:ascii="Arial" w:cs="Arial" w:eastAsia="Arial" w:hAnsi="Arial"/>
                <w:sz w:val="11"/>
                <w:szCs w:val="11"/>
                <w:color w:val="auto"/>
                <w:w w:val="87"/>
              </w:rPr>
              <w:t>Beverages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5.25%</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3M L+425</w:t>
            </w:r>
          </w:p>
        </w:tc>
        <w:tc>
          <w:tcPr>
            <w:tcW w:w="680" w:type="dxa"/>
            <w:vAlign w:val="bottom"/>
          </w:tcPr>
          <w:p>
            <w:pPr>
              <w:jc w:val="right"/>
              <w:spacing w:after="0"/>
              <w:rPr>
                <w:sz w:val="20"/>
                <w:szCs w:val="20"/>
                <w:color w:val="auto"/>
              </w:rPr>
            </w:pPr>
            <w:r>
              <w:rPr>
                <w:rFonts w:ascii="Arial" w:cs="Arial" w:eastAsia="Arial" w:hAnsi="Arial"/>
                <w:sz w:val="11"/>
                <w:szCs w:val="11"/>
                <w:color w:val="auto"/>
              </w:rPr>
              <w:t>5,699,510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5,662,350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5,699,510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Good2Grow LLC (Revolver) </w:t>
            </w:r>
            <w:r>
              <w:rPr>
                <w:rFonts w:ascii="Arial" w:cs="Arial" w:eastAsia="Arial" w:hAnsi="Arial"/>
                <w:sz w:val="9"/>
                <w:szCs w:val="9"/>
                <w:color w:val="auto"/>
              </w:rPr>
              <w:t>(7), (9)</w:t>
            </w:r>
          </w:p>
        </w:tc>
        <w:tc>
          <w:tcPr>
            <w:tcW w:w="800" w:type="dxa"/>
            <w:vAlign w:val="bottom"/>
            <w:shd w:val="clear" w:color="auto" w:fill="CCECFF"/>
          </w:tcPr>
          <w:p>
            <w:pPr>
              <w:jc w:val="center"/>
              <w:ind w:left="6"/>
              <w:spacing w:after="0"/>
              <w:rPr>
                <w:sz w:val="20"/>
                <w:szCs w:val="20"/>
                <w:color w:val="auto"/>
              </w:rPr>
            </w:pPr>
            <w:r>
              <w:rPr>
                <w:rFonts w:ascii="Arial" w:cs="Arial" w:eastAsia="Arial" w:hAnsi="Arial"/>
                <w:sz w:val="11"/>
                <w:szCs w:val="11"/>
                <w:color w:val="auto"/>
                <w:w w:val="90"/>
              </w:rPr>
              <w:t>11/16/2023</w:t>
            </w:r>
          </w:p>
        </w:tc>
        <w:tc>
          <w:tcPr>
            <w:tcW w:w="2580" w:type="dxa"/>
            <w:vAlign w:val="bottom"/>
            <w:gridSpan w:val="2"/>
            <w:shd w:val="clear" w:color="auto" w:fill="CCECFF"/>
          </w:tcPr>
          <w:p>
            <w:pPr>
              <w:jc w:val="center"/>
              <w:ind w:right="80"/>
              <w:spacing w:after="0"/>
              <w:rPr>
                <w:sz w:val="20"/>
                <w:szCs w:val="20"/>
                <w:color w:val="auto"/>
              </w:rPr>
            </w:pPr>
            <w:r>
              <w:rPr>
                <w:rFonts w:ascii="Arial" w:cs="Arial" w:eastAsia="Arial" w:hAnsi="Arial"/>
                <w:sz w:val="11"/>
                <w:szCs w:val="11"/>
                <w:color w:val="auto"/>
                <w:w w:val="87"/>
              </w:rPr>
              <w:t>Beverages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3,137,000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Hancock Roofing and Construction L.L.C.</w:t>
            </w:r>
          </w:p>
        </w:tc>
        <w:tc>
          <w:tcPr>
            <w:tcW w:w="800" w:type="dxa"/>
            <w:vAlign w:val="bottom"/>
          </w:tcPr>
          <w:p>
            <w:pPr>
              <w:jc w:val="center"/>
              <w:ind w:left="6"/>
              <w:spacing w:after="0"/>
              <w:rPr>
                <w:sz w:val="20"/>
                <w:szCs w:val="20"/>
                <w:color w:val="auto"/>
              </w:rPr>
            </w:pPr>
            <w:r>
              <w:rPr>
                <w:rFonts w:ascii="Arial" w:cs="Arial" w:eastAsia="Arial" w:hAnsi="Arial"/>
                <w:sz w:val="11"/>
                <w:szCs w:val="11"/>
                <w:color w:val="auto"/>
                <w:w w:val="90"/>
              </w:rPr>
              <w:t>12/31/2026</w:t>
            </w:r>
          </w:p>
        </w:tc>
        <w:tc>
          <w:tcPr>
            <w:tcW w:w="2580" w:type="dxa"/>
            <w:vAlign w:val="bottom"/>
            <w:gridSpan w:val="2"/>
          </w:tcPr>
          <w:p>
            <w:pPr>
              <w:jc w:val="center"/>
              <w:ind w:right="80"/>
              <w:spacing w:after="0"/>
              <w:rPr>
                <w:sz w:val="20"/>
                <w:szCs w:val="20"/>
                <w:color w:val="auto"/>
              </w:rPr>
            </w:pPr>
            <w:r>
              <w:rPr>
                <w:rFonts w:ascii="Arial" w:cs="Arial" w:eastAsia="Arial" w:hAnsi="Arial"/>
                <w:sz w:val="11"/>
                <w:szCs w:val="11"/>
                <w:color w:val="auto"/>
                <w:w w:val="86"/>
              </w:rPr>
              <w:t>Insurance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6.25%</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3M L+425</w:t>
            </w:r>
          </w:p>
        </w:tc>
        <w:tc>
          <w:tcPr>
            <w:tcW w:w="680" w:type="dxa"/>
            <w:vAlign w:val="bottom"/>
          </w:tcPr>
          <w:p>
            <w:pPr>
              <w:jc w:val="right"/>
              <w:spacing w:after="0"/>
              <w:rPr>
                <w:sz w:val="20"/>
                <w:szCs w:val="20"/>
                <w:color w:val="auto"/>
              </w:rPr>
            </w:pPr>
            <w:r>
              <w:rPr>
                <w:rFonts w:ascii="Arial" w:cs="Arial" w:eastAsia="Arial" w:hAnsi="Arial"/>
                <w:sz w:val="11"/>
                <w:szCs w:val="11"/>
                <w:color w:val="auto"/>
              </w:rPr>
              <w:t>3,491,250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3,407,862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3,403,969</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Hancock Roofing and Construction L.L.C. </w:t>
            </w:r>
            <w:r>
              <w:rPr>
                <w:rFonts w:ascii="Arial" w:cs="Arial" w:eastAsia="Arial" w:hAnsi="Arial"/>
                <w:sz w:val="9"/>
                <w:szCs w:val="9"/>
                <w:color w:val="auto"/>
              </w:rPr>
              <w:t>(7), (9)</w:t>
            </w:r>
          </w:p>
        </w:tc>
        <w:tc>
          <w:tcPr>
            <w:tcW w:w="800" w:type="dxa"/>
            <w:vAlign w:val="bottom"/>
            <w:shd w:val="clear" w:color="auto" w:fill="CCECFF"/>
          </w:tcPr>
          <w:p>
            <w:pPr>
              <w:jc w:val="center"/>
              <w:ind w:left="6"/>
              <w:spacing w:after="0"/>
              <w:rPr>
                <w:sz w:val="20"/>
                <w:szCs w:val="20"/>
                <w:color w:val="auto"/>
              </w:rPr>
            </w:pPr>
            <w:r>
              <w:rPr>
                <w:rFonts w:ascii="Arial" w:cs="Arial" w:eastAsia="Arial" w:hAnsi="Arial"/>
                <w:sz w:val="11"/>
                <w:szCs w:val="11"/>
                <w:color w:val="auto"/>
                <w:w w:val="90"/>
              </w:rPr>
              <w:t>12/31/2022</w:t>
            </w:r>
          </w:p>
        </w:tc>
        <w:tc>
          <w:tcPr>
            <w:tcW w:w="2580" w:type="dxa"/>
            <w:vAlign w:val="bottom"/>
            <w:gridSpan w:val="2"/>
            <w:shd w:val="clear" w:color="auto" w:fill="CCECFF"/>
          </w:tcPr>
          <w:p>
            <w:pPr>
              <w:jc w:val="center"/>
              <w:ind w:right="80"/>
              <w:spacing w:after="0"/>
              <w:rPr>
                <w:sz w:val="20"/>
                <w:szCs w:val="20"/>
                <w:color w:val="auto"/>
              </w:rPr>
            </w:pPr>
            <w:r>
              <w:rPr>
                <w:rFonts w:ascii="Arial" w:cs="Arial" w:eastAsia="Arial" w:hAnsi="Arial"/>
                <w:sz w:val="11"/>
                <w:szCs w:val="11"/>
                <w:color w:val="auto"/>
                <w:w w:val="86"/>
              </w:rPr>
              <w:t>Insurance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(37,500)</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Hancock Roofing and Construction L.L.C. (Revolver) </w:t>
            </w:r>
            <w:r>
              <w:rPr>
                <w:rFonts w:ascii="Arial" w:cs="Arial" w:eastAsia="Arial" w:hAnsi="Arial"/>
                <w:sz w:val="9"/>
                <w:szCs w:val="9"/>
                <w:color w:val="auto"/>
              </w:rPr>
              <w:t>(7), (9)</w:t>
            </w:r>
          </w:p>
        </w:tc>
        <w:tc>
          <w:tcPr>
            <w:tcW w:w="800" w:type="dxa"/>
            <w:vAlign w:val="bottom"/>
          </w:tcPr>
          <w:p>
            <w:pPr>
              <w:jc w:val="center"/>
              <w:ind w:left="6"/>
              <w:spacing w:after="0"/>
              <w:rPr>
                <w:sz w:val="20"/>
                <w:szCs w:val="20"/>
                <w:color w:val="auto"/>
              </w:rPr>
            </w:pPr>
            <w:r>
              <w:rPr>
                <w:rFonts w:ascii="Arial" w:cs="Arial" w:eastAsia="Arial" w:hAnsi="Arial"/>
                <w:sz w:val="11"/>
                <w:szCs w:val="11"/>
                <w:color w:val="auto"/>
                <w:w w:val="90"/>
              </w:rPr>
              <w:t>12/31/2026</w:t>
            </w:r>
          </w:p>
        </w:tc>
        <w:tc>
          <w:tcPr>
            <w:tcW w:w="2580" w:type="dxa"/>
            <w:vAlign w:val="bottom"/>
            <w:gridSpan w:val="2"/>
          </w:tcPr>
          <w:p>
            <w:pPr>
              <w:jc w:val="center"/>
              <w:ind w:right="80"/>
              <w:spacing w:after="0"/>
              <w:rPr>
                <w:sz w:val="20"/>
                <w:szCs w:val="20"/>
                <w:color w:val="auto"/>
              </w:rPr>
            </w:pPr>
            <w:r>
              <w:rPr>
                <w:rFonts w:ascii="Arial" w:cs="Arial" w:eastAsia="Arial" w:hAnsi="Arial"/>
                <w:sz w:val="11"/>
                <w:szCs w:val="11"/>
                <w:color w:val="auto"/>
                <w:w w:val="86"/>
              </w:rPr>
              <w:t>Insurance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750,000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(18,750)</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Holdco Sands Intermediate, LLC</w:t>
            </w:r>
          </w:p>
        </w:tc>
        <w:tc>
          <w:tcPr>
            <w:tcW w:w="800" w:type="dxa"/>
            <w:vAlign w:val="bottom"/>
            <w:shd w:val="clear" w:color="auto" w:fill="CCECFF"/>
          </w:tcPr>
          <w:p>
            <w:pPr>
              <w:jc w:val="center"/>
              <w:ind w:left="6"/>
              <w:spacing w:after="0"/>
              <w:rPr>
                <w:sz w:val="20"/>
                <w:szCs w:val="20"/>
                <w:color w:val="auto"/>
              </w:rPr>
            </w:pPr>
            <w:r>
              <w:rPr>
                <w:rFonts w:ascii="Arial" w:cs="Arial" w:eastAsia="Arial" w:hAnsi="Arial"/>
                <w:sz w:val="11"/>
                <w:szCs w:val="11"/>
                <w:color w:val="auto"/>
                <w:w w:val="90"/>
              </w:rPr>
              <w:t>12/19/2025</w:t>
            </w:r>
          </w:p>
        </w:tc>
        <w:tc>
          <w:tcPr>
            <w:tcW w:w="2580" w:type="dxa"/>
            <w:vAlign w:val="bottom"/>
            <w:gridSpan w:val="2"/>
            <w:shd w:val="clear" w:color="auto" w:fill="CCECFF"/>
          </w:tcPr>
          <w:p>
            <w:pPr>
              <w:jc w:val="center"/>
              <w:ind w:right="8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1,995,000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1,957,044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1,965,075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HW Holdco, LLC</w:t>
            </w:r>
          </w:p>
        </w:tc>
        <w:tc>
          <w:tcPr>
            <w:tcW w:w="800" w:type="dxa"/>
            <w:vAlign w:val="bottom"/>
          </w:tcPr>
          <w:p>
            <w:pPr>
              <w:jc w:val="center"/>
              <w:ind w:left="6"/>
              <w:spacing w:after="0"/>
              <w:rPr>
                <w:sz w:val="20"/>
                <w:szCs w:val="20"/>
                <w:color w:val="auto"/>
              </w:rPr>
            </w:pPr>
            <w:r>
              <w:rPr>
                <w:rFonts w:ascii="Arial" w:cs="Arial" w:eastAsia="Arial" w:hAnsi="Arial"/>
                <w:sz w:val="11"/>
                <w:szCs w:val="11"/>
                <w:color w:val="auto"/>
                <w:w w:val="90"/>
              </w:rPr>
              <w:t>12/10/2024</w:t>
            </w:r>
          </w:p>
        </w:tc>
        <w:tc>
          <w:tcPr>
            <w:tcW w:w="2580" w:type="dxa"/>
            <w:vAlign w:val="bottom"/>
            <w:gridSpan w:val="2"/>
          </w:tcPr>
          <w:p>
            <w:pPr>
              <w:jc w:val="center"/>
              <w:ind w:right="60"/>
              <w:spacing w:after="0"/>
              <w:rPr>
                <w:sz w:val="20"/>
                <w:szCs w:val="20"/>
                <w:color w:val="auto"/>
              </w:rPr>
            </w:pPr>
            <w:r>
              <w:rPr>
                <w:rFonts w:ascii="Arial" w:cs="Arial" w:eastAsia="Arial" w:hAnsi="Arial"/>
                <w:sz w:val="11"/>
                <w:szCs w:val="11"/>
                <w:color w:val="auto"/>
                <w:w w:val="93"/>
              </w:rPr>
              <w:t>Media</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5.50%</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1M L+450</w:t>
            </w:r>
          </w:p>
        </w:tc>
        <w:tc>
          <w:tcPr>
            <w:tcW w:w="680" w:type="dxa"/>
            <w:vAlign w:val="bottom"/>
          </w:tcPr>
          <w:p>
            <w:pPr>
              <w:jc w:val="right"/>
              <w:spacing w:after="0"/>
              <w:rPr>
                <w:sz w:val="20"/>
                <w:szCs w:val="20"/>
                <w:color w:val="auto"/>
              </w:rPr>
            </w:pPr>
            <w:r>
              <w:rPr>
                <w:rFonts w:ascii="Arial" w:cs="Arial" w:eastAsia="Arial" w:hAnsi="Arial"/>
                <w:sz w:val="11"/>
                <w:szCs w:val="11"/>
                <w:color w:val="auto"/>
              </w:rPr>
              <w:t>7,378,548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7,329,172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7,230,977</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HW Holdco, LLC (Revolver) </w:t>
            </w:r>
            <w:r>
              <w:rPr>
                <w:rFonts w:ascii="Arial" w:cs="Arial" w:eastAsia="Arial" w:hAnsi="Arial"/>
                <w:sz w:val="9"/>
                <w:szCs w:val="9"/>
                <w:color w:val="auto"/>
              </w:rPr>
              <w:t>(7), (9)</w:t>
            </w:r>
          </w:p>
        </w:tc>
        <w:tc>
          <w:tcPr>
            <w:tcW w:w="800" w:type="dxa"/>
            <w:vAlign w:val="bottom"/>
            <w:shd w:val="clear" w:color="auto" w:fill="CCECFF"/>
          </w:tcPr>
          <w:p>
            <w:pPr>
              <w:jc w:val="center"/>
              <w:ind w:left="6"/>
              <w:spacing w:after="0"/>
              <w:rPr>
                <w:sz w:val="20"/>
                <w:szCs w:val="20"/>
                <w:color w:val="auto"/>
              </w:rPr>
            </w:pPr>
            <w:r>
              <w:rPr>
                <w:rFonts w:ascii="Arial" w:cs="Arial" w:eastAsia="Arial" w:hAnsi="Arial"/>
                <w:sz w:val="11"/>
                <w:szCs w:val="11"/>
                <w:color w:val="auto"/>
                <w:w w:val="90"/>
              </w:rPr>
              <w:t>12/10/2024</w:t>
            </w:r>
          </w:p>
        </w:tc>
        <w:tc>
          <w:tcPr>
            <w:tcW w:w="2580" w:type="dxa"/>
            <w:vAlign w:val="bottom"/>
            <w:gridSpan w:val="2"/>
            <w:shd w:val="clear" w:color="auto" w:fill="CCECFF"/>
          </w:tcPr>
          <w:p>
            <w:pPr>
              <w:jc w:val="center"/>
              <w:ind w:right="60"/>
              <w:spacing w:after="0"/>
              <w:rPr>
                <w:sz w:val="20"/>
                <w:szCs w:val="20"/>
                <w:color w:val="auto"/>
              </w:rPr>
            </w:pPr>
            <w:r>
              <w:rPr>
                <w:rFonts w:ascii="Arial" w:cs="Arial" w:eastAsia="Arial" w:hAnsi="Arial"/>
                <w:sz w:val="11"/>
                <w:szCs w:val="11"/>
                <w:color w:val="auto"/>
                <w:w w:val="93"/>
              </w:rPr>
              <w:t>Media</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1,451,613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(29,032)</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IMIA Holdings, Inc. (Revolver) </w:t>
            </w:r>
            <w:r>
              <w:rPr>
                <w:rFonts w:ascii="Arial" w:cs="Arial" w:eastAsia="Arial" w:hAnsi="Arial"/>
                <w:sz w:val="9"/>
                <w:szCs w:val="9"/>
                <w:color w:val="auto"/>
              </w:rPr>
              <w:t>(7), (9)</w:t>
            </w:r>
          </w:p>
        </w:tc>
        <w:tc>
          <w:tcPr>
            <w:tcW w:w="800" w:type="dxa"/>
            <w:vAlign w:val="bottom"/>
          </w:tcPr>
          <w:p>
            <w:pPr>
              <w:jc w:val="center"/>
              <w:ind w:left="6"/>
              <w:spacing w:after="0"/>
              <w:rPr>
                <w:sz w:val="20"/>
                <w:szCs w:val="20"/>
                <w:color w:val="auto"/>
              </w:rPr>
            </w:pPr>
            <w:r>
              <w:rPr>
                <w:rFonts w:ascii="Arial" w:cs="Arial" w:eastAsia="Arial" w:hAnsi="Arial"/>
                <w:sz w:val="11"/>
                <w:szCs w:val="11"/>
                <w:color w:val="auto"/>
                <w:w w:val="90"/>
              </w:rPr>
              <w:t>10/26/2025</w:t>
            </w:r>
          </w:p>
        </w:tc>
        <w:tc>
          <w:tcPr>
            <w:tcW w:w="2580" w:type="dxa"/>
            <w:vAlign w:val="bottom"/>
            <w:gridSpan w:val="2"/>
          </w:tcPr>
          <w:p>
            <w:pPr>
              <w:jc w:val="center"/>
              <w:ind w:right="8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1,968,504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Impact Group, LLC</w:t>
            </w:r>
          </w:p>
        </w:tc>
        <w:tc>
          <w:tcPr>
            <w:tcW w:w="800" w:type="dxa"/>
            <w:vAlign w:val="bottom"/>
            <w:shd w:val="clear" w:color="auto" w:fill="CCECFF"/>
          </w:tcPr>
          <w:p>
            <w:pPr>
              <w:jc w:val="center"/>
              <w:ind w:left="6"/>
              <w:spacing w:after="0"/>
              <w:rPr>
                <w:sz w:val="20"/>
                <w:szCs w:val="20"/>
                <w:color w:val="auto"/>
              </w:rPr>
            </w:pPr>
            <w:r>
              <w:rPr>
                <w:rFonts w:ascii="Arial" w:cs="Arial" w:eastAsia="Arial" w:hAnsi="Arial"/>
                <w:sz w:val="11"/>
                <w:szCs w:val="11"/>
                <w:color w:val="auto"/>
                <w:w w:val="90"/>
              </w:rPr>
              <w:t>06/27/2023</w:t>
            </w:r>
          </w:p>
        </w:tc>
        <w:tc>
          <w:tcPr>
            <w:tcW w:w="2580" w:type="dxa"/>
            <w:vAlign w:val="bottom"/>
            <w:gridSpan w:val="2"/>
            <w:shd w:val="clear" w:color="auto" w:fill="CCECFF"/>
          </w:tcPr>
          <w:p>
            <w:pPr>
              <w:jc w:val="center"/>
              <w:ind w:right="80"/>
              <w:spacing w:after="0"/>
              <w:rPr>
                <w:sz w:val="20"/>
                <w:szCs w:val="20"/>
                <w:color w:val="auto"/>
              </w:rPr>
            </w:pPr>
            <w:r>
              <w:rPr>
                <w:rFonts w:ascii="Arial" w:cs="Arial" w:eastAsia="Arial" w:hAnsi="Arial"/>
                <w:sz w:val="11"/>
                <w:szCs w:val="11"/>
                <w:color w:val="auto"/>
                <w:w w:val="89"/>
              </w:rPr>
              <w:t>Wholesale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8.37%</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L+737</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12,535,274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12,494,988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12,660,627</w:t>
            </w:r>
          </w:p>
        </w:tc>
        <w:tc>
          <w:tcPr>
            <w:tcW w:w="120" w:type="dxa"/>
            <w:vAlign w:val="bottom"/>
            <w:shd w:val="clear" w:color="auto" w:fill="CCECFF"/>
          </w:tcPr>
          <w:p>
            <w:pPr>
              <w:spacing w:after="0"/>
              <w:rPr>
                <w:sz w:val="11"/>
                <w:szCs w:val="11"/>
                <w:color w:val="auto"/>
              </w:rPr>
            </w:pP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 xml:space="preserve">Innova Medical Ophthalmics Inc. </w:t>
            </w:r>
            <w:r>
              <w:rPr>
                <w:rFonts w:ascii="Arial" w:cs="Arial" w:eastAsia="Arial" w:hAnsi="Arial"/>
                <w:sz w:val="9"/>
                <w:szCs w:val="9"/>
                <w:color w:val="auto"/>
              </w:rPr>
              <w:t>(5), (10)</w:t>
            </w:r>
          </w:p>
        </w:tc>
        <w:tc>
          <w:tcPr>
            <w:tcW w:w="800" w:type="dxa"/>
            <w:vAlign w:val="bottom"/>
          </w:tcPr>
          <w:p>
            <w:pPr>
              <w:jc w:val="center"/>
              <w:ind w:left="6"/>
              <w:spacing w:after="0"/>
              <w:rPr>
                <w:sz w:val="20"/>
                <w:szCs w:val="20"/>
                <w:color w:val="auto"/>
              </w:rPr>
            </w:pPr>
            <w:r>
              <w:rPr>
                <w:rFonts w:ascii="Arial" w:cs="Arial" w:eastAsia="Arial" w:hAnsi="Arial"/>
                <w:sz w:val="11"/>
                <w:szCs w:val="11"/>
                <w:color w:val="auto"/>
                <w:w w:val="90"/>
              </w:rPr>
              <w:t>04/13/2023</w:t>
            </w:r>
          </w:p>
        </w:tc>
        <w:tc>
          <w:tcPr>
            <w:tcW w:w="2580" w:type="dxa"/>
            <w:vAlign w:val="bottom"/>
            <w:gridSpan w:val="2"/>
          </w:tcPr>
          <w:p>
            <w:pPr>
              <w:jc w:val="center"/>
              <w:ind w:right="8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9.25%</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3M L+825</w:t>
            </w:r>
          </w:p>
        </w:tc>
        <w:tc>
          <w:tcPr>
            <w:tcW w:w="680" w:type="dxa"/>
            <w:vAlign w:val="bottom"/>
          </w:tcPr>
          <w:p>
            <w:pPr>
              <w:jc w:val="right"/>
              <w:spacing w:after="0"/>
              <w:rPr>
                <w:sz w:val="20"/>
                <w:szCs w:val="20"/>
                <w:color w:val="auto"/>
              </w:rPr>
            </w:pPr>
            <w:r>
              <w:rPr>
                <w:rFonts w:ascii="Arial" w:cs="Arial" w:eastAsia="Arial" w:hAnsi="Arial"/>
                <w:sz w:val="11"/>
                <w:szCs w:val="11"/>
                <w:color w:val="auto"/>
              </w:rPr>
              <w:t>3,262,015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3,238,527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3,131,534</w:t>
            </w:r>
          </w:p>
        </w:tc>
        <w:tc>
          <w:tcPr>
            <w:tcW w:w="120" w:type="dxa"/>
            <w:vAlign w:val="bottom"/>
          </w:tcPr>
          <w:p>
            <w:pPr>
              <w:spacing w:after="0"/>
              <w:rPr>
                <w:sz w:val="12"/>
                <w:szCs w:val="12"/>
                <w:color w:val="auto"/>
              </w:rPr>
            </w:pPr>
          </w:p>
        </w:tc>
      </w:tr>
      <w:tr>
        <w:trPr>
          <w:trHeight w:val="131"/>
        </w:trPr>
        <w:tc>
          <w:tcPr>
            <w:tcW w:w="3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(PIK 1.00%)</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Innova Medical Ophthalmics Inc. (Revolver) </w:t>
            </w:r>
            <w:r>
              <w:rPr>
                <w:rFonts w:ascii="Arial" w:cs="Arial" w:eastAsia="Arial" w:hAnsi="Arial"/>
                <w:sz w:val="9"/>
                <w:szCs w:val="9"/>
                <w:color w:val="auto"/>
              </w:rPr>
              <w:t>(5), (7), (10)</w:t>
            </w:r>
          </w:p>
        </w:tc>
        <w:tc>
          <w:tcPr>
            <w:tcW w:w="800" w:type="dxa"/>
            <w:vAlign w:val="bottom"/>
            <w:shd w:val="clear" w:color="auto" w:fill="CCECFF"/>
          </w:tcPr>
          <w:p>
            <w:pPr>
              <w:jc w:val="center"/>
              <w:ind w:left="6"/>
              <w:spacing w:after="0"/>
              <w:rPr>
                <w:sz w:val="20"/>
                <w:szCs w:val="20"/>
                <w:color w:val="auto"/>
              </w:rPr>
            </w:pPr>
            <w:r>
              <w:rPr>
                <w:rFonts w:ascii="Arial" w:cs="Arial" w:eastAsia="Arial" w:hAnsi="Arial"/>
                <w:sz w:val="11"/>
                <w:szCs w:val="11"/>
                <w:color w:val="auto"/>
                <w:w w:val="90"/>
              </w:rPr>
              <w:t>04/13/2023</w:t>
            </w:r>
          </w:p>
        </w:tc>
        <w:tc>
          <w:tcPr>
            <w:tcW w:w="2580" w:type="dxa"/>
            <w:vAlign w:val="bottom"/>
            <w:gridSpan w:val="2"/>
            <w:shd w:val="clear" w:color="auto" w:fill="CCECFF"/>
          </w:tcPr>
          <w:p>
            <w:pPr>
              <w:jc w:val="center"/>
              <w:ind w:right="8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9.25%</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L+825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532,168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532,168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510,881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24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1.00%)</w:t>
            </w: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Integrative Nutrition, LLC</w:t>
            </w:r>
          </w:p>
        </w:tc>
        <w:tc>
          <w:tcPr>
            <w:tcW w:w="800" w:type="dxa"/>
            <w:vAlign w:val="bottom"/>
          </w:tcPr>
          <w:p>
            <w:pPr>
              <w:jc w:val="center"/>
              <w:ind w:left="6"/>
              <w:spacing w:after="0"/>
              <w:rPr>
                <w:sz w:val="20"/>
                <w:szCs w:val="20"/>
                <w:color w:val="auto"/>
              </w:rPr>
            </w:pPr>
            <w:r>
              <w:rPr>
                <w:rFonts w:ascii="Arial" w:cs="Arial" w:eastAsia="Arial" w:hAnsi="Arial"/>
                <w:sz w:val="11"/>
                <w:szCs w:val="11"/>
                <w:color w:val="auto"/>
                <w:w w:val="90"/>
              </w:rPr>
              <w:t>09/29/2023</w:t>
            </w:r>
          </w:p>
        </w:tc>
        <w:tc>
          <w:tcPr>
            <w:tcW w:w="2580" w:type="dxa"/>
            <w:vAlign w:val="bottom"/>
            <w:gridSpan w:val="2"/>
          </w:tcPr>
          <w:p>
            <w:pPr>
              <w:jc w:val="center"/>
              <w:ind w:right="60"/>
              <w:spacing w:after="0"/>
              <w:rPr>
                <w:sz w:val="20"/>
                <w:szCs w:val="20"/>
                <w:color w:val="auto"/>
              </w:rPr>
            </w:pPr>
            <w:r>
              <w:rPr>
                <w:rFonts w:ascii="Arial" w:cs="Arial" w:eastAsia="Arial" w:hAnsi="Arial"/>
                <w:sz w:val="11"/>
                <w:szCs w:val="11"/>
                <w:color w:val="auto"/>
                <w:w w:val="87"/>
              </w:rPr>
              <w:t>Consumer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5.75%</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3M L+475</w:t>
            </w:r>
          </w:p>
        </w:tc>
        <w:tc>
          <w:tcPr>
            <w:tcW w:w="680" w:type="dxa"/>
            <w:vAlign w:val="bottom"/>
          </w:tcPr>
          <w:p>
            <w:pPr>
              <w:jc w:val="right"/>
              <w:spacing w:after="0"/>
              <w:rPr>
                <w:sz w:val="20"/>
                <w:szCs w:val="20"/>
                <w:color w:val="auto"/>
              </w:rPr>
            </w:pPr>
            <w:r>
              <w:rPr>
                <w:rFonts w:ascii="Arial" w:cs="Arial" w:eastAsia="Arial" w:hAnsi="Arial"/>
                <w:sz w:val="11"/>
                <w:szCs w:val="11"/>
                <w:color w:val="auto"/>
              </w:rPr>
              <w:t>22,043,450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21,924,500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22,043,450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Integrative Nutrition, LLC (Revolver) </w:t>
            </w:r>
            <w:r>
              <w:rPr>
                <w:rFonts w:ascii="Arial" w:cs="Arial" w:eastAsia="Arial" w:hAnsi="Arial"/>
                <w:sz w:val="9"/>
                <w:szCs w:val="9"/>
                <w:color w:val="auto"/>
              </w:rPr>
              <w:t>(7), (9)</w:t>
            </w:r>
          </w:p>
        </w:tc>
        <w:tc>
          <w:tcPr>
            <w:tcW w:w="800" w:type="dxa"/>
            <w:vAlign w:val="bottom"/>
            <w:shd w:val="clear" w:color="auto" w:fill="CCECFF"/>
          </w:tcPr>
          <w:p>
            <w:pPr>
              <w:jc w:val="center"/>
              <w:ind w:left="6"/>
              <w:spacing w:after="0"/>
              <w:rPr>
                <w:sz w:val="20"/>
                <w:szCs w:val="20"/>
                <w:color w:val="auto"/>
              </w:rPr>
            </w:pPr>
            <w:r>
              <w:rPr>
                <w:rFonts w:ascii="Arial" w:cs="Arial" w:eastAsia="Arial" w:hAnsi="Arial"/>
                <w:sz w:val="11"/>
                <w:szCs w:val="11"/>
                <w:color w:val="auto"/>
                <w:w w:val="90"/>
              </w:rPr>
              <w:t>09/29/2023</w:t>
            </w:r>
          </w:p>
        </w:tc>
        <w:tc>
          <w:tcPr>
            <w:tcW w:w="2580" w:type="dxa"/>
            <w:vAlign w:val="bottom"/>
            <w:gridSpan w:val="2"/>
            <w:shd w:val="clear" w:color="auto" w:fill="CCECFF"/>
          </w:tcPr>
          <w:p>
            <w:pPr>
              <w:jc w:val="center"/>
              <w:ind w:right="60"/>
              <w:spacing w:after="0"/>
              <w:rPr>
                <w:sz w:val="20"/>
                <w:szCs w:val="20"/>
                <w:color w:val="auto"/>
              </w:rPr>
            </w:pPr>
            <w:r>
              <w:rPr>
                <w:rFonts w:ascii="Arial" w:cs="Arial" w:eastAsia="Arial" w:hAnsi="Arial"/>
                <w:sz w:val="11"/>
                <w:szCs w:val="11"/>
                <w:color w:val="auto"/>
                <w:w w:val="87"/>
              </w:rPr>
              <w:t>Consumer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K2 Pure Solutions NoCal, L.P. (Revolver) </w:t>
            </w:r>
            <w:r>
              <w:rPr>
                <w:rFonts w:ascii="Arial" w:cs="Arial" w:eastAsia="Arial" w:hAnsi="Arial"/>
                <w:sz w:val="9"/>
                <w:szCs w:val="9"/>
                <w:color w:val="auto"/>
              </w:rPr>
              <w:t>(7)</w:t>
            </w:r>
          </w:p>
        </w:tc>
        <w:tc>
          <w:tcPr>
            <w:tcW w:w="800" w:type="dxa"/>
            <w:vAlign w:val="bottom"/>
          </w:tcPr>
          <w:p>
            <w:pPr>
              <w:jc w:val="center"/>
              <w:ind w:left="6"/>
              <w:spacing w:after="0"/>
              <w:rPr>
                <w:sz w:val="20"/>
                <w:szCs w:val="20"/>
                <w:color w:val="auto"/>
              </w:rPr>
            </w:pPr>
            <w:r>
              <w:rPr>
                <w:rFonts w:ascii="Arial" w:cs="Arial" w:eastAsia="Arial" w:hAnsi="Arial"/>
                <w:sz w:val="11"/>
                <w:szCs w:val="11"/>
                <w:color w:val="auto"/>
                <w:w w:val="90"/>
              </w:rPr>
              <w:t>12/20/2023</w:t>
            </w:r>
          </w:p>
        </w:tc>
        <w:tc>
          <w:tcPr>
            <w:tcW w:w="2580" w:type="dxa"/>
            <w:vAlign w:val="bottom"/>
            <w:gridSpan w:val="2"/>
          </w:tcPr>
          <w:p>
            <w:pPr>
              <w:jc w:val="center"/>
              <w:ind w:right="60"/>
              <w:spacing w:after="0"/>
              <w:rPr>
                <w:sz w:val="20"/>
                <w:szCs w:val="20"/>
                <w:color w:val="auto"/>
              </w:rPr>
            </w:pPr>
            <w:r>
              <w:rPr>
                <w:rFonts w:ascii="Arial" w:cs="Arial" w:eastAsia="Arial" w:hAnsi="Arial"/>
                <w:sz w:val="11"/>
                <w:szCs w:val="11"/>
                <w:color w:val="auto"/>
                <w:w w:val="87"/>
              </w:rPr>
              <w:t>Chemicals, Plastics and Rubber</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8.00%</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1M L+700</w:t>
            </w:r>
          </w:p>
        </w:tc>
        <w:tc>
          <w:tcPr>
            <w:tcW w:w="680" w:type="dxa"/>
            <w:vAlign w:val="bottom"/>
          </w:tcPr>
          <w:p>
            <w:pPr>
              <w:jc w:val="right"/>
              <w:spacing w:after="0"/>
              <w:rPr>
                <w:sz w:val="20"/>
                <w:szCs w:val="20"/>
                <w:color w:val="auto"/>
              </w:rPr>
            </w:pPr>
            <w:r>
              <w:rPr>
                <w:rFonts w:ascii="Arial" w:cs="Arial" w:eastAsia="Arial" w:hAnsi="Arial"/>
                <w:sz w:val="11"/>
                <w:szCs w:val="11"/>
                <w:color w:val="auto"/>
              </w:rPr>
              <w:t>642,857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642,857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629,164</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K2 Pure Solutions NoCal, L.P. (Revolver) </w:t>
            </w:r>
            <w:r>
              <w:rPr>
                <w:rFonts w:ascii="Arial" w:cs="Arial" w:eastAsia="Arial" w:hAnsi="Arial"/>
                <w:sz w:val="9"/>
                <w:szCs w:val="9"/>
                <w:color w:val="auto"/>
              </w:rPr>
              <w:t>(7), (9)</w:t>
            </w:r>
          </w:p>
        </w:tc>
        <w:tc>
          <w:tcPr>
            <w:tcW w:w="800" w:type="dxa"/>
            <w:vAlign w:val="bottom"/>
            <w:shd w:val="clear" w:color="auto" w:fill="CCECFF"/>
          </w:tcPr>
          <w:p>
            <w:pPr>
              <w:jc w:val="center"/>
              <w:ind w:left="6"/>
              <w:spacing w:after="0"/>
              <w:rPr>
                <w:sz w:val="20"/>
                <w:szCs w:val="20"/>
                <w:color w:val="auto"/>
              </w:rPr>
            </w:pPr>
            <w:r>
              <w:rPr>
                <w:rFonts w:ascii="Arial" w:cs="Arial" w:eastAsia="Arial" w:hAnsi="Arial"/>
                <w:sz w:val="11"/>
                <w:szCs w:val="11"/>
                <w:color w:val="auto"/>
                <w:w w:val="90"/>
              </w:rPr>
              <w:t>12/20/2023</w:t>
            </w:r>
          </w:p>
        </w:tc>
        <w:tc>
          <w:tcPr>
            <w:tcW w:w="2580" w:type="dxa"/>
            <w:vAlign w:val="bottom"/>
            <w:gridSpan w:val="2"/>
            <w:shd w:val="clear" w:color="auto" w:fill="CCECFF"/>
          </w:tcPr>
          <w:p>
            <w:pPr>
              <w:jc w:val="center"/>
              <w:ind w:right="60"/>
              <w:spacing w:after="0"/>
              <w:rPr>
                <w:sz w:val="20"/>
                <w:szCs w:val="20"/>
                <w:color w:val="auto"/>
              </w:rPr>
            </w:pPr>
            <w:r>
              <w:rPr>
                <w:rFonts w:ascii="Arial" w:cs="Arial" w:eastAsia="Arial" w:hAnsi="Arial"/>
                <w:sz w:val="11"/>
                <w:szCs w:val="11"/>
                <w:color w:val="auto"/>
                <w:w w:val="87"/>
              </w:rPr>
              <w:t>Chemicals, Plastics and Rubber</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785,714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(16,736)</w:t>
            </w:r>
          </w:p>
        </w:tc>
      </w:tr>
      <w:tr>
        <w:trPr>
          <w:trHeight w:val="140"/>
        </w:trPr>
        <w:tc>
          <w:tcPr>
            <w:tcW w:w="3360" w:type="dxa"/>
            <w:vAlign w:val="bottom"/>
          </w:tcPr>
          <w:p>
            <w:pPr>
              <w:spacing w:after="0"/>
              <w:rPr>
                <w:sz w:val="20"/>
                <w:szCs w:val="20"/>
                <w:color w:val="auto"/>
              </w:rPr>
            </w:pPr>
            <w:r>
              <w:rPr>
                <w:rFonts w:ascii="Arial" w:cs="Arial" w:eastAsia="Arial" w:hAnsi="Arial"/>
                <w:sz w:val="11"/>
                <w:szCs w:val="11"/>
                <w:color w:val="auto"/>
              </w:rPr>
              <w:t xml:space="preserve">Kentucky Downs, LLC </w:t>
            </w:r>
            <w:r>
              <w:rPr>
                <w:rFonts w:ascii="Arial" w:cs="Arial" w:eastAsia="Arial" w:hAnsi="Arial"/>
                <w:sz w:val="9"/>
                <w:szCs w:val="9"/>
                <w:color w:val="auto"/>
              </w:rPr>
              <w:t>(7), (9)</w:t>
            </w:r>
          </w:p>
        </w:tc>
        <w:tc>
          <w:tcPr>
            <w:tcW w:w="800" w:type="dxa"/>
            <w:vAlign w:val="bottom"/>
          </w:tcPr>
          <w:p>
            <w:pPr>
              <w:jc w:val="center"/>
              <w:ind w:left="6"/>
              <w:spacing w:after="0"/>
              <w:rPr>
                <w:sz w:val="20"/>
                <w:szCs w:val="20"/>
                <w:color w:val="auto"/>
              </w:rPr>
            </w:pPr>
            <w:r>
              <w:rPr>
                <w:rFonts w:ascii="Arial" w:cs="Arial" w:eastAsia="Arial" w:hAnsi="Arial"/>
                <w:sz w:val="11"/>
                <w:szCs w:val="11"/>
                <w:color w:val="auto"/>
                <w:w w:val="90"/>
              </w:rPr>
              <w:t>03/07/2025</w:t>
            </w:r>
          </w:p>
        </w:tc>
        <w:tc>
          <w:tcPr>
            <w:tcW w:w="2580" w:type="dxa"/>
            <w:vAlign w:val="bottom"/>
            <w:gridSpan w:val="2"/>
          </w:tcPr>
          <w:p>
            <w:pPr>
              <w:jc w:val="center"/>
              <w:ind w:right="80"/>
              <w:spacing w:after="0"/>
              <w:rPr>
                <w:sz w:val="20"/>
                <w:szCs w:val="20"/>
                <w:color w:val="auto"/>
              </w:rPr>
            </w:pPr>
            <w:r>
              <w:rPr>
                <w:rFonts w:ascii="Arial" w:cs="Arial" w:eastAsia="Arial" w:hAnsi="Arial"/>
                <w:sz w:val="11"/>
                <w:szCs w:val="11"/>
                <w:color w:val="auto"/>
                <w:w w:val="87"/>
              </w:rPr>
              <w:t>Hotels, Restaurants and Leisure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448,276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Basis Point</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1"/>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5"/>
              </w:rPr>
              <w:t>Spread</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3"/>
              </w:rPr>
              <w:t>Above</w:t>
            </w:r>
          </w:p>
        </w:tc>
        <w:tc>
          <w:tcPr>
            <w:tcW w:w="66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33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Borders>
              <w:bottom w:val="single" w:sz="8" w:color="CCECFF"/>
            </w:tcBorders>
          </w:tcPr>
          <w:p>
            <w:pPr>
              <w:spacing w:after="0"/>
              <w:rPr>
                <w:sz w:val="11"/>
                <w:szCs w:val="11"/>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120" w:type="dxa"/>
            <w:vAlign w:val="bottom"/>
            <w:tcBorders>
              <w:bottom w:val="single" w:sz="8" w:color="CCECFF"/>
            </w:tcBorders>
          </w:tcPr>
          <w:p>
            <w:pPr>
              <w:spacing w:after="0"/>
              <w:rPr>
                <w:sz w:val="11"/>
                <w:szCs w:val="11"/>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Coupon</w:t>
            </w:r>
          </w:p>
        </w:tc>
        <w:tc>
          <w:tcPr>
            <w:tcW w:w="26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Borders>
              <w:bottom w:val="single" w:sz="8" w:color="CCEC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40" w:type="dxa"/>
            <w:vAlign w:val="bottom"/>
            <w:tcBorders>
              <w:bottom w:val="single" w:sz="8" w:color="CCECFF"/>
            </w:tcBorders>
          </w:tcPr>
          <w:p>
            <w:pPr>
              <w:spacing w:after="0"/>
              <w:rPr>
                <w:sz w:val="11"/>
                <w:szCs w:val="11"/>
                <w:color w:val="auto"/>
              </w:rPr>
            </w:pPr>
          </w:p>
        </w:tc>
        <w:tc>
          <w:tcPr>
            <w:tcW w:w="70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9"/>
                <w:szCs w:val="9"/>
                <w:b w:val="1"/>
                <w:bCs w:val="1"/>
                <w:color w:val="auto"/>
                <w:w w:val="92"/>
              </w:rPr>
              <w:t>(2)</w:t>
            </w:r>
          </w:p>
        </w:tc>
        <w:tc>
          <w:tcPr>
            <w:tcW w:w="120" w:type="dxa"/>
            <w:vAlign w:val="bottom"/>
            <w:tcBorders>
              <w:bottom w:val="single" w:sz="8" w:color="CCECFF"/>
            </w:tcBorders>
          </w:tcPr>
          <w:p>
            <w:pPr>
              <w:spacing w:after="0"/>
              <w:rPr>
                <w:sz w:val="11"/>
                <w:szCs w:val="11"/>
                <w:color w:val="auto"/>
              </w:rPr>
            </w:pPr>
          </w:p>
        </w:tc>
      </w:tr>
      <w:tr>
        <w:trPr>
          <w:trHeight w:val="128"/>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LAV Gear Holdings, Inc.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10/31/2024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L+750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9,250,452</w:t>
            </w:r>
          </w:p>
        </w:tc>
        <w:tc>
          <w:tcPr>
            <w:tcW w:w="36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9,212,166</w:t>
            </w:r>
          </w:p>
        </w:tc>
        <w:tc>
          <w:tcPr>
            <w:tcW w:w="360" w:type="dxa"/>
            <w:vAlign w:val="bottom"/>
            <w:gridSpan w:val="2"/>
            <w:shd w:val="clear" w:color="auto" w:fill="CCECFF"/>
          </w:tcPr>
          <w:p>
            <w:pPr>
              <w:jc w:val="right"/>
              <w:ind w:right="6"/>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8,573,319</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5.00%)</w:t>
            </w: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 xml:space="preserve">LAV Gear Holdings, Inc. (Revolver) </w:t>
            </w:r>
            <w:r>
              <w:rPr>
                <w:rFonts w:ascii="Arial" w:cs="Arial" w:eastAsia="Arial" w:hAnsi="Arial"/>
                <w:sz w:val="9"/>
                <w:szCs w:val="9"/>
                <w:color w:val="auto"/>
              </w:rPr>
              <w:t>(7)</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10/31/2024</w:t>
            </w:r>
          </w:p>
        </w:tc>
        <w:tc>
          <w:tcPr>
            <w:tcW w:w="120" w:type="dxa"/>
            <w:vAlign w:val="bottom"/>
          </w:tcPr>
          <w:p>
            <w:pPr>
              <w:spacing w:after="0"/>
              <w:rPr>
                <w:sz w:val="12"/>
                <w:szCs w:val="12"/>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L+750</w:t>
            </w:r>
          </w:p>
        </w:tc>
        <w:tc>
          <w:tcPr>
            <w:tcW w:w="660" w:type="dxa"/>
            <w:vAlign w:val="bottom"/>
          </w:tcPr>
          <w:p>
            <w:pPr>
              <w:jc w:val="right"/>
              <w:spacing w:after="0"/>
              <w:rPr>
                <w:sz w:val="20"/>
                <w:szCs w:val="20"/>
                <w:color w:val="auto"/>
              </w:rPr>
            </w:pPr>
            <w:r>
              <w:rPr>
                <w:rFonts w:ascii="Arial" w:cs="Arial" w:eastAsia="Arial" w:hAnsi="Arial"/>
                <w:sz w:val="11"/>
                <w:szCs w:val="11"/>
                <w:color w:val="auto"/>
              </w:rPr>
              <w:t>1,648,477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1,648,477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1,527,808</w:t>
            </w:r>
          </w:p>
        </w:tc>
        <w:tc>
          <w:tcPr>
            <w:tcW w:w="120" w:type="dxa"/>
            <w:vAlign w:val="bottom"/>
          </w:tcPr>
          <w:p>
            <w:pPr>
              <w:spacing w:after="0"/>
              <w:rPr>
                <w:sz w:val="12"/>
                <w:szCs w:val="12"/>
                <w:color w:val="auto"/>
              </w:rPr>
            </w:pPr>
          </w:p>
        </w:tc>
      </w:tr>
      <w:tr>
        <w:trPr>
          <w:trHeight w:val="131"/>
        </w:trPr>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(PIK 5.00%)</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Lightspeed Buyer Inc.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02/03/2026</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Technology</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24,474,552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24,079,887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24,107,434</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Lightspeed Buyer Inc. </w:t>
            </w:r>
            <w:r>
              <w:rPr>
                <w:rFonts w:ascii="Arial" w:cs="Arial" w:eastAsia="Arial" w:hAnsi="Arial"/>
                <w:sz w:val="9"/>
                <w:szCs w:val="9"/>
                <w:color w:val="auto"/>
              </w:rPr>
              <w:t>(7), (9)</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08/03/2021</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Technology</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1,891,068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(9,455)</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Lightspeed Buyer Inc. (Revolver) </w:t>
            </w:r>
            <w:r>
              <w:rPr>
                <w:rFonts w:ascii="Arial" w:cs="Arial" w:eastAsia="Arial" w:hAnsi="Arial"/>
                <w:sz w:val="9"/>
                <w:szCs w:val="9"/>
                <w:color w:val="auto"/>
              </w:rPr>
              <w:t>(7)</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02/03/2026</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Technology</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833,100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833,100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820,603</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Lightspeed Buyer Inc. (Revolver) </w:t>
            </w:r>
            <w:r>
              <w:rPr>
                <w:rFonts w:ascii="Arial" w:cs="Arial" w:eastAsia="Arial" w:hAnsi="Arial"/>
                <w:sz w:val="9"/>
                <w:szCs w:val="9"/>
                <w:color w:val="auto"/>
              </w:rPr>
              <w:t>(7), (9)</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02/03/2026</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Technology</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1,666,199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(24,993)</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Lombart Brothers, Inc.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04/13/2023</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9.25%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L+825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13,597,652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13,498,783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13,053,746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1.00%)</w:t>
            </w: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 xml:space="preserve">Lombart Brothers, Inc. (Revolver) </w:t>
            </w:r>
            <w:r>
              <w:rPr>
                <w:rFonts w:ascii="Arial" w:cs="Arial" w:eastAsia="Arial" w:hAnsi="Arial"/>
                <w:sz w:val="9"/>
                <w:szCs w:val="9"/>
                <w:color w:val="auto"/>
              </w:rPr>
              <w:t>(7)</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04/13/2023</w:t>
            </w:r>
          </w:p>
        </w:tc>
        <w:tc>
          <w:tcPr>
            <w:tcW w:w="120" w:type="dxa"/>
            <w:vAlign w:val="bottom"/>
          </w:tcPr>
          <w:p>
            <w:pPr>
              <w:spacing w:after="0"/>
              <w:rPr>
                <w:sz w:val="12"/>
                <w:szCs w:val="12"/>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9.25%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L+825</w:t>
            </w:r>
          </w:p>
        </w:tc>
        <w:tc>
          <w:tcPr>
            <w:tcW w:w="660" w:type="dxa"/>
            <w:vAlign w:val="bottom"/>
          </w:tcPr>
          <w:p>
            <w:pPr>
              <w:jc w:val="right"/>
              <w:spacing w:after="0"/>
              <w:rPr>
                <w:sz w:val="20"/>
                <w:szCs w:val="20"/>
                <w:color w:val="auto"/>
              </w:rPr>
            </w:pPr>
            <w:r>
              <w:rPr>
                <w:rFonts w:ascii="Arial" w:cs="Arial" w:eastAsia="Arial" w:hAnsi="Arial"/>
                <w:sz w:val="11"/>
                <w:szCs w:val="11"/>
                <w:color w:val="auto"/>
              </w:rPr>
              <w:t>1,241,726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1,241,726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1,192,057</w:t>
            </w:r>
          </w:p>
        </w:tc>
        <w:tc>
          <w:tcPr>
            <w:tcW w:w="120" w:type="dxa"/>
            <w:vAlign w:val="bottom"/>
          </w:tcPr>
          <w:p>
            <w:pPr>
              <w:spacing w:after="0"/>
              <w:rPr>
                <w:sz w:val="12"/>
                <w:szCs w:val="12"/>
                <w:color w:val="auto"/>
              </w:rPr>
            </w:pPr>
          </w:p>
        </w:tc>
      </w:tr>
      <w:tr>
        <w:trPr>
          <w:trHeight w:val="131"/>
        </w:trPr>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(PIK 1.00%)</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MAG DS Corp.</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04/01/2027</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3,980,000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3,793,462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3,900,400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MeritDirect, LLC</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05/23/2024</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Media</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tcPr>
          <w:p>
            <w:pPr>
              <w:jc w:val="right"/>
              <w:spacing w:after="0"/>
              <w:rPr>
                <w:sz w:val="20"/>
                <w:szCs w:val="20"/>
                <w:color w:val="auto"/>
              </w:rPr>
            </w:pPr>
            <w:r>
              <w:rPr>
                <w:rFonts w:ascii="Arial" w:cs="Arial" w:eastAsia="Arial" w:hAnsi="Arial"/>
                <w:sz w:val="11"/>
                <w:szCs w:val="11"/>
                <w:color w:val="auto"/>
              </w:rPr>
              <w:t>27,890,629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27,605,528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27,263,091</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MeritDirect, LLC (Revolver) </w:t>
            </w:r>
            <w:r>
              <w:rPr>
                <w:rFonts w:ascii="Arial" w:cs="Arial" w:eastAsia="Arial" w:hAnsi="Arial"/>
                <w:sz w:val="9"/>
                <w:szCs w:val="9"/>
                <w:color w:val="auto"/>
              </w:rPr>
              <w:t>(7), (9)</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05/23/2024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Media</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4,481,655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(100,837)</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Mission Critical Electronics, Inc.</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09/28/2022</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L+500</w:t>
            </w:r>
          </w:p>
        </w:tc>
        <w:tc>
          <w:tcPr>
            <w:tcW w:w="660" w:type="dxa"/>
            <w:vAlign w:val="bottom"/>
          </w:tcPr>
          <w:p>
            <w:pPr>
              <w:jc w:val="right"/>
              <w:spacing w:after="0"/>
              <w:rPr>
                <w:sz w:val="20"/>
                <w:szCs w:val="20"/>
                <w:color w:val="auto"/>
              </w:rPr>
            </w:pPr>
            <w:r>
              <w:rPr>
                <w:rFonts w:ascii="Arial" w:cs="Arial" w:eastAsia="Arial" w:hAnsi="Arial"/>
                <w:sz w:val="11"/>
                <w:szCs w:val="11"/>
                <w:color w:val="auto"/>
              </w:rPr>
              <w:t>609,099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605,744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609,099</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Mission Critical Electronics, Inc. (Revolver) </w:t>
            </w:r>
            <w:r>
              <w:rPr>
                <w:rFonts w:ascii="Arial" w:cs="Arial" w:eastAsia="Arial" w:hAnsi="Arial"/>
                <w:sz w:val="9"/>
                <w:szCs w:val="9"/>
                <w:color w:val="auto"/>
              </w:rPr>
              <w:t>(7), (9)</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09/28/2021</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1,325,088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Output Services Group, Inc.</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03/27/2024</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L+450</w:t>
            </w:r>
          </w:p>
        </w:tc>
        <w:tc>
          <w:tcPr>
            <w:tcW w:w="660" w:type="dxa"/>
            <w:vAlign w:val="bottom"/>
          </w:tcPr>
          <w:p>
            <w:pPr>
              <w:jc w:val="right"/>
              <w:spacing w:after="0"/>
              <w:rPr>
                <w:sz w:val="20"/>
                <w:szCs w:val="20"/>
                <w:color w:val="auto"/>
              </w:rPr>
            </w:pPr>
            <w:r>
              <w:rPr>
                <w:rFonts w:ascii="Arial" w:cs="Arial" w:eastAsia="Arial" w:hAnsi="Arial"/>
                <w:sz w:val="11"/>
                <w:szCs w:val="11"/>
                <w:color w:val="auto"/>
              </w:rPr>
              <w:t>4,439,430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3,980,081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4,106,473</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Ox Two, LLC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02/27/2023</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Construction and Building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6,678,546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6,678,546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6,678,546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9"/>
                <w:szCs w:val="9"/>
                <w:color w:val="auto"/>
              </w:rPr>
              <w:t>(7)</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02/27/2023</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Construction and Building</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7.25%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tcPr>
          <w:p>
            <w:pPr>
              <w:jc w:val="right"/>
              <w:spacing w:after="0"/>
              <w:rPr>
                <w:sz w:val="20"/>
                <w:szCs w:val="20"/>
                <w:color w:val="auto"/>
              </w:rPr>
            </w:pPr>
            <w:r>
              <w:rPr>
                <w:rFonts w:ascii="Arial" w:cs="Arial" w:eastAsia="Arial" w:hAnsi="Arial"/>
                <w:sz w:val="11"/>
                <w:szCs w:val="11"/>
                <w:color w:val="auto"/>
              </w:rPr>
              <w:t>108,444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108,444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108,444</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9"/>
                <w:szCs w:val="9"/>
                <w:color w:val="auto"/>
              </w:rPr>
              <w:t>(7), (9)</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02/27/2023</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Construction and Building</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447,111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Plant Health Intermediate, Inc.</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10/19/2022</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Chemicals, Plastics and Rubber</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tcPr>
          <w:p>
            <w:pPr>
              <w:jc w:val="right"/>
              <w:spacing w:after="0"/>
              <w:rPr>
                <w:sz w:val="20"/>
                <w:szCs w:val="20"/>
                <w:color w:val="auto"/>
              </w:rPr>
            </w:pPr>
            <w:r>
              <w:rPr>
                <w:rFonts w:ascii="Arial" w:cs="Arial" w:eastAsia="Arial" w:hAnsi="Arial"/>
                <w:sz w:val="11"/>
                <w:szCs w:val="11"/>
                <w:color w:val="auto"/>
              </w:rPr>
              <w:t>647,333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643,946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640,860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PlayPower, Inc.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05/08/2026</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Leisure Products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5.70%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5,339,361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5,296,909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5,265,944</w:t>
            </w:r>
          </w:p>
        </w:tc>
        <w:tc>
          <w:tcPr>
            <w:tcW w:w="120" w:type="dxa"/>
            <w:vAlign w:val="bottom"/>
            <w:shd w:val="clear" w:color="auto" w:fill="CCECFF"/>
          </w:tcPr>
          <w:p>
            <w:pPr>
              <w:spacing w:after="0"/>
              <w:rPr>
                <w:sz w:val="11"/>
                <w:szCs w:val="11"/>
                <w:color w:val="auto"/>
              </w:rPr>
            </w:pP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PRA Events, Inc.</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08/07/2025</w:t>
            </w:r>
          </w:p>
        </w:tc>
        <w:tc>
          <w:tcPr>
            <w:tcW w:w="120" w:type="dxa"/>
            <w:vAlign w:val="bottom"/>
          </w:tcPr>
          <w:p>
            <w:pPr>
              <w:spacing w:after="0"/>
              <w:rPr>
                <w:sz w:val="12"/>
                <w:szCs w:val="12"/>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11.50%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L+1,050</w:t>
            </w:r>
          </w:p>
        </w:tc>
        <w:tc>
          <w:tcPr>
            <w:tcW w:w="660" w:type="dxa"/>
            <w:vAlign w:val="bottom"/>
          </w:tcPr>
          <w:p>
            <w:pPr>
              <w:jc w:val="right"/>
              <w:spacing w:after="0"/>
              <w:rPr>
                <w:sz w:val="20"/>
                <w:szCs w:val="20"/>
                <w:color w:val="auto"/>
              </w:rPr>
            </w:pPr>
            <w:r>
              <w:rPr>
                <w:rFonts w:ascii="Arial" w:cs="Arial" w:eastAsia="Arial" w:hAnsi="Arial"/>
                <w:sz w:val="11"/>
                <w:szCs w:val="11"/>
                <w:color w:val="auto"/>
              </w:rPr>
              <w:t>2,981,396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2,547,378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2,631,082</w:t>
            </w:r>
          </w:p>
        </w:tc>
        <w:tc>
          <w:tcPr>
            <w:tcW w:w="120" w:type="dxa"/>
            <w:vAlign w:val="bottom"/>
          </w:tcPr>
          <w:p>
            <w:pPr>
              <w:spacing w:after="0"/>
              <w:rPr>
                <w:sz w:val="12"/>
                <w:szCs w:val="12"/>
                <w:color w:val="auto"/>
              </w:rPr>
            </w:pPr>
          </w:p>
        </w:tc>
      </w:tr>
      <w:tr>
        <w:trPr>
          <w:trHeight w:val="131"/>
        </w:trPr>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(PIK 11.50%)</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Questex, LLC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09/09/2024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Media: Diversified and Production</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7,312,500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7,221,999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6,654,375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Questex, LLC (Revolver)</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09/09/2024</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Media: Diversified and Production</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tcPr>
          <w:p>
            <w:pPr>
              <w:jc w:val="right"/>
              <w:spacing w:after="0"/>
              <w:rPr>
                <w:sz w:val="20"/>
                <w:szCs w:val="20"/>
                <w:color w:val="auto"/>
              </w:rPr>
            </w:pPr>
            <w:r>
              <w:rPr>
                <w:rFonts w:ascii="Arial" w:cs="Arial" w:eastAsia="Arial" w:hAnsi="Arial"/>
                <w:sz w:val="11"/>
                <w:szCs w:val="11"/>
                <w:color w:val="auto"/>
              </w:rPr>
              <w:t>877,660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877,660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798,670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Questex, LLC (Revolver) </w:t>
            </w:r>
            <w:r>
              <w:rPr>
                <w:rFonts w:ascii="Arial" w:cs="Arial" w:eastAsia="Arial" w:hAnsi="Arial"/>
                <w:sz w:val="9"/>
                <w:szCs w:val="9"/>
                <w:color w:val="auto"/>
              </w:rPr>
              <w:t>(7), (9)</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09/09/2024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Media: Diversified and Production</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319,149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(28,723)</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Rancho Health MSO, Inc. </w:t>
            </w:r>
            <w:r>
              <w:rPr>
                <w:rFonts w:ascii="Arial" w:cs="Arial" w:eastAsia="Arial" w:hAnsi="Arial"/>
                <w:sz w:val="9"/>
                <w:szCs w:val="9"/>
                <w:color w:val="auto"/>
              </w:rPr>
              <w:t>(7)</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12/18/2025</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Healthcare Equipment and Supplies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tcPr>
          <w:p>
            <w:pPr>
              <w:jc w:val="right"/>
              <w:spacing w:after="0"/>
              <w:rPr>
                <w:sz w:val="20"/>
                <w:szCs w:val="20"/>
                <w:color w:val="auto"/>
              </w:rPr>
            </w:pPr>
            <w:r>
              <w:rPr>
                <w:rFonts w:ascii="Arial" w:cs="Arial" w:eastAsia="Arial" w:hAnsi="Arial"/>
                <w:sz w:val="11"/>
                <w:szCs w:val="11"/>
                <w:color w:val="auto"/>
              </w:rPr>
              <w:t>3,675,000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3,596,142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3,610,688</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Rancho Health MSO, Inc. </w:t>
            </w:r>
            <w:r>
              <w:rPr>
                <w:rFonts w:ascii="Arial" w:cs="Arial" w:eastAsia="Arial" w:hAnsi="Arial"/>
                <w:sz w:val="9"/>
                <w:szCs w:val="9"/>
                <w:color w:val="auto"/>
              </w:rPr>
              <w:t>(7), (9)</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12/18/2022</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Healthcare Equipment and Supplies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1,050,000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(18,375)</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Rancho Health MSO, Inc. (Revolver) </w:t>
            </w:r>
            <w:r>
              <w:rPr>
                <w:rFonts w:ascii="Arial" w:cs="Arial" w:eastAsia="Arial" w:hAnsi="Arial"/>
                <w:sz w:val="9"/>
                <w:szCs w:val="9"/>
                <w:color w:val="auto"/>
              </w:rPr>
              <w:t>(7), (9)</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12/18/2025</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Healthcare Equipment and Supplies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525,000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(9,187)</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Recteq, LLC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01/29/2026</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Leisure Products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6,500,000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6,374,503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6,370,000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Recteq, LLC (Revolver) </w:t>
            </w:r>
            <w:r>
              <w:rPr>
                <w:rFonts w:ascii="Arial" w:cs="Arial" w:eastAsia="Arial" w:hAnsi="Arial"/>
                <w:sz w:val="9"/>
                <w:szCs w:val="9"/>
                <w:color w:val="auto"/>
              </w:rPr>
              <w:t>(7), (9)</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01/29/2026</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Leisure Products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1,295,775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(25,915)</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Research Horizons, LLC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06/28/2022</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Media: Advertising, Printing and Publishing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6,617,483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6,585,016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6,485,133</w:t>
            </w:r>
          </w:p>
        </w:tc>
        <w:tc>
          <w:tcPr>
            <w:tcW w:w="120" w:type="dxa"/>
            <w:vAlign w:val="bottom"/>
            <w:shd w:val="clear" w:color="auto" w:fill="CCECFF"/>
          </w:tcPr>
          <w:p>
            <w:pPr>
              <w:spacing w:after="0"/>
              <w:rPr>
                <w:sz w:val="11"/>
                <w:szCs w:val="11"/>
                <w:color w:val="auto"/>
              </w:rPr>
            </w:pP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Research Now Group, Inc. and Survey Sampling</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12/20/2024</w:t>
            </w:r>
          </w:p>
        </w:tc>
        <w:tc>
          <w:tcPr>
            <w:tcW w:w="120" w:type="dxa"/>
            <w:vAlign w:val="bottom"/>
          </w:tcPr>
          <w:p>
            <w:pPr>
              <w:spacing w:after="0"/>
              <w:rPr>
                <w:sz w:val="12"/>
                <w:szCs w:val="12"/>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tcPr>
          <w:p>
            <w:pPr>
              <w:jc w:val="right"/>
              <w:spacing w:after="0"/>
              <w:rPr>
                <w:sz w:val="20"/>
                <w:szCs w:val="20"/>
                <w:color w:val="auto"/>
              </w:rPr>
            </w:pPr>
            <w:r>
              <w:rPr>
                <w:rFonts w:ascii="Arial" w:cs="Arial" w:eastAsia="Arial" w:hAnsi="Arial"/>
                <w:sz w:val="11"/>
                <w:szCs w:val="11"/>
                <w:color w:val="auto"/>
              </w:rPr>
              <w:t>17,412,071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17,047,275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17,207,479</w:t>
            </w:r>
          </w:p>
        </w:tc>
        <w:tc>
          <w:tcPr>
            <w:tcW w:w="120" w:type="dxa"/>
            <w:vAlign w:val="bottom"/>
          </w:tcPr>
          <w:p>
            <w:pPr>
              <w:spacing w:after="0"/>
              <w:rPr>
                <w:sz w:val="12"/>
                <w:szCs w:val="12"/>
                <w:color w:val="auto"/>
              </w:rPr>
            </w:pPr>
          </w:p>
        </w:tc>
      </w:tr>
      <w:tr>
        <w:trPr>
          <w:trHeight w:val="131"/>
        </w:trPr>
        <w:tc>
          <w:tcPr>
            <w:tcW w:w="3360" w:type="dxa"/>
            <w:vAlign w:val="bottom"/>
          </w:tcPr>
          <w:p>
            <w:pPr>
              <w:ind w:left="140"/>
              <w:spacing w:after="0"/>
              <w:rPr>
                <w:sz w:val="20"/>
                <w:szCs w:val="20"/>
                <w:color w:val="auto"/>
              </w:rPr>
            </w:pPr>
            <w:r>
              <w:rPr>
                <w:rFonts w:ascii="Arial" w:cs="Arial" w:eastAsia="Arial" w:hAnsi="Arial"/>
                <w:sz w:val="11"/>
                <w:szCs w:val="11"/>
                <w:color w:val="auto"/>
              </w:rPr>
              <w:t>International LLC</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Riverpoint Medical, LLC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06/20/2025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Healthcare Equipment and Supplies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L+450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4,912,500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4,871,846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4,882,534</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Riverpoint Medical, LLC (Revolver) </w:t>
            </w:r>
            <w:r>
              <w:rPr>
                <w:rFonts w:ascii="Arial" w:cs="Arial" w:eastAsia="Arial" w:hAnsi="Arial"/>
                <w:sz w:val="9"/>
                <w:szCs w:val="9"/>
                <w:color w:val="auto"/>
              </w:rPr>
              <w:t>(7), (9)</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06/20/2025</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Healthcare Equipment and Supplies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909,091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(5,545)</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Riverside Assessments, LLC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03/10/2025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8.25%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L+725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16,291,343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16,038,721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15,598,961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Sales Benchmark Index LLC</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01/03/2025</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7.75%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L+600</w:t>
            </w:r>
          </w:p>
        </w:tc>
        <w:tc>
          <w:tcPr>
            <w:tcW w:w="660" w:type="dxa"/>
            <w:vAlign w:val="bottom"/>
          </w:tcPr>
          <w:p>
            <w:pPr>
              <w:jc w:val="right"/>
              <w:spacing w:after="0"/>
              <w:rPr>
                <w:sz w:val="20"/>
                <w:szCs w:val="20"/>
                <w:color w:val="auto"/>
              </w:rPr>
            </w:pPr>
            <w:r>
              <w:rPr>
                <w:rFonts w:ascii="Arial" w:cs="Arial" w:eastAsia="Arial" w:hAnsi="Arial"/>
                <w:sz w:val="11"/>
                <w:szCs w:val="11"/>
                <w:color w:val="auto"/>
              </w:rPr>
              <w:t>8,128,508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8,000,403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7,579,834</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Sales Benchmark Index LLC (Revolver) </w:t>
            </w:r>
            <w:r>
              <w:rPr>
                <w:rFonts w:ascii="Arial" w:cs="Arial" w:eastAsia="Arial" w:hAnsi="Arial"/>
                <w:sz w:val="9"/>
                <w:szCs w:val="9"/>
                <w:color w:val="auto"/>
              </w:rPr>
              <w:t>(7), (9)</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01/03/2025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1,292,683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(87,256)</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Salient CRGT Inc.</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02/28/2022</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L+650</w:t>
            </w:r>
          </w:p>
        </w:tc>
        <w:tc>
          <w:tcPr>
            <w:tcW w:w="660" w:type="dxa"/>
            <w:vAlign w:val="bottom"/>
          </w:tcPr>
          <w:p>
            <w:pPr>
              <w:jc w:val="right"/>
              <w:spacing w:after="0"/>
              <w:rPr>
                <w:sz w:val="20"/>
                <w:szCs w:val="20"/>
                <w:color w:val="auto"/>
              </w:rPr>
            </w:pPr>
            <w:r>
              <w:rPr>
                <w:rFonts w:ascii="Arial" w:cs="Arial" w:eastAsia="Arial" w:hAnsi="Arial"/>
                <w:sz w:val="11"/>
                <w:szCs w:val="11"/>
                <w:color w:val="auto"/>
              </w:rPr>
              <w:t>1,671,283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1,663,899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1,639,529</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Sargent &amp; Greenleaf Inc.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12/20/2024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3,797,506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3,753,198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3,797,506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Sargent &amp; Greenleaf Inc. (Revolver) </w:t>
            </w:r>
            <w:r>
              <w:rPr>
                <w:rFonts w:ascii="Arial" w:cs="Arial" w:eastAsia="Arial" w:hAnsi="Arial"/>
                <w:sz w:val="9"/>
                <w:szCs w:val="9"/>
                <w:color w:val="auto"/>
              </w:rPr>
              <w:t>(9)</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12/20/2024</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1,056,367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Schlesinger Global, Inc.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07/14/2025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L+700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13,438,829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13,324,420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12,363,722</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Schlesinger Global, Inc. (Revolver)</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07/14/2025</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L+700</w:t>
            </w:r>
          </w:p>
        </w:tc>
        <w:tc>
          <w:tcPr>
            <w:tcW w:w="660" w:type="dxa"/>
            <w:vAlign w:val="bottom"/>
          </w:tcPr>
          <w:p>
            <w:pPr>
              <w:jc w:val="right"/>
              <w:spacing w:after="0"/>
              <w:rPr>
                <w:sz w:val="20"/>
                <w:szCs w:val="20"/>
                <w:color w:val="auto"/>
              </w:rPr>
            </w:pPr>
            <w:r>
              <w:rPr>
                <w:rFonts w:ascii="Arial" w:cs="Arial" w:eastAsia="Arial" w:hAnsi="Arial"/>
                <w:sz w:val="11"/>
                <w:szCs w:val="11"/>
                <w:color w:val="auto"/>
              </w:rPr>
              <w:t>776,453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776,453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714,337</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Schlesinger Global, Inc. (Revolver) </w:t>
            </w:r>
            <w:r>
              <w:rPr>
                <w:rFonts w:ascii="Arial" w:cs="Arial" w:eastAsia="Arial" w:hAnsi="Arial"/>
                <w:sz w:val="9"/>
                <w:szCs w:val="9"/>
                <w:color w:val="auto"/>
              </w:rPr>
              <w:t>(7), (9)</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07/14/2025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1,093,848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(87,508)</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Sigma Defense Systems, LLC</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12/18/2025</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9.75%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L+875</w:t>
            </w:r>
          </w:p>
        </w:tc>
        <w:tc>
          <w:tcPr>
            <w:tcW w:w="660" w:type="dxa"/>
            <w:vAlign w:val="bottom"/>
          </w:tcPr>
          <w:p>
            <w:pPr>
              <w:jc w:val="right"/>
              <w:spacing w:after="0"/>
              <w:rPr>
                <w:sz w:val="20"/>
                <w:szCs w:val="20"/>
                <w:color w:val="auto"/>
              </w:rPr>
            </w:pPr>
            <w:r>
              <w:rPr>
                <w:rFonts w:ascii="Arial" w:cs="Arial" w:eastAsia="Arial" w:hAnsi="Arial"/>
                <w:sz w:val="11"/>
                <w:szCs w:val="11"/>
                <w:color w:val="auto"/>
              </w:rPr>
              <w:t>5,814,927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5,678,378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5,698,628</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Sigma Defense Systems, LLC (Revolver) </w:t>
            </w:r>
            <w:r>
              <w:rPr>
                <w:rFonts w:ascii="Arial" w:cs="Arial" w:eastAsia="Arial" w:hAnsi="Arial"/>
                <w:sz w:val="9"/>
                <w:szCs w:val="9"/>
                <w:color w:val="auto"/>
              </w:rPr>
              <w:t>(7), (9)</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12/18/2025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837,391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(16,748)</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Signature Systems Holding Company</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05/03/2024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Commercial Services &amp; Supplies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L+650</w:t>
            </w:r>
          </w:p>
        </w:tc>
        <w:tc>
          <w:tcPr>
            <w:tcW w:w="660" w:type="dxa"/>
            <w:vAlign w:val="bottom"/>
          </w:tcPr>
          <w:p>
            <w:pPr>
              <w:jc w:val="right"/>
              <w:spacing w:after="0"/>
              <w:rPr>
                <w:sz w:val="20"/>
                <w:szCs w:val="20"/>
                <w:color w:val="auto"/>
              </w:rPr>
            </w:pPr>
            <w:r>
              <w:rPr>
                <w:rFonts w:ascii="Arial" w:cs="Arial" w:eastAsia="Arial" w:hAnsi="Arial"/>
                <w:sz w:val="11"/>
                <w:szCs w:val="11"/>
                <w:color w:val="auto"/>
              </w:rPr>
              <w:t>12,025,000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11,902,904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11,874,687</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Signature Systems Holding Company (Revolver)</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05/03/2024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Commercial Services &amp; Supplies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L+650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1,747,312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1,747,312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1,725,470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Signature Systems Holding Company - Term Loan II</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12/31/2021</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Commercial Services &amp; Supplies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L+750</w:t>
            </w:r>
          </w:p>
        </w:tc>
        <w:tc>
          <w:tcPr>
            <w:tcW w:w="660" w:type="dxa"/>
            <w:vAlign w:val="bottom"/>
          </w:tcPr>
          <w:p>
            <w:pPr>
              <w:jc w:val="right"/>
              <w:spacing w:after="0"/>
              <w:rPr>
                <w:sz w:val="20"/>
                <w:szCs w:val="20"/>
                <w:color w:val="auto"/>
              </w:rPr>
            </w:pPr>
            <w:r>
              <w:rPr>
                <w:rFonts w:ascii="Arial" w:cs="Arial" w:eastAsia="Arial" w:hAnsi="Arial"/>
                <w:sz w:val="11"/>
                <w:szCs w:val="11"/>
                <w:color w:val="auto"/>
              </w:rPr>
              <w:t>698,925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688,479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690,188</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Smile Brands Inc.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10/14/2024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5.40%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L+450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3,480,124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3,480,124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3,497,524</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Smile Brands Inc. (Revolver) </w:t>
            </w:r>
            <w:r>
              <w:rPr>
                <w:rFonts w:ascii="Arial" w:cs="Arial" w:eastAsia="Arial" w:hAnsi="Arial"/>
                <w:sz w:val="9"/>
                <w:szCs w:val="9"/>
                <w:color w:val="auto"/>
              </w:rPr>
              <w:t>(7), (9)</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10/14/2024</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1,616,250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8,081</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Snak Club, LLC (Revolver) </w:t>
            </w:r>
            <w:r>
              <w:rPr>
                <w:rFonts w:ascii="Arial" w:cs="Arial" w:eastAsia="Arial" w:hAnsi="Arial"/>
                <w:sz w:val="9"/>
                <w:szCs w:val="9"/>
                <w:color w:val="auto"/>
              </w:rPr>
              <w:t>(7)</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07/19/2021</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99,500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Snak Club, LLC (Revolver) </w:t>
            </w:r>
            <w:r>
              <w:rPr>
                <w:rFonts w:ascii="Arial" w:cs="Arial" w:eastAsia="Arial" w:hAnsi="Arial"/>
                <w:sz w:val="9"/>
                <w:szCs w:val="9"/>
                <w:color w:val="auto"/>
              </w:rPr>
              <w:t>(7), (9)</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07/19/2021</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395,136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(1,976)</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Solutionreach, Inc.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01/17/2024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Technology</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6,283,246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6,206,485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6,283,246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Solutionreach, Inc. (Revolver) </w:t>
            </w:r>
            <w:r>
              <w:rPr>
                <w:rFonts w:ascii="Arial" w:cs="Arial" w:eastAsia="Arial" w:hAnsi="Arial"/>
                <w:sz w:val="9"/>
                <w:szCs w:val="9"/>
                <w:color w:val="auto"/>
              </w:rPr>
              <w:t>(7), (9)</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01/17/2024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Technology</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1,665,000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Spear Education, LLC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02/26/2025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14,973,750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14,851,806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14,824,012</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Spear Education, LLC </w:t>
            </w:r>
            <w:r>
              <w:rPr>
                <w:rFonts w:ascii="Arial" w:cs="Arial" w:eastAsia="Arial" w:hAnsi="Arial"/>
                <w:sz w:val="9"/>
                <w:szCs w:val="9"/>
                <w:color w:val="auto"/>
              </w:rPr>
              <w:t>(7), (9)</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02/26/2022</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6,875,000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(68,750)</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Spectacle Gary Holdings, LLC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12/23/2025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Hotels, Restaurants and Leisure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11.00%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L+900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4,874,271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5,450,000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STV Group Incorporated</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12/11/2026</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Construction &amp; Engineering</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5.36%</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L+525</w:t>
            </w:r>
          </w:p>
        </w:tc>
        <w:tc>
          <w:tcPr>
            <w:tcW w:w="660" w:type="dxa"/>
            <w:vAlign w:val="bottom"/>
          </w:tcPr>
          <w:p>
            <w:pPr>
              <w:jc w:val="right"/>
              <w:spacing w:after="0"/>
              <w:rPr>
                <w:sz w:val="20"/>
                <w:szCs w:val="20"/>
                <w:color w:val="auto"/>
              </w:rPr>
            </w:pPr>
            <w:r>
              <w:rPr>
                <w:rFonts w:ascii="Arial" w:cs="Arial" w:eastAsia="Arial" w:hAnsi="Arial"/>
                <w:sz w:val="11"/>
                <w:szCs w:val="11"/>
                <w:color w:val="auto"/>
              </w:rPr>
              <w:t>6,257,023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6,201,448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5,975,457</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TAC LifePort Purchaser, LLC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03/01/2026</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5,536,343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5,426,878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5,447,649</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TAC LifePort Purchaser, LLC (Revolver) </w:t>
            </w:r>
            <w:r>
              <w:rPr>
                <w:rFonts w:ascii="Arial" w:cs="Arial" w:eastAsia="Arial" w:hAnsi="Arial"/>
                <w:sz w:val="9"/>
                <w:szCs w:val="9"/>
                <w:color w:val="auto"/>
              </w:rPr>
              <w:t>(7)</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03/01/2026</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L+600</w:t>
            </w:r>
          </w:p>
        </w:tc>
        <w:tc>
          <w:tcPr>
            <w:tcW w:w="660" w:type="dxa"/>
            <w:vAlign w:val="bottom"/>
          </w:tcPr>
          <w:p>
            <w:pPr>
              <w:jc w:val="right"/>
              <w:spacing w:after="0"/>
              <w:rPr>
                <w:sz w:val="20"/>
                <w:szCs w:val="20"/>
                <w:color w:val="auto"/>
              </w:rPr>
            </w:pPr>
            <w:r>
              <w:rPr>
                <w:rFonts w:ascii="Arial" w:cs="Arial" w:eastAsia="Arial" w:hAnsi="Arial"/>
                <w:sz w:val="11"/>
                <w:szCs w:val="11"/>
                <w:color w:val="auto"/>
              </w:rPr>
              <w:t>172,286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172,286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169,526</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TAC LifePort Purchaser, LLC (Revolver) </w:t>
            </w:r>
            <w:r>
              <w:rPr>
                <w:rFonts w:ascii="Arial" w:cs="Arial" w:eastAsia="Arial" w:hAnsi="Arial"/>
                <w:sz w:val="9"/>
                <w:szCs w:val="9"/>
                <w:color w:val="auto"/>
              </w:rPr>
              <w:t>(7), (9)</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03/01/2026</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1,130,040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(18,104)</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TeleGuam Holdings, LLC</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11/20/2025</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L+450</w:t>
            </w:r>
          </w:p>
        </w:tc>
        <w:tc>
          <w:tcPr>
            <w:tcW w:w="660" w:type="dxa"/>
            <w:vAlign w:val="bottom"/>
          </w:tcPr>
          <w:p>
            <w:pPr>
              <w:jc w:val="right"/>
              <w:spacing w:after="0"/>
              <w:rPr>
                <w:sz w:val="20"/>
                <w:szCs w:val="20"/>
                <w:color w:val="auto"/>
              </w:rPr>
            </w:pPr>
            <w:r>
              <w:rPr>
                <w:rFonts w:ascii="Arial" w:cs="Arial" w:eastAsia="Arial" w:hAnsi="Arial"/>
                <w:sz w:val="11"/>
                <w:szCs w:val="11"/>
                <w:color w:val="auto"/>
              </w:rPr>
              <w:t>6,320,944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6,264,666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6,257,734</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Teneo Holdings LLC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07/18/2025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Diversified Financial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19,531,731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19,091,793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19,478,019</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The Aegis Technologies Group, LLC</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10/31/2025</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tcPr>
          <w:p>
            <w:pPr>
              <w:jc w:val="right"/>
              <w:spacing w:after="0"/>
              <w:rPr>
                <w:sz w:val="20"/>
                <w:szCs w:val="20"/>
                <w:color w:val="auto"/>
              </w:rPr>
            </w:pPr>
            <w:r>
              <w:rPr>
                <w:rFonts w:ascii="Arial" w:cs="Arial" w:eastAsia="Arial" w:hAnsi="Arial"/>
                <w:sz w:val="11"/>
                <w:szCs w:val="11"/>
                <w:color w:val="auto"/>
              </w:rPr>
              <w:t>9,226,875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9,095,330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9,134,606</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The Infosoft Group, LLC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09/16/2024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Media: Broadcasting and Subscription</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25,141,986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24,949,588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25,141,986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The Original Cakerie, Co. </w:t>
            </w:r>
            <w:r>
              <w:rPr>
                <w:rFonts w:ascii="Arial" w:cs="Arial" w:eastAsia="Arial" w:hAnsi="Arial"/>
                <w:sz w:val="9"/>
                <w:szCs w:val="9"/>
                <w:color w:val="auto"/>
              </w:rPr>
              <w:t>(5), (10)</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07/20/2022</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Consumer Goods: Non-Durable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2M L+500</w:t>
            </w:r>
          </w:p>
        </w:tc>
        <w:tc>
          <w:tcPr>
            <w:tcW w:w="660" w:type="dxa"/>
            <w:vAlign w:val="bottom"/>
          </w:tcPr>
          <w:p>
            <w:pPr>
              <w:jc w:val="right"/>
              <w:spacing w:after="0"/>
              <w:rPr>
                <w:sz w:val="20"/>
                <w:szCs w:val="20"/>
                <w:color w:val="auto"/>
              </w:rPr>
            </w:pPr>
            <w:r>
              <w:rPr>
                <w:rFonts w:ascii="Arial" w:cs="Arial" w:eastAsia="Arial" w:hAnsi="Arial"/>
                <w:sz w:val="11"/>
                <w:szCs w:val="11"/>
                <w:color w:val="auto"/>
              </w:rPr>
              <w:t>1,773,641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1,764,819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1,773,641</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The Original Cakerie Ltd. </w:t>
            </w:r>
            <w:r>
              <w:rPr>
                <w:rFonts w:ascii="Arial" w:cs="Arial" w:eastAsia="Arial" w:hAnsi="Arial"/>
                <w:sz w:val="9"/>
                <w:szCs w:val="9"/>
                <w:color w:val="auto"/>
              </w:rPr>
              <w:t>(5), (10)</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07/20/2022</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Consumer Goods: Non-Durable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2M L+450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5,348,582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5,331,121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5,348,582</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The Original Cakerie Ltd. (Revolver) </w:t>
            </w:r>
            <w:r>
              <w:rPr>
                <w:rFonts w:ascii="Arial" w:cs="Arial" w:eastAsia="Arial" w:hAnsi="Arial"/>
                <w:sz w:val="9"/>
                <w:szCs w:val="9"/>
                <w:color w:val="auto"/>
              </w:rPr>
              <w:t>(5), (9), (10)</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07/20/2022</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Consumer Goods: Non-Durable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1,418,484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TPC Canada Parent, Inc. and TPC US Parent, LLC </w:t>
            </w:r>
            <w:r>
              <w:rPr>
                <w:rFonts w:ascii="Arial" w:cs="Arial" w:eastAsia="Arial" w:hAnsi="Arial"/>
                <w:sz w:val="9"/>
                <w:szCs w:val="9"/>
                <w:color w:val="auto"/>
              </w:rPr>
              <w:t>(5), (10)</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11/24/2025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Food Products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4,937,500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4,897,412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4,789,375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TVC Enterprises, LLC</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03/26/2026</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L+575</w:t>
            </w:r>
          </w:p>
        </w:tc>
        <w:tc>
          <w:tcPr>
            <w:tcW w:w="660" w:type="dxa"/>
            <w:vAlign w:val="bottom"/>
          </w:tcPr>
          <w:p>
            <w:pPr>
              <w:jc w:val="right"/>
              <w:spacing w:after="0"/>
              <w:rPr>
                <w:sz w:val="20"/>
                <w:szCs w:val="20"/>
                <w:color w:val="auto"/>
              </w:rPr>
            </w:pPr>
            <w:r>
              <w:rPr>
                <w:rFonts w:ascii="Arial" w:cs="Arial" w:eastAsia="Arial" w:hAnsi="Arial"/>
                <w:sz w:val="11"/>
                <w:szCs w:val="11"/>
                <w:color w:val="auto"/>
              </w:rPr>
              <w:t>30,112,380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29,675,934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29,811,256</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TVC Enterprises, LLC (Revolver) </w:t>
            </w:r>
            <w:r>
              <w:rPr>
                <w:rFonts w:ascii="Arial" w:cs="Arial" w:eastAsia="Arial" w:hAnsi="Arial"/>
                <w:sz w:val="9"/>
                <w:szCs w:val="9"/>
                <w:color w:val="auto"/>
              </w:rPr>
              <w:t>(7), (9)</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03/26/2026</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1,303,813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(13,038)</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TWS Acquisition Corporation</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06/16/2025</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Diversified Consumer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7.25%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tcPr>
          <w:p>
            <w:pPr>
              <w:jc w:val="right"/>
              <w:spacing w:after="0"/>
              <w:rPr>
                <w:sz w:val="20"/>
                <w:szCs w:val="20"/>
                <w:color w:val="auto"/>
              </w:rPr>
            </w:pPr>
            <w:r>
              <w:rPr>
                <w:rFonts w:ascii="Arial" w:cs="Arial" w:eastAsia="Arial" w:hAnsi="Arial"/>
                <w:sz w:val="11"/>
                <w:szCs w:val="11"/>
                <w:color w:val="auto"/>
              </w:rPr>
              <w:t>6,636,062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6,510,393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6,636,062</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TWS Acquisition Corporation (Revolver) </w:t>
            </w:r>
            <w:r>
              <w:rPr>
                <w:rFonts w:ascii="Arial" w:cs="Arial" w:eastAsia="Arial" w:hAnsi="Arial"/>
                <w:sz w:val="9"/>
                <w:szCs w:val="9"/>
                <w:color w:val="auto"/>
              </w:rPr>
              <w:t>(7), (9)</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06/16/2025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Diversified Consumer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2,627,857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Tyto Athene, LLC</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08/27/2024</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6.25%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L+525</w:t>
            </w:r>
          </w:p>
        </w:tc>
        <w:tc>
          <w:tcPr>
            <w:tcW w:w="660" w:type="dxa"/>
            <w:vAlign w:val="bottom"/>
          </w:tcPr>
          <w:p>
            <w:pPr>
              <w:jc w:val="right"/>
              <w:spacing w:after="0"/>
              <w:rPr>
                <w:sz w:val="20"/>
                <w:szCs w:val="20"/>
                <w:color w:val="auto"/>
              </w:rPr>
            </w:pPr>
            <w:r>
              <w:rPr>
                <w:rFonts w:ascii="Arial" w:cs="Arial" w:eastAsia="Arial" w:hAnsi="Arial"/>
                <w:sz w:val="11"/>
                <w:szCs w:val="11"/>
                <w:color w:val="auto"/>
              </w:rPr>
              <w:t>11,695,801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11,577,453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11,695,801</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Tyto Athene, LLC (Revolver) </w:t>
            </w:r>
            <w:r>
              <w:rPr>
                <w:rFonts w:ascii="Arial" w:cs="Arial" w:eastAsia="Arial" w:hAnsi="Arial"/>
                <w:sz w:val="9"/>
                <w:szCs w:val="9"/>
                <w:color w:val="auto"/>
              </w:rPr>
              <w:t>(7), (9)</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08/27/2024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6,818,182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Tyto Athene, LLC (New Issue)</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04/01/2028</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6.25%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L+550</w:t>
            </w:r>
          </w:p>
        </w:tc>
        <w:tc>
          <w:tcPr>
            <w:tcW w:w="660" w:type="dxa"/>
            <w:vAlign w:val="bottom"/>
          </w:tcPr>
          <w:p>
            <w:pPr>
              <w:jc w:val="right"/>
              <w:spacing w:after="0"/>
              <w:rPr>
                <w:sz w:val="20"/>
                <w:szCs w:val="20"/>
                <w:color w:val="auto"/>
              </w:rPr>
            </w:pPr>
            <w:r>
              <w:rPr>
                <w:rFonts w:ascii="Arial" w:cs="Arial" w:eastAsia="Arial" w:hAnsi="Arial"/>
                <w:sz w:val="11"/>
                <w:szCs w:val="11"/>
                <w:color w:val="auto"/>
              </w:rPr>
              <w:t>28,596,591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28,157,315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28,157,319</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Tyto Athene, LLC (New Issue) (Revolver) </w:t>
            </w:r>
            <w:r>
              <w:rPr>
                <w:rFonts w:ascii="Arial" w:cs="Arial" w:eastAsia="Arial" w:hAnsi="Arial"/>
                <w:sz w:val="9"/>
                <w:szCs w:val="9"/>
                <w:color w:val="auto"/>
              </w:rPr>
              <w:t>(7), (9)</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04/01/2026</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1,039,799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Basis Point</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5"/>
              </w:rPr>
              <w:t>Spread</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1"/>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3"/>
              </w:rPr>
              <w:t>Above</w:t>
            </w:r>
          </w:p>
        </w:tc>
        <w:tc>
          <w:tcPr>
            <w:tcW w:w="66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33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Pr>
          <w:p>
            <w:pPr>
              <w:spacing w:after="0"/>
              <w:rPr>
                <w:sz w:val="11"/>
                <w:szCs w:val="11"/>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Maturity</w:t>
            </w:r>
          </w:p>
        </w:tc>
        <w:tc>
          <w:tcPr>
            <w:tcW w:w="220" w:type="dxa"/>
            <w:vAlign w:val="bottom"/>
          </w:tcPr>
          <w:p>
            <w:pPr>
              <w:spacing w:after="0"/>
              <w:rPr>
                <w:sz w:val="11"/>
                <w:szCs w:val="11"/>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11"/>
                <w:szCs w:val="11"/>
                <w:color w:val="auto"/>
              </w:rPr>
            </w:pPr>
          </w:p>
        </w:tc>
        <w:tc>
          <w:tcPr>
            <w:tcW w:w="6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Coupon</w:t>
            </w:r>
          </w:p>
        </w:tc>
        <w:tc>
          <w:tcPr>
            <w:tcW w:w="260" w:type="dxa"/>
            <w:vAlign w:val="bottom"/>
          </w:tcPr>
          <w:p>
            <w:pPr>
              <w:spacing w:after="0"/>
              <w:rPr>
                <w:sz w:val="11"/>
                <w:szCs w:val="1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240" w:type="dxa"/>
            <w:vAlign w:val="bottom"/>
          </w:tcPr>
          <w:p>
            <w:pPr>
              <w:spacing w:after="0"/>
              <w:rPr>
                <w:sz w:val="11"/>
                <w:szCs w:val="11"/>
                <w:color w:val="auto"/>
              </w:rPr>
            </w:pPr>
          </w:p>
        </w:tc>
        <w:tc>
          <w:tcPr>
            <w:tcW w:w="6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1"/>
                <w:szCs w:val="11"/>
                <w:color w:val="auto"/>
              </w:rPr>
            </w:pPr>
          </w:p>
        </w:tc>
        <w:tc>
          <w:tcPr>
            <w:tcW w:w="68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40" w:type="dxa"/>
            <w:vAlign w:val="bottom"/>
          </w:tcPr>
          <w:p>
            <w:pPr>
              <w:spacing w:after="0"/>
              <w:rPr>
                <w:sz w:val="11"/>
                <w:szCs w:val="11"/>
                <w:color w:val="auto"/>
              </w:rPr>
            </w:pP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9"/>
                <w:szCs w:val="9"/>
                <w:b w:val="1"/>
                <w:bCs w:val="1"/>
                <w:color w:val="auto"/>
                <w:w w:val="92"/>
              </w:rPr>
              <w:t>(2)</w:t>
            </w:r>
          </w:p>
        </w:tc>
        <w:tc>
          <w:tcPr>
            <w:tcW w:w="120" w:type="dxa"/>
            <w:vAlign w:val="bottom"/>
          </w:tcPr>
          <w:p>
            <w:pPr>
              <w:spacing w:after="0"/>
              <w:rPr>
                <w:sz w:val="11"/>
                <w:szCs w:val="11"/>
                <w:color w:val="auto"/>
              </w:rPr>
            </w:pPr>
          </w:p>
        </w:tc>
      </w:tr>
      <w:tr>
        <w:trPr>
          <w:trHeight w:val="128"/>
        </w:trPr>
        <w:tc>
          <w:tcPr>
            <w:tcW w:w="3360" w:type="dxa"/>
            <w:vAlign w:val="bottom"/>
          </w:tcPr>
          <w:p>
            <w:pPr>
              <w:spacing w:after="0"/>
              <w:rPr>
                <w:sz w:val="20"/>
                <w:szCs w:val="20"/>
                <w:color w:val="auto"/>
              </w:rPr>
            </w:pPr>
            <w:r>
              <w:rPr>
                <w:rFonts w:ascii="Arial" w:cs="Arial" w:eastAsia="Arial" w:hAnsi="Arial"/>
                <w:sz w:val="11"/>
                <w:szCs w:val="11"/>
                <w:color w:val="auto"/>
              </w:rPr>
              <w:t>UBEO,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04/03/2024</w:t>
            </w: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L+450</w:t>
            </w:r>
          </w:p>
        </w:tc>
        <w:tc>
          <w:tcPr>
            <w:tcW w:w="660" w:type="dxa"/>
            <w:vAlign w:val="bottom"/>
          </w:tcPr>
          <w:p>
            <w:pPr>
              <w:jc w:val="right"/>
              <w:spacing w:after="0"/>
              <w:rPr>
                <w:sz w:val="20"/>
                <w:szCs w:val="20"/>
                <w:color w:val="auto"/>
              </w:rPr>
            </w:pPr>
            <w:r>
              <w:rPr>
                <w:rFonts w:ascii="Arial" w:cs="Arial" w:eastAsia="Arial" w:hAnsi="Arial"/>
                <w:sz w:val="11"/>
                <w:szCs w:val="11"/>
                <w:color w:val="auto"/>
              </w:rPr>
              <w:t>13,955,379</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   13,877,035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   13,817,815</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UBEO, LLC (Revolver)</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04/03/2024</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L+450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880,000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869,000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UBEO, LLC (Revolver) </w:t>
            </w:r>
            <w:r>
              <w:rPr>
                <w:rFonts w:ascii="Arial" w:cs="Arial" w:eastAsia="Arial" w:hAnsi="Arial"/>
                <w:sz w:val="9"/>
                <w:szCs w:val="9"/>
                <w:color w:val="auto"/>
              </w:rPr>
              <w:t>(9)</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04/03/2024</w:t>
            </w: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2,053,333</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1"/>
                <w:szCs w:val="11"/>
                <w:color w:val="auto"/>
              </w:rPr>
              <w:t>(25,667)</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Urology Management Associates, LLC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08/30/2024</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Healthcare Providers and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4,937,500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4,872,178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4,875,781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US Med Acquisition, Inc.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08/13/2021</w:t>
            </w: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L+750</w:t>
            </w:r>
          </w:p>
        </w:tc>
        <w:tc>
          <w:tcPr>
            <w:tcW w:w="660" w:type="dxa"/>
            <w:vAlign w:val="bottom"/>
          </w:tcPr>
          <w:p>
            <w:pPr>
              <w:jc w:val="right"/>
              <w:spacing w:after="0"/>
              <w:rPr>
                <w:sz w:val="20"/>
                <w:szCs w:val="20"/>
                <w:color w:val="auto"/>
              </w:rPr>
            </w:pPr>
            <w:r>
              <w:rPr>
                <w:rFonts w:ascii="Arial" w:cs="Arial" w:eastAsia="Arial" w:hAnsi="Arial"/>
                <w:sz w:val="11"/>
                <w:szCs w:val="11"/>
                <w:color w:val="auto"/>
              </w:rPr>
              <w:t>2,949,219</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2,949,219</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2,949,219</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Virgin Pulse, Inc.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04/01/2028</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Healthcare Providers and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4.75%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L+400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4,950,000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4,962,500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Vision Purchaser Corporation</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06/10/2025</w:t>
            </w: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Media</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7.75%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L+675</w:t>
            </w:r>
          </w:p>
        </w:tc>
        <w:tc>
          <w:tcPr>
            <w:tcW w:w="660" w:type="dxa"/>
            <w:vAlign w:val="bottom"/>
          </w:tcPr>
          <w:p>
            <w:pPr>
              <w:jc w:val="right"/>
              <w:spacing w:after="0"/>
              <w:rPr>
                <w:sz w:val="20"/>
                <w:szCs w:val="20"/>
                <w:color w:val="auto"/>
              </w:rPr>
            </w:pPr>
            <w:r>
              <w:rPr>
                <w:rFonts w:ascii="Arial" w:cs="Arial" w:eastAsia="Arial" w:hAnsi="Arial"/>
                <w:sz w:val="11"/>
                <w:szCs w:val="11"/>
                <w:color w:val="auto"/>
              </w:rPr>
              <w:t>14,321,451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14,094,138</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13,748,593</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Walker Edison Furniture Company LLC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03/31/2027</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Wholesale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30,000,000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29,250,293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29,250,000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Whitney, Bradley &amp; Brown, Inc.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10/18/2022</w:t>
            </w: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L+750</w:t>
            </w:r>
          </w:p>
        </w:tc>
        <w:tc>
          <w:tcPr>
            <w:tcW w:w="660" w:type="dxa"/>
            <w:vAlign w:val="bottom"/>
          </w:tcPr>
          <w:p>
            <w:pPr>
              <w:jc w:val="right"/>
              <w:spacing w:after="0"/>
              <w:rPr>
                <w:sz w:val="20"/>
                <w:szCs w:val="20"/>
                <w:color w:val="auto"/>
              </w:rPr>
            </w:pPr>
            <w:r>
              <w:rPr>
                <w:rFonts w:ascii="Arial" w:cs="Arial" w:eastAsia="Arial" w:hAnsi="Arial"/>
                <w:sz w:val="11"/>
                <w:szCs w:val="11"/>
                <w:color w:val="auto"/>
              </w:rPr>
              <w:t>4,045,310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4,011,580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4,085,764</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Wildcat Buyerco, Inc.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02/27/2026</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3,072,572</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3,029,453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3,050,163</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Wildcat Buyerco, Inc. </w:t>
            </w:r>
            <w:r>
              <w:rPr>
                <w:rFonts w:ascii="Arial" w:cs="Arial" w:eastAsia="Arial" w:hAnsi="Arial"/>
                <w:sz w:val="9"/>
                <w:szCs w:val="9"/>
                <w:color w:val="auto"/>
              </w:rPr>
              <w:t>(7), (9)</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02/27/2022</w:t>
            </w: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2,491,176</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3,114</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Wildcat Buyerco, Inc. (Revolver) </w:t>
            </w:r>
            <w:r>
              <w:rPr>
                <w:rFonts w:ascii="Arial" w:cs="Arial" w:eastAsia="Arial" w:hAnsi="Arial"/>
                <w:sz w:val="9"/>
                <w:szCs w:val="9"/>
                <w:color w:val="auto"/>
              </w:rPr>
              <w:t>(7), (9)</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02/27/2026</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533,824</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(8,383)</w:t>
            </w:r>
          </w:p>
        </w:tc>
      </w:tr>
      <w:tr>
        <w:trPr>
          <w:trHeight w:val="128"/>
        </w:trPr>
        <w:tc>
          <w:tcPr>
            <w:tcW w:w="336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First Lien Secured Debt</w:t>
            </w:r>
          </w:p>
        </w:tc>
        <w:tc>
          <w:tcPr>
            <w:tcW w:w="14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3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765,246,597</w:t>
            </w:r>
          </w:p>
        </w:tc>
        <w:tc>
          <w:tcPr>
            <w:tcW w:w="240" w:type="dxa"/>
            <w:vAlign w:val="bottom"/>
            <w:tcBorders>
              <w:bottom w:val="single" w:sz="8" w:color="CCECFF"/>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759,197,207</w:t>
            </w:r>
          </w:p>
        </w:tc>
        <w:tc>
          <w:tcPr>
            <w:tcW w:w="120" w:type="dxa"/>
            <w:vAlign w:val="bottom"/>
            <w:tcBorders>
              <w:bottom w:val="single" w:sz="8" w:color="CCECFF"/>
            </w:tcBorders>
          </w:tcPr>
          <w:p>
            <w:pPr>
              <w:spacing w:after="0"/>
              <w:rPr>
                <w:sz w:val="11"/>
                <w:szCs w:val="11"/>
                <w:color w:val="auto"/>
              </w:rPr>
            </w:pPr>
          </w:p>
        </w:tc>
      </w:tr>
      <w:tr>
        <w:trPr>
          <w:trHeight w:val="128"/>
        </w:trPr>
        <w:tc>
          <w:tcPr>
            <w:tcW w:w="33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Second Lien Secured Debt—6.1%</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DBI Holdings, LLC, Term Loan B</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02/01/2026</w:t>
            </w:r>
          </w:p>
        </w:tc>
        <w:tc>
          <w:tcPr>
            <w:tcW w:w="220" w:type="dxa"/>
            <w:vAlign w:val="bottom"/>
          </w:tcPr>
          <w:p>
            <w:pPr>
              <w:spacing w:after="0"/>
              <w:rPr>
                <w:sz w:val="12"/>
                <w:szCs w:val="12"/>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9.00%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12,129,344</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12,129,344</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12,129,344</w:t>
            </w:r>
          </w:p>
        </w:tc>
        <w:tc>
          <w:tcPr>
            <w:tcW w:w="120" w:type="dxa"/>
            <w:vAlign w:val="bottom"/>
          </w:tcPr>
          <w:p>
            <w:pPr>
              <w:spacing w:after="0"/>
              <w:rPr>
                <w:sz w:val="12"/>
                <w:szCs w:val="12"/>
                <w:color w:val="auto"/>
              </w:rPr>
            </w:pPr>
          </w:p>
        </w:tc>
      </w:tr>
      <w:tr>
        <w:trPr>
          <w:trHeight w:val="131"/>
        </w:trPr>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(PIK 9.00%)</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DBI Holding, LLC - 1.5 Lien Term Loan </w:t>
            </w:r>
            <w:r>
              <w:rPr>
                <w:rFonts w:ascii="Arial" w:cs="Arial" w:eastAsia="Arial" w:hAnsi="Arial"/>
                <w:sz w:val="9"/>
                <w:szCs w:val="9"/>
                <w:color w:val="auto"/>
              </w:rPr>
              <w:t>(7)</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05/01/2023</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14.00%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2,189,596</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2,189,596</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2,189,596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14.00%)</w:t>
            </w: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DecoPac, Inc.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03/31/2025</w:t>
            </w: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9.25%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L+825</w:t>
            </w:r>
          </w:p>
        </w:tc>
        <w:tc>
          <w:tcPr>
            <w:tcW w:w="660" w:type="dxa"/>
            <w:vAlign w:val="bottom"/>
          </w:tcPr>
          <w:p>
            <w:pPr>
              <w:jc w:val="right"/>
              <w:spacing w:after="0"/>
              <w:rPr>
                <w:sz w:val="20"/>
                <w:szCs w:val="20"/>
                <w:color w:val="auto"/>
              </w:rPr>
            </w:pPr>
            <w:r>
              <w:rPr>
                <w:rFonts w:ascii="Arial" w:cs="Arial" w:eastAsia="Arial" w:hAnsi="Arial"/>
                <w:sz w:val="11"/>
                <w:szCs w:val="11"/>
                <w:color w:val="auto"/>
              </w:rPr>
              <w:t>9,738,580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9,663,166</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9,738,580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Inventus Power, Inc.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09/29/2024</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L+850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3,000,000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2,940,110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2,940,000</w:t>
            </w:r>
          </w:p>
        </w:tc>
        <w:tc>
          <w:tcPr>
            <w:tcW w:w="120" w:type="dxa"/>
            <w:vAlign w:val="bottom"/>
            <w:shd w:val="clear" w:color="auto" w:fill="CCECFF"/>
          </w:tcPr>
          <w:p>
            <w:pPr>
              <w:spacing w:after="0"/>
              <w:rPr>
                <w:sz w:val="11"/>
                <w:szCs w:val="11"/>
                <w:color w:val="auto"/>
              </w:rPr>
            </w:pP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 xml:space="preserve">Mailsouth Inc. </w:t>
            </w:r>
            <w:r>
              <w:rPr>
                <w:rFonts w:ascii="Arial" w:cs="Arial" w:eastAsia="Arial" w:hAnsi="Arial"/>
                <w:sz w:val="9"/>
                <w:szCs w:val="9"/>
                <w:color w:val="auto"/>
              </w:rPr>
              <w:t>(7)</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04/23/2025</w:t>
            </w:r>
          </w:p>
        </w:tc>
        <w:tc>
          <w:tcPr>
            <w:tcW w:w="220" w:type="dxa"/>
            <w:vAlign w:val="bottom"/>
          </w:tcPr>
          <w:p>
            <w:pPr>
              <w:spacing w:after="0"/>
              <w:rPr>
                <w:sz w:val="12"/>
                <w:szCs w:val="12"/>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Media: Advertising, Printing and Publishing</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15.00%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804,373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804,373</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804,373</w:t>
            </w:r>
          </w:p>
        </w:tc>
        <w:tc>
          <w:tcPr>
            <w:tcW w:w="120" w:type="dxa"/>
            <w:vAlign w:val="bottom"/>
          </w:tcPr>
          <w:p>
            <w:pPr>
              <w:spacing w:after="0"/>
              <w:rPr>
                <w:sz w:val="12"/>
                <w:szCs w:val="12"/>
                <w:color w:val="auto"/>
              </w:rPr>
            </w:pPr>
          </w:p>
        </w:tc>
      </w:tr>
      <w:tr>
        <w:trPr>
          <w:trHeight w:val="131"/>
        </w:trPr>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(PIK 15.00%)</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9"/>
                <w:szCs w:val="9"/>
                <w:color w:val="auto"/>
              </w:rPr>
              <w:t>(7)</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11/30/2024</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11.00%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L+1,000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2,218,850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2,205,478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2,218,850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12.30%)</w:t>
            </w: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QuantiTech LLC</w:t>
            </w:r>
          </w:p>
        </w:tc>
        <w:tc>
          <w:tcPr>
            <w:tcW w:w="660" w:type="dxa"/>
            <w:vAlign w:val="bottom"/>
            <w:tcBorders>
              <w:bottom w:val="single" w:sz="8" w:color="CCECFF"/>
            </w:tcBorders>
            <w:gridSpan w:val="2"/>
          </w:tcPr>
          <w:p>
            <w:pPr>
              <w:jc w:val="center"/>
              <w:ind w:left="66"/>
              <w:spacing w:after="0"/>
              <w:rPr>
                <w:sz w:val="20"/>
                <w:szCs w:val="20"/>
                <w:color w:val="auto"/>
              </w:rPr>
            </w:pPr>
            <w:r>
              <w:rPr>
                <w:rFonts w:ascii="Arial" w:cs="Arial" w:eastAsia="Arial" w:hAnsi="Arial"/>
                <w:sz w:val="11"/>
                <w:szCs w:val="11"/>
                <w:color w:val="auto"/>
                <w:w w:val="88"/>
              </w:rPr>
              <w:t>02/04/27</w:t>
            </w:r>
          </w:p>
        </w:tc>
        <w:tc>
          <w:tcPr>
            <w:tcW w:w="220" w:type="dxa"/>
            <w:vAlign w:val="bottom"/>
            <w:tcBorders>
              <w:bottom w:val="single" w:sz="8" w:color="CCECFF"/>
            </w:tcBorders>
          </w:tcPr>
          <w:p>
            <w:pPr>
              <w:spacing w:after="0"/>
              <w:rPr>
                <w:sz w:val="11"/>
                <w:szCs w:val="11"/>
                <w:color w:val="auto"/>
              </w:rPr>
            </w:pPr>
          </w:p>
        </w:tc>
        <w:tc>
          <w:tcPr>
            <w:tcW w:w="250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1"/>
                <w:szCs w:val="11"/>
                <w:color w:val="auto"/>
              </w:rPr>
              <w:t>11.00%</w:t>
            </w:r>
          </w:p>
        </w:tc>
        <w:tc>
          <w:tcPr>
            <w:tcW w:w="92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1"/>
                <w:szCs w:val="11"/>
                <w:color w:val="auto"/>
              </w:rPr>
              <w:t>3M L+1,000</w:t>
            </w:r>
          </w:p>
        </w:tc>
        <w:tc>
          <w:tcPr>
            <w:tcW w:w="66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150,000</w:t>
            </w: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147,120</w:t>
            </w:r>
          </w:p>
        </w:tc>
        <w:tc>
          <w:tcPr>
            <w:tcW w:w="240" w:type="dxa"/>
            <w:vAlign w:val="bottom"/>
            <w:tcBorders>
              <w:bottom w:val="single" w:sz="8" w:color="CCECFF"/>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147,000</w:t>
            </w:r>
          </w:p>
        </w:tc>
        <w:tc>
          <w:tcPr>
            <w:tcW w:w="120" w:type="dxa"/>
            <w:vAlign w:val="bottom"/>
            <w:tcBorders>
              <w:bottom w:val="single" w:sz="8" w:color="CCECFF"/>
            </w:tcBorders>
          </w:tcPr>
          <w:p>
            <w:pPr>
              <w:spacing w:after="0"/>
              <w:rPr>
                <w:sz w:val="11"/>
                <w:szCs w:val="11"/>
                <w:color w:val="auto"/>
              </w:rPr>
            </w:pPr>
          </w:p>
        </w:tc>
      </w:tr>
      <w:tr>
        <w:trPr>
          <w:trHeight w:val="128"/>
        </w:trPr>
        <w:tc>
          <w:tcPr>
            <w:tcW w:w="33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Second Lien Secured Debt</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30,079,187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30,167,743</w:t>
            </w:r>
          </w:p>
        </w:tc>
        <w:tc>
          <w:tcPr>
            <w:tcW w:w="120" w:type="dxa"/>
            <w:vAlign w:val="bottom"/>
            <w:shd w:val="clear" w:color="auto" w:fill="CCECFF"/>
          </w:tcPr>
          <w:p>
            <w:pPr>
              <w:spacing w:after="0"/>
              <w:rPr>
                <w:sz w:val="11"/>
                <w:szCs w:val="11"/>
                <w:color w:val="auto"/>
              </w:rPr>
            </w:pPr>
          </w:p>
        </w:tc>
      </w:tr>
      <w:tr>
        <w:trPr>
          <w:trHeight w:val="128"/>
        </w:trPr>
        <w:tc>
          <w:tcPr>
            <w:tcW w:w="3360" w:type="dxa"/>
            <w:vAlign w:val="bottom"/>
          </w:tcPr>
          <w:p>
            <w:pPr>
              <w:spacing w:after="0"/>
              <w:rPr>
                <w:sz w:val="20"/>
                <w:szCs w:val="20"/>
                <w:color w:val="auto"/>
              </w:rPr>
            </w:pPr>
            <w:r>
              <w:rPr>
                <w:rFonts w:ascii="Arial" w:cs="Arial" w:eastAsia="Arial" w:hAnsi="Arial"/>
                <w:sz w:val="11"/>
                <w:szCs w:val="11"/>
                <w:b w:val="1"/>
                <w:bCs w:val="1"/>
                <w:color w:val="auto"/>
              </w:rPr>
              <w:t xml:space="preserve">Preferred Equity— 2.2% </w:t>
            </w:r>
            <w:r>
              <w:rPr>
                <w:rFonts w:ascii="Arial" w:cs="Arial" w:eastAsia="Arial" w:hAnsi="Arial"/>
                <w:sz w:val="9"/>
                <w:szCs w:val="9"/>
                <w:b w:val="1"/>
                <w:bCs w:val="1"/>
                <w:color w:val="auto"/>
              </w:rPr>
              <w:t>(6)</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CI (PTN) Investment Holdings II, LLC</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1,458</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21,870</w:t>
            </w:r>
          </w:p>
        </w:tc>
        <w:tc>
          <w:tcPr>
            <w:tcW w:w="24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9"/>
                <w:szCs w:val="9"/>
                <w:color w:val="auto"/>
              </w:rPr>
              <w:t>(7), (8)</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DBI Holding, LLC, Series A-1 </w:t>
            </w:r>
            <w:r>
              <w:rPr>
                <w:rFonts w:ascii="Arial" w:cs="Arial" w:eastAsia="Arial" w:hAnsi="Arial"/>
                <w:sz w:val="9"/>
                <w:szCs w:val="9"/>
                <w:color w:val="auto"/>
              </w:rPr>
              <w:t>(8)</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14.00%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7,041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7,040,844</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6,352,528</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9"/>
                <w:szCs w:val="9"/>
                <w:color w:val="auto"/>
              </w:rPr>
              <w:t>(7), (8)</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Media</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960,000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1,062,033</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NXOF Holdings, Inc. (NextiraOne Federal, LLC) </w:t>
            </w:r>
            <w:r>
              <w:rPr>
                <w:rFonts w:ascii="Arial" w:cs="Arial" w:eastAsia="Arial" w:hAnsi="Arial"/>
                <w:sz w:val="9"/>
                <w:szCs w:val="9"/>
                <w:color w:val="auto"/>
              </w:rPr>
              <w:t>(7)</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733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733,049</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848,358</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11.00%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L+1,000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429,000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512,488</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Signature CR Intermediate Holdco, Inc. </w:t>
            </w:r>
            <w:r>
              <w:rPr>
                <w:rFonts w:ascii="Arial" w:cs="Arial" w:eastAsia="Arial" w:hAnsi="Arial"/>
                <w:sz w:val="9"/>
                <w:szCs w:val="9"/>
                <w:color w:val="auto"/>
              </w:rPr>
              <w:t>(7)</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Commercial Services &amp; Supplies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12.00%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1,323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1,323,421</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1,440,924</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9"/>
                <w:szCs w:val="9"/>
                <w:color w:val="auto"/>
              </w:rPr>
              <w:t>(5), (7), (10)</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Food Products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409</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409,011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465,831</w:t>
            </w:r>
          </w:p>
        </w:tc>
        <w:tc>
          <w:tcPr>
            <w:tcW w:w="120" w:type="dxa"/>
            <w:vAlign w:val="bottom"/>
            <w:shd w:val="clear" w:color="auto" w:fill="CCECFF"/>
          </w:tcPr>
          <w:p>
            <w:pPr>
              <w:spacing w:after="0"/>
              <w:rPr>
                <w:sz w:val="11"/>
                <w:szCs w:val="11"/>
                <w:color w:val="auto"/>
              </w:rPr>
            </w:pP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UniTek Global Services, Inc. -</w:t>
            </w:r>
          </w:p>
        </w:tc>
        <w:tc>
          <w:tcPr>
            <w:tcW w:w="14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20.00%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343,861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343,861</w:t>
            </w:r>
          </w:p>
        </w:tc>
        <w:tc>
          <w:tcPr>
            <w:tcW w:w="2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1"/>
        </w:trPr>
        <w:tc>
          <w:tcPr>
            <w:tcW w:w="3360" w:type="dxa"/>
            <w:vAlign w:val="bottom"/>
          </w:tcPr>
          <w:p>
            <w:pPr>
              <w:ind w:left="140"/>
              <w:spacing w:after="0"/>
              <w:rPr>
                <w:sz w:val="20"/>
                <w:szCs w:val="20"/>
                <w:color w:val="auto"/>
              </w:rPr>
            </w:pPr>
            <w:r>
              <w:rPr>
                <w:rFonts w:ascii="Arial" w:cs="Arial" w:eastAsia="Arial" w:hAnsi="Arial"/>
                <w:sz w:val="11"/>
                <w:szCs w:val="11"/>
                <w:color w:val="auto"/>
              </w:rPr>
              <w:t xml:space="preserve">Super Senior Preferred Equity </w:t>
            </w:r>
            <w:r>
              <w:rPr>
                <w:rFonts w:ascii="Arial" w:cs="Arial" w:eastAsia="Arial" w:hAnsi="Arial"/>
                <w:sz w:val="9"/>
                <w:szCs w:val="9"/>
                <w:color w:val="auto"/>
              </w:rPr>
              <w:t>(7)</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UniTek Global Services, Inc. - Senior Preferred Equity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19.00%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448,851</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448,851</w:t>
            </w:r>
          </w:p>
        </w:tc>
        <w:tc>
          <w:tcPr>
            <w:tcW w:w="24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 xml:space="preserve">UniTek Global Services, Inc. </w:t>
            </w:r>
            <w:r>
              <w:rPr>
                <w:rFonts w:ascii="Arial" w:cs="Arial" w:eastAsia="Arial" w:hAnsi="Arial"/>
                <w:sz w:val="9"/>
                <w:szCs w:val="9"/>
                <w:color w:val="auto"/>
              </w:rPr>
              <w:t>(7)</w:t>
            </w:r>
          </w:p>
        </w:tc>
        <w:tc>
          <w:tcPr>
            <w:tcW w:w="140" w:type="dxa"/>
            <w:vAlign w:val="bottom"/>
            <w:tcBorders>
              <w:bottom w:val="single" w:sz="8" w:color="CCECFF"/>
            </w:tcBorders>
          </w:tcPr>
          <w:p>
            <w:pPr>
              <w:spacing w:after="0"/>
              <w:rPr>
                <w:sz w:val="11"/>
                <w:szCs w:val="11"/>
                <w:color w:val="auto"/>
              </w:rPr>
            </w:pPr>
          </w:p>
        </w:tc>
        <w:tc>
          <w:tcPr>
            <w:tcW w:w="740" w:type="dxa"/>
            <w:vAlign w:val="bottom"/>
            <w:tcBorders>
              <w:bottom w:val="single" w:sz="8" w:color="CCECFF"/>
            </w:tcBorders>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4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1"/>
                <w:szCs w:val="11"/>
                <w:color w:val="auto"/>
              </w:rPr>
              <w:t>13.50%</w:t>
            </w:r>
          </w:p>
        </w:tc>
        <w:tc>
          <w:tcPr>
            <w:tcW w:w="92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1,047,317</w:t>
            </w: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670,283</w:t>
            </w:r>
          </w:p>
        </w:tc>
        <w:tc>
          <w:tcPr>
            <w:tcW w:w="240" w:type="dxa"/>
            <w:vAlign w:val="bottom"/>
            <w:tcBorders>
              <w:bottom w:val="single" w:sz="8" w:color="CCECFF"/>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CFF"/>
            </w:tcBorders>
          </w:tcPr>
          <w:p>
            <w:pPr>
              <w:spacing w:after="0"/>
              <w:rPr>
                <w:sz w:val="11"/>
                <w:szCs w:val="11"/>
                <w:color w:val="auto"/>
              </w:rPr>
            </w:pPr>
          </w:p>
        </w:tc>
      </w:tr>
      <w:tr>
        <w:trPr>
          <w:trHeight w:val="129"/>
        </w:trPr>
        <w:tc>
          <w:tcPr>
            <w:tcW w:w="33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Preferred Equity</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12,380,190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10,682,162</w:t>
            </w:r>
          </w:p>
        </w:tc>
        <w:tc>
          <w:tcPr>
            <w:tcW w:w="120" w:type="dxa"/>
            <w:vAlign w:val="bottom"/>
            <w:shd w:val="clear" w:color="auto" w:fill="CCECFF"/>
          </w:tcPr>
          <w:p>
            <w:pPr>
              <w:spacing w:after="0"/>
              <w:rPr>
                <w:sz w:val="11"/>
                <w:szCs w:val="11"/>
                <w:color w:val="auto"/>
              </w:rPr>
            </w:pPr>
          </w:p>
        </w:tc>
      </w:tr>
      <w:tr>
        <w:trPr>
          <w:trHeight w:val="128"/>
        </w:trPr>
        <w:tc>
          <w:tcPr>
            <w:tcW w:w="3360" w:type="dxa"/>
            <w:vAlign w:val="bottom"/>
          </w:tcPr>
          <w:p>
            <w:pPr>
              <w:spacing w:after="0"/>
              <w:rPr>
                <w:sz w:val="20"/>
                <w:szCs w:val="20"/>
                <w:color w:val="auto"/>
              </w:rPr>
            </w:pPr>
            <w:r>
              <w:rPr>
                <w:rFonts w:ascii="Arial" w:cs="Arial" w:eastAsia="Arial" w:hAnsi="Arial"/>
                <w:sz w:val="11"/>
                <w:szCs w:val="11"/>
                <w:b w:val="1"/>
                <w:bCs w:val="1"/>
                <w:color w:val="auto"/>
              </w:rPr>
              <w:t xml:space="preserve">Common Equity/Warrants— 13.6% </w:t>
            </w:r>
            <w:r>
              <w:rPr>
                <w:rFonts w:ascii="Arial" w:cs="Arial" w:eastAsia="Arial" w:hAnsi="Arial"/>
                <w:sz w:val="9"/>
                <w:szCs w:val="9"/>
                <w:b w:val="1"/>
                <w:bCs w:val="1"/>
                <w:color w:val="auto"/>
              </w:rPr>
              <w:t>(6)</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Affinion Group Holdings, Inc. (Warrants)</w:t>
            </w:r>
            <w:r>
              <w:rPr>
                <w:rFonts w:ascii="Arial" w:cs="Arial" w:eastAsia="Arial" w:hAnsi="Arial"/>
                <w:sz w:val="9"/>
                <w:szCs w:val="9"/>
                <w:color w:val="auto"/>
              </w:rPr>
              <w:t>(7)</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04/10/2024</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Consumer Goods: Durable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8,893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244,998</w:t>
            </w:r>
          </w:p>
        </w:tc>
        <w:tc>
          <w:tcPr>
            <w:tcW w:w="24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AG Investco LP </w:t>
            </w:r>
            <w:r>
              <w:rPr>
                <w:rFonts w:ascii="Arial" w:cs="Arial" w:eastAsia="Arial" w:hAnsi="Arial"/>
                <w:sz w:val="9"/>
                <w:szCs w:val="9"/>
                <w:color w:val="auto"/>
              </w:rPr>
              <w:t>(7), (8)</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Software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805,164</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805,164</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1,107,840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AG Investco LP </w:t>
            </w:r>
            <w:r>
              <w:rPr>
                <w:rFonts w:ascii="Arial" w:cs="Arial" w:eastAsia="Arial" w:hAnsi="Arial"/>
                <w:sz w:val="9"/>
                <w:szCs w:val="9"/>
                <w:color w:val="auto"/>
              </w:rPr>
              <w:t>(7), (8), (9)</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Software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194,836</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Altamira Intermediate Company II, Inc. </w:t>
            </w:r>
            <w:r>
              <w:rPr>
                <w:rFonts w:ascii="Arial" w:cs="Arial" w:eastAsia="Arial" w:hAnsi="Arial"/>
                <w:sz w:val="9"/>
                <w:szCs w:val="9"/>
                <w:color w:val="auto"/>
              </w:rPr>
              <w:t>(7)</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1,437,500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1,437,500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916,082</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By Light Investco LP </w:t>
            </w:r>
            <w:r>
              <w:rPr>
                <w:rFonts w:ascii="Arial" w:cs="Arial" w:eastAsia="Arial" w:hAnsi="Arial"/>
                <w:sz w:val="9"/>
                <w:szCs w:val="9"/>
                <w:color w:val="auto"/>
              </w:rPr>
              <w:t>(7), (8)</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21,908</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2,172,391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11,788,322</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By Light Investco LP </w:t>
            </w:r>
            <w:r>
              <w:rPr>
                <w:rFonts w:ascii="Arial" w:cs="Arial" w:eastAsia="Arial" w:hAnsi="Arial"/>
                <w:sz w:val="9"/>
                <w:szCs w:val="9"/>
                <w:color w:val="auto"/>
              </w:rPr>
              <w:t>(7), (8), (9)</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7,401</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CI (Allied) Investment Holdings, LLC</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120,962</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1,243,217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272,538</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(Allied America, Inc.) </w:t>
            </w:r>
            <w:r>
              <w:rPr>
                <w:rFonts w:ascii="Arial" w:cs="Arial" w:eastAsia="Arial" w:hAnsi="Arial"/>
                <w:sz w:val="9"/>
                <w:szCs w:val="9"/>
                <w:color w:val="auto"/>
              </w:rPr>
              <w:t>(7), (8)</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CI (PTN) Investment Holdings II, LLC</w:t>
            </w:r>
          </w:p>
        </w:tc>
        <w:tc>
          <w:tcPr>
            <w:tcW w:w="14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13,333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200,000</w:t>
            </w:r>
          </w:p>
        </w:tc>
        <w:tc>
          <w:tcPr>
            <w:tcW w:w="2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1"/>
        </w:trPr>
        <w:tc>
          <w:tcPr>
            <w:tcW w:w="3360" w:type="dxa"/>
            <w:vAlign w:val="bottom"/>
          </w:tcPr>
          <w:p>
            <w:pPr>
              <w:ind w:left="140"/>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9"/>
                <w:szCs w:val="9"/>
                <w:color w:val="auto"/>
              </w:rPr>
              <w:t>(7), (8)</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CI (Summit) Investment Holdings, LLC</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Construction and Building</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64,262</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696,296</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1,012,070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(SFP Holding, Inc.)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DBI Holding, LLC, Series B </w:t>
            </w:r>
            <w:r>
              <w:rPr>
                <w:rFonts w:ascii="Arial" w:cs="Arial" w:eastAsia="Arial" w:hAnsi="Arial"/>
                <w:sz w:val="9"/>
                <w:szCs w:val="9"/>
                <w:color w:val="auto"/>
              </w:rPr>
              <w:t>(8)</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1,489,508</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330,791</w:t>
            </w:r>
          </w:p>
        </w:tc>
        <w:tc>
          <w:tcPr>
            <w:tcW w:w="2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DecoPac Holdings Inc.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1,633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1,632,744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2,048,637</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Delta InvestCo LP (Sigma Defense Systems, LLC) </w:t>
            </w:r>
            <w:r>
              <w:rPr>
                <w:rFonts w:ascii="Arial" w:cs="Arial" w:eastAsia="Arial" w:hAnsi="Arial"/>
                <w:sz w:val="9"/>
                <w:szCs w:val="9"/>
                <w:color w:val="auto"/>
              </w:rPr>
              <w:t>(7), (8)</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502,435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502,435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516,972</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Delta InvestCo LP (Sigma Defense Systems, LLC) </w:t>
            </w:r>
            <w:r>
              <w:rPr>
                <w:rFonts w:ascii="Arial" w:cs="Arial" w:eastAsia="Arial" w:hAnsi="Arial"/>
                <w:sz w:val="9"/>
                <w:szCs w:val="9"/>
                <w:color w:val="auto"/>
              </w:rPr>
              <w:t>(7), (8)</w:t>
            </w:r>
            <w:r>
              <w:rPr>
                <w:rFonts w:ascii="Arial" w:cs="Arial" w:eastAsia="Arial" w:hAnsi="Arial"/>
                <w:sz w:val="11"/>
                <w:szCs w:val="11"/>
                <w:color w:val="auto"/>
              </w:rPr>
              <w:t xml:space="preserve">, </w:t>
            </w:r>
            <w:r>
              <w:rPr>
                <w:rFonts w:ascii="Arial" w:cs="Arial" w:eastAsia="Arial" w:hAnsi="Arial"/>
                <w:sz w:val="9"/>
                <w:szCs w:val="9"/>
                <w:color w:val="auto"/>
              </w:rPr>
              <w:t>(9)</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502,435</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ECM Investors, LLC </w:t>
            </w:r>
            <w:r>
              <w:rPr>
                <w:rFonts w:ascii="Arial" w:cs="Arial" w:eastAsia="Arial" w:hAnsi="Arial"/>
                <w:sz w:val="9"/>
                <w:szCs w:val="9"/>
                <w:color w:val="auto"/>
              </w:rPr>
              <w:t>(7), (8)</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295,982</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295,982</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772,638</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eCommission Holding Corporation </w:t>
            </w:r>
            <w:r>
              <w:rPr>
                <w:rFonts w:ascii="Arial" w:cs="Arial" w:eastAsia="Arial" w:hAnsi="Arial"/>
                <w:sz w:val="9"/>
                <w:szCs w:val="9"/>
                <w:color w:val="auto"/>
              </w:rPr>
              <w:t>(7), (10)</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Banking, Finance, Insurance &amp; Real Estate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251,156</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206,899</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Faraday Holdings, LLC </w:t>
            </w:r>
            <w:r>
              <w:rPr>
                <w:rFonts w:ascii="Arial" w:cs="Arial" w:eastAsia="Arial" w:hAnsi="Arial"/>
                <w:sz w:val="9"/>
                <w:szCs w:val="9"/>
                <w:color w:val="auto"/>
              </w:rPr>
              <w:t>(7)</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Construction and Building</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1,141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58,044</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390,247</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Gauge InfosoftCoInvest, LLC</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Media: Broadcasting and Subscription</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143,663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1,431,530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(The Infosoft Group, LLC)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Gauge Lash Coinvest LLC </w:t>
            </w:r>
            <w:r>
              <w:rPr>
                <w:rFonts w:ascii="Arial" w:cs="Arial" w:eastAsia="Arial" w:hAnsi="Arial"/>
                <w:sz w:val="9"/>
                <w:szCs w:val="9"/>
                <w:color w:val="auto"/>
              </w:rPr>
              <w:t>(7)</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Personal Products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1,485,953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1,760,670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2,788,836</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Gauge Schlesinger Coinvest LLC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437</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437,371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317,617</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Gauge TVC Coinvest, LLC (TVC Enterprises, LLC) </w:t>
            </w:r>
            <w:r>
              <w:rPr>
                <w:rFonts w:ascii="Arial" w:cs="Arial" w:eastAsia="Arial" w:hAnsi="Arial"/>
                <w:sz w:val="9"/>
                <w:szCs w:val="9"/>
                <w:color w:val="auto"/>
              </w:rPr>
              <w:t>(7)</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391,144</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741,470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GCOM InvestCo LP </w:t>
            </w:r>
            <w:r>
              <w:rPr>
                <w:rFonts w:ascii="Arial" w:cs="Arial" w:eastAsia="Arial" w:hAnsi="Arial"/>
                <w:sz w:val="9"/>
                <w:szCs w:val="9"/>
                <w:color w:val="auto"/>
              </w:rPr>
              <w:t>(7), (8)</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1,722,632</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1,596,634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3,570,631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GCOM InvestCo LP </w:t>
            </w:r>
            <w:r>
              <w:rPr>
                <w:rFonts w:ascii="Arial" w:cs="Arial" w:eastAsia="Arial" w:hAnsi="Arial"/>
                <w:sz w:val="9"/>
                <w:szCs w:val="9"/>
                <w:color w:val="auto"/>
              </w:rPr>
              <w:t>(7), (8), (9)</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277,368</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Go Dawgs Capital III, LP</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Building Products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324,675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324,675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415,585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9"/>
                <w:szCs w:val="9"/>
                <w:color w:val="auto"/>
              </w:rPr>
              <w:t>(7), (8)</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Hancock Claims Consultants Investors, LLC </w:t>
            </w:r>
            <w:r>
              <w:rPr>
                <w:rFonts w:ascii="Arial" w:cs="Arial" w:eastAsia="Arial" w:hAnsi="Arial"/>
                <w:sz w:val="9"/>
                <w:szCs w:val="9"/>
                <w:color w:val="auto"/>
              </w:rPr>
              <w:t>(7), (8)</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Insurance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450,000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450,000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494,750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IIN Group Holdings, LLC</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Consumer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1,519,888</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(Integrative Nutrition, LLC) </w:t>
            </w:r>
            <w:r>
              <w:rPr>
                <w:rFonts w:ascii="Arial" w:cs="Arial" w:eastAsia="Arial" w:hAnsi="Arial"/>
                <w:sz w:val="9"/>
                <w:szCs w:val="9"/>
                <w:color w:val="auto"/>
              </w:rPr>
              <w:t>(7), (8)</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Ironclad Holdco, LLC (Applied Technical Services, LLC) </w:t>
            </w:r>
            <w:r>
              <w:rPr>
                <w:rFonts w:ascii="Arial" w:cs="Arial" w:eastAsia="Arial" w:hAnsi="Arial"/>
                <w:sz w:val="9"/>
                <w:szCs w:val="9"/>
                <w:color w:val="auto"/>
              </w:rPr>
              <w:t>(7), (8)</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Commercial Services &amp; Supplies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5,040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504,000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534,838</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ITC Rumba, LLC (Cano Health, LLC)</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46,763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431,039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9,082,822</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JWC/UMA Holdings, L.P. </w:t>
            </w:r>
            <w:r>
              <w:rPr>
                <w:rFonts w:ascii="Arial" w:cs="Arial" w:eastAsia="Arial" w:hAnsi="Arial"/>
                <w:sz w:val="9"/>
                <w:szCs w:val="9"/>
                <w:color w:val="auto"/>
              </w:rPr>
              <w:t>(7)</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1,000,000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1,609,637</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JWC-WE Holdings, L.P.</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Wholesale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1,381,741</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1,381,741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12,135,981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(Walker Edison Furniture Company LLC) </w:t>
            </w:r>
            <w:r>
              <w:rPr>
                <w:rFonts w:ascii="Arial" w:cs="Arial" w:eastAsia="Arial" w:hAnsi="Arial"/>
                <w:sz w:val="9"/>
                <w:szCs w:val="9"/>
                <w:color w:val="auto"/>
              </w:rPr>
              <w:t>(7), (8)</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40"/>
        </w:trPr>
        <w:tc>
          <w:tcPr>
            <w:tcW w:w="3360" w:type="dxa"/>
            <w:vAlign w:val="bottom"/>
          </w:tcPr>
          <w:p>
            <w:pPr>
              <w:spacing w:after="0"/>
              <w:rPr>
                <w:sz w:val="20"/>
                <w:szCs w:val="20"/>
                <w:color w:val="auto"/>
              </w:rPr>
            </w:pPr>
            <w:r>
              <w:rPr>
                <w:rFonts w:ascii="Arial" w:cs="Arial" w:eastAsia="Arial" w:hAnsi="Arial"/>
                <w:sz w:val="11"/>
                <w:szCs w:val="11"/>
                <w:color w:val="auto"/>
              </w:rPr>
              <w:t xml:space="preserve">Kentucky Racing Holdco, LLC (Warrants) </w:t>
            </w:r>
            <w:r>
              <w:rPr>
                <w:rFonts w:ascii="Arial" w:cs="Arial" w:eastAsia="Arial" w:hAnsi="Arial"/>
                <w:sz w:val="9"/>
                <w:szCs w:val="9"/>
                <w:color w:val="auto"/>
              </w:rPr>
              <w:t>(7), (8)</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Hotels, Restaurants and Leisure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87,345</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369,331</w:t>
            </w:r>
          </w:p>
        </w:tc>
        <w:tc>
          <w:tcPr>
            <w:tcW w:w="120" w:type="dxa"/>
            <w:vAlign w:val="bottom"/>
          </w:tcPr>
          <w:p>
            <w:pPr>
              <w:spacing w:after="0"/>
              <w:rPr>
                <w:sz w:val="12"/>
                <w:szCs w:val="12"/>
                <w:color w:val="auto"/>
              </w:rPr>
            </w:pP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Basis Point</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5"/>
              </w:rPr>
              <w:t>Spread</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300"/>
              <w:spacing w:after="0" w:line="122" w:lineRule="exact"/>
              <w:rPr>
                <w:sz w:val="20"/>
                <w:szCs w:val="20"/>
                <w:color w:val="auto"/>
              </w:rPr>
            </w:pPr>
            <w:r>
              <w:rPr>
                <w:rFonts w:ascii="Arial" w:cs="Arial" w:eastAsia="Arial" w:hAnsi="Arial"/>
                <w:sz w:val="11"/>
                <w:szCs w:val="11"/>
                <w:b w:val="1"/>
                <w:bCs w:val="1"/>
                <w:color w:val="auto"/>
              </w:rPr>
              <w:t>Current</w:t>
            </w: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3"/>
              </w:rPr>
              <w:t>Above</w:t>
            </w:r>
          </w:p>
        </w:tc>
        <w:tc>
          <w:tcPr>
            <w:tcW w:w="66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Maturity</w:t>
            </w:r>
          </w:p>
        </w:tc>
        <w:tc>
          <w:tcPr>
            <w:tcW w:w="240" w:type="dxa"/>
            <w:vAlign w:val="bottom"/>
            <w:tcBorders>
              <w:bottom w:val="single" w:sz="8" w:color="CCECFF"/>
            </w:tcBorders>
          </w:tcPr>
          <w:p>
            <w:pPr>
              <w:spacing w:after="0"/>
              <w:rPr>
                <w:sz w:val="11"/>
                <w:szCs w:val="11"/>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Coupon</w:t>
            </w: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Cost</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89"/>
              </w:rPr>
              <w:t xml:space="preserve">Fair Value </w:t>
            </w:r>
            <w:r>
              <w:rPr>
                <w:rFonts w:ascii="Arial" w:cs="Arial" w:eastAsia="Arial" w:hAnsi="Arial"/>
                <w:sz w:val="9"/>
                <w:szCs w:val="9"/>
                <w:b w:val="1"/>
                <w:bCs w:val="1"/>
                <w:color w:val="auto"/>
                <w:w w:val="89"/>
              </w:rPr>
              <w:t>(2)</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 xml:space="preserve">Lightspeed Investment Holdco LLC </w:t>
            </w:r>
            <w:r>
              <w:rPr>
                <w:rFonts w:ascii="Arial" w:cs="Arial" w:eastAsia="Arial" w:hAnsi="Arial"/>
                <w:sz w:val="9"/>
                <w:szCs w:val="9"/>
                <w:color w:val="auto"/>
              </w:rPr>
              <w:t>(7)</w:t>
            </w: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Technology</w:t>
            </w:r>
          </w:p>
        </w:tc>
        <w:tc>
          <w:tcPr>
            <w:tcW w:w="82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585,587</w:t>
            </w:r>
          </w:p>
        </w:tc>
        <w:tc>
          <w:tcPr>
            <w:tcW w:w="32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585,587</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721,685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tcPr>
          <w:p>
            <w:pPr>
              <w:spacing w:after="0"/>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9"/>
                <w:szCs w:val="9"/>
                <w:color w:val="auto"/>
              </w:rPr>
              <w:t>(7), (8)</w:t>
            </w: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tcPr>
          <w:p>
            <w:pPr>
              <w:jc w:val="center"/>
              <w:ind w:right="140"/>
              <w:spacing w:after="0"/>
              <w:rPr>
                <w:sz w:val="20"/>
                <w:szCs w:val="20"/>
                <w:color w:val="auto"/>
              </w:rPr>
            </w:pPr>
            <w:r>
              <w:rPr>
                <w:rFonts w:ascii="Arial" w:cs="Arial" w:eastAsia="Arial" w:hAnsi="Arial"/>
                <w:sz w:val="11"/>
                <w:szCs w:val="11"/>
                <w:color w:val="auto"/>
                <w:w w:val="93"/>
              </w:rPr>
              <w:t>Media</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960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MSpark, LLC</w:t>
            </w: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Media: Advertising, Printing and Publishing</w:t>
            </w:r>
          </w:p>
        </w:tc>
        <w:tc>
          <w:tcPr>
            <w:tcW w:w="82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3,988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1,287,502</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1,395,413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tcPr>
          <w:p>
            <w:pPr>
              <w:spacing w:after="0"/>
              <w:rPr>
                <w:sz w:val="20"/>
                <w:szCs w:val="20"/>
                <w:color w:val="auto"/>
              </w:rPr>
            </w:pPr>
            <w:r>
              <w:rPr>
                <w:rFonts w:ascii="Arial" w:cs="Arial" w:eastAsia="Arial" w:hAnsi="Arial"/>
                <w:sz w:val="11"/>
                <w:szCs w:val="11"/>
                <w:color w:val="auto"/>
              </w:rPr>
              <w:t xml:space="preserve">NEPRT Parent Holdings, LLC (Recteq, LLC) </w:t>
            </w:r>
            <w:r>
              <w:rPr>
                <w:rFonts w:ascii="Arial" w:cs="Arial" w:eastAsia="Arial" w:hAnsi="Arial"/>
                <w:sz w:val="9"/>
                <w:szCs w:val="9"/>
                <w:color w:val="auto"/>
              </w:rPr>
              <w:t>(7), (8)</w:t>
            </w: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Leisure Products</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1,494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1,493,506</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1,544,031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 xml:space="preserve">NXOF Holdings, Inc. (NextiraOne Federal, LLC) </w:t>
            </w:r>
            <w:r>
              <w:rPr>
                <w:rFonts w:ascii="Arial" w:cs="Arial" w:eastAsia="Arial" w:hAnsi="Arial"/>
                <w:sz w:val="9"/>
                <w:szCs w:val="9"/>
                <w:color w:val="auto"/>
              </w:rPr>
              <w:t>(7)</w:t>
            </w: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14,960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14,960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116,284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440" w:type="dxa"/>
            <w:vAlign w:val="bottom"/>
            <w:gridSpan w:val="3"/>
          </w:tcPr>
          <w:p>
            <w:pPr>
              <w:spacing w:after="0"/>
              <w:rPr>
                <w:sz w:val="20"/>
                <w:szCs w:val="20"/>
                <w:color w:val="auto"/>
              </w:rPr>
            </w:pPr>
            <w:r>
              <w:rPr>
                <w:rFonts w:ascii="Arial" w:cs="Arial" w:eastAsia="Arial" w:hAnsi="Arial"/>
                <w:sz w:val="11"/>
                <w:szCs w:val="11"/>
                <w:color w:val="auto"/>
                <w:w w:val="96"/>
              </w:rPr>
              <w:t xml:space="preserve">OceanSound Discovery Equity, LP (Holdco Sands Intermediate, LLC) </w:t>
            </w:r>
            <w:r>
              <w:rPr>
                <w:rFonts w:ascii="Arial" w:cs="Arial" w:eastAsia="Arial" w:hAnsi="Arial"/>
                <w:sz w:val="9"/>
                <w:szCs w:val="9"/>
                <w:color w:val="auto"/>
                <w:w w:val="96"/>
              </w:rPr>
              <w:t>(7),</w:t>
            </w: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173,638</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1,736,381</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1,689,101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940" w:type="dxa"/>
            <w:vAlign w:val="bottom"/>
          </w:tcPr>
          <w:p>
            <w:pPr>
              <w:spacing w:after="0"/>
              <w:rPr>
                <w:sz w:val="20"/>
                <w:szCs w:val="20"/>
                <w:color w:val="auto"/>
              </w:rPr>
            </w:pPr>
            <w:r>
              <w:rPr>
                <w:rFonts w:ascii="Arial" w:cs="Arial" w:eastAsia="Arial" w:hAnsi="Arial"/>
                <w:sz w:val="9"/>
                <w:szCs w:val="9"/>
                <w:color w:val="auto"/>
              </w:rPr>
              <w:t>(8)</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9"/>
                <w:szCs w:val="9"/>
                <w:color w:val="auto"/>
              </w:rPr>
              <w:t>(7)</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and Pharmaceuticals</w:t>
            </w:r>
          </w:p>
        </w:tc>
        <w:tc>
          <w:tcPr>
            <w:tcW w:w="6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293,560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1,399,560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tcPr>
          <w:p>
            <w:pPr>
              <w:spacing w:after="0"/>
              <w:rPr>
                <w:sz w:val="20"/>
                <w:szCs w:val="20"/>
                <w:color w:val="auto"/>
              </w:rPr>
            </w:pPr>
            <w:r>
              <w:rPr>
                <w:rFonts w:ascii="Arial" w:cs="Arial" w:eastAsia="Arial" w:hAnsi="Arial"/>
                <w:sz w:val="11"/>
                <w:szCs w:val="11"/>
                <w:color w:val="auto"/>
              </w:rPr>
              <w:t xml:space="preserve">QuantiTech InvestCo LP </w:t>
            </w:r>
            <w:r>
              <w:rPr>
                <w:rFonts w:ascii="Arial" w:cs="Arial" w:eastAsia="Arial" w:hAnsi="Arial"/>
                <w:sz w:val="9"/>
                <w:szCs w:val="9"/>
                <w:color w:val="auto"/>
              </w:rPr>
              <w:t>(7), (8)</w:t>
            </w: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65,957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424,767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 xml:space="preserve">QuantiTech InvestCo LP </w:t>
            </w:r>
            <w:r>
              <w:rPr>
                <w:rFonts w:ascii="Arial" w:cs="Arial" w:eastAsia="Arial" w:hAnsi="Arial"/>
                <w:sz w:val="9"/>
                <w:szCs w:val="9"/>
                <w:color w:val="auto"/>
              </w:rPr>
              <w:t>(7), (8), (9)</w:t>
            </w: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440" w:type="dxa"/>
            <w:vAlign w:val="bottom"/>
            <w:gridSpan w:val="3"/>
          </w:tcPr>
          <w:p>
            <w:pPr>
              <w:spacing w:after="0"/>
              <w:rPr>
                <w:sz w:val="20"/>
                <w:szCs w:val="20"/>
                <w:color w:val="auto"/>
              </w:rPr>
            </w:pPr>
            <w:r>
              <w:rPr>
                <w:rFonts w:ascii="Arial" w:cs="Arial" w:eastAsia="Arial" w:hAnsi="Arial"/>
                <w:sz w:val="11"/>
                <w:szCs w:val="11"/>
                <w:color w:val="auto"/>
              </w:rPr>
              <w:t xml:space="preserve">QuantiTech InvestCo II LP </w:t>
            </w:r>
            <w:r>
              <w:rPr>
                <w:rFonts w:ascii="Arial" w:cs="Arial" w:eastAsia="Arial" w:hAnsi="Arial"/>
                <w:sz w:val="9"/>
                <w:szCs w:val="9"/>
                <w:color w:val="auto"/>
              </w:rPr>
              <w:t>(7), (8),</w:t>
            </w: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24,000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24,000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 xml:space="preserve">RFMG Parent, LP </w:t>
            </w:r>
            <w:r>
              <w:rPr>
                <w:rFonts w:ascii="Arial" w:cs="Arial" w:eastAsia="Arial" w:hAnsi="Arial"/>
                <w:sz w:val="9"/>
                <w:szCs w:val="9"/>
                <w:color w:val="auto"/>
              </w:rPr>
              <w:t>(7)</w:t>
            </w: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Equipment and Supplies</w:t>
            </w:r>
          </w:p>
        </w:tc>
        <w:tc>
          <w:tcPr>
            <w:tcW w:w="82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1,050,000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1,050,000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1,050,000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tcPr>
          <w:p>
            <w:pPr>
              <w:spacing w:after="0"/>
              <w:rPr>
                <w:sz w:val="20"/>
                <w:szCs w:val="20"/>
                <w:color w:val="auto"/>
              </w:rPr>
            </w:pPr>
            <w:r>
              <w:rPr>
                <w:rFonts w:ascii="Arial" w:cs="Arial" w:eastAsia="Arial" w:hAnsi="Arial"/>
                <w:sz w:val="11"/>
                <w:szCs w:val="11"/>
                <w:color w:val="auto"/>
              </w:rPr>
              <w:t xml:space="preserve">SBI Holdings Investments LLC (Sales Benchmark Index LLC) </w:t>
            </w:r>
            <w:r>
              <w:rPr>
                <w:rFonts w:ascii="Arial" w:cs="Arial" w:eastAsia="Arial" w:hAnsi="Arial"/>
                <w:sz w:val="9"/>
                <w:szCs w:val="9"/>
                <w:color w:val="auto"/>
              </w:rPr>
              <w:t>(7), (8)</w:t>
            </w: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Professional Services</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64,634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646,341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277,009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 xml:space="preserve">Signature CR Intermediate Holdco, Inc. </w:t>
            </w:r>
            <w:r>
              <w:rPr>
                <w:rFonts w:ascii="Arial" w:cs="Arial" w:eastAsia="Arial" w:hAnsi="Arial"/>
                <w:sz w:val="9"/>
                <w:szCs w:val="9"/>
                <w:color w:val="auto"/>
              </w:rPr>
              <w:t>(7)</w:t>
            </w: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Commercial Services &amp; Supplies</w:t>
            </w:r>
          </w:p>
        </w:tc>
        <w:tc>
          <w:tcPr>
            <w:tcW w:w="82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69,654</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3440" w:type="dxa"/>
            <w:vAlign w:val="bottom"/>
            <w:gridSpan w:val="3"/>
          </w:tcPr>
          <w:p>
            <w:pPr>
              <w:spacing w:after="0"/>
              <w:rPr>
                <w:sz w:val="20"/>
                <w:szCs w:val="20"/>
                <w:color w:val="auto"/>
              </w:rPr>
            </w:pPr>
            <w:r>
              <w:rPr>
                <w:rFonts w:ascii="Arial" w:cs="Arial" w:eastAsia="Arial" w:hAnsi="Arial"/>
                <w:sz w:val="11"/>
                <w:szCs w:val="11"/>
                <w:color w:val="auto"/>
              </w:rPr>
              <w:t>SSC Dominion Holdings, LLC</w:t>
            </w: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Capital Equipment</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500,000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583,200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440" w:type="dxa"/>
            <w:vAlign w:val="bottom"/>
            <w:gridSpan w:val="3"/>
          </w:tcPr>
          <w:p>
            <w:pPr>
              <w:ind w:left="140"/>
              <w:spacing w:after="0"/>
              <w:rPr>
                <w:sz w:val="20"/>
                <w:szCs w:val="20"/>
                <w:color w:val="auto"/>
              </w:rPr>
            </w:pPr>
            <w:r>
              <w:rPr>
                <w:rFonts w:ascii="Arial" w:cs="Arial" w:eastAsia="Arial" w:hAnsi="Arial"/>
                <w:sz w:val="11"/>
                <w:szCs w:val="11"/>
                <w:color w:val="auto"/>
              </w:rPr>
              <w:t xml:space="preserve">Class A (US Dominion, Inc.) </w:t>
            </w:r>
            <w:r>
              <w:rPr>
                <w:rFonts w:ascii="Arial" w:cs="Arial" w:eastAsia="Arial" w:hAnsi="Arial"/>
                <w:sz w:val="9"/>
                <w:szCs w:val="9"/>
                <w:color w:val="auto"/>
              </w:rPr>
              <w:t>(7)</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SSC Dominion Holdings, LLC</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Capital Equipment</w:t>
            </w:r>
          </w:p>
        </w:tc>
        <w:tc>
          <w:tcPr>
            <w:tcW w:w="82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1,649,908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gridSpan w:val="2"/>
            <w:shd w:val="clear" w:color="auto" w:fill="CCECFF"/>
          </w:tcPr>
          <w:p>
            <w:pPr>
              <w:ind w:left="140"/>
              <w:spacing w:after="0"/>
              <w:rPr>
                <w:sz w:val="20"/>
                <w:szCs w:val="20"/>
                <w:color w:val="auto"/>
              </w:rPr>
            </w:pPr>
            <w:r>
              <w:rPr>
                <w:rFonts w:ascii="Arial" w:cs="Arial" w:eastAsia="Arial" w:hAnsi="Arial"/>
                <w:sz w:val="11"/>
                <w:szCs w:val="11"/>
                <w:color w:val="auto"/>
              </w:rPr>
              <w:t xml:space="preserve">Class B (US Dominion, Inc.) </w:t>
            </w:r>
            <w:r>
              <w:rPr>
                <w:rFonts w:ascii="Arial" w:cs="Arial" w:eastAsia="Arial" w:hAnsi="Arial"/>
                <w:sz w:val="9"/>
                <w:szCs w:val="9"/>
                <w:color w:val="auto"/>
              </w:rPr>
              <w:t>(7)</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tcPr>
          <w:p>
            <w:pPr>
              <w:ind w:left="140"/>
              <w:spacing w:after="0"/>
              <w:rPr>
                <w:sz w:val="20"/>
                <w:szCs w:val="20"/>
                <w:color w:val="auto"/>
              </w:rPr>
            </w:pPr>
            <w:r>
              <w:rPr>
                <w:rFonts w:ascii="Arial" w:cs="Arial" w:eastAsia="Arial" w:hAnsi="Arial"/>
                <w:sz w:val="11"/>
                <w:szCs w:val="11"/>
                <w:color w:val="auto"/>
              </w:rPr>
              <w:t>TAC LifePort Holdings, LLC</w:t>
            </w: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488,372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488,372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489,119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9"/>
                <w:szCs w:val="9"/>
                <w:color w:val="auto"/>
              </w:rPr>
              <w:t>(5), (7), (10)</w:t>
            </w: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Food Products</w:t>
            </w:r>
          </w:p>
        </w:tc>
        <w:tc>
          <w:tcPr>
            <w:tcW w:w="82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21,527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21,527</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183,409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tcPr>
          <w:p>
            <w:pPr>
              <w:spacing w:after="0"/>
              <w:rPr>
                <w:sz w:val="20"/>
                <w:szCs w:val="20"/>
                <w:color w:val="auto"/>
              </w:rPr>
            </w:pPr>
            <w:r>
              <w:rPr>
                <w:rFonts w:ascii="Arial" w:cs="Arial" w:eastAsia="Arial" w:hAnsi="Arial"/>
                <w:sz w:val="11"/>
                <w:szCs w:val="11"/>
                <w:color w:val="auto"/>
              </w:rPr>
              <w:t xml:space="preserve">UniTek Global Services, Inc. </w:t>
            </w:r>
            <w:r>
              <w:rPr>
                <w:rFonts w:ascii="Arial" w:cs="Arial" w:eastAsia="Arial" w:hAnsi="Arial"/>
                <w:sz w:val="9"/>
                <w:szCs w:val="9"/>
                <w:color w:val="auto"/>
              </w:rPr>
              <w:t>(7)</w:t>
            </w: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213,739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 xml:space="preserve">UniTek Global Services, Inc. (Warrants) </w:t>
            </w:r>
            <w:r>
              <w:rPr>
                <w:rFonts w:ascii="Arial" w:cs="Arial" w:eastAsia="Arial" w:hAnsi="Arial"/>
                <w:sz w:val="9"/>
                <w:szCs w:val="9"/>
                <w:color w:val="auto"/>
              </w:rPr>
              <w:t>(7)</w:t>
            </w: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82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23,889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440" w:type="dxa"/>
            <w:vAlign w:val="bottom"/>
            <w:gridSpan w:val="3"/>
          </w:tcPr>
          <w:p>
            <w:pPr>
              <w:spacing w:after="0"/>
              <w:rPr>
                <w:sz w:val="20"/>
                <w:szCs w:val="20"/>
                <w:color w:val="auto"/>
              </w:rPr>
            </w:pPr>
            <w:r>
              <w:rPr>
                <w:rFonts w:ascii="Arial" w:cs="Arial" w:eastAsia="Arial" w:hAnsi="Arial"/>
                <w:sz w:val="11"/>
                <w:szCs w:val="11"/>
                <w:color w:val="auto"/>
              </w:rPr>
              <w:t xml:space="preserve">WBB Equity, LLC </w:t>
            </w:r>
            <w:r>
              <w:rPr>
                <w:rFonts w:ascii="Arial" w:cs="Arial" w:eastAsia="Arial" w:hAnsi="Arial"/>
                <w:sz w:val="9"/>
                <w:szCs w:val="9"/>
                <w:color w:val="auto"/>
              </w:rPr>
              <w:t>(7), (8)</w:t>
            </w: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142,857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142,857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890,000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 xml:space="preserve">Wildcat Parent, LP (Wildcat Buyerco, Inc.) </w:t>
            </w:r>
            <w:r>
              <w:rPr>
                <w:rFonts w:ascii="Arial" w:cs="Arial" w:eastAsia="Arial" w:hAnsi="Arial"/>
                <w:sz w:val="9"/>
                <w:szCs w:val="9"/>
                <w:color w:val="auto"/>
              </w:rPr>
              <w:t>(7), (8)</w:t>
            </w: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Electronic Equipment, Instruments, and Components</w:t>
            </w:r>
          </w:p>
        </w:tc>
        <w:tc>
          <w:tcPr>
            <w:tcW w:w="82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2,240</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223,997</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331,516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b w:val="1"/>
                <w:bCs w:val="1"/>
                <w:color w:val="auto"/>
              </w:rPr>
              <w:t>Total Common Equity/Warrants</w:t>
            </w:r>
          </w:p>
        </w:tc>
        <w:tc>
          <w:tcPr>
            <w:tcW w:w="52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3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27,544,712</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66,814,163</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w w:val="90"/>
              </w:rPr>
              <w:t>Total Investments in Non-Controlled, Non-Affiliated Portfolio Companies</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835,250,686</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866,861,275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200" w:type="dxa"/>
            <w:vAlign w:val="bottom"/>
            <w:gridSpan w:val="5"/>
          </w:tcPr>
          <w:p>
            <w:pPr>
              <w:spacing w:after="0"/>
              <w:rPr>
                <w:sz w:val="20"/>
                <w:szCs w:val="20"/>
                <w:color w:val="auto"/>
              </w:rPr>
            </w:pPr>
            <w:r>
              <w:rPr>
                <w:rFonts w:ascii="Arial" w:cs="Arial" w:eastAsia="Arial" w:hAnsi="Arial"/>
                <w:sz w:val="11"/>
                <w:szCs w:val="11"/>
                <w:b w:val="1"/>
                <w:bCs w:val="1"/>
                <w:color w:val="auto"/>
              </w:rPr>
              <w:t xml:space="preserve">Investments in Non-Controlled, Affiliated Portfolio Companies—1.4% </w:t>
            </w:r>
            <w:r>
              <w:rPr>
                <w:rFonts w:ascii="Arial" w:cs="Arial" w:eastAsia="Arial" w:hAnsi="Arial"/>
                <w:sz w:val="9"/>
                <w:szCs w:val="9"/>
                <w:b w:val="1"/>
                <w:bCs w:val="1"/>
                <w:color w:val="auto"/>
              </w:rPr>
              <w:t>(3), (4)</w:t>
            </w: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First Lien Secured Debt—1.4%</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tcPr>
          <w:p>
            <w:pPr>
              <w:spacing w:after="0"/>
              <w:rPr>
                <w:sz w:val="20"/>
                <w:szCs w:val="20"/>
                <w:color w:val="auto"/>
              </w:rPr>
            </w:pPr>
            <w:r>
              <w:rPr>
                <w:rFonts w:ascii="Arial" w:cs="Arial" w:eastAsia="Arial" w:hAnsi="Arial"/>
                <w:sz w:val="11"/>
                <w:szCs w:val="11"/>
                <w:color w:val="auto"/>
              </w:rPr>
              <w:t xml:space="preserve">Country Fresh Holdings, LLC - DIP Facility </w:t>
            </w:r>
            <w:r>
              <w:rPr>
                <w:rFonts w:ascii="Arial" w:cs="Arial" w:eastAsia="Arial" w:hAnsi="Arial"/>
                <w:sz w:val="9"/>
                <w:szCs w:val="9"/>
                <w:color w:val="auto"/>
              </w:rPr>
              <w:t>(7)</w:t>
            </w:r>
          </w:p>
        </w:tc>
        <w:tc>
          <w:tcPr>
            <w:tcW w:w="520" w:type="dxa"/>
            <w:vAlign w:val="bottom"/>
          </w:tcPr>
          <w:p>
            <w:pPr>
              <w:spacing w:after="0"/>
              <w:rPr>
                <w:sz w:val="20"/>
                <w:szCs w:val="20"/>
                <w:color w:val="auto"/>
              </w:rPr>
            </w:pPr>
            <w:r>
              <w:rPr>
                <w:rFonts w:ascii="Arial" w:cs="Arial" w:eastAsia="Arial" w:hAnsi="Arial"/>
                <w:sz w:val="11"/>
                <w:szCs w:val="11"/>
                <w:color w:val="auto"/>
                <w:w w:val="90"/>
              </w:rPr>
              <w:t>06/16/2021</w:t>
            </w:r>
          </w:p>
        </w:tc>
        <w:tc>
          <w:tcPr>
            <w:tcW w:w="240" w:type="dxa"/>
            <w:vAlign w:val="bottom"/>
          </w:tcPr>
          <w:p>
            <w:pPr>
              <w:spacing w:after="0"/>
              <w:rPr>
                <w:sz w:val="11"/>
                <w:szCs w:val="11"/>
                <w:color w:val="auto"/>
              </w:rPr>
            </w:pPr>
          </w:p>
        </w:tc>
        <w:tc>
          <w:tcPr>
            <w:tcW w:w="2460" w:type="dxa"/>
            <w:vAlign w:val="bottom"/>
            <w:gridSpan w:val="2"/>
          </w:tcPr>
          <w:p>
            <w:pPr>
              <w:jc w:val="center"/>
              <w:ind w:right="140"/>
              <w:spacing w:after="0"/>
              <w:rPr>
                <w:sz w:val="20"/>
                <w:szCs w:val="20"/>
                <w:color w:val="auto"/>
              </w:rPr>
            </w:pPr>
            <w:r>
              <w:rPr>
                <w:rFonts w:ascii="Arial" w:cs="Arial" w:eastAsia="Arial" w:hAnsi="Arial"/>
                <w:sz w:val="11"/>
                <w:szCs w:val="11"/>
                <w:color w:val="auto"/>
                <w:w w:val="85"/>
              </w:rPr>
              <w:t>Beverage, Food and Tobacco</w:t>
            </w:r>
          </w:p>
        </w:tc>
        <w:tc>
          <w:tcPr>
            <w:tcW w:w="820" w:type="dxa"/>
            <w:vAlign w:val="bottom"/>
            <w:gridSpan w:val="2"/>
          </w:tcPr>
          <w:p>
            <w:pPr>
              <w:jc w:val="right"/>
              <w:ind w:right="60"/>
              <w:spacing w:after="0"/>
              <w:rPr>
                <w:sz w:val="20"/>
                <w:szCs w:val="20"/>
                <w:color w:val="auto"/>
              </w:rPr>
            </w:pPr>
            <w:r>
              <w:rPr>
                <w:rFonts w:ascii="Arial" w:cs="Arial" w:eastAsia="Arial" w:hAnsi="Arial"/>
                <w:sz w:val="11"/>
                <w:szCs w:val="11"/>
                <w:color w:val="auto"/>
              </w:rPr>
              <w:t>17.00%</w:t>
            </w:r>
          </w:p>
        </w:tc>
        <w:tc>
          <w:tcPr>
            <w:tcW w:w="1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2,126,624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2,126,624</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2,126,624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 xml:space="preserve">Country Fresh Holdings, LLC - DIP Facility </w:t>
            </w:r>
            <w:r>
              <w:rPr>
                <w:rFonts w:ascii="Arial" w:cs="Arial" w:eastAsia="Arial" w:hAnsi="Arial"/>
                <w:sz w:val="9"/>
                <w:szCs w:val="9"/>
                <w:color w:val="auto"/>
              </w:rPr>
              <w:t>(7), (9)</w:t>
            </w:r>
          </w:p>
        </w:tc>
        <w:tc>
          <w:tcPr>
            <w:tcW w:w="520" w:type="dxa"/>
            <w:vAlign w:val="bottom"/>
            <w:shd w:val="clear" w:color="auto" w:fill="CCECFF"/>
          </w:tcPr>
          <w:p>
            <w:pPr>
              <w:spacing w:after="0"/>
              <w:rPr>
                <w:sz w:val="20"/>
                <w:szCs w:val="20"/>
                <w:color w:val="auto"/>
              </w:rPr>
            </w:pPr>
            <w:r>
              <w:rPr>
                <w:rFonts w:ascii="Arial" w:cs="Arial" w:eastAsia="Arial" w:hAnsi="Arial"/>
                <w:sz w:val="11"/>
                <w:szCs w:val="11"/>
                <w:color w:val="auto"/>
                <w:w w:val="90"/>
              </w:rPr>
              <w:t>06/16/2021</w:t>
            </w:r>
          </w:p>
        </w:tc>
        <w:tc>
          <w:tcPr>
            <w:tcW w:w="24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5"/>
              </w:rPr>
              <w:t>Beverage, Food and Tobacco</w:t>
            </w:r>
          </w:p>
        </w:tc>
        <w:tc>
          <w:tcPr>
            <w:tcW w:w="82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347,401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440" w:type="dxa"/>
            <w:vAlign w:val="bottom"/>
            <w:gridSpan w:val="3"/>
          </w:tcPr>
          <w:p>
            <w:pPr>
              <w:spacing w:after="0"/>
              <w:rPr>
                <w:sz w:val="20"/>
                <w:szCs w:val="20"/>
                <w:color w:val="auto"/>
              </w:rPr>
            </w:pPr>
            <w:r>
              <w:rPr>
                <w:rFonts w:ascii="Arial" w:cs="Arial" w:eastAsia="Arial" w:hAnsi="Arial"/>
                <w:sz w:val="11"/>
                <w:szCs w:val="11"/>
                <w:color w:val="auto"/>
              </w:rPr>
              <w:t xml:space="preserve">Country Fresh Holdings, LLC - Super Senior Term Loan </w:t>
            </w:r>
            <w:r>
              <w:rPr>
                <w:rFonts w:ascii="Arial" w:cs="Arial" w:eastAsia="Arial" w:hAnsi="Arial"/>
                <w:sz w:val="9"/>
                <w:szCs w:val="9"/>
                <w:color w:val="auto"/>
              </w:rPr>
              <w:t>(7)</w:t>
            </w:r>
          </w:p>
        </w:tc>
        <w:tc>
          <w:tcPr>
            <w:tcW w:w="520" w:type="dxa"/>
            <w:vAlign w:val="bottom"/>
          </w:tcPr>
          <w:p>
            <w:pPr>
              <w:spacing w:after="0"/>
              <w:rPr>
                <w:sz w:val="20"/>
                <w:szCs w:val="20"/>
                <w:color w:val="auto"/>
              </w:rPr>
            </w:pPr>
            <w:r>
              <w:rPr>
                <w:rFonts w:ascii="Arial" w:cs="Arial" w:eastAsia="Arial" w:hAnsi="Arial"/>
                <w:sz w:val="11"/>
                <w:szCs w:val="11"/>
                <w:color w:val="auto"/>
                <w:w w:val="90"/>
              </w:rPr>
              <w:t>06/01/2022</w:t>
            </w:r>
          </w:p>
        </w:tc>
        <w:tc>
          <w:tcPr>
            <w:tcW w:w="240" w:type="dxa"/>
            <w:vAlign w:val="bottom"/>
          </w:tcPr>
          <w:p>
            <w:pPr>
              <w:spacing w:after="0"/>
              <w:rPr>
                <w:sz w:val="11"/>
                <w:szCs w:val="11"/>
                <w:color w:val="auto"/>
              </w:rPr>
            </w:pPr>
          </w:p>
        </w:tc>
        <w:tc>
          <w:tcPr>
            <w:tcW w:w="2460" w:type="dxa"/>
            <w:vAlign w:val="bottom"/>
            <w:gridSpan w:val="2"/>
          </w:tcPr>
          <w:p>
            <w:pPr>
              <w:jc w:val="center"/>
              <w:ind w:right="140"/>
              <w:spacing w:after="0"/>
              <w:rPr>
                <w:sz w:val="20"/>
                <w:szCs w:val="20"/>
                <w:color w:val="auto"/>
              </w:rPr>
            </w:pPr>
            <w:r>
              <w:rPr>
                <w:rFonts w:ascii="Arial" w:cs="Arial" w:eastAsia="Arial" w:hAnsi="Arial"/>
                <w:sz w:val="11"/>
                <w:szCs w:val="11"/>
                <w:color w:val="auto"/>
                <w:w w:val="85"/>
              </w:rPr>
              <w:t>Beverage, Food and Tobacco</w:t>
            </w:r>
          </w:p>
        </w:tc>
        <w:tc>
          <w:tcPr>
            <w:tcW w:w="820" w:type="dxa"/>
            <w:vAlign w:val="bottom"/>
            <w:gridSpan w:val="2"/>
          </w:tcPr>
          <w:p>
            <w:pPr>
              <w:jc w:val="right"/>
              <w:ind w:right="60"/>
              <w:spacing w:after="0"/>
              <w:rPr>
                <w:sz w:val="20"/>
                <w:szCs w:val="20"/>
                <w:color w:val="auto"/>
              </w:rPr>
            </w:pPr>
            <w:r>
              <w:rPr>
                <w:rFonts w:ascii="Arial" w:cs="Arial" w:eastAsia="Arial" w:hAnsi="Arial"/>
                <w:sz w:val="11"/>
                <w:szCs w:val="11"/>
                <w:color w:val="auto"/>
              </w:rPr>
              <w:t>0.00%</w:t>
            </w:r>
          </w:p>
        </w:tc>
        <w:tc>
          <w:tcPr>
            <w:tcW w:w="120" w:type="dxa"/>
            <w:vAlign w:val="bottom"/>
          </w:tcPr>
          <w:p>
            <w:pPr>
              <w:jc w:val="right"/>
              <w:spacing w:after="0"/>
              <w:rPr>
                <w:sz w:val="20"/>
                <w:szCs w:val="20"/>
                <w:color w:val="auto"/>
              </w:rPr>
            </w:pPr>
            <w:r>
              <w:rPr>
                <w:rFonts w:ascii="Arial" w:cs="Arial" w:eastAsia="Arial" w:hAnsi="Arial"/>
                <w:sz w:val="9"/>
                <w:szCs w:val="9"/>
                <w:color w:val="auto"/>
                <w:w w:val="90"/>
              </w:rPr>
              <w:t>(6)</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3,316,059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3,285,322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3,316,059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 xml:space="preserve">Country Fresh Holdings, LLC </w:t>
            </w:r>
            <w:r>
              <w:rPr>
                <w:rFonts w:ascii="Arial" w:cs="Arial" w:eastAsia="Arial" w:hAnsi="Arial"/>
                <w:sz w:val="9"/>
                <w:szCs w:val="9"/>
                <w:color w:val="auto"/>
              </w:rPr>
              <w:t>(7)</w:t>
            </w:r>
          </w:p>
        </w:tc>
        <w:tc>
          <w:tcPr>
            <w:tcW w:w="520" w:type="dxa"/>
            <w:vAlign w:val="bottom"/>
            <w:shd w:val="clear" w:color="auto" w:fill="CCECFF"/>
          </w:tcPr>
          <w:p>
            <w:pPr>
              <w:spacing w:after="0"/>
              <w:rPr>
                <w:sz w:val="20"/>
                <w:szCs w:val="20"/>
                <w:color w:val="auto"/>
              </w:rPr>
            </w:pPr>
            <w:r>
              <w:rPr>
                <w:rFonts w:ascii="Arial" w:cs="Arial" w:eastAsia="Arial" w:hAnsi="Arial"/>
                <w:sz w:val="11"/>
                <w:szCs w:val="11"/>
                <w:color w:val="auto"/>
                <w:w w:val="90"/>
              </w:rPr>
              <w:t>05/01/2023</w:t>
            </w:r>
          </w:p>
        </w:tc>
        <w:tc>
          <w:tcPr>
            <w:tcW w:w="24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5"/>
              </w:rPr>
              <w:t>Beverage, Food and Tobacco</w:t>
            </w:r>
          </w:p>
        </w:tc>
        <w:tc>
          <w:tcPr>
            <w:tcW w:w="82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0.00%</w:t>
            </w:r>
          </w:p>
        </w:tc>
        <w:tc>
          <w:tcPr>
            <w:tcW w:w="120" w:type="dxa"/>
            <w:vAlign w:val="bottom"/>
            <w:shd w:val="clear" w:color="auto" w:fill="CCECFF"/>
          </w:tcPr>
          <w:p>
            <w:pPr>
              <w:jc w:val="right"/>
              <w:spacing w:after="0"/>
              <w:rPr>
                <w:sz w:val="20"/>
                <w:szCs w:val="20"/>
                <w:color w:val="auto"/>
              </w:rPr>
            </w:pPr>
            <w:r>
              <w:rPr>
                <w:rFonts w:ascii="Arial" w:cs="Arial" w:eastAsia="Arial" w:hAnsi="Arial"/>
                <w:sz w:val="9"/>
                <w:szCs w:val="9"/>
                <w:color w:val="auto"/>
                <w:w w:val="90"/>
              </w:rPr>
              <w:t>(6)</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1,544,161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1,520,356</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503,397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color w:val="auto"/>
              </w:rPr>
              <w:t xml:space="preserve">Country Fresh Holdings, LLC (Revolver) </w:t>
            </w:r>
            <w:r>
              <w:rPr>
                <w:rFonts w:ascii="Arial" w:cs="Arial" w:eastAsia="Arial" w:hAnsi="Arial"/>
                <w:sz w:val="9"/>
                <w:szCs w:val="9"/>
                <w:color w:val="auto"/>
              </w:rPr>
              <w:t>(7)</w:t>
            </w:r>
          </w:p>
        </w:tc>
        <w:tc>
          <w:tcPr>
            <w:tcW w:w="52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w w:val="90"/>
              </w:rPr>
              <w:t>05/01/2023</w:t>
            </w:r>
          </w:p>
        </w:tc>
        <w:tc>
          <w:tcPr>
            <w:tcW w:w="240" w:type="dxa"/>
            <w:vAlign w:val="bottom"/>
            <w:tcBorders>
              <w:bottom w:val="single" w:sz="8" w:color="CCECFF"/>
            </w:tcBorders>
          </w:tcPr>
          <w:p>
            <w:pPr>
              <w:spacing w:after="0"/>
              <w:rPr>
                <w:sz w:val="11"/>
                <w:szCs w:val="11"/>
                <w:color w:val="auto"/>
              </w:rPr>
            </w:pPr>
          </w:p>
        </w:tc>
        <w:tc>
          <w:tcPr>
            <w:tcW w:w="246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85"/>
              </w:rPr>
              <w:t>Beverage, Food and Tobacco</w:t>
            </w:r>
          </w:p>
        </w:tc>
        <w:tc>
          <w:tcPr>
            <w:tcW w:w="820" w:type="dxa"/>
            <w:vAlign w:val="bottom"/>
            <w:tcBorders>
              <w:bottom w:val="single" w:sz="8" w:color="CCECFF"/>
            </w:tcBorders>
            <w:gridSpan w:val="2"/>
          </w:tcPr>
          <w:p>
            <w:pPr>
              <w:jc w:val="right"/>
              <w:ind w:right="60"/>
              <w:spacing w:after="0"/>
              <w:rPr>
                <w:sz w:val="20"/>
                <w:szCs w:val="20"/>
                <w:color w:val="auto"/>
              </w:rPr>
            </w:pPr>
            <w:r>
              <w:rPr>
                <w:rFonts w:ascii="Arial" w:cs="Arial" w:eastAsia="Arial" w:hAnsi="Arial"/>
                <w:sz w:val="11"/>
                <w:szCs w:val="11"/>
                <w:color w:val="auto"/>
              </w:rPr>
              <w:t>0.00%</w:t>
            </w:r>
          </w:p>
        </w:tc>
        <w:tc>
          <w:tcPr>
            <w:tcW w:w="120" w:type="dxa"/>
            <w:vAlign w:val="bottom"/>
            <w:tcBorders>
              <w:bottom w:val="single" w:sz="8" w:color="CCECFF"/>
            </w:tcBorders>
          </w:tcPr>
          <w:p>
            <w:pPr>
              <w:jc w:val="right"/>
              <w:spacing w:after="0"/>
              <w:rPr>
                <w:sz w:val="20"/>
                <w:szCs w:val="20"/>
                <w:color w:val="auto"/>
              </w:rPr>
            </w:pPr>
            <w:r>
              <w:rPr>
                <w:rFonts w:ascii="Arial" w:cs="Arial" w:eastAsia="Arial" w:hAnsi="Arial"/>
                <w:sz w:val="9"/>
                <w:szCs w:val="9"/>
                <w:color w:val="auto"/>
                <w:w w:val="90"/>
              </w:rPr>
              <w:t>(6)</w:t>
            </w:r>
          </w:p>
        </w:tc>
        <w:tc>
          <w:tcPr>
            <w:tcW w:w="92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2,746,564</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2,746,564</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895,380</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Total First Lien Secured Debt</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9,678,866</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6,841,460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tcPr>
          <w:p>
            <w:pPr>
              <w:spacing w:after="0"/>
              <w:rPr>
                <w:sz w:val="20"/>
                <w:szCs w:val="20"/>
                <w:color w:val="auto"/>
              </w:rPr>
            </w:pPr>
            <w:r>
              <w:rPr>
                <w:rFonts w:ascii="Arial" w:cs="Arial" w:eastAsia="Arial" w:hAnsi="Arial"/>
                <w:sz w:val="11"/>
                <w:szCs w:val="11"/>
                <w:b w:val="1"/>
                <w:bCs w:val="1"/>
                <w:color w:val="auto"/>
              </w:rPr>
              <w:t>Second Lien Secured Debt—0.0%</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 xml:space="preserve">Country Fresh Holdings, LLC </w:t>
            </w:r>
            <w:r>
              <w:rPr>
                <w:rFonts w:ascii="Arial" w:cs="Arial" w:eastAsia="Arial" w:hAnsi="Arial"/>
                <w:sz w:val="9"/>
                <w:szCs w:val="9"/>
                <w:color w:val="auto"/>
              </w:rPr>
              <w:t>(7)</w:t>
            </w:r>
          </w:p>
        </w:tc>
        <w:tc>
          <w:tcPr>
            <w:tcW w:w="520" w:type="dxa"/>
            <w:vAlign w:val="bottom"/>
            <w:shd w:val="clear" w:color="auto" w:fill="CCECFF"/>
          </w:tcPr>
          <w:p>
            <w:pPr>
              <w:spacing w:after="0"/>
              <w:rPr>
                <w:sz w:val="20"/>
                <w:szCs w:val="20"/>
                <w:color w:val="auto"/>
              </w:rPr>
            </w:pPr>
            <w:r>
              <w:rPr>
                <w:rFonts w:ascii="Arial" w:cs="Arial" w:eastAsia="Arial" w:hAnsi="Arial"/>
                <w:sz w:val="11"/>
                <w:szCs w:val="11"/>
                <w:color w:val="auto"/>
                <w:w w:val="90"/>
              </w:rPr>
              <w:t>04/29/2024</w:t>
            </w:r>
          </w:p>
        </w:tc>
        <w:tc>
          <w:tcPr>
            <w:tcW w:w="24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5"/>
              </w:rPr>
              <w:t>Beverage, Food and Tobacco</w:t>
            </w:r>
          </w:p>
        </w:tc>
        <w:tc>
          <w:tcPr>
            <w:tcW w:w="82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0.00%</w:t>
            </w:r>
          </w:p>
        </w:tc>
        <w:tc>
          <w:tcPr>
            <w:tcW w:w="120" w:type="dxa"/>
            <w:vAlign w:val="bottom"/>
            <w:shd w:val="clear" w:color="auto" w:fill="CCECFF"/>
          </w:tcPr>
          <w:p>
            <w:pPr>
              <w:jc w:val="right"/>
              <w:spacing w:after="0"/>
              <w:rPr>
                <w:sz w:val="20"/>
                <w:szCs w:val="20"/>
                <w:color w:val="auto"/>
              </w:rPr>
            </w:pPr>
            <w:r>
              <w:rPr>
                <w:rFonts w:ascii="Arial" w:cs="Arial" w:eastAsia="Arial" w:hAnsi="Arial"/>
                <w:sz w:val="9"/>
                <w:szCs w:val="9"/>
                <w:color w:val="auto"/>
                <w:w w:val="90"/>
              </w:rPr>
              <w:t>(6)</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6,183,227</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6,023,808</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40" w:type="dxa"/>
            <w:vAlign w:val="bottom"/>
            <w:gridSpan w:val="3"/>
          </w:tcPr>
          <w:p>
            <w:pPr>
              <w:spacing w:after="0"/>
              <w:rPr>
                <w:sz w:val="20"/>
                <w:szCs w:val="20"/>
                <w:color w:val="auto"/>
              </w:rPr>
            </w:pPr>
            <w:r>
              <w:rPr>
                <w:rFonts w:ascii="Arial" w:cs="Arial" w:eastAsia="Arial" w:hAnsi="Arial"/>
                <w:sz w:val="11"/>
                <w:szCs w:val="11"/>
                <w:b w:val="1"/>
                <w:bCs w:val="1"/>
                <w:color w:val="auto"/>
              </w:rPr>
              <w:t>Total Second Lien Secured Debt</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6,023,808</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 xml:space="preserve">Common Equity/Warrants—0.0% </w:t>
            </w:r>
            <w:r>
              <w:rPr>
                <w:rFonts w:ascii="Arial" w:cs="Arial" w:eastAsia="Arial" w:hAnsi="Arial"/>
                <w:sz w:val="9"/>
                <w:szCs w:val="9"/>
                <w:b w:val="1"/>
                <w:bCs w:val="1"/>
                <w:color w:val="auto"/>
              </w:rPr>
              <w:t>(6)</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color w:val="auto"/>
              </w:rPr>
              <w:t xml:space="preserve">Country Fresh Holding Company Inc. </w:t>
            </w:r>
            <w:r>
              <w:rPr>
                <w:rFonts w:ascii="Arial" w:cs="Arial" w:eastAsia="Arial" w:hAnsi="Arial"/>
                <w:sz w:val="9"/>
                <w:szCs w:val="9"/>
                <w:color w:val="auto"/>
              </w:rPr>
              <w:t>(7)</w:t>
            </w:r>
          </w:p>
        </w:tc>
        <w:tc>
          <w:tcPr>
            <w:tcW w:w="760" w:type="dxa"/>
            <w:vAlign w:val="bottom"/>
            <w:tcBorders>
              <w:bottom w:val="single" w:sz="8" w:color="CCECFF"/>
            </w:tcBorders>
            <w:gridSpan w:val="2"/>
          </w:tcPr>
          <w:p>
            <w:pPr>
              <w:ind w:left="260"/>
              <w:spacing w:after="0"/>
              <w:rPr>
                <w:sz w:val="20"/>
                <w:szCs w:val="20"/>
                <w:color w:val="auto"/>
              </w:rPr>
            </w:pPr>
            <w:r>
              <w:rPr>
                <w:rFonts w:ascii="Arial" w:cs="Arial" w:eastAsia="Arial" w:hAnsi="Arial"/>
                <w:sz w:val="11"/>
                <w:szCs w:val="11"/>
                <w:color w:val="auto"/>
              </w:rPr>
              <w:t>—</w:t>
            </w:r>
          </w:p>
        </w:tc>
        <w:tc>
          <w:tcPr>
            <w:tcW w:w="246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85"/>
              </w:rPr>
              <w:t>Beverage, Food and Tobacco</w:t>
            </w:r>
          </w:p>
        </w:tc>
        <w:tc>
          <w:tcPr>
            <w:tcW w:w="820" w:type="dxa"/>
            <w:vAlign w:val="bottom"/>
            <w:tcBorders>
              <w:bottom w:val="single" w:sz="8" w:color="CCECFF"/>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CFF"/>
            </w:tcBorders>
          </w:tcPr>
          <w:p>
            <w:pPr>
              <w:spacing w:after="0"/>
              <w:rPr>
                <w:sz w:val="11"/>
                <w:szCs w:val="11"/>
                <w:color w:val="auto"/>
              </w:rPr>
            </w:pPr>
          </w:p>
        </w:tc>
        <w:tc>
          <w:tcPr>
            <w:tcW w:w="92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8,034</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10,453,350</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Total Common Equity/Warrants</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10,453,350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344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b w:val="1"/>
                <w:bCs w:val="1"/>
                <w:color w:val="auto"/>
                <w:w w:val="96"/>
              </w:rPr>
              <w:t>Total Investments in Non-Controlled, Affiliated Portfolio Companies</w:t>
            </w:r>
          </w:p>
        </w:tc>
        <w:tc>
          <w:tcPr>
            <w:tcW w:w="52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3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26,156,024</w:t>
            </w:r>
          </w:p>
        </w:tc>
        <w:tc>
          <w:tcPr>
            <w:tcW w:w="220" w:type="dxa"/>
            <w:vAlign w:val="bottom"/>
            <w:tcBorders>
              <w:bottom w:val="single" w:sz="8" w:color="CCEC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6,841,460</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w w:val="92"/>
              </w:rPr>
              <w:t xml:space="preserve">Investments in Controlled, Affiliated Portfolio Companies—39.6% </w:t>
            </w:r>
            <w:r>
              <w:rPr>
                <w:rFonts w:ascii="Arial" w:cs="Arial" w:eastAsia="Arial" w:hAnsi="Arial"/>
                <w:sz w:val="9"/>
                <w:szCs w:val="9"/>
                <w:b w:val="1"/>
                <w:bCs w:val="1"/>
                <w:color w:val="auto"/>
                <w:w w:val="92"/>
              </w:rPr>
              <w:t>(3), (4)</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tcPr>
          <w:p>
            <w:pPr>
              <w:spacing w:after="0"/>
              <w:rPr>
                <w:sz w:val="20"/>
                <w:szCs w:val="20"/>
                <w:color w:val="auto"/>
              </w:rPr>
            </w:pPr>
            <w:r>
              <w:rPr>
                <w:rFonts w:ascii="Arial" w:cs="Arial" w:eastAsia="Arial" w:hAnsi="Arial"/>
                <w:sz w:val="11"/>
                <w:szCs w:val="11"/>
                <w:b w:val="1"/>
                <w:bCs w:val="1"/>
                <w:color w:val="auto"/>
              </w:rPr>
              <w:t>First Lien Secured Debt—30.4%</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Marketplace Events, LLC - Super Priority First Lien Term Loan </w:t>
            </w:r>
            <w:r>
              <w:rPr>
                <w:rFonts w:ascii="Arial" w:cs="Arial" w:eastAsia="Arial" w:hAnsi="Arial"/>
                <w:sz w:val="9"/>
                <w:szCs w:val="9"/>
                <w:color w:val="auto"/>
              </w:rPr>
              <w:t>(7)</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20"/>
                <w:szCs w:val="20"/>
                <w:color w:val="auto"/>
              </w:rPr>
            </w:pPr>
            <w:r>
              <w:rPr>
                <w:rFonts w:ascii="Arial" w:cs="Arial" w:eastAsia="Arial" w:hAnsi="Arial"/>
                <w:sz w:val="11"/>
                <w:szCs w:val="11"/>
                <w:color w:val="auto"/>
                <w:w w:val="90"/>
              </w:rPr>
              <w:t>09/30/2025</w:t>
            </w:r>
          </w:p>
        </w:tc>
        <w:tc>
          <w:tcPr>
            <w:tcW w:w="24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2"/>
              </w:rPr>
              <w:t>Media: Diversified and Production</w:t>
            </w:r>
          </w:p>
        </w:tc>
        <w:tc>
          <w:tcPr>
            <w:tcW w:w="82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6.25%</w:t>
            </w:r>
          </w:p>
        </w:tc>
        <w:tc>
          <w:tcPr>
            <w:tcW w:w="1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3,312,579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3,312,579</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3,312,579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shd w:val="clear" w:color="auto" w:fill="CCECFF"/>
          </w:tcPr>
          <w:p>
            <w:pPr>
              <w:spacing w:after="0"/>
              <w:rPr>
                <w:sz w:val="11"/>
                <w:szCs w:val="11"/>
                <w:color w:val="auto"/>
              </w:rPr>
            </w:pPr>
          </w:p>
        </w:tc>
        <w:tc>
          <w:tcPr>
            <w:tcW w:w="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(PIK 6.25%)</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tcPr>
          <w:p>
            <w:pPr>
              <w:spacing w:after="0"/>
              <w:rPr>
                <w:sz w:val="20"/>
                <w:szCs w:val="20"/>
                <w:color w:val="auto"/>
              </w:rPr>
            </w:pPr>
            <w:r>
              <w:rPr>
                <w:rFonts w:ascii="Arial" w:cs="Arial" w:eastAsia="Arial" w:hAnsi="Arial"/>
                <w:sz w:val="11"/>
                <w:szCs w:val="11"/>
                <w:color w:val="auto"/>
              </w:rPr>
              <w:t xml:space="preserve">Marketplace Events, LLC - Super Priority First Lien </w:t>
            </w:r>
            <w:r>
              <w:rPr>
                <w:rFonts w:ascii="Arial" w:cs="Arial" w:eastAsia="Arial" w:hAnsi="Arial"/>
                <w:sz w:val="9"/>
                <w:szCs w:val="9"/>
                <w:color w:val="auto"/>
              </w:rPr>
              <w:t>(7), (9)</w:t>
            </w:r>
          </w:p>
        </w:tc>
        <w:tc>
          <w:tcPr>
            <w:tcW w:w="520" w:type="dxa"/>
            <w:vAlign w:val="bottom"/>
          </w:tcPr>
          <w:p>
            <w:pPr>
              <w:spacing w:after="0"/>
              <w:rPr>
                <w:sz w:val="20"/>
                <w:szCs w:val="20"/>
                <w:color w:val="auto"/>
              </w:rPr>
            </w:pPr>
            <w:r>
              <w:rPr>
                <w:rFonts w:ascii="Arial" w:cs="Arial" w:eastAsia="Arial" w:hAnsi="Arial"/>
                <w:sz w:val="11"/>
                <w:szCs w:val="11"/>
                <w:color w:val="auto"/>
                <w:w w:val="90"/>
              </w:rPr>
              <w:t>09/30/2025</w:t>
            </w:r>
          </w:p>
        </w:tc>
        <w:tc>
          <w:tcPr>
            <w:tcW w:w="240" w:type="dxa"/>
            <w:vAlign w:val="bottom"/>
          </w:tcPr>
          <w:p>
            <w:pPr>
              <w:spacing w:after="0"/>
              <w:rPr>
                <w:sz w:val="11"/>
                <w:szCs w:val="11"/>
                <w:color w:val="auto"/>
              </w:rPr>
            </w:pPr>
          </w:p>
        </w:tc>
        <w:tc>
          <w:tcPr>
            <w:tcW w:w="2460" w:type="dxa"/>
            <w:vAlign w:val="bottom"/>
            <w:gridSpan w:val="2"/>
          </w:tcPr>
          <w:p>
            <w:pPr>
              <w:jc w:val="center"/>
              <w:ind w:right="140"/>
              <w:spacing w:after="0"/>
              <w:rPr>
                <w:sz w:val="20"/>
                <w:szCs w:val="20"/>
                <w:color w:val="auto"/>
              </w:rPr>
            </w:pPr>
            <w:r>
              <w:rPr>
                <w:rFonts w:ascii="Arial" w:cs="Arial" w:eastAsia="Arial" w:hAnsi="Arial"/>
                <w:sz w:val="11"/>
                <w:szCs w:val="11"/>
                <w:color w:val="auto"/>
                <w:w w:val="92"/>
              </w:rPr>
              <w:t>Media: Diversified and Production</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3,260,502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Marketplace Events, LLC</w:t>
            </w:r>
          </w:p>
        </w:tc>
        <w:tc>
          <w:tcPr>
            <w:tcW w:w="520" w:type="dxa"/>
            <w:vAlign w:val="bottom"/>
            <w:shd w:val="clear" w:color="auto" w:fill="CCECFF"/>
          </w:tcPr>
          <w:p>
            <w:pPr>
              <w:spacing w:after="0"/>
              <w:rPr>
                <w:sz w:val="20"/>
                <w:szCs w:val="20"/>
                <w:color w:val="auto"/>
              </w:rPr>
            </w:pPr>
            <w:r>
              <w:rPr>
                <w:rFonts w:ascii="Arial" w:cs="Arial" w:eastAsia="Arial" w:hAnsi="Arial"/>
                <w:sz w:val="11"/>
                <w:szCs w:val="11"/>
                <w:color w:val="auto"/>
                <w:w w:val="90"/>
              </w:rPr>
              <w:t>09/30/2026</w:t>
            </w:r>
          </w:p>
        </w:tc>
        <w:tc>
          <w:tcPr>
            <w:tcW w:w="24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2"/>
              </w:rPr>
              <w:t>Media: Diversified and Production</w:t>
            </w:r>
          </w:p>
        </w:tc>
        <w:tc>
          <w:tcPr>
            <w:tcW w:w="82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0.00%</w:t>
            </w:r>
          </w:p>
        </w:tc>
        <w:tc>
          <w:tcPr>
            <w:tcW w:w="120" w:type="dxa"/>
            <w:vAlign w:val="bottom"/>
            <w:shd w:val="clear" w:color="auto" w:fill="CCECFF"/>
          </w:tcPr>
          <w:p>
            <w:pPr>
              <w:jc w:val="right"/>
              <w:spacing w:after="0"/>
              <w:rPr>
                <w:sz w:val="20"/>
                <w:szCs w:val="20"/>
                <w:color w:val="auto"/>
              </w:rPr>
            </w:pPr>
            <w:r>
              <w:rPr>
                <w:rFonts w:ascii="Arial" w:cs="Arial" w:eastAsia="Arial" w:hAnsi="Arial"/>
                <w:sz w:val="9"/>
                <w:szCs w:val="9"/>
                <w:color w:val="auto"/>
                <w:w w:val="90"/>
              </w:rPr>
              <w:t>(6)</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24,757,541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19,046,876</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20,135,240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color w:val="auto"/>
              </w:rPr>
              <w:t xml:space="preserve">PennantPark Senior Secured Loan Fund I LLC </w:t>
            </w:r>
            <w:r>
              <w:rPr>
                <w:rFonts w:ascii="Arial" w:cs="Arial" w:eastAsia="Arial" w:hAnsi="Arial"/>
                <w:sz w:val="9"/>
                <w:szCs w:val="9"/>
                <w:color w:val="auto"/>
              </w:rPr>
              <w:t>(7), (9), (10)</w:t>
            </w:r>
          </w:p>
        </w:tc>
        <w:tc>
          <w:tcPr>
            <w:tcW w:w="52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w w:val="90"/>
              </w:rPr>
              <w:t>05/06/2024</w:t>
            </w:r>
          </w:p>
        </w:tc>
        <w:tc>
          <w:tcPr>
            <w:tcW w:w="240" w:type="dxa"/>
            <w:vAlign w:val="bottom"/>
            <w:tcBorders>
              <w:bottom w:val="single" w:sz="8" w:color="CCECFF"/>
            </w:tcBorders>
          </w:tcPr>
          <w:p>
            <w:pPr>
              <w:spacing w:after="0"/>
              <w:rPr>
                <w:sz w:val="11"/>
                <w:szCs w:val="11"/>
                <w:color w:val="auto"/>
              </w:rPr>
            </w:pPr>
          </w:p>
        </w:tc>
        <w:tc>
          <w:tcPr>
            <w:tcW w:w="246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89"/>
              </w:rPr>
              <w:t>Financial Services</w:t>
            </w:r>
          </w:p>
        </w:tc>
        <w:tc>
          <w:tcPr>
            <w:tcW w:w="820" w:type="dxa"/>
            <w:vAlign w:val="bottom"/>
            <w:tcBorders>
              <w:bottom w:val="single" w:sz="8" w:color="CCECFF"/>
            </w:tcBorders>
            <w:gridSpan w:val="2"/>
          </w:tcPr>
          <w:p>
            <w:pPr>
              <w:jc w:val="right"/>
              <w:ind w:right="60"/>
              <w:spacing w:after="0"/>
              <w:rPr>
                <w:sz w:val="20"/>
                <w:szCs w:val="20"/>
                <w:color w:val="auto"/>
              </w:rPr>
            </w:pPr>
            <w:r>
              <w:rPr>
                <w:rFonts w:ascii="Arial" w:cs="Arial" w:eastAsia="Arial" w:hAnsi="Arial"/>
                <w:sz w:val="11"/>
                <w:szCs w:val="11"/>
                <w:color w:val="auto"/>
              </w:rPr>
              <w:t>8.20%</w:t>
            </w:r>
          </w:p>
        </w:tc>
        <w:tc>
          <w:tcPr>
            <w:tcW w:w="120" w:type="dxa"/>
            <w:vAlign w:val="bottom"/>
            <w:tcBorders>
              <w:bottom w:val="single" w:sz="8" w:color="CCECFF"/>
            </w:tcBorders>
          </w:tcPr>
          <w:p>
            <w:pPr>
              <w:spacing w:after="0"/>
              <w:rPr>
                <w:sz w:val="11"/>
                <w:szCs w:val="11"/>
                <w:color w:val="auto"/>
              </w:rPr>
            </w:pPr>
          </w:p>
        </w:tc>
        <w:tc>
          <w:tcPr>
            <w:tcW w:w="92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1"/>
                <w:szCs w:val="11"/>
                <w:color w:val="auto"/>
              </w:rPr>
              <w:t>3M L+800</w:t>
            </w:r>
          </w:p>
        </w:tc>
        <w:tc>
          <w:tcPr>
            <w:tcW w:w="66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126,481,250</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126,481,250</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126,481,250</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Total First Lien Secured Debt</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148,840,705</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149,929,069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tcPr>
          <w:p>
            <w:pPr>
              <w:spacing w:after="0"/>
              <w:rPr>
                <w:sz w:val="20"/>
                <w:szCs w:val="20"/>
                <w:color w:val="auto"/>
              </w:rPr>
            </w:pPr>
            <w:r>
              <w:rPr>
                <w:rFonts w:ascii="Arial" w:cs="Arial" w:eastAsia="Arial" w:hAnsi="Arial"/>
                <w:sz w:val="11"/>
                <w:szCs w:val="11"/>
                <w:b w:val="1"/>
                <w:bCs w:val="1"/>
                <w:color w:val="auto"/>
              </w:rPr>
              <w:t>Equity Interests—9.2%</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 xml:space="preserve">New MPE Holdings, LLC (Marketplace Events, LLC) </w:t>
            </w:r>
            <w:r>
              <w:rPr>
                <w:rFonts w:ascii="Arial" w:cs="Arial" w:eastAsia="Arial" w:hAnsi="Arial"/>
                <w:sz w:val="9"/>
                <w:szCs w:val="9"/>
                <w:color w:val="auto"/>
              </w:rPr>
              <w:t>(7)</w:t>
            </w: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2"/>
              </w:rPr>
              <w:t>Media: Diversified and Production</w:t>
            </w:r>
          </w:p>
        </w:tc>
        <w:tc>
          <w:tcPr>
            <w:tcW w:w="82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44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color w:val="auto"/>
              </w:rPr>
              <w:t xml:space="preserve">PennantPark Senior Secured Loan Fund I LLC </w:t>
            </w:r>
            <w:r>
              <w:rPr>
                <w:rFonts w:ascii="Arial" w:cs="Arial" w:eastAsia="Arial" w:hAnsi="Arial"/>
                <w:sz w:val="9"/>
                <w:szCs w:val="9"/>
                <w:color w:val="auto"/>
              </w:rPr>
              <w:t>(7), (9), (10)</w:t>
            </w:r>
          </w:p>
        </w:tc>
        <w:tc>
          <w:tcPr>
            <w:tcW w:w="760" w:type="dxa"/>
            <w:vAlign w:val="bottom"/>
            <w:tcBorders>
              <w:bottom w:val="single" w:sz="8" w:color="CCECFF"/>
            </w:tcBorders>
            <w:gridSpan w:val="2"/>
          </w:tcPr>
          <w:p>
            <w:pPr>
              <w:ind w:left="260"/>
              <w:spacing w:after="0"/>
              <w:rPr>
                <w:sz w:val="20"/>
                <w:szCs w:val="20"/>
                <w:color w:val="auto"/>
              </w:rPr>
            </w:pPr>
            <w:r>
              <w:rPr>
                <w:rFonts w:ascii="Arial" w:cs="Arial" w:eastAsia="Arial" w:hAnsi="Arial"/>
                <w:sz w:val="11"/>
                <w:szCs w:val="11"/>
                <w:color w:val="auto"/>
              </w:rPr>
              <w:t>—</w:t>
            </w:r>
          </w:p>
        </w:tc>
        <w:tc>
          <w:tcPr>
            <w:tcW w:w="246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89"/>
              </w:rPr>
              <w:t>Financial Services</w:t>
            </w:r>
          </w:p>
        </w:tc>
        <w:tc>
          <w:tcPr>
            <w:tcW w:w="820" w:type="dxa"/>
            <w:vAlign w:val="bottom"/>
            <w:tcBorders>
              <w:bottom w:val="single" w:sz="8" w:color="CCECFF"/>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CFF"/>
            </w:tcBorders>
          </w:tcPr>
          <w:p>
            <w:pPr>
              <w:spacing w:after="0"/>
              <w:rPr>
                <w:sz w:val="11"/>
                <w:szCs w:val="11"/>
                <w:color w:val="auto"/>
              </w:rPr>
            </w:pPr>
          </w:p>
        </w:tc>
        <w:tc>
          <w:tcPr>
            <w:tcW w:w="92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54,206</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54,206,250</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45,505,337</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Total Equity Interests</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54,206,250</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45,505,337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4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b w:val="1"/>
                <w:bCs w:val="1"/>
                <w:color w:val="auto"/>
              </w:rPr>
              <w:t>Total Investments in Controlled, Affiliated Portfolio Companies</w:t>
            </w:r>
          </w:p>
        </w:tc>
        <w:tc>
          <w:tcPr>
            <w:tcW w:w="52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3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203,046,955</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195,434,406</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Total Investments—216.9%</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88"/>
              </w:rPr>
              <w:t>1,064,453,665</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3"/>
              </w:rPr>
              <w:t>1,069,137,141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gridSpan w:val="3"/>
          </w:tcPr>
          <w:p>
            <w:pPr>
              <w:spacing w:after="0"/>
              <w:rPr>
                <w:sz w:val="20"/>
                <w:szCs w:val="20"/>
                <w:color w:val="auto"/>
              </w:rPr>
            </w:pPr>
            <w:r>
              <w:rPr>
                <w:rFonts w:ascii="Arial" w:cs="Arial" w:eastAsia="Arial" w:hAnsi="Arial"/>
                <w:sz w:val="11"/>
                <w:szCs w:val="11"/>
                <w:b w:val="1"/>
                <w:bCs w:val="1"/>
                <w:color w:val="auto"/>
              </w:rPr>
              <w:t>Cash and Cash Equivalents—13.5%</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BlackRock Federal FD Institutional 30</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7,157,000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7,157,000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color w:val="auto"/>
              </w:rPr>
              <w:t>BNY Mellon Cash</w:t>
            </w:r>
          </w:p>
        </w:tc>
        <w:tc>
          <w:tcPr>
            <w:tcW w:w="52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3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59,415,341</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59,415,811</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Total Cash and Cash Equivalents</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66,572,341</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66,572,811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40" w:type="dxa"/>
            <w:vAlign w:val="bottom"/>
            <w:gridSpan w:val="3"/>
          </w:tcPr>
          <w:p>
            <w:pPr>
              <w:spacing w:after="0"/>
              <w:rPr>
                <w:sz w:val="20"/>
                <w:szCs w:val="20"/>
                <w:color w:val="auto"/>
              </w:rPr>
            </w:pPr>
            <w:r>
              <w:rPr>
                <w:rFonts w:ascii="Arial" w:cs="Arial" w:eastAsia="Arial" w:hAnsi="Arial"/>
                <w:sz w:val="11"/>
                <w:szCs w:val="11"/>
                <w:b w:val="1"/>
                <w:bCs w:val="1"/>
                <w:color w:val="auto"/>
              </w:rPr>
              <w:t>Total Investments and Cash Equivalents—230.4%</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w w:val="88"/>
              </w:rPr>
              <w:t>1,131,026,006</w:t>
            </w:r>
          </w:p>
        </w:tc>
        <w:tc>
          <w:tcPr>
            <w:tcW w:w="2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w w:val="93"/>
              </w:rPr>
              <w:t>1,135,709,952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CFF"/>
            </w:tcBorders>
            <w:gridSpan w:val="3"/>
            <w:vMerge w:val="restart"/>
            <w:shd w:val="clear" w:color="auto" w:fill="CCECFF"/>
          </w:tcPr>
          <w:p>
            <w:pPr>
              <w:spacing w:after="0"/>
              <w:rPr>
                <w:sz w:val="20"/>
                <w:szCs w:val="20"/>
                <w:color w:val="auto"/>
              </w:rPr>
            </w:pPr>
            <w:r>
              <w:rPr>
                <w:rFonts w:ascii="Arial" w:cs="Arial" w:eastAsia="Arial" w:hAnsi="Arial"/>
                <w:sz w:val="11"/>
                <w:szCs w:val="11"/>
                <w:b w:val="1"/>
                <w:bCs w:val="1"/>
                <w:color w:val="auto"/>
              </w:rPr>
              <w:t>Liabilities in Excess of Other Assets—(130.4)%</w:t>
            </w:r>
          </w:p>
        </w:tc>
        <w:tc>
          <w:tcPr>
            <w:tcW w:w="52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234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68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68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66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440" w:type="dxa"/>
            <w:vAlign w:val="bottom"/>
            <w:gridSpan w:val="3"/>
            <w:vMerge w:val="continue"/>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3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800" w:type="dxa"/>
            <w:vAlign w:val="bottom"/>
            <w:gridSpan w:val="2"/>
            <w:shd w:val="clear" w:color="auto" w:fill="CCECFF"/>
          </w:tcPr>
          <w:p>
            <w:pPr>
              <w:jc w:val="right"/>
              <w:ind w:right="80"/>
              <w:spacing w:after="0" w:line="116" w:lineRule="exact"/>
              <w:rPr>
                <w:sz w:val="20"/>
                <w:szCs w:val="20"/>
                <w:color w:val="auto"/>
              </w:rPr>
            </w:pPr>
            <w:r>
              <w:rPr>
                <w:rFonts w:ascii="Arial" w:cs="Arial" w:eastAsia="Arial" w:hAnsi="Arial"/>
                <w:sz w:val="11"/>
                <w:szCs w:val="11"/>
                <w:color w:val="auto"/>
              </w:rPr>
              <w:t>(642,735,709)</w:t>
            </w:r>
          </w:p>
        </w:tc>
        <w:tc>
          <w:tcPr>
            <w:tcW w:w="0" w:type="dxa"/>
            <w:vAlign w:val="bottom"/>
          </w:tcPr>
          <w:p>
            <w:pPr>
              <w:spacing w:after="0"/>
              <w:rPr>
                <w:sz w:val="1"/>
                <w:szCs w:val="1"/>
                <w:color w:val="auto"/>
              </w:rPr>
            </w:pPr>
          </w:p>
        </w:tc>
      </w:tr>
      <w:tr>
        <w:trPr>
          <w:trHeight w:val="129"/>
        </w:trPr>
        <w:tc>
          <w:tcPr>
            <w:tcW w:w="3440" w:type="dxa"/>
            <w:vAlign w:val="bottom"/>
            <w:gridSpan w:val="3"/>
          </w:tcPr>
          <w:p>
            <w:pPr>
              <w:spacing w:after="0"/>
              <w:rPr>
                <w:sz w:val="20"/>
                <w:szCs w:val="20"/>
                <w:color w:val="auto"/>
              </w:rPr>
            </w:pPr>
            <w:r>
              <w:rPr>
                <w:rFonts w:ascii="Arial" w:cs="Arial" w:eastAsia="Arial" w:hAnsi="Arial"/>
                <w:sz w:val="11"/>
                <w:szCs w:val="11"/>
                <w:b w:val="1"/>
                <w:bCs w:val="1"/>
                <w:color w:val="auto"/>
              </w:rPr>
              <w:t>Net Assets—100.0%</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492,974,243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940" w:type="dxa"/>
            <w:vAlign w:val="bottom"/>
            <w:tcBorders>
              <w:bottom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380" w:right="20" w:hanging="372"/>
        <w:spacing w:after="0" w:line="236"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Offered Rate, or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payment-in-kind, or PIK, interest and other fee rates, if any.</w:t>
      </w:r>
    </w:p>
    <w:p>
      <w:pPr>
        <w:spacing w:after="0" w:line="1" w:lineRule="exact"/>
        <w:rPr>
          <w:rFonts w:ascii="Arial" w:cs="Arial" w:eastAsia="Arial" w:hAnsi="Arial"/>
          <w:sz w:val="12"/>
          <w:szCs w:val="12"/>
          <w:color w:val="auto"/>
        </w:rPr>
      </w:pP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Valued based on our accounting policy (See Note 2). The value of all securities was determined using significant unobservable inputs (See Note 5).</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80" w:hanging="372"/>
        <w:spacing w:after="0"/>
        <w:tabs>
          <w:tab w:leader="none" w:pos="38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 securities, or a portion thereof, are not 1) pledged as collateral under the Credit Facility and held through Funding I; or, 2) securing the 2031 Asset-Backed Debt (See Note 10) and held through PennantPark CLO I, Ltd.</w:t>
      </w:r>
    </w:p>
    <w:p>
      <w:pPr>
        <w:spacing w:after="0" w:line="8" w:lineRule="exact"/>
        <w:rPr>
          <w:rFonts w:ascii="Arial" w:cs="Arial" w:eastAsia="Arial" w:hAnsi="Arial"/>
          <w:sz w:val="11"/>
          <w:szCs w:val="11"/>
          <w:color w:val="auto"/>
        </w:rPr>
      </w:pP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Investment is held through our Taxable Subsidiary (See Note 1).</w:t>
      </w:r>
    </w:p>
    <w:p>
      <w:pPr>
        <w:ind w:left="380" w:hanging="372"/>
        <w:spacing w:after="0"/>
        <w:tabs>
          <w:tab w:leader="none" w:pos="380" w:val="left"/>
        </w:tabs>
        <w:numPr>
          <w:ilvl w:val="0"/>
          <w:numId w:val="3"/>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80" w:right="20" w:hanging="372"/>
        <w:spacing w:after="0" w:line="237"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March 31, 2021, qualifying assets represent 81% of our total assets and non-qualifying assets represent 19% of our total assets.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2020</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Basis Point</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3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5"/>
              </w:rPr>
              <w:t>Spread</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3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3"/>
              </w:rPr>
              <w:t>Above</w:t>
            </w:r>
          </w:p>
        </w:tc>
        <w:tc>
          <w:tcPr>
            <w:tcW w:w="66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b w:val="1"/>
                <w:bCs w:val="1"/>
                <w:color w:val="auto"/>
              </w:rPr>
              <w:t>Issuer Name</w:t>
            </w:r>
          </w:p>
        </w:tc>
        <w:tc>
          <w:tcPr>
            <w:tcW w:w="800" w:type="dxa"/>
            <w:vAlign w:val="bottom"/>
          </w:tcPr>
          <w:p>
            <w:pPr>
              <w:jc w:val="center"/>
              <w:ind w:left="46"/>
              <w:spacing w:after="0"/>
              <w:rPr>
                <w:sz w:val="20"/>
                <w:szCs w:val="20"/>
                <w:color w:val="auto"/>
              </w:rPr>
            </w:pPr>
            <w:r>
              <w:rPr>
                <w:rFonts w:ascii="Arial" w:cs="Arial" w:eastAsia="Arial" w:hAnsi="Arial"/>
                <w:sz w:val="11"/>
                <w:szCs w:val="11"/>
                <w:b w:val="1"/>
                <w:bCs w:val="1"/>
                <w:color w:val="auto"/>
                <w:w w:val="98"/>
              </w:rPr>
              <w:t>Maturity</w:t>
            </w:r>
          </w:p>
        </w:tc>
        <w:tc>
          <w:tcPr>
            <w:tcW w:w="25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2"/>
              </w:rPr>
              <w:t>Industry</w:t>
            </w:r>
          </w:p>
        </w:tc>
        <w:tc>
          <w:tcPr>
            <w:tcW w:w="94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Coupon</w:t>
            </w:r>
          </w:p>
        </w:tc>
        <w:tc>
          <w:tcPr>
            <w:tcW w:w="9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660" w:type="dxa"/>
            <w:vAlign w:val="bottom"/>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40" w:type="dxa"/>
            <w:vAlign w:val="bottom"/>
          </w:tcPr>
          <w:p>
            <w:pPr>
              <w:spacing w:after="0"/>
              <w:rPr>
                <w:sz w:val="11"/>
                <w:szCs w:val="11"/>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9"/>
                <w:szCs w:val="9"/>
                <w:b w:val="1"/>
                <w:bCs w:val="1"/>
                <w:color w:val="auto"/>
                <w:w w:val="92"/>
              </w:rPr>
              <w:t>(2)</w:t>
            </w:r>
          </w:p>
        </w:tc>
      </w:tr>
      <w:tr>
        <w:trPr>
          <w:trHeight w:val="128"/>
        </w:trPr>
        <w:tc>
          <w:tcPr>
            <w:tcW w:w="416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1"/>
                <w:szCs w:val="11"/>
                <w:b w:val="1"/>
                <w:bCs w:val="1"/>
                <w:color w:val="auto"/>
                <w:w w:val="96"/>
              </w:rPr>
              <w:t xml:space="preserve">Investments in Non-Controlled, Non-Affiliated Portfolio Companies—190.8% </w:t>
            </w:r>
            <w:r>
              <w:rPr>
                <w:rFonts w:ascii="Arial" w:cs="Arial" w:eastAsia="Arial" w:hAnsi="Arial"/>
                <w:sz w:val="9"/>
                <w:szCs w:val="9"/>
                <w:b w:val="1"/>
                <w:bCs w:val="1"/>
                <w:color w:val="auto"/>
                <w:w w:val="96"/>
              </w:rPr>
              <w:t>(3), (4)</w:t>
            </w:r>
          </w:p>
        </w:tc>
        <w:tc>
          <w:tcPr>
            <w:tcW w:w="246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b w:val="1"/>
                <w:bCs w:val="1"/>
                <w:color w:val="auto"/>
              </w:rPr>
              <w:t>First Lien Secured Debt—175.5%</w:t>
            </w:r>
          </w:p>
        </w:tc>
        <w:tc>
          <w:tcPr>
            <w:tcW w:w="8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18 Freemont Street Acquisition,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08/11/2025</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7"/>
              </w:rPr>
              <w:t>Hotels, Restaurants and Leisure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L+800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6,697,697</w:t>
            </w:r>
          </w:p>
        </w:tc>
        <w:tc>
          <w:tcPr>
            <w:tcW w:w="36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6,581,574</w:t>
            </w:r>
          </w:p>
        </w:tc>
        <w:tc>
          <w:tcPr>
            <w:tcW w:w="360" w:type="dxa"/>
            <w:vAlign w:val="bottom"/>
            <w:gridSpan w:val="2"/>
            <w:shd w:val="clear" w:color="auto" w:fill="CCECFF"/>
          </w:tcPr>
          <w:p>
            <w:pPr>
              <w:jc w:val="right"/>
              <w:ind w:right="6"/>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6,362,812</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Advantage Sales &amp; Marketing</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07/23/2021</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Food and Staples Retailing</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4.25%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L+325</w:t>
            </w:r>
          </w:p>
        </w:tc>
        <w:tc>
          <w:tcPr>
            <w:tcW w:w="660" w:type="dxa"/>
            <w:vAlign w:val="bottom"/>
          </w:tcPr>
          <w:p>
            <w:pPr>
              <w:jc w:val="right"/>
              <w:spacing w:after="0"/>
              <w:rPr>
                <w:sz w:val="20"/>
                <w:szCs w:val="20"/>
                <w:color w:val="auto"/>
              </w:rPr>
            </w:pPr>
            <w:r>
              <w:rPr>
                <w:rFonts w:ascii="Arial" w:cs="Arial" w:eastAsia="Arial" w:hAnsi="Arial"/>
                <w:sz w:val="11"/>
                <w:szCs w:val="11"/>
                <w:color w:val="auto"/>
              </w:rPr>
              <w:t>3,158,375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3,084,907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3,095,997</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Altamira Technologies,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07/24/2025</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6,313,001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6,233,142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6,092,046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Altamira Technologies, LLC (Revolver) </w:t>
            </w:r>
            <w:r>
              <w:rPr>
                <w:rFonts w:ascii="Arial" w:cs="Arial" w:eastAsia="Arial" w:hAnsi="Arial"/>
                <w:sz w:val="9"/>
                <w:szCs w:val="9"/>
                <w:color w:val="auto"/>
              </w:rPr>
              <w:t>(7)</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07/24/2025</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L+600</w:t>
            </w:r>
          </w:p>
        </w:tc>
        <w:tc>
          <w:tcPr>
            <w:tcW w:w="660" w:type="dxa"/>
            <w:vAlign w:val="bottom"/>
          </w:tcPr>
          <w:p>
            <w:pPr>
              <w:jc w:val="right"/>
              <w:spacing w:after="0"/>
              <w:rPr>
                <w:sz w:val="20"/>
                <w:szCs w:val="20"/>
                <w:color w:val="auto"/>
              </w:rPr>
            </w:pPr>
            <w:r>
              <w:rPr>
                <w:rFonts w:ascii="Arial" w:cs="Arial" w:eastAsia="Arial" w:hAnsi="Arial"/>
                <w:sz w:val="11"/>
                <w:szCs w:val="11"/>
                <w:color w:val="auto"/>
              </w:rPr>
              <w:t>1,437,500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1,437,500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1,387,187</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Altamira Technologies, LLC (Revolver) </w:t>
            </w:r>
            <w:r>
              <w:rPr>
                <w:rFonts w:ascii="Arial" w:cs="Arial" w:eastAsia="Arial" w:hAnsi="Arial"/>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07/24/2025</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718,750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(25,156)</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American Auto Auction Group, LLC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01/02/2024</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Transportation: Consumer</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L+500</w:t>
            </w:r>
          </w:p>
        </w:tc>
        <w:tc>
          <w:tcPr>
            <w:tcW w:w="660" w:type="dxa"/>
            <w:vAlign w:val="bottom"/>
          </w:tcPr>
          <w:p>
            <w:pPr>
              <w:jc w:val="right"/>
              <w:spacing w:after="0"/>
              <w:rPr>
                <w:sz w:val="20"/>
                <w:szCs w:val="20"/>
                <w:color w:val="auto"/>
              </w:rPr>
            </w:pPr>
            <w:r>
              <w:rPr>
                <w:rFonts w:ascii="Arial" w:cs="Arial" w:eastAsia="Arial" w:hAnsi="Arial"/>
                <w:sz w:val="11"/>
                <w:szCs w:val="11"/>
                <w:color w:val="auto"/>
              </w:rPr>
              <w:t>7,385,098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7,317,949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7,163,545</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American Insulated Glass,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12/21/2023</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1"/>
              </w:rPr>
              <w:t>Building Products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14,775,105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14,574,748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14,479,603</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American Teleconferencing Services, Ltd.</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06/08/2023</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L+650</w:t>
            </w:r>
          </w:p>
        </w:tc>
        <w:tc>
          <w:tcPr>
            <w:tcW w:w="660" w:type="dxa"/>
            <w:vAlign w:val="bottom"/>
          </w:tcPr>
          <w:p>
            <w:pPr>
              <w:jc w:val="right"/>
              <w:spacing w:after="0"/>
              <w:rPr>
                <w:sz w:val="20"/>
                <w:szCs w:val="20"/>
                <w:color w:val="auto"/>
              </w:rPr>
            </w:pPr>
            <w:r>
              <w:rPr>
                <w:rFonts w:ascii="Arial" w:cs="Arial" w:eastAsia="Arial" w:hAnsi="Arial"/>
                <w:sz w:val="11"/>
                <w:szCs w:val="11"/>
                <w:color w:val="auto"/>
              </w:rPr>
              <w:t>9,651,242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9,550,005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8,203,555</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Apex Service Partners,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07/31/2025</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7"/>
              </w:rPr>
              <w:t>Energy Equipment and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6,978,475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6,920,667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6,769,121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Apex Service Partners, LLC </w:t>
            </w:r>
            <w:r>
              <w:rPr>
                <w:rFonts w:ascii="Arial" w:cs="Arial" w:eastAsia="Arial" w:hAnsi="Arial"/>
                <w:sz w:val="9"/>
                <w:szCs w:val="9"/>
                <w:color w:val="auto"/>
              </w:rPr>
              <w:t>(7), (9)</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07/31/2021</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7"/>
              </w:rPr>
              <w:t>Energy Equipment and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1,198,613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(35,958)</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API Technologies Corp.</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05/11/2026</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4.40%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L+425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5,925,000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5,897,574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5,776,875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BEI Precision Systems &amp; Space Company, Inc.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04/28/2023</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tcPr>
          <w:p>
            <w:pPr>
              <w:jc w:val="right"/>
              <w:spacing w:after="0"/>
              <w:rPr>
                <w:sz w:val="20"/>
                <w:szCs w:val="20"/>
                <w:color w:val="auto"/>
              </w:rPr>
            </w:pPr>
            <w:r>
              <w:rPr>
                <w:rFonts w:ascii="Arial" w:cs="Arial" w:eastAsia="Arial" w:hAnsi="Arial"/>
                <w:sz w:val="11"/>
                <w:szCs w:val="11"/>
                <w:color w:val="auto"/>
              </w:rPr>
              <w:t>11,610,000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11,527,096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11,493,900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By Light Professional IT Services,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05/16/2022</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28,863,220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28,711,219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28,574,588</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By Light Professional IT Services, LLC (Revolver)</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05/16/2022</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7.25%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L+625</w:t>
            </w:r>
          </w:p>
        </w:tc>
        <w:tc>
          <w:tcPr>
            <w:tcW w:w="660" w:type="dxa"/>
            <w:vAlign w:val="bottom"/>
          </w:tcPr>
          <w:p>
            <w:pPr>
              <w:jc w:val="right"/>
              <w:spacing w:after="0"/>
              <w:rPr>
                <w:sz w:val="20"/>
                <w:szCs w:val="20"/>
                <w:color w:val="auto"/>
              </w:rPr>
            </w:pPr>
            <w:r>
              <w:rPr>
                <w:rFonts w:ascii="Arial" w:cs="Arial" w:eastAsia="Arial" w:hAnsi="Arial"/>
                <w:sz w:val="11"/>
                <w:szCs w:val="11"/>
                <w:color w:val="auto"/>
              </w:rPr>
              <w:t>2,504,092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2,504,092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2,479,051</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By Light Professional IT Services, LLC (Revolver) </w:t>
            </w:r>
            <w:r>
              <w:rPr>
                <w:rFonts w:ascii="Arial" w:cs="Arial" w:eastAsia="Arial" w:hAnsi="Arial"/>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05/16/2022</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558,511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(5,585)</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Cadence Aerospace, LLC </w:t>
            </w:r>
            <w:r>
              <w:rPr>
                <w:rFonts w:ascii="Arial" w:cs="Arial" w:eastAsia="Arial" w:hAnsi="Arial"/>
                <w:sz w:val="9"/>
                <w:szCs w:val="9"/>
                <w:color w:val="auto"/>
              </w:rPr>
              <w:t>(7)</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11/14/2023</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9.50%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L+650</w:t>
            </w:r>
          </w:p>
        </w:tc>
        <w:tc>
          <w:tcPr>
            <w:tcW w:w="660" w:type="dxa"/>
            <w:vAlign w:val="bottom"/>
          </w:tcPr>
          <w:p>
            <w:pPr>
              <w:jc w:val="right"/>
              <w:spacing w:after="0"/>
              <w:rPr>
                <w:sz w:val="20"/>
                <w:szCs w:val="20"/>
                <w:color w:val="auto"/>
              </w:rPr>
            </w:pPr>
            <w:r>
              <w:rPr>
                <w:rFonts w:ascii="Arial" w:cs="Arial" w:eastAsia="Arial" w:hAnsi="Arial"/>
                <w:sz w:val="11"/>
                <w:szCs w:val="11"/>
                <w:color w:val="auto"/>
              </w:rPr>
              <w:t>2,884,399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2,860,365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2,767,292</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Cano Health,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06/02/2025</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L+750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14,882,169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14,771,615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14,993,786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Cardenas Markets LLC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11/29/2023</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L+575</w:t>
            </w:r>
          </w:p>
        </w:tc>
        <w:tc>
          <w:tcPr>
            <w:tcW w:w="660" w:type="dxa"/>
            <w:vAlign w:val="bottom"/>
          </w:tcPr>
          <w:p>
            <w:pPr>
              <w:jc w:val="right"/>
              <w:spacing w:after="0"/>
              <w:rPr>
                <w:sz w:val="20"/>
                <w:szCs w:val="20"/>
                <w:color w:val="auto"/>
              </w:rPr>
            </w:pPr>
            <w:r>
              <w:rPr>
                <w:rFonts w:ascii="Arial" w:cs="Arial" w:eastAsia="Arial" w:hAnsi="Arial"/>
                <w:sz w:val="11"/>
                <w:szCs w:val="11"/>
                <w:color w:val="auto"/>
              </w:rPr>
              <w:t>3,795,450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3,798,714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3,795,450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Centauri Group Holdings,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02/12/2024</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3,248,900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3,244,298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3,232,655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CHA Holdings, Inc.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04/10/2025</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90"/>
              </w:rPr>
              <w:t>Environmental Industries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L+450</w:t>
            </w:r>
          </w:p>
        </w:tc>
        <w:tc>
          <w:tcPr>
            <w:tcW w:w="660" w:type="dxa"/>
            <w:vAlign w:val="bottom"/>
          </w:tcPr>
          <w:p>
            <w:pPr>
              <w:jc w:val="right"/>
              <w:spacing w:after="0"/>
              <w:rPr>
                <w:sz w:val="20"/>
                <w:szCs w:val="20"/>
                <w:color w:val="auto"/>
              </w:rPr>
            </w:pPr>
            <w:r>
              <w:rPr>
                <w:rFonts w:ascii="Arial" w:cs="Arial" w:eastAsia="Arial" w:hAnsi="Arial"/>
                <w:sz w:val="11"/>
                <w:szCs w:val="11"/>
                <w:color w:val="auto"/>
              </w:rPr>
              <w:t>7,291,746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7,267,251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7,145,911</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Challenger Performance Optimization, Inc. (Revolver) </w:t>
            </w:r>
            <w:r>
              <w:rPr>
                <w:rFonts w:ascii="Arial" w:cs="Arial" w:eastAsia="Arial" w:hAnsi="Arial"/>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08/31/2023</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711,447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(49,801)</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Compex Legal Services, Inc.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02/09/2026</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tcPr>
          <w:p>
            <w:pPr>
              <w:jc w:val="right"/>
              <w:spacing w:after="0"/>
              <w:rPr>
                <w:sz w:val="20"/>
                <w:szCs w:val="20"/>
                <w:color w:val="auto"/>
              </w:rPr>
            </w:pPr>
            <w:r>
              <w:rPr>
                <w:rFonts w:ascii="Arial" w:cs="Arial" w:eastAsia="Arial" w:hAnsi="Arial"/>
                <w:sz w:val="11"/>
                <w:szCs w:val="11"/>
                <w:color w:val="auto"/>
              </w:rPr>
              <w:t>7,730,621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7,582,329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7,589,151</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Compex Legal Services, Inc. </w:t>
            </w:r>
            <w:r>
              <w:rPr>
                <w:rFonts w:ascii="Arial" w:cs="Arial" w:eastAsia="Arial" w:hAnsi="Arial"/>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02/08/2021</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3,322,470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(27,576)</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Compex Legal Services, Inc. (Revolver) </w:t>
            </w:r>
            <w:r>
              <w:rPr>
                <w:rFonts w:ascii="Arial" w:cs="Arial" w:eastAsia="Arial" w:hAnsi="Arial"/>
                <w:sz w:val="9"/>
                <w:szCs w:val="9"/>
                <w:color w:val="auto"/>
              </w:rPr>
              <w:t>(7)</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02/07/2025</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tcPr>
          <w:p>
            <w:pPr>
              <w:jc w:val="right"/>
              <w:spacing w:after="0"/>
              <w:rPr>
                <w:sz w:val="20"/>
                <w:szCs w:val="20"/>
                <w:color w:val="auto"/>
              </w:rPr>
            </w:pPr>
            <w:r>
              <w:rPr>
                <w:rFonts w:ascii="Arial" w:cs="Arial" w:eastAsia="Arial" w:hAnsi="Arial"/>
                <w:sz w:val="11"/>
                <w:szCs w:val="11"/>
                <w:color w:val="auto"/>
              </w:rPr>
              <w:t>983,962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983,962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965,956</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Compex Legal Services, Inc. (Revolver) </w:t>
            </w:r>
            <w:r>
              <w:rPr>
                <w:rFonts w:ascii="Arial" w:cs="Arial" w:eastAsia="Arial" w:hAnsi="Arial"/>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02/07/2025</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421,698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(7,717)</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Confluent Health, LLC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06/24/2026</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7"/>
              </w:rPr>
              <w:t>Health Providers and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5.15%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L+500</w:t>
            </w:r>
          </w:p>
        </w:tc>
        <w:tc>
          <w:tcPr>
            <w:tcW w:w="660" w:type="dxa"/>
            <w:vAlign w:val="bottom"/>
          </w:tcPr>
          <w:p>
            <w:pPr>
              <w:jc w:val="right"/>
              <w:spacing w:after="0"/>
              <w:rPr>
                <w:sz w:val="20"/>
                <w:szCs w:val="20"/>
                <w:color w:val="auto"/>
              </w:rPr>
            </w:pPr>
            <w:r>
              <w:rPr>
                <w:rFonts w:ascii="Arial" w:cs="Arial" w:eastAsia="Arial" w:hAnsi="Arial"/>
                <w:sz w:val="11"/>
                <w:szCs w:val="11"/>
                <w:color w:val="auto"/>
              </w:rPr>
              <w:t>3,950,000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3,913,661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3,890,750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Datalot Inc.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01/24/2025</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Insurance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15,257,804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14,979,266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15,276,113</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Datalot Inc. (Revolver) </w:t>
            </w:r>
            <w:r>
              <w:rPr>
                <w:rFonts w:ascii="Arial" w:cs="Arial" w:eastAsia="Arial" w:hAnsi="Arial"/>
                <w:sz w:val="9"/>
                <w:szCs w:val="9"/>
                <w:color w:val="auto"/>
              </w:rPr>
              <w:t>(7)</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01/24/2025</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Insurance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6.25%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L+525</w:t>
            </w:r>
          </w:p>
        </w:tc>
        <w:tc>
          <w:tcPr>
            <w:tcW w:w="660" w:type="dxa"/>
            <w:vAlign w:val="bottom"/>
          </w:tcPr>
          <w:p>
            <w:pPr>
              <w:jc w:val="right"/>
              <w:spacing w:after="0"/>
              <w:rPr>
                <w:sz w:val="20"/>
                <w:szCs w:val="20"/>
                <w:color w:val="auto"/>
              </w:rPr>
            </w:pPr>
            <w:r>
              <w:rPr>
                <w:rFonts w:ascii="Arial" w:cs="Arial" w:eastAsia="Arial" w:hAnsi="Arial"/>
                <w:sz w:val="11"/>
                <w:szCs w:val="11"/>
                <w:color w:val="auto"/>
              </w:rPr>
              <w:t>3,833,619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3,833,619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3,838,219</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Digital Room Holdings, Inc.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05/22/2026</w:t>
            </w:r>
          </w:p>
        </w:tc>
        <w:tc>
          <w:tcPr>
            <w:tcW w:w="2580" w:type="dxa"/>
            <w:vAlign w:val="bottom"/>
            <w:gridSpan w:val="2"/>
            <w:shd w:val="clear" w:color="auto" w:fill="CCECFF"/>
          </w:tcPr>
          <w:p>
            <w:pPr>
              <w:jc w:val="center"/>
              <w:ind w:right="60"/>
              <w:spacing w:after="0"/>
              <w:rPr>
                <w:sz w:val="20"/>
                <w:szCs w:val="20"/>
                <w:color w:val="auto"/>
              </w:rPr>
            </w:pPr>
            <w:r>
              <w:rPr>
                <w:rFonts w:ascii="Arial" w:cs="Arial" w:eastAsia="Arial" w:hAnsi="Arial"/>
                <w:sz w:val="11"/>
                <w:szCs w:val="11"/>
                <w:color w:val="auto"/>
                <w:w w:val="91"/>
              </w:rPr>
              <w:t>Media: Advertising, Printing and Publishing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5.27%</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9,875,000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9,736,008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9,183,750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Douglas Products and Packaging Company LLC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10/19/2022</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8"/>
              </w:rPr>
              <w:t>Chemicals, Plastics and Rubber</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tcPr>
          <w:p>
            <w:pPr>
              <w:jc w:val="right"/>
              <w:spacing w:after="0"/>
              <w:rPr>
                <w:sz w:val="20"/>
                <w:szCs w:val="20"/>
                <w:color w:val="auto"/>
              </w:rPr>
            </w:pPr>
            <w:r>
              <w:rPr>
                <w:rFonts w:ascii="Arial" w:cs="Arial" w:eastAsia="Arial" w:hAnsi="Arial"/>
                <w:sz w:val="11"/>
                <w:szCs w:val="11"/>
                <w:color w:val="auto"/>
              </w:rPr>
              <w:t>6,612,916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6,553,834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6,513,722</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Douglas Products and Packaging Company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10/19/2022</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8"/>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P+475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3,220,196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3,220,196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3,171,893</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(Revolver)</w:t>
            </w:r>
          </w:p>
        </w:tc>
        <w:tc>
          <w:tcPr>
            <w:tcW w:w="800" w:type="dxa"/>
            <w:vAlign w:val="bottom"/>
            <w:shd w:val="clear" w:color="auto" w:fill="CCECFF"/>
          </w:tcPr>
          <w:p>
            <w:pPr>
              <w:spacing w:after="0"/>
              <w:rPr>
                <w:sz w:val="11"/>
                <w:szCs w:val="11"/>
                <w:color w:val="auto"/>
              </w:rPr>
            </w:pPr>
          </w:p>
        </w:tc>
        <w:tc>
          <w:tcPr>
            <w:tcW w:w="24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Douglas Products and Packaging Company LLC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10/19/2022</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8"/>
              </w:rPr>
              <w:t>Chemicals, Plastics and Rubber</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1,170,980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(17,565)</w:t>
            </w:r>
          </w:p>
        </w:tc>
      </w:tr>
      <w:tr>
        <w:trPr>
          <w:trHeight w:val="131"/>
        </w:trPr>
        <w:tc>
          <w:tcPr>
            <w:tcW w:w="3360" w:type="dxa"/>
            <w:vAlign w:val="bottom"/>
          </w:tcPr>
          <w:p>
            <w:pPr>
              <w:ind w:left="140"/>
              <w:spacing w:after="0"/>
              <w:rPr>
                <w:sz w:val="20"/>
                <w:szCs w:val="20"/>
                <w:color w:val="auto"/>
              </w:rPr>
            </w:pPr>
            <w:r>
              <w:rPr>
                <w:rFonts w:ascii="Arial" w:cs="Arial" w:eastAsia="Arial" w:hAnsi="Arial"/>
                <w:sz w:val="11"/>
                <w:szCs w:val="11"/>
                <w:color w:val="auto"/>
              </w:rPr>
              <w:t xml:space="preserve">(Revolver) </w:t>
            </w:r>
            <w:r>
              <w:rPr>
                <w:rFonts w:ascii="Arial" w:cs="Arial" w:eastAsia="Arial" w:hAnsi="Arial"/>
                <w:sz w:val="9"/>
                <w:szCs w:val="9"/>
                <w:color w:val="auto"/>
              </w:rPr>
              <w:t>(7), (9)</w:t>
            </w:r>
          </w:p>
        </w:tc>
        <w:tc>
          <w:tcPr>
            <w:tcW w:w="8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Douglas Sewer Intermediate,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10/19/2022</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8"/>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3,021,798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3,008,407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2,976,471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DRS Holdings III, Inc.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11/03/2025</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Personal Products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tcPr>
          <w:p>
            <w:pPr>
              <w:jc w:val="right"/>
              <w:spacing w:after="0"/>
              <w:rPr>
                <w:sz w:val="20"/>
                <w:szCs w:val="20"/>
                <w:color w:val="auto"/>
              </w:rPr>
            </w:pPr>
            <w:r>
              <w:rPr>
                <w:rFonts w:ascii="Arial" w:cs="Arial" w:eastAsia="Arial" w:hAnsi="Arial"/>
                <w:sz w:val="11"/>
                <w:szCs w:val="11"/>
                <w:color w:val="auto"/>
              </w:rPr>
              <w:t>4,962,500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4,918,144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4,871,686</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DRS Holdings III, Inc. (Revolver) </w:t>
            </w:r>
            <w:r>
              <w:rPr>
                <w:rFonts w:ascii="Arial" w:cs="Arial" w:eastAsia="Arial" w:hAnsi="Arial"/>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11/03/2025</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Personal Products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903,716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(16,538)</w:t>
            </w: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East Valley Tourist Development Authority</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03/07/2022</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90"/>
              </w:rPr>
              <w:t>Hotel, Gaming and Leisure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9.00%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L+800</w:t>
            </w:r>
          </w:p>
        </w:tc>
        <w:tc>
          <w:tcPr>
            <w:tcW w:w="660" w:type="dxa"/>
            <w:vAlign w:val="bottom"/>
          </w:tcPr>
          <w:p>
            <w:pPr>
              <w:jc w:val="right"/>
              <w:spacing w:after="0"/>
              <w:rPr>
                <w:sz w:val="20"/>
                <w:szCs w:val="20"/>
                <w:color w:val="auto"/>
              </w:rPr>
            </w:pPr>
            <w:r>
              <w:rPr>
                <w:rFonts w:ascii="Arial" w:cs="Arial" w:eastAsia="Arial" w:hAnsi="Arial"/>
                <w:sz w:val="11"/>
                <w:szCs w:val="11"/>
                <w:color w:val="auto"/>
              </w:rPr>
              <w:t>19,039,079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18,917,984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18,467,906</w:t>
            </w:r>
          </w:p>
        </w:tc>
        <w:tc>
          <w:tcPr>
            <w:tcW w:w="120" w:type="dxa"/>
            <w:vAlign w:val="bottom"/>
          </w:tcPr>
          <w:p>
            <w:pPr>
              <w:spacing w:after="0"/>
              <w:rPr>
                <w:sz w:val="12"/>
                <w:szCs w:val="12"/>
                <w:color w:val="auto"/>
              </w:rPr>
            </w:pPr>
          </w:p>
        </w:tc>
      </w:tr>
      <w:tr>
        <w:trPr>
          <w:trHeight w:val="131"/>
        </w:trPr>
        <w:tc>
          <w:tcPr>
            <w:tcW w:w="3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(PIK 3.50%)</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ECM Industries,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12/23/2025</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L+450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5,075,958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5,028,206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5,050,578</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ECM Industries, LLC (Revolver)</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12/23/2025</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L+450</w:t>
            </w:r>
          </w:p>
        </w:tc>
        <w:tc>
          <w:tcPr>
            <w:tcW w:w="660" w:type="dxa"/>
            <w:vAlign w:val="bottom"/>
          </w:tcPr>
          <w:p>
            <w:pPr>
              <w:jc w:val="right"/>
              <w:spacing w:after="0"/>
              <w:rPr>
                <w:sz w:val="20"/>
                <w:szCs w:val="20"/>
                <w:color w:val="auto"/>
              </w:rPr>
            </w:pPr>
            <w:r>
              <w:rPr>
                <w:rFonts w:ascii="Arial" w:cs="Arial" w:eastAsia="Arial" w:hAnsi="Arial"/>
                <w:sz w:val="11"/>
                <w:szCs w:val="11"/>
                <w:color w:val="auto"/>
              </w:rPr>
              <w:t>914,415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914,415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902,345</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eCommission Financial Services, Inc. </w:t>
            </w:r>
            <w:r>
              <w:rPr>
                <w:rFonts w:ascii="Arial" w:cs="Arial" w:eastAsia="Arial" w:hAnsi="Arial"/>
                <w:sz w:val="9"/>
                <w:szCs w:val="9"/>
                <w:color w:val="auto"/>
              </w:rPr>
              <w:t>(10)</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10/05/2023</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8"/>
              </w:rPr>
              <w:t>Banking, Finance, Insurance &amp; Real Estate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16,131,250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16,131,250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15,889,281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eCommission Financial Services, Inc. (Revolver) </w:t>
            </w:r>
            <w:r>
              <w:rPr>
                <w:rFonts w:ascii="Arial" w:cs="Arial" w:eastAsia="Arial" w:hAnsi="Arial"/>
                <w:sz w:val="9"/>
                <w:szCs w:val="9"/>
                <w:color w:val="auto"/>
              </w:rPr>
              <w:t>(7), (9), (10)</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10/05/2023</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8"/>
              </w:rPr>
              <w:t>Banking, Finance, Insurance &amp; Real Estate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5,000,000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(75,000)</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Education Networks of America, Inc.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05/06/2021</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10.00%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L+925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9,985,621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9,985,621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9,985,621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24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4.75%)</w:t>
            </w: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Education Networks of America, Inc. (Revolver)</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05/06/2021</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10.00%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L+925</w:t>
            </w:r>
          </w:p>
        </w:tc>
        <w:tc>
          <w:tcPr>
            <w:tcW w:w="660" w:type="dxa"/>
            <w:vAlign w:val="bottom"/>
          </w:tcPr>
          <w:p>
            <w:pPr>
              <w:jc w:val="right"/>
              <w:spacing w:after="0"/>
              <w:rPr>
                <w:sz w:val="20"/>
                <w:szCs w:val="20"/>
                <w:color w:val="auto"/>
              </w:rPr>
            </w:pPr>
            <w:r>
              <w:rPr>
                <w:rFonts w:ascii="Arial" w:cs="Arial" w:eastAsia="Arial" w:hAnsi="Arial"/>
                <w:sz w:val="11"/>
                <w:szCs w:val="11"/>
                <w:color w:val="auto"/>
              </w:rPr>
              <w:t>2,243,444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2,243,444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2,243,444</w:t>
            </w:r>
          </w:p>
        </w:tc>
        <w:tc>
          <w:tcPr>
            <w:tcW w:w="120" w:type="dxa"/>
            <w:vAlign w:val="bottom"/>
          </w:tcPr>
          <w:p>
            <w:pPr>
              <w:spacing w:after="0"/>
              <w:rPr>
                <w:sz w:val="12"/>
                <w:szCs w:val="12"/>
                <w:color w:val="auto"/>
              </w:rPr>
            </w:pPr>
          </w:p>
        </w:tc>
      </w:tr>
      <w:tr>
        <w:trPr>
          <w:trHeight w:val="131"/>
        </w:trPr>
        <w:tc>
          <w:tcPr>
            <w:tcW w:w="3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(PIK 4.75%)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Efficient Collaborative Retail Marketing Company,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06/15/2022</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1"/>
              </w:rPr>
              <w:t>Media: Diversified and Production</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7.75%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7,189,139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7,168,054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6,937,519</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Empire Resorts, Inc.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03/22/2021</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90"/>
              </w:rPr>
              <w:t>Hotel, Gaming and Leisure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2.89%</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L+225</w:t>
            </w:r>
          </w:p>
        </w:tc>
        <w:tc>
          <w:tcPr>
            <w:tcW w:w="660" w:type="dxa"/>
            <w:vAlign w:val="bottom"/>
          </w:tcPr>
          <w:p>
            <w:pPr>
              <w:jc w:val="right"/>
              <w:spacing w:after="0"/>
              <w:rPr>
                <w:sz w:val="20"/>
                <w:szCs w:val="20"/>
                <w:color w:val="auto"/>
              </w:rPr>
            </w:pPr>
            <w:r>
              <w:rPr>
                <w:rFonts w:ascii="Arial" w:cs="Arial" w:eastAsia="Arial" w:hAnsi="Arial"/>
                <w:sz w:val="11"/>
                <w:szCs w:val="11"/>
                <w:color w:val="auto"/>
              </w:rPr>
              <w:t>7,500,000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7,471,938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7,425,000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FlexPrint,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01/02/2024</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7.12%</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L+684</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4,975,898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4,916,661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4,839,060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FlexPrint, LLC </w:t>
            </w:r>
            <w:r>
              <w:rPr>
                <w:rFonts w:ascii="Arial" w:cs="Arial" w:eastAsia="Arial" w:hAnsi="Arial"/>
                <w:sz w:val="9"/>
                <w:szCs w:val="9"/>
                <w:color w:val="auto"/>
              </w:rPr>
              <w:t>(7), (9)</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12/31/2020</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3,077,342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(61,547)</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GCOM Software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11/14/2022</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7.75%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13,707,757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13,504,876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13,707,757</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GCOM Software LLC (Revolver)</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11/14/2022</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8.75%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L+550</w:t>
            </w:r>
          </w:p>
        </w:tc>
        <w:tc>
          <w:tcPr>
            <w:tcW w:w="660" w:type="dxa"/>
            <w:vAlign w:val="bottom"/>
          </w:tcPr>
          <w:p>
            <w:pPr>
              <w:jc w:val="right"/>
              <w:spacing w:after="0"/>
              <w:rPr>
                <w:sz w:val="20"/>
                <w:szCs w:val="20"/>
                <w:color w:val="auto"/>
              </w:rPr>
            </w:pPr>
            <w:r>
              <w:rPr>
                <w:rFonts w:ascii="Arial" w:cs="Arial" w:eastAsia="Arial" w:hAnsi="Arial"/>
                <w:sz w:val="11"/>
                <w:szCs w:val="11"/>
                <w:color w:val="auto"/>
              </w:rPr>
              <w:t>2,133,333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2,133,333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2,133,333</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GCOM Software LLC (Revolver) </w:t>
            </w:r>
            <w:r>
              <w:rPr>
                <w:rFonts w:ascii="Arial" w:cs="Arial" w:eastAsia="Arial" w:hAnsi="Arial"/>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11/14/2022</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533,333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Good2Grow LLC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11/18/2024</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7"/>
              </w:rPr>
              <w:t>Beverages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5.25%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L+425</w:t>
            </w:r>
          </w:p>
        </w:tc>
        <w:tc>
          <w:tcPr>
            <w:tcW w:w="660" w:type="dxa"/>
            <w:vAlign w:val="bottom"/>
          </w:tcPr>
          <w:p>
            <w:pPr>
              <w:jc w:val="right"/>
              <w:spacing w:after="0"/>
              <w:rPr>
                <w:sz w:val="20"/>
                <w:szCs w:val="20"/>
                <w:color w:val="auto"/>
              </w:rPr>
            </w:pPr>
            <w:r>
              <w:rPr>
                <w:rFonts w:ascii="Arial" w:cs="Arial" w:eastAsia="Arial" w:hAnsi="Arial"/>
                <w:sz w:val="11"/>
                <w:szCs w:val="11"/>
                <w:color w:val="auto"/>
              </w:rPr>
              <w:t>5,699,510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5,657,300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5,656,763</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Good2Grow LLC (Revolver) </w:t>
            </w:r>
            <w:r>
              <w:rPr>
                <w:rFonts w:ascii="Arial" w:cs="Arial" w:eastAsia="Arial" w:hAnsi="Arial"/>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11/16/2023</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7"/>
              </w:rPr>
              <w:t>Beverages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3,137,000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(23,528)</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GSM Holdings, Inc.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06/03/2024</w:t>
            </w:r>
          </w:p>
        </w:tc>
        <w:tc>
          <w:tcPr>
            <w:tcW w:w="2580" w:type="dxa"/>
            <w:vAlign w:val="bottom"/>
            <w:gridSpan w:val="2"/>
          </w:tcPr>
          <w:p>
            <w:pPr>
              <w:jc w:val="center"/>
              <w:ind w:right="60"/>
              <w:spacing w:after="0"/>
              <w:rPr>
                <w:sz w:val="20"/>
                <w:szCs w:val="20"/>
                <w:color w:val="auto"/>
              </w:rPr>
            </w:pPr>
            <w:r>
              <w:rPr>
                <w:rFonts w:ascii="Arial" w:cs="Arial" w:eastAsia="Arial" w:hAnsi="Arial"/>
                <w:sz w:val="11"/>
                <w:szCs w:val="11"/>
                <w:color w:val="auto"/>
                <w:w w:val="88"/>
              </w:rPr>
              <w:t>Consumer Goods: Durable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L+450</w:t>
            </w:r>
          </w:p>
        </w:tc>
        <w:tc>
          <w:tcPr>
            <w:tcW w:w="660" w:type="dxa"/>
            <w:vAlign w:val="bottom"/>
          </w:tcPr>
          <w:p>
            <w:pPr>
              <w:jc w:val="right"/>
              <w:spacing w:after="0"/>
              <w:rPr>
                <w:sz w:val="20"/>
                <w:szCs w:val="20"/>
                <w:color w:val="auto"/>
              </w:rPr>
            </w:pPr>
            <w:r>
              <w:rPr>
                <w:rFonts w:ascii="Arial" w:cs="Arial" w:eastAsia="Arial" w:hAnsi="Arial"/>
                <w:sz w:val="11"/>
                <w:szCs w:val="11"/>
                <w:color w:val="auto"/>
              </w:rPr>
              <w:t>19,130,304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19,041,110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18,939,001</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GSM Holdings, Inc. (Revolver)</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06/03/2024</w:t>
            </w:r>
          </w:p>
        </w:tc>
        <w:tc>
          <w:tcPr>
            <w:tcW w:w="2580" w:type="dxa"/>
            <w:vAlign w:val="bottom"/>
            <w:gridSpan w:val="2"/>
            <w:shd w:val="clear" w:color="auto" w:fill="CCECFF"/>
          </w:tcPr>
          <w:p>
            <w:pPr>
              <w:jc w:val="center"/>
              <w:ind w:right="60"/>
              <w:spacing w:after="0"/>
              <w:rPr>
                <w:sz w:val="20"/>
                <w:szCs w:val="20"/>
                <w:color w:val="auto"/>
              </w:rPr>
            </w:pPr>
            <w:r>
              <w:rPr>
                <w:rFonts w:ascii="Arial" w:cs="Arial" w:eastAsia="Arial" w:hAnsi="Arial"/>
                <w:sz w:val="11"/>
                <w:szCs w:val="11"/>
                <w:color w:val="auto"/>
                <w:w w:val="88"/>
              </w:rPr>
              <w:t>Consumer Goods: Durable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L+450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7,126,484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7,126,484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7,055,219</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HW Holdco, LLC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12/10/2024</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Media</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L+450</w:t>
            </w:r>
          </w:p>
        </w:tc>
        <w:tc>
          <w:tcPr>
            <w:tcW w:w="660" w:type="dxa"/>
            <w:vAlign w:val="bottom"/>
          </w:tcPr>
          <w:p>
            <w:pPr>
              <w:jc w:val="right"/>
              <w:spacing w:after="0"/>
              <w:rPr>
                <w:sz w:val="20"/>
                <w:szCs w:val="20"/>
                <w:color w:val="auto"/>
              </w:rPr>
            </w:pPr>
            <w:r>
              <w:rPr>
                <w:rFonts w:ascii="Arial" w:cs="Arial" w:eastAsia="Arial" w:hAnsi="Arial"/>
                <w:sz w:val="11"/>
                <w:szCs w:val="11"/>
                <w:color w:val="auto"/>
              </w:rPr>
              <w:t>7,416,290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7,357,894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7,193,802</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HW Holdco, LLC (Revolver) </w:t>
            </w:r>
            <w:r>
              <w:rPr>
                <w:rFonts w:ascii="Arial" w:cs="Arial" w:eastAsia="Arial" w:hAnsi="Arial"/>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12/10/2024</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Media</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1,451,613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(43,548)</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IMIA Holdings, Inc. (Revolver) </w:t>
            </w:r>
            <w:r>
              <w:rPr>
                <w:rFonts w:ascii="Arial" w:cs="Arial" w:eastAsia="Arial" w:hAnsi="Arial"/>
                <w:sz w:val="9"/>
                <w:szCs w:val="9"/>
                <w:color w:val="auto"/>
              </w:rPr>
              <w:t>(7), (9)</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10/28/2024</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1,968,504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Impact Group,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06/27/2023</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Wholesale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8.37%</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L+737</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12,671,202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12,622,034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12,734,558</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Innova Medical Ophthalmics Inc. </w:t>
            </w:r>
            <w:r>
              <w:rPr>
                <w:rFonts w:ascii="Arial" w:cs="Arial" w:eastAsia="Arial" w:hAnsi="Arial"/>
                <w:sz w:val="9"/>
                <w:szCs w:val="9"/>
                <w:color w:val="auto"/>
              </w:rPr>
              <w:t>(5), (10)</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04/13/2023</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7.25%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L+625</w:t>
            </w:r>
          </w:p>
        </w:tc>
        <w:tc>
          <w:tcPr>
            <w:tcW w:w="660" w:type="dxa"/>
            <w:vAlign w:val="bottom"/>
          </w:tcPr>
          <w:p>
            <w:pPr>
              <w:jc w:val="right"/>
              <w:spacing w:after="0"/>
              <w:rPr>
                <w:sz w:val="20"/>
                <w:szCs w:val="20"/>
                <w:color w:val="auto"/>
              </w:rPr>
            </w:pPr>
            <w:r>
              <w:rPr>
                <w:rFonts w:ascii="Arial" w:cs="Arial" w:eastAsia="Arial" w:hAnsi="Arial"/>
                <w:sz w:val="11"/>
                <w:szCs w:val="11"/>
                <w:color w:val="auto"/>
              </w:rPr>
              <w:t>3,271,649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3,244,173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3,072,079</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Innova Medical Ophthalmics Inc. (Revolver) </w:t>
            </w:r>
            <w:r>
              <w:rPr>
                <w:rFonts w:ascii="Arial" w:cs="Arial" w:eastAsia="Arial" w:hAnsi="Arial"/>
                <w:sz w:val="9"/>
                <w:szCs w:val="9"/>
                <w:color w:val="auto"/>
              </w:rPr>
              <w:t>(5), (7), (10)</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04/13/2023</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530,973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530,973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498,584</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Integrative Nutrition, LLC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09/29/2023</w:t>
            </w:r>
          </w:p>
        </w:tc>
        <w:tc>
          <w:tcPr>
            <w:tcW w:w="2580" w:type="dxa"/>
            <w:vAlign w:val="bottom"/>
            <w:gridSpan w:val="2"/>
          </w:tcPr>
          <w:p>
            <w:pPr>
              <w:jc w:val="center"/>
              <w:ind w:right="60"/>
              <w:spacing w:after="0"/>
              <w:rPr>
                <w:sz w:val="20"/>
                <w:szCs w:val="20"/>
                <w:color w:val="auto"/>
              </w:rPr>
            </w:pPr>
            <w:r>
              <w:rPr>
                <w:rFonts w:ascii="Arial" w:cs="Arial" w:eastAsia="Arial" w:hAnsi="Arial"/>
                <w:sz w:val="11"/>
                <w:szCs w:val="11"/>
                <w:color w:val="auto"/>
                <w:w w:val="87"/>
              </w:rPr>
              <w:t>Consumer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5.75%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L+475</w:t>
            </w:r>
          </w:p>
        </w:tc>
        <w:tc>
          <w:tcPr>
            <w:tcW w:w="660" w:type="dxa"/>
            <w:vAlign w:val="bottom"/>
          </w:tcPr>
          <w:p>
            <w:pPr>
              <w:jc w:val="right"/>
              <w:spacing w:after="0"/>
              <w:rPr>
                <w:sz w:val="20"/>
                <w:szCs w:val="20"/>
                <w:color w:val="auto"/>
              </w:rPr>
            </w:pPr>
            <w:r>
              <w:rPr>
                <w:rFonts w:ascii="Arial" w:cs="Arial" w:eastAsia="Arial" w:hAnsi="Arial"/>
                <w:sz w:val="11"/>
                <w:szCs w:val="11"/>
                <w:color w:val="auto"/>
              </w:rPr>
              <w:t>22,173,199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22,028,349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21,840,601</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Integrative Nutrition, LLC (Revolver) </w:t>
            </w:r>
            <w:r>
              <w:rPr>
                <w:rFonts w:ascii="Arial" w:cs="Arial" w:eastAsia="Arial" w:hAnsi="Arial"/>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09/29/2023</w:t>
            </w:r>
          </w:p>
        </w:tc>
        <w:tc>
          <w:tcPr>
            <w:tcW w:w="2580" w:type="dxa"/>
            <w:vAlign w:val="bottom"/>
            <w:gridSpan w:val="2"/>
            <w:shd w:val="clear" w:color="auto" w:fill="CCECFF"/>
          </w:tcPr>
          <w:p>
            <w:pPr>
              <w:jc w:val="center"/>
              <w:ind w:right="60"/>
              <w:spacing w:after="0"/>
              <w:rPr>
                <w:sz w:val="20"/>
                <w:szCs w:val="20"/>
                <w:color w:val="auto"/>
              </w:rPr>
            </w:pPr>
            <w:r>
              <w:rPr>
                <w:rFonts w:ascii="Arial" w:cs="Arial" w:eastAsia="Arial" w:hAnsi="Arial"/>
                <w:sz w:val="11"/>
                <w:szCs w:val="11"/>
                <w:color w:val="auto"/>
                <w:w w:val="87"/>
              </w:rPr>
              <w:t>Consumer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(75,000)</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Inventus Power, Inc.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04/30/2021</w:t>
            </w:r>
          </w:p>
        </w:tc>
        <w:tc>
          <w:tcPr>
            <w:tcW w:w="2580" w:type="dxa"/>
            <w:vAlign w:val="bottom"/>
            <w:gridSpan w:val="2"/>
          </w:tcPr>
          <w:p>
            <w:pPr>
              <w:jc w:val="center"/>
              <w:ind w:right="60"/>
              <w:spacing w:after="0"/>
              <w:rPr>
                <w:sz w:val="20"/>
                <w:szCs w:val="20"/>
                <w:color w:val="auto"/>
              </w:rPr>
            </w:pPr>
            <w:r>
              <w:rPr>
                <w:rFonts w:ascii="Arial" w:cs="Arial" w:eastAsia="Arial" w:hAnsi="Arial"/>
                <w:sz w:val="11"/>
                <w:szCs w:val="11"/>
                <w:color w:val="auto"/>
                <w:w w:val="88"/>
              </w:rPr>
              <w:t>Consumer Goods: Durable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L+650</w:t>
            </w:r>
          </w:p>
        </w:tc>
        <w:tc>
          <w:tcPr>
            <w:tcW w:w="660" w:type="dxa"/>
            <w:vAlign w:val="bottom"/>
          </w:tcPr>
          <w:p>
            <w:pPr>
              <w:jc w:val="right"/>
              <w:spacing w:after="0"/>
              <w:rPr>
                <w:sz w:val="20"/>
                <w:szCs w:val="20"/>
                <w:color w:val="auto"/>
              </w:rPr>
            </w:pPr>
            <w:r>
              <w:rPr>
                <w:rFonts w:ascii="Arial" w:cs="Arial" w:eastAsia="Arial" w:hAnsi="Arial"/>
                <w:sz w:val="11"/>
                <w:szCs w:val="11"/>
                <w:color w:val="auto"/>
              </w:rPr>
              <w:t>3,709,390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3,702,960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3,672,296</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K2 Pure Solutions NoCal, L.P. (Revolver) </w:t>
            </w:r>
            <w:r>
              <w:rPr>
                <w:rFonts w:ascii="Arial" w:cs="Arial" w:eastAsia="Arial" w:hAnsi="Arial"/>
                <w:sz w:val="9"/>
                <w:szCs w:val="9"/>
                <w:color w:val="auto"/>
              </w:rPr>
              <w:t>(7)</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12/20/2023</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8"/>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L+700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1,071,429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1,071,429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1,047,857</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K2 Pure Solutions NoCal, L.P. (Revolver) </w:t>
            </w:r>
            <w:r>
              <w:rPr>
                <w:rFonts w:ascii="Arial" w:cs="Arial" w:eastAsia="Arial" w:hAnsi="Arial"/>
                <w:sz w:val="9"/>
                <w:szCs w:val="9"/>
                <w:color w:val="auto"/>
              </w:rPr>
              <w:t>(7), (9)</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12/20/2023</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8"/>
              </w:rPr>
              <w:t>Chemicals, Plastics and Rubber</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357,143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(7,857)</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Kentucky Downs,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03/07/2025</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7"/>
              </w:rPr>
              <w:t>Hotels, Restaurants and Leisure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L+850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5,499,731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5,395,498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5,417,236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Kentucky Downs, LLC </w:t>
            </w:r>
            <w:r>
              <w:rPr>
                <w:rFonts w:ascii="Arial" w:cs="Arial" w:eastAsia="Arial" w:hAnsi="Arial"/>
                <w:sz w:val="9"/>
                <w:szCs w:val="9"/>
                <w:color w:val="auto"/>
              </w:rPr>
              <w:t>(7), (9)</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03/07/2025</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7"/>
              </w:rPr>
              <w:t>Hotels, Restaurants and Leisure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448,276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(6,724)</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LAV Gear Holdings, Inc.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10/31/2024</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L+750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9,028,277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8,984,046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8,315,946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24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5.00%)</w:t>
            </w: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 xml:space="preserve">LAV Gear Holdings, Inc. (Revolver) </w:t>
            </w:r>
            <w:r>
              <w:rPr>
                <w:rFonts w:ascii="Arial" w:cs="Arial" w:eastAsia="Arial" w:hAnsi="Arial"/>
                <w:sz w:val="9"/>
                <w:szCs w:val="9"/>
                <w:color w:val="auto"/>
              </w:rPr>
              <w:t>(7)</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10/31/2024</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L+750</w:t>
            </w:r>
          </w:p>
        </w:tc>
        <w:tc>
          <w:tcPr>
            <w:tcW w:w="660" w:type="dxa"/>
            <w:vAlign w:val="bottom"/>
          </w:tcPr>
          <w:p>
            <w:pPr>
              <w:jc w:val="right"/>
              <w:spacing w:after="0"/>
              <w:rPr>
                <w:sz w:val="20"/>
                <w:szCs w:val="20"/>
                <w:color w:val="auto"/>
              </w:rPr>
            </w:pPr>
            <w:r>
              <w:rPr>
                <w:rFonts w:ascii="Arial" w:cs="Arial" w:eastAsia="Arial" w:hAnsi="Arial"/>
                <w:sz w:val="11"/>
                <w:szCs w:val="11"/>
                <w:color w:val="auto"/>
              </w:rPr>
              <w:t>1,607,584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1,607,584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1,480,745</w:t>
            </w:r>
          </w:p>
        </w:tc>
        <w:tc>
          <w:tcPr>
            <w:tcW w:w="120" w:type="dxa"/>
            <w:vAlign w:val="bottom"/>
          </w:tcPr>
          <w:p>
            <w:pPr>
              <w:spacing w:after="0"/>
              <w:rPr>
                <w:sz w:val="12"/>
                <w:szCs w:val="12"/>
                <w:color w:val="auto"/>
              </w:rPr>
            </w:pPr>
          </w:p>
        </w:tc>
      </w:tr>
      <w:tr>
        <w:trPr>
          <w:trHeight w:val="131"/>
        </w:trPr>
        <w:tc>
          <w:tcPr>
            <w:tcW w:w="3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(PIK 5.00%)</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Lightspeed Buyer Inc.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02/03/2026</w:t>
            </w:r>
          </w:p>
        </w:tc>
        <w:tc>
          <w:tcPr>
            <w:tcW w:w="2580" w:type="dxa"/>
            <w:vAlign w:val="bottom"/>
            <w:gridSpan w:val="2"/>
            <w:shd w:val="clear" w:color="auto" w:fill="CCECFF"/>
          </w:tcPr>
          <w:p>
            <w:pPr>
              <w:jc w:val="center"/>
              <w:ind w:right="60"/>
              <w:spacing w:after="0"/>
              <w:rPr>
                <w:sz w:val="20"/>
                <w:szCs w:val="20"/>
                <w:color w:val="auto"/>
              </w:rPr>
            </w:pPr>
            <w:r>
              <w:rPr>
                <w:rFonts w:ascii="Arial" w:cs="Arial" w:eastAsia="Arial" w:hAnsi="Arial"/>
                <w:sz w:val="11"/>
                <w:szCs w:val="11"/>
                <w:color w:val="auto"/>
                <w:w w:val="88"/>
              </w:rPr>
              <w:t>Healthcare Technology</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30,362,602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29,830,439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29,983,070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Lightspeed Buyer Inc. </w:t>
            </w:r>
            <w:r>
              <w:rPr>
                <w:rFonts w:ascii="Arial" w:cs="Arial" w:eastAsia="Arial" w:hAnsi="Arial"/>
                <w:sz w:val="9"/>
                <w:szCs w:val="9"/>
                <w:color w:val="auto"/>
              </w:rPr>
              <w:t>(7), (9)</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08/03/2021</w:t>
            </w:r>
          </w:p>
        </w:tc>
        <w:tc>
          <w:tcPr>
            <w:tcW w:w="2580" w:type="dxa"/>
            <w:vAlign w:val="bottom"/>
            <w:gridSpan w:val="2"/>
          </w:tcPr>
          <w:p>
            <w:pPr>
              <w:jc w:val="center"/>
              <w:ind w:right="60"/>
              <w:spacing w:after="0"/>
              <w:rPr>
                <w:sz w:val="20"/>
                <w:szCs w:val="20"/>
                <w:color w:val="auto"/>
              </w:rPr>
            </w:pPr>
            <w:r>
              <w:rPr>
                <w:rFonts w:ascii="Arial" w:cs="Arial" w:eastAsia="Arial" w:hAnsi="Arial"/>
                <w:sz w:val="11"/>
                <w:szCs w:val="11"/>
                <w:color w:val="auto"/>
                <w:w w:val="88"/>
              </w:rPr>
              <w:t>Healthcare Technology</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1,891,068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(4,728)</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Lightspeed Buyer Inc. (Revolver)</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02/03/2026</w:t>
            </w:r>
          </w:p>
        </w:tc>
        <w:tc>
          <w:tcPr>
            <w:tcW w:w="2580" w:type="dxa"/>
            <w:vAlign w:val="bottom"/>
            <w:gridSpan w:val="2"/>
            <w:shd w:val="clear" w:color="auto" w:fill="CCECFF"/>
          </w:tcPr>
          <w:p>
            <w:pPr>
              <w:jc w:val="center"/>
              <w:ind w:right="60"/>
              <w:spacing w:after="0"/>
              <w:rPr>
                <w:sz w:val="20"/>
                <w:szCs w:val="20"/>
                <w:color w:val="auto"/>
              </w:rPr>
            </w:pPr>
            <w:r>
              <w:rPr>
                <w:rFonts w:ascii="Arial" w:cs="Arial" w:eastAsia="Arial" w:hAnsi="Arial"/>
                <w:sz w:val="11"/>
                <w:szCs w:val="11"/>
                <w:color w:val="auto"/>
                <w:w w:val="88"/>
              </w:rPr>
              <w:t>Healthcare Technology</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2,499,299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2,499,299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2,468,058</w:t>
            </w:r>
          </w:p>
        </w:tc>
        <w:tc>
          <w:tcPr>
            <w:tcW w:w="120" w:type="dxa"/>
            <w:vAlign w:val="bottom"/>
            <w:shd w:val="clear" w:color="auto" w:fill="CCECFF"/>
          </w:tcPr>
          <w:p>
            <w:pPr>
              <w:spacing w:after="0"/>
              <w:rPr>
                <w:sz w:val="11"/>
                <w:szCs w:val="1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2020</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3"/>
              </w:rPr>
              <w:t>Basis Point</w:t>
            </w: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3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Spread</w:t>
            </w: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3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right"/>
              <w:ind w:right="260"/>
              <w:spacing w:after="0" w:line="122" w:lineRule="exact"/>
              <w:rPr>
                <w:sz w:val="20"/>
                <w:szCs w:val="20"/>
                <w:color w:val="auto"/>
              </w:rPr>
            </w:pPr>
            <w:r>
              <w:rPr>
                <w:rFonts w:ascii="Arial" w:cs="Arial" w:eastAsia="Arial" w:hAnsi="Arial"/>
                <w:sz w:val="11"/>
                <w:szCs w:val="11"/>
                <w:b w:val="1"/>
                <w:bCs w:val="1"/>
                <w:color w:val="auto"/>
              </w:rPr>
              <w:t>Current</w:t>
            </w:r>
          </w:p>
        </w:tc>
        <w:tc>
          <w:tcPr>
            <w:tcW w:w="12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Above</w:t>
            </w:r>
          </w:p>
        </w:tc>
        <w:tc>
          <w:tcPr>
            <w:tcW w:w="220" w:type="dxa"/>
            <w:vAlign w:val="bottom"/>
          </w:tcPr>
          <w:p>
            <w:pPr>
              <w:spacing w:after="0"/>
              <w:rPr>
                <w:sz w:val="10"/>
                <w:szCs w:val="10"/>
                <w:color w:val="auto"/>
              </w:rPr>
            </w:pPr>
          </w:p>
        </w:tc>
        <w:tc>
          <w:tcPr>
            <w:tcW w:w="920" w:type="dxa"/>
            <w:vAlign w:val="bottom"/>
            <w:gridSpan w:val="2"/>
          </w:tcPr>
          <w:p>
            <w:pPr>
              <w:ind w:left="240"/>
              <w:spacing w:after="0" w:line="122" w:lineRule="exact"/>
              <w:rPr>
                <w:sz w:val="20"/>
                <w:szCs w:val="20"/>
                <w:color w:val="auto"/>
              </w:rPr>
            </w:pPr>
            <w:r>
              <w:rPr>
                <w:rFonts w:ascii="Arial" w:cs="Arial" w:eastAsia="Arial" w:hAnsi="Arial"/>
                <w:sz w:val="11"/>
                <w:szCs w:val="11"/>
                <w:b w:val="1"/>
                <w:bCs w:val="1"/>
                <w:color w:val="auto"/>
              </w:rPr>
              <w:t>Par /</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33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1"/>
                <w:szCs w:val="11"/>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120" w:type="dxa"/>
            <w:vAlign w:val="bottom"/>
          </w:tcPr>
          <w:p>
            <w:pPr>
              <w:spacing w:after="0"/>
              <w:rPr>
                <w:sz w:val="11"/>
                <w:szCs w:val="11"/>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11"/>
                <w:szCs w:val="11"/>
                <w:color w:val="auto"/>
              </w:rPr>
            </w:pPr>
          </w:p>
        </w:tc>
        <w:tc>
          <w:tcPr>
            <w:tcW w:w="6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Coupon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220" w:type="dxa"/>
            <w:vAlign w:val="bottom"/>
          </w:tcPr>
          <w:p>
            <w:pPr>
              <w:spacing w:after="0"/>
              <w:rPr>
                <w:sz w:val="11"/>
                <w:szCs w:val="11"/>
                <w:color w:val="auto"/>
              </w:rPr>
            </w:pPr>
          </w:p>
        </w:tc>
        <w:tc>
          <w:tcPr>
            <w:tcW w:w="70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1"/>
                <w:szCs w:val="11"/>
                <w:color w:val="auto"/>
              </w:rPr>
            </w:pPr>
          </w:p>
        </w:tc>
        <w:tc>
          <w:tcPr>
            <w:tcW w:w="70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11"/>
                <w:szCs w:val="11"/>
                <w:color w:val="auto"/>
              </w:rPr>
            </w:pP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5"/>
              </w:rPr>
              <w:t xml:space="preserve">Fair Value </w:t>
            </w:r>
            <w:r>
              <w:rPr>
                <w:rFonts w:ascii="Arial" w:cs="Arial" w:eastAsia="Arial" w:hAnsi="Arial"/>
                <w:sz w:val="9"/>
                <w:szCs w:val="9"/>
                <w:b w:val="1"/>
                <w:bCs w:val="1"/>
                <w:color w:val="auto"/>
                <w:w w:val="95"/>
              </w:rPr>
              <w:t>(2)</w:t>
            </w:r>
          </w:p>
        </w:tc>
        <w:tc>
          <w:tcPr>
            <w:tcW w:w="120" w:type="dxa"/>
            <w:vAlign w:val="bottom"/>
          </w:tcPr>
          <w:p>
            <w:pPr>
              <w:spacing w:after="0"/>
              <w:rPr>
                <w:sz w:val="11"/>
                <w:szCs w:val="11"/>
                <w:color w:val="auto"/>
              </w:rPr>
            </w:pPr>
          </w:p>
        </w:tc>
      </w:tr>
      <w:tr>
        <w:trPr>
          <w:trHeight w:val="128"/>
        </w:trPr>
        <w:tc>
          <w:tcPr>
            <w:tcW w:w="3380" w:type="dxa"/>
            <w:vAlign w:val="bottom"/>
          </w:tcPr>
          <w:p>
            <w:pPr>
              <w:spacing w:after="0"/>
              <w:rPr>
                <w:sz w:val="20"/>
                <w:szCs w:val="20"/>
                <w:color w:val="auto"/>
              </w:rPr>
            </w:pPr>
            <w:r>
              <w:rPr>
                <w:rFonts w:ascii="Arial" w:cs="Arial" w:eastAsia="Arial" w:hAnsi="Arial"/>
                <w:sz w:val="11"/>
                <w:szCs w:val="11"/>
                <w:color w:val="auto"/>
              </w:rPr>
              <w:t>Lombart Brothers, Inc.</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04/13/2023</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Capital Equipment</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7.25%</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3M L+625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13,639,301</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w w:val="93"/>
              </w:rPr>
              <w:t>$   13,517,803</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w w:val="96"/>
              </w:rPr>
              <w:t>$   12,807,304</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Lombart Brothers, Inc. (Revolver) </w:t>
            </w:r>
            <w:r>
              <w:rPr>
                <w:rFonts w:ascii="Arial" w:cs="Arial" w:eastAsia="Arial" w:hAnsi="Arial"/>
                <w:sz w:val="9"/>
                <w:szCs w:val="9"/>
                <w:color w:val="auto"/>
              </w:rPr>
              <w:t>(7)</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04/13/2023</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Capital Equipment</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7.25%</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1,238,938</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1,238,938</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1,163,363</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Long Island Vision Management, LLC</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09/07/2023</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and Pharmaceuticals</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5.76%</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3M L+475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8,969,009</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8,919,084</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8,551,950</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LSF9 Atlantis Holdings, LLC</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05/01/2023</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2"/>
              </w:rPr>
              <w:t>Retail</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7.00%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13,231,250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13,162,333</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12,820,552</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MAG DS Corp.</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04/01/2027</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6.50%</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1M L+550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4,000,000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3,800,000</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3,805,000</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Manna Pro Products, LLC</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12/08/2023</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Consumer Goods: Non-Durable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7.00%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8,305,000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8,253,987</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8,081,596</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Marketplace Events LLC</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01/27/2023</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Media: Diversified and Production</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0.00%</w:t>
            </w:r>
          </w:p>
        </w:tc>
        <w:tc>
          <w:tcPr>
            <w:tcW w:w="120" w:type="dxa"/>
            <w:vAlign w:val="bottom"/>
          </w:tcPr>
          <w:p>
            <w:pPr>
              <w:jc w:val="right"/>
              <w:spacing w:after="0"/>
              <w:rPr>
                <w:sz w:val="20"/>
                <w:szCs w:val="20"/>
                <w:color w:val="auto"/>
              </w:rPr>
            </w:pPr>
            <w:r>
              <w:rPr>
                <w:rFonts w:ascii="Arial" w:cs="Arial" w:eastAsia="Arial" w:hAnsi="Arial"/>
                <w:sz w:val="9"/>
                <w:szCs w:val="9"/>
                <w:color w:val="auto"/>
                <w:w w:val="72"/>
              </w:rPr>
              <w:t>(6)</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5,284,919</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5,220,978</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4,464,171</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Marketplace Events LLC </w:t>
            </w:r>
            <w:r>
              <w:rPr>
                <w:rFonts w:ascii="Arial" w:cs="Arial" w:eastAsia="Arial" w:hAnsi="Arial"/>
                <w:sz w:val="9"/>
                <w:szCs w:val="9"/>
                <w:color w:val="auto"/>
              </w:rPr>
              <w:t>(11)</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01/27/2023</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Media: Diversified and Production</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0.00%</w:t>
            </w:r>
          </w:p>
        </w:tc>
        <w:tc>
          <w:tcPr>
            <w:tcW w:w="120" w:type="dxa"/>
            <w:vAlign w:val="bottom"/>
            <w:shd w:val="clear" w:color="auto" w:fill="CCECFF"/>
          </w:tcPr>
          <w:p>
            <w:pPr>
              <w:jc w:val="right"/>
              <w:spacing w:after="0"/>
              <w:rPr>
                <w:sz w:val="20"/>
                <w:szCs w:val="20"/>
                <w:color w:val="auto"/>
              </w:rPr>
            </w:pPr>
            <w:r>
              <w:rPr>
                <w:rFonts w:ascii="Arial" w:cs="Arial" w:eastAsia="Arial" w:hAnsi="Arial"/>
                <w:sz w:val="9"/>
                <w:szCs w:val="9"/>
                <w:color w:val="auto"/>
                <w:w w:val="72"/>
              </w:rPr>
              <w:t>(6)</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140" w:type="dxa"/>
            <w:vAlign w:val="bottom"/>
            <w:gridSpan w:val="3"/>
            <w:shd w:val="clear" w:color="auto" w:fill="CCECFF"/>
          </w:tcPr>
          <w:p>
            <w:pPr>
              <w:ind w:left="140"/>
              <w:spacing w:after="0"/>
              <w:rPr>
                <w:sz w:val="20"/>
                <w:szCs w:val="20"/>
                <w:color w:val="auto"/>
              </w:rPr>
            </w:pPr>
            <w:r>
              <w:rPr>
                <w:rFonts w:ascii="Arial" w:cs="Arial" w:eastAsia="Arial" w:hAnsi="Arial"/>
                <w:sz w:val="11"/>
                <w:szCs w:val="11"/>
                <w:color w:val="auto"/>
              </w:rPr>
              <w:t>C $   16,213,270</w:t>
            </w: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11,377,025</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10,252,929</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Marketplace Events LLC (Revolver)</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01/27/2023</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Media: Diversified and Production</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0.00%</w:t>
            </w:r>
          </w:p>
        </w:tc>
        <w:tc>
          <w:tcPr>
            <w:tcW w:w="120" w:type="dxa"/>
            <w:vAlign w:val="bottom"/>
          </w:tcPr>
          <w:p>
            <w:pPr>
              <w:jc w:val="right"/>
              <w:spacing w:after="0"/>
              <w:rPr>
                <w:sz w:val="20"/>
                <w:szCs w:val="20"/>
                <w:color w:val="auto"/>
              </w:rPr>
            </w:pPr>
            <w:r>
              <w:rPr>
                <w:rFonts w:ascii="Arial" w:cs="Arial" w:eastAsia="Arial" w:hAnsi="Arial"/>
                <w:sz w:val="9"/>
                <w:szCs w:val="9"/>
                <w:color w:val="auto"/>
                <w:w w:val="72"/>
              </w:rPr>
              <w:t>(6)</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1,703,163</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1,703,163</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1,438,662</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MeritDirect, LLC</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05/23/2024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3"/>
              </w:rPr>
              <w:t>Media</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6.50%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29,582,555</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29,236,103</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28,177,384</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 xml:space="preserve">MeritDirect, LLC (Revolver) </w:t>
            </w:r>
            <w:r>
              <w:rPr>
                <w:rFonts w:ascii="Arial" w:cs="Arial" w:eastAsia="Arial" w:hAnsi="Arial"/>
                <w:sz w:val="9"/>
                <w:szCs w:val="9"/>
                <w:color w:val="auto"/>
              </w:rPr>
              <w:t>(7), (9)</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05/23/2024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3"/>
              </w:rPr>
              <w:t>Media</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4,481,655</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(212,879)</w:t>
            </w: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Mission Critical Electronics, Inc.</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09/28/2022</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Capital Equipment</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6.00%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612,191</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607,716</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604,783</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 xml:space="preserve">Mission Critical Electronics, Inc. (Revolver) </w:t>
            </w:r>
            <w:r>
              <w:rPr>
                <w:rFonts w:ascii="Arial" w:cs="Arial" w:eastAsia="Arial" w:hAnsi="Arial"/>
                <w:sz w:val="9"/>
                <w:szCs w:val="9"/>
                <w:color w:val="auto"/>
              </w:rPr>
              <w:t>(7), (9)</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09/28/2021</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Capital Equipment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1,325,088</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(16,034)</w:t>
            </w: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Output Services Group, Inc.</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03/27/2024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5.50%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L+450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4,462,303</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3,937,732</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4,060,696</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Ox Two, LLC</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02/27/2023</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2"/>
              </w:rPr>
              <w:t>Construction and Building</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7.25%</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1M L+625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12,526,325</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12,473,095</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12,463,694</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9"/>
                <w:szCs w:val="9"/>
                <w:color w:val="auto"/>
              </w:rPr>
              <w:t>(7)</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02/27/2023</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2"/>
              </w:rPr>
              <w:t>Construction and Building</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7.25%</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108,444</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108,444</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107,902</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9"/>
                <w:szCs w:val="9"/>
                <w:color w:val="auto"/>
              </w:rPr>
              <w:t>(7), (9)</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02/27/2023</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2"/>
              </w:rPr>
              <w:t>Construction and Building</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447,111</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(2,236)</w:t>
            </w: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Peninsula Pacific Entertainment LLC </w:t>
            </w:r>
            <w:r>
              <w:rPr>
                <w:rFonts w:ascii="Arial" w:cs="Arial" w:eastAsia="Arial" w:hAnsi="Arial"/>
                <w:sz w:val="9"/>
                <w:szCs w:val="9"/>
                <w:color w:val="auto"/>
              </w:rPr>
              <w:t>(7)</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11/13/2024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Hotel, Gaming and Leisure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7.40%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L+725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10,224,431</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10,193,277</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9,508,720</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 xml:space="preserve">Plant Health Intermediate, Inc. </w:t>
            </w:r>
            <w:r>
              <w:rPr>
                <w:rFonts w:ascii="Arial" w:cs="Arial" w:eastAsia="Arial" w:hAnsi="Arial"/>
                <w:sz w:val="9"/>
                <w:szCs w:val="9"/>
                <w:color w:val="auto"/>
              </w:rPr>
              <w:t>(7)</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10/19/2022</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Chemicals, Plastics and Rubber</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6.75%</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3M L+575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650,644</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646,164</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640,884</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PlayPower, Inc.</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05/08/2026</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Leisure Products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5.72%</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5,367,361</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5,320,837</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5,098,992</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PRA Events, Inc.</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08/08/2022</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0.00%</w:t>
            </w:r>
          </w:p>
        </w:tc>
        <w:tc>
          <w:tcPr>
            <w:tcW w:w="120" w:type="dxa"/>
            <w:vAlign w:val="bottom"/>
          </w:tcPr>
          <w:p>
            <w:pPr>
              <w:jc w:val="right"/>
              <w:spacing w:after="0"/>
              <w:rPr>
                <w:sz w:val="20"/>
                <w:szCs w:val="20"/>
                <w:color w:val="auto"/>
              </w:rPr>
            </w:pPr>
            <w:r>
              <w:rPr>
                <w:rFonts w:ascii="Arial" w:cs="Arial" w:eastAsia="Arial" w:hAnsi="Arial"/>
                <w:sz w:val="9"/>
                <w:szCs w:val="9"/>
                <w:color w:val="auto"/>
                <w:w w:val="72"/>
              </w:rPr>
              <w:t>(6)</w:t>
            </w:r>
          </w:p>
        </w:tc>
        <w:tc>
          <w:tcPr>
            <w:tcW w:w="680" w:type="dxa"/>
            <w:vAlign w:val="bottom"/>
          </w:tcPr>
          <w:p>
            <w:pPr>
              <w:jc w:val="right"/>
              <w:spacing w:after="0"/>
              <w:rPr>
                <w:sz w:val="20"/>
                <w:szCs w:val="20"/>
                <w:color w:val="auto"/>
              </w:rPr>
            </w:pPr>
            <w:r>
              <w:rPr>
                <w:rFonts w:ascii="Arial" w:cs="Arial" w:eastAsia="Arial" w:hAnsi="Arial"/>
                <w:sz w:val="11"/>
                <w:szCs w:val="11"/>
                <w:color w:val="auto"/>
              </w:rPr>
              <w:t>1M L+700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2,558,746</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2,527,407</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2,154,464</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Questex, LLC</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09/09/2024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Media: Diversified and Production</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6.75%</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7,350,000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7,245,118</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6,762,000</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Questex, LLC (Revolver)</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09/09/2024</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Media: Diversified and Production</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6.75%</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3M L+575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598,404</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598,404</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550,532</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Questex, LLC (Revolver) </w:t>
            </w:r>
            <w:r>
              <w:rPr>
                <w:rFonts w:ascii="Arial" w:cs="Arial" w:eastAsia="Arial" w:hAnsi="Arial"/>
                <w:sz w:val="9"/>
                <w:szCs w:val="9"/>
                <w:color w:val="auto"/>
              </w:rPr>
              <w:t>(7), (9)</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09/09/2024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Media: Diversified and Production</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598,404</w:t>
            </w:r>
          </w:p>
        </w:tc>
        <w:tc>
          <w:tcPr>
            <w:tcW w:w="2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(47,872)</w:t>
            </w: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Research Horizons, LLC</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06/28/2022</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Media: Advertising, Printing and Publishing</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7.25%</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3M L+625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6,894,172</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6,847,485</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6,618,405</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Research Now Group, Inc. and Survey Sampling</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12/20/2024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6.50%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23,266,875</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22,662,940</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21,975,563</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shd w:val="clear" w:color="auto" w:fill="CCECFF"/>
          </w:tcPr>
          <w:p>
            <w:pPr>
              <w:ind w:left="140"/>
              <w:spacing w:after="0"/>
              <w:rPr>
                <w:sz w:val="20"/>
                <w:szCs w:val="20"/>
                <w:color w:val="auto"/>
              </w:rPr>
            </w:pPr>
            <w:r>
              <w:rPr>
                <w:rFonts w:ascii="Arial" w:cs="Arial" w:eastAsia="Arial" w:hAnsi="Arial"/>
                <w:sz w:val="11"/>
                <w:szCs w:val="11"/>
                <w:color w:val="auto"/>
              </w:rPr>
              <w:t>International LLC</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Riverpoint Medical, LLC</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06/20/2025</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Equipment and Supplies</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5.50%</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3M L+450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4,937,500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4,892,077</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4,764,194</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Riverpoint Medical, LLC (Revolver) </w:t>
            </w:r>
            <w:r>
              <w:rPr>
                <w:rFonts w:ascii="Arial" w:cs="Arial" w:eastAsia="Arial" w:hAnsi="Arial"/>
                <w:sz w:val="9"/>
                <w:szCs w:val="9"/>
                <w:color w:val="auto"/>
              </w:rPr>
              <w:t>(7), (9)</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06/20/2025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Equipment and Supplies</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909,091</w:t>
            </w:r>
          </w:p>
        </w:tc>
        <w:tc>
          <w:tcPr>
            <w:tcW w:w="2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(31,909)</w:t>
            </w: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Riverside Assessments, LLC</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03/10/2025</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Professional Services</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6.75%</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3M L+575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15,671,250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15,389,332</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14,848,509</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Sales Benchmark Index LLC</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01/03/2025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Professional Services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7.75%</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13,934,045</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13,689,392</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13,599,628</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 xml:space="preserve">Sales Benchmark Index LLC </w:t>
            </w:r>
            <w:r>
              <w:rPr>
                <w:rFonts w:ascii="Arial" w:cs="Arial" w:eastAsia="Arial" w:hAnsi="Arial"/>
                <w:sz w:val="9"/>
                <w:szCs w:val="9"/>
                <w:color w:val="auto"/>
              </w:rPr>
              <w:t>(7), (9)</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07/07/2021</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Professional Services</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3,231,707</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(77,561)</w:t>
            </w: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Sales Benchmark Index LLC (Revolver) </w:t>
            </w:r>
            <w:r>
              <w:rPr>
                <w:rFonts w:ascii="Arial" w:cs="Arial" w:eastAsia="Arial" w:hAnsi="Arial"/>
                <w:sz w:val="9"/>
                <w:szCs w:val="9"/>
                <w:color w:val="auto"/>
              </w:rPr>
              <w:t>(7), (9)</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01/03/2025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Professional Services</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1,292,683</w:t>
            </w:r>
          </w:p>
        </w:tc>
        <w:tc>
          <w:tcPr>
            <w:tcW w:w="2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(31,024)</w:t>
            </w: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Salient CRGT Inc.</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02/28/2022</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High Tech Industries</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7.50%</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1M L+650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1,696,397</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1,684,941</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1,569,168</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Sargent &amp; Greenleaf Inc.</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12/20/2024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Electronic Equipment, Instruments, and Components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7.00%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4,700,654</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4,639,240</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4,616,042</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 xml:space="preserve">Sargent &amp; Greenleaf Inc. (Revolver) </w:t>
            </w:r>
            <w:r>
              <w:rPr>
                <w:rFonts w:ascii="Arial" w:cs="Arial" w:eastAsia="Arial" w:hAnsi="Arial"/>
                <w:sz w:val="9"/>
                <w:szCs w:val="9"/>
                <w:color w:val="auto"/>
              </w:rPr>
              <w:t>(7), (9)</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12/20/2024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Electronic Equipment, Instruments, and Components</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1,056,367</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(19,015)</w:t>
            </w: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Schlesinger Global, Inc.</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07/14/2025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Professional Services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7.00%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13,478,823</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13,351,351</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12,501,608</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Schlesinger Global, Inc. (Revolver)</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07/14/2025</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Professional Services</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7.00%</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1M L+600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774,839</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774,839</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718,663</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Schlesinger Global, Inc. (Revolver) </w:t>
            </w:r>
            <w:r>
              <w:rPr>
                <w:rFonts w:ascii="Arial" w:cs="Arial" w:eastAsia="Arial" w:hAnsi="Arial"/>
                <w:sz w:val="9"/>
                <w:szCs w:val="9"/>
                <w:color w:val="auto"/>
              </w:rPr>
              <w:t>(7), (9)</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07/14/2025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Professional Services</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1,095,462</w:t>
            </w:r>
          </w:p>
        </w:tc>
        <w:tc>
          <w:tcPr>
            <w:tcW w:w="2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(79,421)</w:t>
            </w: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Signature Systems Holding Company</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05/03/2024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Commercial Services &amp; Supplies</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7.50%</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1M L+650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12,350,000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12,205,240</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11,948,625</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Signature Systems Holding Company (Revolver)</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05/03/2024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Commercial Services &amp; Supplies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7.50%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978,495</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978,495</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946,694</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 xml:space="preserve">Signature Systems Holding Company (Revolver) </w:t>
            </w:r>
            <w:r>
              <w:rPr>
                <w:rFonts w:ascii="Arial" w:cs="Arial" w:eastAsia="Arial" w:hAnsi="Arial"/>
                <w:sz w:val="9"/>
                <w:szCs w:val="9"/>
                <w:color w:val="auto"/>
              </w:rPr>
              <w:t>(7), (9)</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05/03/2024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Commercial Services &amp; Supplies</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768,817</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(24,987)</w:t>
            </w: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Smile Brands Inc. </w:t>
            </w:r>
            <w:r>
              <w:rPr>
                <w:rFonts w:ascii="Arial" w:cs="Arial" w:eastAsia="Arial" w:hAnsi="Arial"/>
                <w:sz w:val="9"/>
                <w:szCs w:val="9"/>
                <w:color w:val="auto"/>
              </w:rPr>
              <w:t>(7)</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10/14/2024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and Pharmaceuticals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4.90%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L+450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3,395,269</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3,395,269</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3,293,411</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 xml:space="preserve">Smile Brands Inc. </w:t>
            </w:r>
            <w:r>
              <w:rPr>
                <w:rFonts w:ascii="Arial" w:cs="Arial" w:eastAsia="Arial" w:hAnsi="Arial"/>
                <w:sz w:val="9"/>
                <w:szCs w:val="9"/>
                <w:color w:val="auto"/>
              </w:rPr>
              <w:t>(7), (9)</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10/14/2024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and Pharmaceuticals</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1,076,088</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(32,283)</w:t>
            </w: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Smile Brands Inc. (Revolver) </w:t>
            </w:r>
            <w:r>
              <w:rPr>
                <w:rFonts w:ascii="Arial" w:cs="Arial" w:eastAsia="Arial" w:hAnsi="Arial"/>
                <w:sz w:val="9"/>
                <w:szCs w:val="9"/>
                <w:color w:val="auto"/>
              </w:rPr>
              <w:t>(7), (9)</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10/14/2024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and Pharmaceuticals</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1,616,250</w:t>
            </w:r>
          </w:p>
        </w:tc>
        <w:tc>
          <w:tcPr>
            <w:tcW w:w="2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(99,027)</w:t>
            </w: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 xml:space="preserve">Snak Club, LLC (Revolver) </w:t>
            </w:r>
            <w:r>
              <w:rPr>
                <w:rFonts w:ascii="Arial" w:cs="Arial" w:eastAsia="Arial" w:hAnsi="Arial"/>
                <w:sz w:val="9"/>
                <w:szCs w:val="9"/>
                <w:color w:val="auto"/>
              </w:rPr>
              <w:t>(7)</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07/19/2021</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6.50%</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3M L+550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100,000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100,000</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99,000</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Snak Club, LLC (Revolver) </w:t>
            </w:r>
            <w:r>
              <w:rPr>
                <w:rFonts w:ascii="Arial" w:cs="Arial" w:eastAsia="Arial" w:hAnsi="Arial"/>
                <w:sz w:val="9"/>
                <w:szCs w:val="9"/>
                <w:color w:val="auto"/>
              </w:rPr>
              <w:t>(7), (9)</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07/19/2021</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395,136</w:t>
            </w:r>
          </w:p>
        </w:tc>
        <w:tc>
          <w:tcPr>
            <w:tcW w:w="2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(3,951)</w:t>
            </w: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Solutionreach, Inc.</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01/17/2024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Technology</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6.75%</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3M L+575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6,316,818</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6,227,596</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6,247,334</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Solutionreach, Inc. (Revolver)</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01/17/2024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Technology</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6.75%</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1,248,750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1,248,750</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1,235,014</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 xml:space="preserve">Solutionreach, Inc. (Revolver) </w:t>
            </w:r>
            <w:r>
              <w:rPr>
                <w:rFonts w:ascii="Arial" w:cs="Arial" w:eastAsia="Arial" w:hAnsi="Arial"/>
                <w:sz w:val="9"/>
                <w:szCs w:val="9"/>
                <w:color w:val="auto"/>
              </w:rPr>
              <w:t>(7), (9)</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01/17/2024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Technology</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416,250</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(4,579)</w:t>
            </w: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Spear Education, LLC</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02/26/2025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Professional Services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6.00%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15,049,375</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14,913,852</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14,673,140</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 xml:space="preserve">Spear Education, LLC </w:t>
            </w:r>
            <w:r>
              <w:rPr>
                <w:rFonts w:ascii="Arial" w:cs="Arial" w:eastAsia="Arial" w:hAnsi="Arial"/>
                <w:sz w:val="9"/>
                <w:szCs w:val="9"/>
                <w:color w:val="auto"/>
              </w:rPr>
              <w:t>(7), (9)</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02/26/2022</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Professional Services</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6,875,000</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(171,875)</w:t>
            </w: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Spectacle Gary Holdings, LLC</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12/23/2025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Hotels, Restaurants and Leisure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11.00%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L+900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8,427,027</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8,196,440</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8,174,216</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 xml:space="preserve">Spectacle Gary Holdings, LLC </w:t>
            </w:r>
            <w:r>
              <w:rPr>
                <w:rFonts w:ascii="Arial" w:cs="Arial" w:eastAsia="Arial" w:hAnsi="Arial"/>
                <w:sz w:val="9"/>
                <w:szCs w:val="9"/>
                <w:color w:val="auto"/>
              </w:rPr>
              <w:t>(7), (9)</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12/23/2025</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Hotels, Restaurants and Leisure</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972,973</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(29,189)</w:t>
            </w: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STV Group Incorporated</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12/11/2026</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2"/>
              </w:rPr>
              <w:t>Construction &amp; Engineering</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5.40%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12,875,242</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12,753,948</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12,746,490</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TeleGuam Holdings, LLC</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11/20/2025</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5.50%</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1M L+450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6,584,034</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6,519,682</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6,386,513</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Teneo Holdings LLC</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07/18/2025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Diversified Financial Services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6.25%</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9,900,000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9,562,628</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9,528,750</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Tensar Corporation</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07/09/2021</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2"/>
              </w:rPr>
              <w:t>Construction and Building</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5.75%</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3M L+475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22,439,744</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22,394,704</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22,439,744</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The Infosoft Group, LLC</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09/16/2024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Media: Broadcasting and Subscription</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6.75%</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18,200,773</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18,074,350</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18,200,773</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 xml:space="preserve">The Original Cakerie, Co. </w:t>
            </w:r>
            <w:r>
              <w:rPr>
                <w:rFonts w:ascii="Arial" w:cs="Arial" w:eastAsia="Arial" w:hAnsi="Arial"/>
                <w:sz w:val="9"/>
                <w:szCs w:val="9"/>
                <w:color w:val="auto"/>
              </w:rPr>
              <w:t>(5), (10)</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07/20/2022</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Consumer Goods: Non-Durable</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6.00%</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2M L+500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7,547,565</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7,496,711</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7,472,089</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The Original Cakerie Ltd. </w:t>
            </w:r>
            <w:r>
              <w:rPr>
                <w:rFonts w:ascii="Arial" w:cs="Arial" w:eastAsia="Arial" w:hAnsi="Arial"/>
                <w:sz w:val="9"/>
                <w:szCs w:val="9"/>
                <w:color w:val="auto"/>
              </w:rPr>
              <w:t>(5), (10)</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07/20/2022</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Consumer Goods: Non-Durable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5.50%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2M L+450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5,376,152</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5,352,309</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5,322,390</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 xml:space="preserve">The Original Cakerie Ltd. (Revolver) </w:t>
            </w:r>
            <w:r>
              <w:rPr>
                <w:rFonts w:ascii="Arial" w:cs="Arial" w:eastAsia="Arial" w:hAnsi="Arial"/>
                <w:sz w:val="9"/>
                <w:szCs w:val="9"/>
                <w:color w:val="auto"/>
              </w:rPr>
              <w:t>(5), (9), (10)</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07/20/2022</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Consumer Goods: Non-Durable</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1,418,484</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(14,185)</w:t>
            </w: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TPC Canada Parent, Inc. and TPC US Parent, LLC </w:t>
            </w:r>
            <w:r>
              <w:rPr>
                <w:rFonts w:ascii="Arial" w:cs="Arial" w:eastAsia="Arial" w:hAnsi="Arial"/>
                <w:sz w:val="9"/>
                <w:szCs w:val="9"/>
                <w:color w:val="auto"/>
              </w:rPr>
              <w:t>(5), (10)</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11/24/2025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Food Products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6.25%</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4,962,500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4,918,485</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4,813,625</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TVC Enterprises, LLC</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01/18/2024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Professional Services</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6.50%</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1M L+550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5,793,560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5,711,855</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5,750,108</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TVC Enterprises, LLC (Revolver) </w:t>
            </w:r>
            <w:r>
              <w:rPr>
                <w:rFonts w:ascii="Arial" w:cs="Arial" w:eastAsia="Arial" w:hAnsi="Arial"/>
                <w:sz w:val="9"/>
                <w:szCs w:val="9"/>
                <w:color w:val="auto"/>
              </w:rPr>
              <w:t>(7), (9)</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01/18/2024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Professional Services</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1,303,813</w:t>
            </w:r>
          </w:p>
        </w:tc>
        <w:tc>
          <w:tcPr>
            <w:tcW w:w="2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(9,779)</w:t>
            </w: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TWS Acquisition Corporation</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06/16/2025</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Diversified Consumer Services</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7.25%</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1M L+625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6,910,465</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6,766,653</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6,772,256</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TWS Acquisition Corporation (Revolver)</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06/16/2025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Diversified Consumer Services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7.25%</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1,819,285</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1,819,285</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1,782,899</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 xml:space="preserve">TWS Acquisition Corporation (Revolver) </w:t>
            </w:r>
            <w:r>
              <w:rPr>
                <w:rFonts w:ascii="Arial" w:cs="Arial" w:eastAsia="Arial" w:hAnsi="Arial"/>
                <w:sz w:val="9"/>
                <w:szCs w:val="9"/>
                <w:color w:val="auto"/>
              </w:rPr>
              <w:t>(7), (9)</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06/16/2025</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Diversified Consumer Services</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808,571</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(16,171)</w:t>
            </w: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Tyto Athene, LLC</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08/27/2024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6.25%</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17,491,232</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17,294,288</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17,435,261</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 xml:space="preserve">Tyto Athene, LLC (Revolver) </w:t>
            </w:r>
            <w:r>
              <w:rPr>
                <w:rFonts w:ascii="Arial" w:cs="Arial" w:eastAsia="Arial" w:hAnsi="Arial"/>
                <w:sz w:val="9"/>
                <w:szCs w:val="9"/>
                <w:color w:val="auto"/>
              </w:rPr>
              <w:t>(7), (9)</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08/27/2024</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6,818,182</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(21,818)</w:t>
            </w: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UBEO, LLC</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04/03/2024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Capital Equipment</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5.50%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L+450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13,967,402</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13,889,735</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13,129,357</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UBEO, LLC (Revolver)</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04/03/2024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Capital Equipment</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5.50%</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3M L+450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2,933,333</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2,933,333</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2,717,939</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Urology Management Associates, LLC</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08/30/2024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Healthcare Providers and Services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6.00%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4,962,500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4,888,916</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4,813,625</w:t>
            </w:r>
          </w:p>
        </w:tc>
        <w:tc>
          <w:tcPr>
            <w:tcW w:w="120" w:type="dxa"/>
            <w:vAlign w:val="bottom"/>
            <w:shd w:val="clear" w:color="auto" w:fill="CCECFF"/>
          </w:tcPr>
          <w:p>
            <w:pPr>
              <w:spacing w:after="0"/>
              <w:rPr>
                <w:sz w:val="11"/>
                <w:szCs w:val="1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2020</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Basis Point</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5"/>
              </w:rPr>
              <w:t>Spread</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3"/>
              </w:rPr>
              <w:t>Above</w:t>
            </w:r>
          </w:p>
        </w:tc>
        <w:tc>
          <w:tcPr>
            <w:tcW w:w="66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33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Pr>
          <w:p>
            <w:pPr>
              <w:spacing w:after="0"/>
              <w:rPr>
                <w:sz w:val="11"/>
                <w:szCs w:val="11"/>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220" w:type="dxa"/>
            <w:vAlign w:val="bottom"/>
          </w:tcPr>
          <w:p>
            <w:pPr>
              <w:spacing w:after="0"/>
              <w:rPr>
                <w:sz w:val="11"/>
                <w:szCs w:val="11"/>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11"/>
                <w:szCs w:val="11"/>
                <w:color w:val="auto"/>
              </w:rPr>
            </w:pPr>
          </w:p>
        </w:tc>
        <w:tc>
          <w:tcPr>
            <w:tcW w:w="6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Coupon</w:t>
            </w:r>
          </w:p>
        </w:tc>
        <w:tc>
          <w:tcPr>
            <w:tcW w:w="260" w:type="dxa"/>
            <w:vAlign w:val="bottom"/>
          </w:tcPr>
          <w:p>
            <w:pPr>
              <w:spacing w:after="0"/>
              <w:rPr>
                <w:sz w:val="11"/>
                <w:szCs w:val="1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240" w:type="dxa"/>
            <w:vAlign w:val="bottom"/>
          </w:tcPr>
          <w:p>
            <w:pPr>
              <w:spacing w:after="0"/>
              <w:rPr>
                <w:sz w:val="11"/>
                <w:szCs w:val="11"/>
                <w:color w:val="auto"/>
              </w:rPr>
            </w:pPr>
          </w:p>
        </w:tc>
        <w:tc>
          <w:tcPr>
            <w:tcW w:w="6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40" w:type="dxa"/>
            <w:vAlign w:val="bottom"/>
          </w:tcPr>
          <w:p>
            <w:pPr>
              <w:spacing w:after="0"/>
              <w:rPr>
                <w:sz w:val="11"/>
                <w:szCs w:val="11"/>
                <w:color w:val="auto"/>
              </w:rPr>
            </w:pPr>
          </w:p>
        </w:tc>
        <w:tc>
          <w:tcPr>
            <w:tcW w:w="70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9"/>
                <w:szCs w:val="9"/>
                <w:b w:val="1"/>
                <w:bCs w:val="1"/>
                <w:color w:val="auto"/>
                <w:w w:val="92"/>
              </w:rPr>
              <w:t>(2)</w:t>
            </w:r>
          </w:p>
        </w:tc>
        <w:tc>
          <w:tcPr>
            <w:tcW w:w="120" w:type="dxa"/>
            <w:vAlign w:val="bottom"/>
          </w:tcPr>
          <w:p>
            <w:pPr>
              <w:spacing w:after="0"/>
              <w:rPr>
                <w:sz w:val="11"/>
                <w:szCs w:val="11"/>
                <w:color w:val="auto"/>
              </w:rPr>
            </w:pPr>
          </w:p>
        </w:tc>
      </w:tr>
      <w:tr>
        <w:trPr>
          <w:trHeight w:val="128"/>
        </w:trPr>
        <w:tc>
          <w:tcPr>
            <w:tcW w:w="3360" w:type="dxa"/>
            <w:vAlign w:val="bottom"/>
          </w:tcPr>
          <w:p>
            <w:pPr>
              <w:spacing w:after="0"/>
              <w:rPr>
                <w:sz w:val="20"/>
                <w:szCs w:val="20"/>
                <w:color w:val="auto"/>
              </w:rPr>
            </w:pPr>
            <w:r>
              <w:rPr>
                <w:rFonts w:ascii="Arial" w:cs="Arial" w:eastAsia="Arial" w:hAnsi="Arial"/>
                <w:sz w:val="11"/>
                <w:szCs w:val="11"/>
                <w:color w:val="auto"/>
              </w:rPr>
              <w:t>US Med Acquisition, Inc.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08/13/2021</w:t>
            </w: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9.00%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L+800</w:t>
            </w:r>
          </w:p>
        </w:tc>
        <w:tc>
          <w:tcPr>
            <w:tcW w:w="660" w:type="dxa"/>
            <w:vAlign w:val="bottom"/>
          </w:tcPr>
          <w:p>
            <w:pPr>
              <w:jc w:val="right"/>
              <w:spacing w:after="0"/>
              <w:rPr>
                <w:sz w:val="20"/>
                <w:szCs w:val="20"/>
                <w:color w:val="auto"/>
              </w:rPr>
            </w:pPr>
            <w:r>
              <w:rPr>
                <w:rFonts w:ascii="Arial" w:cs="Arial" w:eastAsia="Arial" w:hAnsi="Arial"/>
                <w:sz w:val="11"/>
                <w:szCs w:val="11"/>
                <w:color w:val="auto"/>
              </w:rPr>
              <w:t>2,964,844</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2,964,844</w:t>
            </w:r>
          </w:p>
        </w:tc>
        <w:tc>
          <w:tcPr>
            <w:tcW w:w="3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2,935,195</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Vision Purchaser Corporation</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06/10/2025</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Media</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14,358,203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14,104,839</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13,496,711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Whitney, Bradley &amp; Brown, Inc.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10/18/2022</w:t>
            </w: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L+750</w:t>
            </w:r>
          </w:p>
        </w:tc>
        <w:tc>
          <w:tcPr>
            <w:tcW w:w="660" w:type="dxa"/>
            <w:vAlign w:val="bottom"/>
          </w:tcPr>
          <w:p>
            <w:pPr>
              <w:jc w:val="right"/>
              <w:spacing w:after="0"/>
              <w:rPr>
                <w:sz w:val="20"/>
                <w:szCs w:val="20"/>
                <w:color w:val="auto"/>
              </w:rPr>
            </w:pPr>
            <w:r>
              <w:rPr>
                <w:rFonts w:ascii="Arial" w:cs="Arial" w:eastAsia="Arial" w:hAnsi="Arial"/>
                <w:sz w:val="11"/>
                <w:szCs w:val="11"/>
                <w:color w:val="auto"/>
              </w:rPr>
              <w:t>4,156,259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4,110,635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4,114,696</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Wildcat Buyerco, Inc.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02/27/2026</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8,852,574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8,685,417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8,764,052</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Wildcat Buyerco, Inc. </w:t>
            </w:r>
            <w:r>
              <w:rPr>
                <w:rFonts w:ascii="Arial" w:cs="Arial" w:eastAsia="Arial" w:hAnsi="Arial"/>
                <w:sz w:val="9"/>
                <w:szCs w:val="9"/>
                <w:color w:val="auto"/>
              </w:rPr>
              <w:t>(7), (9)</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02/27/2022</w:t>
            </w: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2,491,176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3,114</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Wildcat Buyerco, Inc. (Revolver) </w:t>
            </w:r>
            <w:r>
              <w:rPr>
                <w:rFonts w:ascii="Arial" w:cs="Arial" w:eastAsia="Arial" w:hAnsi="Arial"/>
                <w:sz w:val="9"/>
                <w:szCs w:val="9"/>
                <w:color w:val="auto"/>
              </w:rPr>
              <w:t>(7), (9)</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02/27/2026</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533,824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(9,716)</w:t>
            </w:r>
          </w:p>
        </w:tc>
      </w:tr>
      <w:tr>
        <w:trPr>
          <w:trHeight w:val="128"/>
        </w:trPr>
        <w:tc>
          <w:tcPr>
            <w:tcW w:w="336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First Lien Secured Debt</w:t>
            </w:r>
          </w:p>
        </w:tc>
        <w:tc>
          <w:tcPr>
            <w:tcW w:w="14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3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1"/>
              </w:rPr>
              <w:t>855,654,960</w:t>
            </w:r>
          </w:p>
        </w:tc>
        <w:tc>
          <w:tcPr>
            <w:tcW w:w="240" w:type="dxa"/>
            <w:vAlign w:val="bottom"/>
            <w:tcBorders>
              <w:bottom w:val="single" w:sz="8" w:color="CCEC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1"/>
              </w:rPr>
              <w:t>837,579,784</w:t>
            </w:r>
          </w:p>
        </w:tc>
        <w:tc>
          <w:tcPr>
            <w:tcW w:w="120" w:type="dxa"/>
            <w:vAlign w:val="bottom"/>
            <w:tcBorders>
              <w:bottom w:val="single" w:sz="8" w:color="CCECFF"/>
            </w:tcBorders>
          </w:tcPr>
          <w:p>
            <w:pPr>
              <w:spacing w:after="0"/>
              <w:rPr>
                <w:sz w:val="11"/>
                <w:szCs w:val="11"/>
                <w:color w:val="auto"/>
              </w:rPr>
            </w:pPr>
          </w:p>
        </w:tc>
      </w:tr>
      <w:tr>
        <w:trPr>
          <w:trHeight w:val="128"/>
        </w:trPr>
        <w:tc>
          <w:tcPr>
            <w:tcW w:w="33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Second Lien Secured Debt—5.1%</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DBI Holdings, LLC, Term Loan B</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02/01/2026</w:t>
            </w:r>
          </w:p>
        </w:tc>
        <w:tc>
          <w:tcPr>
            <w:tcW w:w="220" w:type="dxa"/>
            <w:vAlign w:val="bottom"/>
          </w:tcPr>
          <w:p>
            <w:pPr>
              <w:spacing w:after="0"/>
              <w:rPr>
                <w:sz w:val="12"/>
                <w:szCs w:val="12"/>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9.00%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11,157,124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11,157,124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11,157,124</w:t>
            </w:r>
          </w:p>
        </w:tc>
        <w:tc>
          <w:tcPr>
            <w:tcW w:w="120" w:type="dxa"/>
            <w:vAlign w:val="bottom"/>
          </w:tcPr>
          <w:p>
            <w:pPr>
              <w:spacing w:after="0"/>
              <w:rPr>
                <w:sz w:val="12"/>
                <w:szCs w:val="12"/>
                <w:color w:val="auto"/>
              </w:rPr>
            </w:pPr>
          </w:p>
        </w:tc>
      </w:tr>
      <w:tr>
        <w:trPr>
          <w:trHeight w:val="131"/>
        </w:trPr>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(PIK 9.00%)</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DBI Holdings, LLC, Term Loan C </w:t>
            </w:r>
            <w:r>
              <w:rPr>
                <w:rFonts w:ascii="Arial" w:cs="Arial" w:eastAsia="Arial" w:hAnsi="Arial"/>
                <w:sz w:val="9"/>
                <w:szCs w:val="9"/>
                <w:color w:val="auto"/>
              </w:rPr>
              <w:t>(7)</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03/26/2021</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22,312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22,312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22,312</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9.00%)</w:t>
            </w: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DecoPac, Inc.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03/31/2025</w:t>
            </w: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9.25%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L+825</w:t>
            </w:r>
          </w:p>
        </w:tc>
        <w:tc>
          <w:tcPr>
            <w:tcW w:w="660" w:type="dxa"/>
            <w:vAlign w:val="bottom"/>
          </w:tcPr>
          <w:p>
            <w:pPr>
              <w:jc w:val="right"/>
              <w:spacing w:after="0"/>
              <w:rPr>
                <w:sz w:val="20"/>
                <w:szCs w:val="20"/>
                <w:color w:val="auto"/>
              </w:rPr>
            </w:pPr>
            <w:r>
              <w:rPr>
                <w:rFonts w:ascii="Arial" w:cs="Arial" w:eastAsia="Arial" w:hAnsi="Arial"/>
                <w:sz w:val="11"/>
                <w:szCs w:val="11"/>
                <w:color w:val="auto"/>
              </w:rPr>
              <w:t>9,738,580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9,654,555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9,738,580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MailSouth, Inc.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10/23/2024</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Media: Advertising, Printing and Publishing</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 xml:space="preserve">0.00% </w:t>
            </w:r>
            <w:r>
              <w:rPr>
                <w:rFonts w:ascii="Arial" w:cs="Arial" w:eastAsia="Arial" w:hAnsi="Arial"/>
                <w:sz w:val="9"/>
                <w:szCs w:val="9"/>
                <w:color w:val="auto"/>
              </w:rPr>
              <w:t>(6)</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2,871,025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2,827,178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1,464,223</w:t>
            </w:r>
          </w:p>
        </w:tc>
        <w:tc>
          <w:tcPr>
            <w:tcW w:w="120" w:type="dxa"/>
            <w:vAlign w:val="bottom"/>
            <w:shd w:val="clear" w:color="auto" w:fill="CCECFF"/>
          </w:tcPr>
          <w:p>
            <w:pPr>
              <w:spacing w:after="0"/>
              <w:rPr>
                <w:sz w:val="11"/>
                <w:szCs w:val="11"/>
                <w:color w:val="auto"/>
              </w:rPr>
            </w:pP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9"/>
                <w:szCs w:val="9"/>
                <w:color w:val="auto"/>
              </w:rPr>
              <w:t>(7)</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11/30/2024</w:t>
            </w:r>
          </w:p>
        </w:tc>
        <w:tc>
          <w:tcPr>
            <w:tcW w:w="220" w:type="dxa"/>
            <w:vAlign w:val="bottom"/>
          </w:tcPr>
          <w:p>
            <w:pPr>
              <w:spacing w:after="0"/>
              <w:rPr>
                <w:sz w:val="12"/>
                <w:szCs w:val="12"/>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11.00%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L+1,000</w:t>
            </w:r>
          </w:p>
        </w:tc>
        <w:tc>
          <w:tcPr>
            <w:tcW w:w="660" w:type="dxa"/>
            <w:vAlign w:val="bottom"/>
          </w:tcPr>
          <w:p>
            <w:pPr>
              <w:jc w:val="right"/>
              <w:spacing w:after="0"/>
              <w:rPr>
                <w:sz w:val="20"/>
                <w:szCs w:val="20"/>
                <w:color w:val="auto"/>
              </w:rPr>
            </w:pPr>
            <w:r>
              <w:rPr>
                <w:rFonts w:ascii="Arial" w:cs="Arial" w:eastAsia="Arial" w:hAnsi="Arial"/>
                <w:sz w:val="11"/>
                <w:szCs w:val="11"/>
                <w:color w:val="auto"/>
              </w:rPr>
              <w:t>2,099,171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2,083,772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2,099,171</w:t>
            </w:r>
          </w:p>
        </w:tc>
        <w:tc>
          <w:tcPr>
            <w:tcW w:w="120" w:type="dxa"/>
            <w:vAlign w:val="bottom"/>
          </w:tcPr>
          <w:p>
            <w:pPr>
              <w:spacing w:after="0"/>
              <w:rPr>
                <w:sz w:val="12"/>
                <w:szCs w:val="12"/>
                <w:color w:val="auto"/>
              </w:rPr>
            </w:pPr>
          </w:p>
        </w:tc>
      </w:tr>
      <w:tr>
        <w:trPr>
          <w:trHeight w:val="131"/>
        </w:trPr>
        <w:tc>
          <w:tcPr>
            <w:tcW w:w="336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3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94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1"/>
                <w:szCs w:val="11"/>
                <w:color w:val="auto"/>
              </w:rPr>
              <w:t>(PIK 12.30%)</w:t>
            </w: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r>
      <w:tr>
        <w:trPr>
          <w:trHeight w:val="129"/>
        </w:trPr>
        <w:tc>
          <w:tcPr>
            <w:tcW w:w="33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Second Lien Secured Debt</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25,744,941</w:t>
            </w: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24,481,410</w:t>
            </w:r>
          </w:p>
        </w:tc>
        <w:tc>
          <w:tcPr>
            <w:tcW w:w="120" w:type="dxa"/>
            <w:vAlign w:val="bottom"/>
            <w:shd w:val="clear" w:color="auto" w:fill="CCECFF"/>
          </w:tcPr>
          <w:p>
            <w:pPr>
              <w:spacing w:after="0"/>
              <w:rPr>
                <w:sz w:val="11"/>
                <w:szCs w:val="11"/>
                <w:color w:val="auto"/>
              </w:rPr>
            </w:pPr>
          </w:p>
        </w:tc>
      </w:tr>
      <w:tr>
        <w:trPr>
          <w:trHeight w:val="128"/>
        </w:trPr>
        <w:tc>
          <w:tcPr>
            <w:tcW w:w="3360" w:type="dxa"/>
            <w:vAlign w:val="bottom"/>
          </w:tcPr>
          <w:p>
            <w:pPr>
              <w:spacing w:after="0"/>
              <w:rPr>
                <w:sz w:val="20"/>
                <w:szCs w:val="20"/>
                <w:color w:val="auto"/>
              </w:rPr>
            </w:pPr>
            <w:r>
              <w:rPr>
                <w:rFonts w:ascii="Arial" w:cs="Arial" w:eastAsia="Arial" w:hAnsi="Arial"/>
                <w:sz w:val="11"/>
                <w:szCs w:val="11"/>
                <w:b w:val="1"/>
                <w:bCs w:val="1"/>
                <w:color w:val="auto"/>
              </w:rPr>
              <w:t xml:space="preserve">Preferred Equity— 1.3% </w:t>
            </w:r>
            <w:r>
              <w:rPr>
                <w:rFonts w:ascii="Arial" w:cs="Arial" w:eastAsia="Arial" w:hAnsi="Arial"/>
                <w:sz w:val="9"/>
                <w:szCs w:val="9"/>
                <w:b w:val="1"/>
                <w:bCs w:val="1"/>
                <w:color w:val="auto"/>
              </w:rPr>
              <w:t>(6)</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CI (PTN) Investment Holdings II, LLC</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21,870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9"/>
                <w:szCs w:val="9"/>
                <w:color w:val="auto"/>
              </w:rPr>
              <w:t>(7), (8)</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Condor Holdings Limited </w:t>
            </w:r>
            <w:r>
              <w:rPr>
                <w:rFonts w:ascii="Arial" w:cs="Arial" w:eastAsia="Arial" w:hAnsi="Arial"/>
                <w:sz w:val="9"/>
                <w:szCs w:val="9"/>
                <w:color w:val="auto"/>
              </w:rPr>
              <w:t>(5), (7), (10)</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88,000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10,173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11,274</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Condor Top Holdco Limited </w:t>
            </w:r>
            <w:r>
              <w:rPr>
                <w:rFonts w:ascii="Arial" w:cs="Arial" w:eastAsia="Arial" w:hAnsi="Arial"/>
                <w:sz w:val="9"/>
                <w:szCs w:val="9"/>
                <w:color w:val="auto"/>
              </w:rPr>
              <w:t>(5), (7), (10)</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77,827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207,079</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DBI Holding, LLC, Series A-1 </w:t>
            </w:r>
            <w:r>
              <w:rPr>
                <w:rFonts w:ascii="Arial" w:cs="Arial" w:eastAsia="Arial" w:hAnsi="Arial"/>
                <w:sz w:val="9"/>
                <w:szCs w:val="9"/>
                <w:color w:val="auto"/>
              </w:rPr>
              <w:t>(8)</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14.00%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7,041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7,040,844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2,522,555</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9"/>
                <w:szCs w:val="9"/>
                <w:color w:val="auto"/>
              </w:rPr>
              <w:t>(7), (8)</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Media</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635,021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NXOF Holdings, Inc. (NextiraOne Federal, LLC) </w:t>
            </w:r>
            <w:r>
              <w:rPr>
                <w:rFonts w:ascii="Arial" w:cs="Arial" w:eastAsia="Arial" w:hAnsi="Arial"/>
                <w:sz w:val="9"/>
                <w:szCs w:val="9"/>
                <w:color w:val="auto"/>
              </w:rPr>
              <w:t>(7)</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490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490,000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591,195</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11.00%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L+1,000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429,000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488,631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Signature CR Intermediate Holdco, Inc. </w:t>
            </w:r>
            <w:r>
              <w:rPr>
                <w:rFonts w:ascii="Arial" w:cs="Arial" w:eastAsia="Arial" w:hAnsi="Arial"/>
                <w:sz w:val="9"/>
                <w:szCs w:val="9"/>
                <w:color w:val="auto"/>
              </w:rPr>
              <w:t>(7)</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Commercial Services &amp; Supplies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12.00%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1,167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1,166,993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1,221,750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9"/>
                <w:szCs w:val="9"/>
                <w:color w:val="auto"/>
              </w:rPr>
              <w:t>(5), (7), (10)</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Food Products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409</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409,011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443,141</w:t>
            </w:r>
          </w:p>
        </w:tc>
        <w:tc>
          <w:tcPr>
            <w:tcW w:w="120" w:type="dxa"/>
            <w:vAlign w:val="bottom"/>
            <w:shd w:val="clear" w:color="auto" w:fill="CCECFF"/>
          </w:tcPr>
          <w:p>
            <w:pPr>
              <w:spacing w:after="0"/>
              <w:rPr>
                <w:sz w:val="11"/>
                <w:szCs w:val="11"/>
                <w:color w:val="auto"/>
              </w:rPr>
            </w:pP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UniTek Global Services, Inc. -</w:t>
            </w:r>
          </w:p>
        </w:tc>
        <w:tc>
          <w:tcPr>
            <w:tcW w:w="14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20.00%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343,861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343,861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1"/>
        </w:trPr>
        <w:tc>
          <w:tcPr>
            <w:tcW w:w="3360" w:type="dxa"/>
            <w:vAlign w:val="bottom"/>
          </w:tcPr>
          <w:p>
            <w:pPr>
              <w:ind w:left="140"/>
              <w:spacing w:after="0"/>
              <w:rPr>
                <w:sz w:val="20"/>
                <w:szCs w:val="20"/>
                <w:color w:val="auto"/>
              </w:rPr>
            </w:pPr>
            <w:r>
              <w:rPr>
                <w:rFonts w:ascii="Arial" w:cs="Arial" w:eastAsia="Arial" w:hAnsi="Arial"/>
                <w:sz w:val="11"/>
                <w:szCs w:val="11"/>
                <w:color w:val="auto"/>
              </w:rPr>
              <w:t xml:space="preserve">Super Senior Preferred Equity </w:t>
            </w:r>
            <w:r>
              <w:rPr>
                <w:rFonts w:ascii="Arial" w:cs="Arial" w:eastAsia="Arial" w:hAnsi="Arial"/>
                <w:sz w:val="9"/>
                <w:szCs w:val="9"/>
                <w:color w:val="auto"/>
              </w:rPr>
              <w:t>(7)</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UniTek Global Services, Inc. - Senior Preferred Equity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19.00%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448,851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448,851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UniTek Global Services, Inc. </w:t>
            </w:r>
            <w:r>
              <w:rPr>
                <w:rFonts w:ascii="Arial" w:cs="Arial" w:eastAsia="Arial" w:hAnsi="Arial"/>
                <w:sz w:val="9"/>
                <w:szCs w:val="9"/>
                <w:color w:val="auto"/>
              </w:rPr>
              <w:t>(7)</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13.50%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1,047,317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670,283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28"/>
        </w:trPr>
        <w:tc>
          <w:tcPr>
            <w:tcW w:w="336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1"/>
                <w:szCs w:val="11"/>
                <w:b w:val="1"/>
                <w:bCs w:val="1"/>
                <w:color w:val="auto"/>
              </w:rPr>
              <w:t>Total Preferred Equity</w:t>
            </w:r>
          </w:p>
        </w:tc>
        <w:tc>
          <w:tcPr>
            <w:tcW w:w="140" w:type="dxa"/>
            <w:vAlign w:val="bottom"/>
            <w:tcBorders>
              <w:top w:val="single" w:sz="8" w:color="CCECFF"/>
            </w:tcBorders>
            <w:shd w:val="clear" w:color="auto" w:fill="CCECFF"/>
          </w:tcPr>
          <w:p>
            <w:pPr>
              <w:spacing w:after="0"/>
              <w:rPr>
                <w:sz w:val="11"/>
                <w:szCs w:val="11"/>
                <w:color w:val="auto"/>
              </w:rPr>
            </w:pPr>
          </w:p>
        </w:tc>
        <w:tc>
          <w:tcPr>
            <w:tcW w:w="52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238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bottom w:val="single" w:sz="8" w:color="auto"/>
            </w:tcBorders>
            <w:shd w:val="clear" w:color="auto" w:fill="CCECFF"/>
          </w:tcPr>
          <w:p>
            <w:pPr>
              <w:spacing w:after="0"/>
              <w:rPr>
                <w:sz w:val="11"/>
                <w:szCs w:val="11"/>
                <w:color w:val="auto"/>
              </w:rPr>
            </w:pPr>
          </w:p>
        </w:tc>
        <w:tc>
          <w:tcPr>
            <w:tcW w:w="5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12,068,713</w:t>
            </w:r>
          </w:p>
        </w:tc>
        <w:tc>
          <w:tcPr>
            <w:tcW w:w="2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bottom w:val="single" w:sz="8" w:color="auto"/>
            </w:tcBorders>
            <w:shd w:val="clear" w:color="auto" w:fill="CCECFF"/>
          </w:tcPr>
          <w:p>
            <w:pPr>
              <w:spacing w:after="0"/>
              <w:rPr>
                <w:sz w:val="11"/>
                <w:szCs w:val="11"/>
                <w:color w:val="auto"/>
              </w:rPr>
            </w:pPr>
          </w:p>
        </w:tc>
        <w:tc>
          <w:tcPr>
            <w:tcW w:w="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6,120,646</w:t>
            </w:r>
          </w:p>
        </w:tc>
        <w:tc>
          <w:tcPr>
            <w:tcW w:w="120" w:type="dxa"/>
            <w:vAlign w:val="bottom"/>
            <w:tcBorders>
              <w:top w:val="single" w:sz="8" w:color="CCECFF"/>
            </w:tcBorders>
            <w:shd w:val="clear" w:color="auto" w:fill="CCECFF"/>
          </w:tcPr>
          <w:p>
            <w:pPr>
              <w:spacing w:after="0"/>
              <w:rPr>
                <w:sz w:val="11"/>
                <w:szCs w:val="11"/>
                <w:color w:val="auto"/>
              </w:rPr>
            </w:pPr>
          </w:p>
        </w:tc>
      </w:tr>
      <w:tr>
        <w:trPr>
          <w:trHeight w:val="128"/>
        </w:trPr>
        <w:tc>
          <w:tcPr>
            <w:tcW w:w="3360" w:type="dxa"/>
            <w:vAlign w:val="bottom"/>
          </w:tcPr>
          <w:p>
            <w:pPr>
              <w:spacing w:after="0"/>
              <w:rPr>
                <w:sz w:val="20"/>
                <w:szCs w:val="20"/>
                <w:color w:val="auto"/>
              </w:rPr>
            </w:pPr>
            <w:r>
              <w:rPr>
                <w:rFonts w:ascii="Arial" w:cs="Arial" w:eastAsia="Arial" w:hAnsi="Arial"/>
                <w:sz w:val="11"/>
                <w:szCs w:val="11"/>
                <w:b w:val="1"/>
                <w:bCs w:val="1"/>
                <w:color w:val="auto"/>
              </w:rPr>
              <w:t xml:space="preserve">Common Equity/Warrants— 8.9% </w:t>
            </w:r>
            <w:r>
              <w:rPr>
                <w:rFonts w:ascii="Arial" w:cs="Arial" w:eastAsia="Arial" w:hAnsi="Arial"/>
                <w:sz w:val="9"/>
                <w:szCs w:val="9"/>
                <w:b w:val="1"/>
                <w:bCs w:val="1"/>
                <w:color w:val="auto"/>
              </w:rPr>
              <w:t>(6)</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Affinion Group Holdings, Inc. (Warrants)</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Consumer Goods: Durable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8,893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244,998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AG Investco LP </w:t>
            </w:r>
            <w:r>
              <w:rPr>
                <w:rFonts w:ascii="Arial" w:cs="Arial" w:eastAsia="Arial" w:hAnsi="Arial"/>
                <w:sz w:val="9"/>
                <w:szCs w:val="9"/>
                <w:color w:val="auto"/>
              </w:rPr>
              <w:t>(7), (8)</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Software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805,164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805,164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1,002,599</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AG Investco LP </w:t>
            </w:r>
            <w:r>
              <w:rPr>
                <w:rFonts w:ascii="Arial" w:cs="Arial" w:eastAsia="Arial" w:hAnsi="Arial"/>
                <w:sz w:val="9"/>
                <w:szCs w:val="9"/>
                <w:color w:val="auto"/>
              </w:rPr>
              <w:t>(7), (8), (9)</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Software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194,836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Altamira Intermediate Company II, Inc. </w:t>
            </w:r>
            <w:r>
              <w:rPr>
                <w:rFonts w:ascii="Arial" w:cs="Arial" w:eastAsia="Arial" w:hAnsi="Arial"/>
                <w:sz w:val="9"/>
                <w:szCs w:val="9"/>
                <w:color w:val="auto"/>
              </w:rPr>
              <w:t>(7)</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1,437,500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1,437,500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933,198</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By Light Investco LP </w:t>
            </w:r>
            <w:r>
              <w:rPr>
                <w:rFonts w:ascii="Arial" w:cs="Arial" w:eastAsia="Arial" w:hAnsi="Arial"/>
                <w:sz w:val="9"/>
                <w:szCs w:val="9"/>
                <w:color w:val="auto"/>
              </w:rPr>
              <w:t>(7), (8)</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21,908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2,190,771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7,599,349</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By Light Investco LP </w:t>
            </w:r>
            <w:r>
              <w:rPr>
                <w:rFonts w:ascii="Arial" w:cs="Arial" w:eastAsia="Arial" w:hAnsi="Arial"/>
                <w:sz w:val="9"/>
                <w:szCs w:val="9"/>
                <w:color w:val="auto"/>
              </w:rPr>
              <w:t>(7), (8), (9)</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5,592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CI (Allied) Investment Holdings, LLC</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120,962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1,243,217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(Allied America, Inc.) </w:t>
            </w:r>
            <w:r>
              <w:rPr>
                <w:rFonts w:ascii="Arial" w:cs="Arial" w:eastAsia="Arial" w:hAnsi="Arial"/>
                <w:sz w:val="9"/>
                <w:szCs w:val="9"/>
                <w:color w:val="auto"/>
              </w:rPr>
              <w:t>(7), (8)</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CI (PTN) Investment Holdings II, LLC</w:t>
            </w:r>
          </w:p>
        </w:tc>
        <w:tc>
          <w:tcPr>
            <w:tcW w:w="14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13,333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1"/>
        </w:trPr>
        <w:tc>
          <w:tcPr>
            <w:tcW w:w="3360" w:type="dxa"/>
            <w:vAlign w:val="bottom"/>
          </w:tcPr>
          <w:p>
            <w:pPr>
              <w:ind w:left="140"/>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9"/>
                <w:szCs w:val="9"/>
                <w:color w:val="auto"/>
              </w:rPr>
              <w:t>(7), (8)</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CI (Summit) Investment Holdings, LLC</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Construction and Building</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58,846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629,620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788,839</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(SFP Holding, Inc.)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DBI Holding, LLC, Series B </w:t>
            </w:r>
            <w:r>
              <w:rPr>
                <w:rFonts w:ascii="Arial" w:cs="Arial" w:eastAsia="Arial" w:hAnsi="Arial"/>
                <w:sz w:val="9"/>
                <w:szCs w:val="9"/>
                <w:color w:val="auto"/>
              </w:rPr>
              <w:t>(8)</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1,489,508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330,791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DecoPac Holdings Inc.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1,633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1,632,744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2,401,324</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ECM Investors, LLC </w:t>
            </w:r>
            <w:r>
              <w:rPr>
                <w:rFonts w:ascii="Arial" w:cs="Arial" w:eastAsia="Arial" w:hAnsi="Arial"/>
                <w:sz w:val="9"/>
                <w:szCs w:val="9"/>
                <w:color w:val="auto"/>
              </w:rPr>
              <w:t>(7), (8)</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295,982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295,982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449,276</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eCommission Holding Corporation </w:t>
            </w:r>
            <w:r>
              <w:rPr>
                <w:rFonts w:ascii="Arial" w:cs="Arial" w:eastAsia="Arial" w:hAnsi="Arial"/>
                <w:sz w:val="9"/>
                <w:szCs w:val="9"/>
                <w:color w:val="auto"/>
              </w:rPr>
              <w:t>(7), (10)</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Banking, Finance, Insurance &amp; Real Estate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251,156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257,421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Faraday Holdings, LLC </w:t>
            </w:r>
            <w:r>
              <w:rPr>
                <w:rFonts w:ascii="Arial" w:cs="Arial" w:eastAsia="Arial" w:hAnsi="Arial"/>
                <w:sz w:val="9"/>
                <w:szCs w:val="9"/>
                <w:color w:val="auto"/>
              </w:rPr>
              <w:t>(7)</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Construction and Building</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1,141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58,044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375,581</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Gauge InfosoftCoInvest, LLC</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Media: Broadcasting and Subscription</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143,663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775,000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(The Infosoft Group, LLC)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Gauge Lash Coinvest LLC </w:t>
            </w:r>
            <w:r>
              <w:rPr>
                <w:rFonts w:ascii="Arial" w:cs="Arial" w:eastAsia="Arial" w:hAnsi="Arial"/>
                <w:sz w:val="9"/>
                <w:szCs w:val="9"/>
                <w:color w:val="auto"/>
              </w:rPr>
              <w:t>(7)</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Personal Products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1,485,953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1,760,670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2,615,277</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Gauge Schlesinger Coinvest LLC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437,371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425,883</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Gauge TVC Coinvest, LLC (TVC Enterprises, LLC) </w:t>
            </w:r>
            <w:r>
              <w:rPr>
                <w:rFonts w:ascii="Arial" w:cs="Arial" w:eastAsia="Arial" w:hAnsi="Arial"/>
                <w:sz w:val="9"/>
                <w:szCs w:val="9"/>
                <w:color w:val="auto"/>
              </w:rPr>
              <w:t>(7)</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391,144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391,144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482,277</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GCOM InvestCo LP </w:t>
            </w:r>
            <w:r>
              <w:rPr>
                <w:rFonts w:ascii="Arial" w:cs="Arial" w:eastAsia="Arial" w:hAnsi="Arial"/>
                <w:sz w:val="9"/>
                <w:szCs w:val="9"/>
                <w:color w:val="auto"/>
              </w:rPr>
              <w:t>(7), (8)</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1,722,632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1,596,634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3,010,719</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GCOM InvestCo LP </w:t>
            </w:r>
            <w:r>
              <w:rPr>
                <w:rFonts w:ascii="Arial" w:cs="Arial" w:eastAsia="Arial" w:hAnsi="Arial"/>
                <w:sz w:val="9"/>
                <w:szCs w:val="9"/>
                <w:color w:val="auto"/>
              </w:rPr>
              <w:t>(7), (8), (9)</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277,368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Go Dawgs Capital III, LP</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Building Products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324,675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324,675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324,675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9"/>
                <w:szCs w:val="9"/>
                <w:color w:val="auto"/>
              </w:rPr>
              <w:t>(7), (8)</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IIN Group Holdings, LLC</w:t>
            </w:r>
          </w:p>
        </w:tc>
        <w:tc>
          <w:tcPr>
            <w:tcW w:w="14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Consumer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1,054,709</w:t>
            </w:r>
          </w:p>
        </w:tc>
        <w:tc>
          <w:tcPr>
            <w:tcW w:w="120" w:type="dxa"/>
            <w:vAlign w:val="bottom"/>
          </w:tcPr>
          <w:p>
            <w:pPr>
              <w:spacing w:after="0"/>
              <w:rPr>
                <w:sz w:val="12"/>
                <w:szCs w:val="12"/>
                <w:color w:val="auto"/>
              </w:rPr>
            </w:pPr>
          </w:p>
        </w:tc>
      </w:tr>
      <w:tr>
        <w:trPr>
          <w:trHeight w:val="131"/>
        </w:trPr>
        <w:tc>
          <w:tcPr>
            <w:tcW w:w="3360" w:type="dxa"/>
            <w:vAlign w:val="bottom"/>
          </w:tcPr>
          <w:p>
            <w:pPr>
              <w:ind w:left="140"/>
              <w:spacing w:after="0"/>
              <w:rPr>
                <w:sz w:val="20"/>
                <w:szCs w:val="20"/>
                <w:color w:val="auto"/>
              </w:rPr>
            </w:pPr>
            <w:r>
              <w:rPr>
                <w:rFonts w:ascii="Arial" w:cs="Arial" w:eastAsia="Arial" w:hAnsi="Arial"/>
                <w:sz w:val="11"/>
                <w:szCs w:val="11"/>
                <w:color w:val="auto"/>
              </w:rPr>
              <w:t xml:space="preserve">(Integrative Nutrition, LLC) </w:t>
            </w:r>
            <w:r>
              <w:rPr>
                <w:rFonts w:ascii="Arial" w:cs="Arial" w:eastAsia="Arial" w:hAnsi="Arial"/>
                <w:sz w:val="9"/>
                <w:szCs w:val="9"/>
                <w:color w:val="auto"/>
              </w:rPr>
              <w:t>(7), (8)</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ITC Rumba, LLC (Cano Health, LLC)</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46,763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766,149</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2,335,369</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JWC/UMA Holdings, L.P. </w:t>
            </w:r>
            <w:r>
              <w:rPr>
                <w:rFonts w:ascii="Arial" w:cs="Arial" w:eastAsia="Arial" w:hAnsi="Arial"/>
                <w:sz w:val="9"/>
                <w:szCs w:val="9"/>
                <w:color w:val="auto"/>
              </w:rPr>
              <w:t>(7)</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1,000,000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1,389,498</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JWC-WE Holdings, L.P.</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Wholesale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1,381,741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1,381,741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8,704,966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(Walker Edison Furniture Company LLC) </w:t>
            </w:r>
            <w:r>
              <w:rPr>
                <w:rFonts w:ascii="Arial" w:cs="Arial" w:eastAsia="Arial" w:hAnsi="Arial"/>
                <w:sz w:val="9"/>
                <w:szCs w:val="9"/>
                <w:color w:val="auto"/>
              </w:rPr>
              <w:t>(7), (8)</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Kentucky Racing Holdco, LLC (Warrants) </w:t>
            </w:r>
            <w:r>
              <w:rPr>
                <w:rFonts w:ascii="Arial" w:cs="Arial" w:eastAsia="Arial" w:hAnsi="Arial"/>
                <w:sz w:val="9"/>
                <w:szCs w:val="9"/>
                <w:color w:val="auto"/>
              </w:rPr>
              <w:t>(7), (8)</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Hotels, Restaurants and Leisure</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87,345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226,368</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Lightspeed Investment Holdco LLC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Technology</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585,587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585,587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672,313</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9"/>
                <w:szCs w:val="9"/>
                <w:color w:val="auto"/>
              </w:rPr>
              <w:t>(7), (8)</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Media</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960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NXOF Holdings, Inc. (NextiraOne Federal, LLC)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24,916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w w:val="90"/>
              </w:rPr>
              <w:t xml:space="preserve">OceanSound Discovery Equity, LP (Holdco Sands Intermediate, LLC) </w:t>
            </w:r>
            <w:r>
              <w:rPr>
                <w:rFonts w:ascii="Arial" w:cs="Arial" w:eastAsia="Arial" w:hAnsi="Arial"/>
                <w:sz w:val="9"/>
                <w:szCs w:val="9"/>
                <w:color w:val="auto"/>
                <w:w w:val="90"/>
              </w:rPr>
              <w:t>(7), (8)</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173,638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1,736,381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1,744,780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286,000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1,067,566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QuantiTech InvestCo LP </w:t>
            </w:r>
            <w:r>
              <w:rPr>
                <w:rFonts w:ascii="Arial" w:cs="Arial" w:eastAsia="Arial" w:hAnsi="Arial"/>
                <w:sz w:val="9"/>
                <w:szCs w:val="9"/>
                <w:color w:val="auto"/>
              </w:rPr>
              <w:t>(7), (8)</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103,995</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QuantiTech InvestCo LP </w:t>
            </w:r>
            <w:r>
              <w:rPr>
                <w:rFonts w:ascii="Arial" w:cs="Arial" w:eastAsia="Arial" w:hAnsi="Arial"/>
                <w:sz w:val="9"/>
                <w:szCs w:val="9"/>
                <w:color w:val="auto"/>
              </w:rPr>
              <w:t>(7), (8), (9)</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96,667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SBI Holdings Investments LLC (Sales Benchmark Index LLC) </w:t>
            </w:r>
            <w:r>
              <w:rPr>
                <w:rFonts w:ascii="Arial" w:cs="Arial" w:eastAsia="Arial" w:hAnsi="Arial"/>
                <w:sz w:val="9"/>
                <w:szCs w:val="9"/>
                <w:color w:val="auto"/>
              </w:rPr>
              <w:t>(7), (8)</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64,634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646,341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458,093</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Signature CR Intermediate Holdco, Inc.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Commercial Services &amp; Supplies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61,421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2020</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Basis Point</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5"/>
              </w:rPr>
              <w:t>Spread</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3"/>
              </w:rPr>
              <w:t>Above</w:t>
            </w:r>
          </w:p>
        </w:tc>
        <w:tc>
          <w:tcPr>
            <w:tcW w:w="66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1"/>
                <w:szCs w:val="11"/>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Maturity</w:t>
            </w:r>
          </w:p>
        </w:tc>
        <w:tc>
          <w:tcPr>
            <w:tcW w:w="240" w:type="dxa"/>
            <w:vAlign w:val="bottom"/>
          </w:tcPr>
          <w:p>
            <w:pPr>
              <w:spacing w:after="0"/>
              <w:rPr>
                <w:sz w:val="11"/>
                <w:szCs w:val="11"/>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11"/>
                <w:szCs w:val="11"/>
                <w:color w:val="auto"/>
              </w:rPr>
            </w:pPr>
          </w:p>
        </w:tc>
        <w:tc>
          <w:tcPr>
            <w:tcW w:w="6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Coupon</w:t>
            </w:r>
          </w:p>
        </w:tc>
        <w:tc>
          <w:tcPr>
            <w:tcW w:w="260" w:type="dxa"/>
            <w:vAlign w:val="bottom"/>
          </w:tcPr>
          <w:p>
            <w:pPr>
              <w:spacing w:after="0"/>
              <w:rPr>
                <w:sz w:val="11"/>
                <w:szCs w:val="1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240" w:type="dxa"/>
            <w:vAlign w:val="bottom"/>
          </w:tcPr>
          <w:p>
            <w:pPr>
              <w:spacing w:after="0"/>
              <w:rPr>
                <w:sz w:val="11"/>
                <w:szCs w:val="11"/>
                <w:color w:val="auto"/>
              </w:rPr>
            </w:pPr>
          </w:p>
        </w:tc>
        <w:tc>
          <w:tcPr>
            <w:tcW w:w="6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89"/>
              </w:rPr>
              <w:t xml:space="preserve">Fair Value </w:t>
            </w:r>
            <w:r>
              <w:rPr>
                <w:rFonts w:ascii="Arial" w:cs="Arial" w:eastAsia="Arial" w:hAnsi="Arial"/>
                <w:sz w:val="9"/>
                <w:szCs w:val="9"/>
                <w:b w:val="1"/>
                <w:bCs w:val="1"/>
                <w:color w:val="auto"/>
                <w:w w:val="89"/>
              </w:rPr>
              <w:t>(2)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440" w:type="dxa"/>
            <w:vAlign w:val="bottom"/>
            <w:gridSpan w:val="3"/>
          </w:tcPr>
          <w:p>
            <w:pPr>
              <w:spacing w:after="0"/>
              <w:rPr>
                <w:sz w:val="20"/>
                <w:szCs w:val="20"/>
                <w:color w:val="auto"/>
              </w:rPr>
            </w:pPr>
            <w:r>
              <w:rPr>
                <w:rFonts w:ascii="Arial" w:cs="Arial" w:eastAsia="Arial" w:hAnsi="Arial"/>
                <w:sz w:val="11"/>
                <w:szCs w:val="11"/>
                <w:color w:val="auto"/>
              </w:rPr>
              <w:t>SSC Dominion Holdings, LLC</w:t>
            </w: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Capital Equipment</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500</w:t>
            </w:r>
          </w:p>
        </w:tc>
        <w:tc>
          <w:tcPr>
            <w:tcW w:w="3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500,000</w:t>
            </w:r>
          </w:p>
        </w:tc>
        <w:tc>
          <w:tcPr>
            <w:tcW w:w="22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583,200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440" w:type="dxa"/>
            <w:vAlign w:val="bottom"/>
            <w:gridSpan w:val="3"/>
          </w:tcPr>
          <w:p>
            <w:pPr>
              <w:ind w:left="140"/>
              <w:spacing w:after="0"/>
              <w:rPr>
                <w:sz w:val="20"/>
                <w:szCs w:val="20"/>
                <w:color w:val="auto"/>
              </w:rPr>
            </w:pPr>
            <w:r>
              <w:rPr>
                <w:rFonts w:ascii="Arial" w:cs="Arial" w:eastAsia="Arial" w:hAnsi="Arial"/>
                <w:sz w:val="11"/>
                <w:szCs w:val="11"/>
                <w:color w:val="auto"/>
              </w:rPr>
              <w:t xml:space="preserve">Class A (US Dominion, Inc.) </w:t>
            </w:r>
            <w:r>
              <w:rPr>
                <w:rFonts w:ascii="Arial" w:cs="Arial" w:eastAsia="Arial" w:hAnsi="Arial"/>
                <w:sz w:val="9"/>
                <w:szCs w:val="9"/>
                <w:color w:val="auto"/>
              </w:rPr>
              <w:t>(7)</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SSC Dominion Holdings, LLC</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Capital Equipment</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1,585,388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gridSpan w:val="2"/>
            <w:shd w:val="clear" w:color="auto" w:fill="CCECFF"/>
          </w:tcPr>
          <w:p>
            <w:pPr>
              <w:ind w:left="140"/>
              <w:spacing w:after="0"/>
              <w:rPr>
                <w:sz w:val="20"/>
                <w:szCs w:val="20"/>
                <w:color w:val="auto"/>
              </w:rPr>
            </w:pPr>
            <w:r>
              <w:rPr>
                <w:rFonts w:ascii="Arial" w:cs="Arial" w:eastAsia="Arial" w:hAnsi="Arial"/>
                <w:sz w:val="11"/>
                <w:szCs w:val="11"/>
                <w:color w:val="auto"/>
              </w:rPr>
              <w:t xml:space="preserve">Class B (US Dominion, Inc.) </w:t>
            </w:r>
            <w:r>
              <w:rPr>
                <w:rFonts w:ascii="Arial" w:cs="Arial" w:eastAsia="Arial" w:hAnsi="Arial"/>
                <w:sz w:val="9"/>
                <w:szCs w:val="9"/>
                <w:color w:val="auto"/>
              </w:rPr>
              <w:t>(7)</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tcPr>
          <w:p>
            <w:pPr>
              <w:spacing w:after="0"/>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9"/>
                <w:szCs w:val="9"/>
                <w:color w:val="auto"/>
              </w:rPr>
              <w:t>(5), (7), (10)</w:t>
            </w: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Food Products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21,527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21,527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105,482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 xml:space="preserve">UniTek Global Services, Inc. </w:t>
            </w:r>
            <w:r>
              <w:rPr>
                <w:rFonts w:ascii="Arial" w:cs="Arial" w:eastAsia="Arial" w:hAnsi="Arial"/>
                <w:sz w:val="9"/>
                <w:szCs w:val="9"/>
                <w:color w:val="auto"/>
              </w:rPr>
              <w:t>(7)</w:t>
            </w: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213,739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440" w:type="dxa"/>
            <w:vAlign w:val="bottom"/>
            <w:gridSpan w:val="3"/>
          </w:tcPr>
          <w:p>
            <w:pPr>
              <w:spacing w:after="0"/>
              <w:rPr>
                <w:sz w:val="20"/>
                <w:szCs w:val="20"/>
                <w:color w:val="auto"/>
              </w:rPr>
            </w:pPr>
            <w:r>
              <w:rPr>
                <w:rFonts w:ascii="Arial" w:cs="Arial" w:eastAsia="Arial" w:hAnsi="Arial"/>
                <w:sz w:val="11"/>
                <w:szCs w:val="11"/>
                <w:color w:val="auto"/>
              </w:rPr>
              <w:t xml:space="preserve">UniTek Global Services, Inc. (Warrants) </w:t>
            </w:r>
            <w:r>
              <w:rPr>
                <w:rFonts w:ascii="Arial" w:cs="Arial" w:eastAsia="Arial" w:hAnsi="Arial"/>
                <w:sz w:val="9"/>
                <w:szCs w:val="9"/>
                <w:color w:val="auto"/>
              </w:rPr>
              <w:t>(7)</w:t>
            </w: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23,889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 xml:space="preserve">WBB Equity, LLC </w:t>
            </w:r>
            <w:r>
              <w:rPr>
                <w:rFonts w:ascii="Arial" w:cs="Arial" w:eastAsia="Arial" w:hAnsi="Arial"/>
                <w:sz w:val="9"/>
                <w:szCs w:val="9"/>
                <w:color w:val="auto"/>
              </w:rPr>
              <w:t>(7), (8)</w:t>
            </w: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142,857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142,857</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625,714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color w:val="auto"/>
              </w:rPr>
              <w:t xml:space="preserve">Wildcat Parent, LP (Wildcat Buyerco, Inc.) </w:t>
            </w:r>
            <w:r>
              <w:rPr>
                <w:rFonts w:ascii="Arial" w:cs="Arial" w:eastAsia="Arial" w:hAnsi="Arial"/>
                <w:sz w:val="9"/>
                <w:szCs w:val="9"/>
                <w:color w:val="auto"/>
              </w:rPr>
              <w:t>(7), (8)</w:t>
            </w:r>
          </w:p>
        </w:tc>
        <w:tc>
          <w:tcPr>
            <w:tcW w:w="760" w:type="dxa"/>
            <w:vAlign w:val="bottom"/>
            <w:tcBorders>
              <w:bottom w:val="single" w:sz="8" w:color="CCECFF"/>
            </w:tcBorders>
            <w:gridSpan w:val="2"/>
          </w:tcPr>
          <w:p>
            <w:pPr>
              <w:ind w:left="260"/>
              <w:spacing w:after="0"/>
              <w:rPr>
                <w:sz w:val="20"/>
                <w:szCs w:val="20"/>
                <w:color w:val="auto"/>
              </w:rPr>
            </w:pPr>
            <w:r>
              <w:rPr>
                <w:rFonts w:ascii="Arial" w:cs="Arial" w:eastAsia="Arial" w:hAnsi="Arial"/>
                <w:sz w:val="11"/>
                <w:szCs w:val="11"/>
                <w:color w:val="auto"/>
              </w:rPr>
              <w:t>—</w:t>
            </w:r>
          </w:p>
        </w:tc>
        <w:tc>
          <w:tcPr>
            <w:tcW w:w="246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88"/>
              </w:rPr>
              <w:t>Electronic Equipment, Instruments, and Components</w:t>
            </w:r>
          </w:p>
        </w:tc>
        <w:tc>
          <w:tcPr>
            <w:tcW w:w="940" w:type="dxa"/>
            <w:vAlign w:val="bottom"/>
            <w:tcBorders>
              <w:bottom w:val="single" w:sz="8" w:color="CCECFF"/>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2,240</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223,995</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246,694</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Total Common Equity/Warrants</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22,406,143</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42,370,469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b w:val="1"/>
                <w:bCs w:val="1"/>
                <w:color w:val="auto"/>
                <w:w w:val="90"/>
              </w:rPr>
              <w:t>Total Investments in Non-Controlled, Non-Affiliated Portfolio Companies</w:t>
            </w:r>
          </w:p>
        </w:tc>
        <w:tc>
          <w:tcPr>
            <w:tcW w:w="52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3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915,874,757</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910,552,309</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200" w:type="dxa"/>
            <w:vAlign w:val="bottom"/>
            <w:gridSpan w:val="5"/>
            <w:shd w:val="clear" w:color="auto" w:fill="CCECFF"/>
          </w:tcPr>
          <w:p>
            <w:pPr>
              <w:spacing w:after="0"/>
              <w:rPr>
                <w:sz w:val="20"/>
                <w:szCs w:val="20"/>
                <w:color w:val="auto"/>
              </w:rPr>
            </w:pPr>
            <w:r>
              <w:rPr>
                <w:rFonts w:ascii="Arial" w:cs="Arial" w:eastAsia="Arial" w:hAnsi="Arial"/>
                <w:sz w:val="11"/>
                <w:szCs w:val="11"/>
                <w:b w:val="1"/>
                <w:bCs w:val="1"/>
                <w:color w:val="auto"/>
              </w:rPr>
              <w:t xml:space="preserve">Investments in Non-Controlled, Affiliated Portfolio Companies—2.3% </w:t>
            </w:r>
            <w:r>
              <w:rPr>
                <w:rFonts w:ascii="Arial" w:cs="Arial" w:eastAsia="Arial" w:hAnsi="Arial"/>
                <w:sz w:val="9"/>
                <w:szCs w:val="9"/>
                <w:b w:val="1"/>
                <w:bCs w:val="1"/>
                <w:color w:val="auto"/>
              </w:rPr>
              <w:t>(3), (4)</w:t>
            </w: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tcPr>
          <w:p>
            <w:pPr>
              <w:spacing w:after="0"/>
              <w:rPr>
                <w:sz w:val="20"/>
                <w:szCs w:val="20"/>
                <w:color w:val="auto"/>
              </w:rPr>
            </w:pPr>
            <w:r>
              <w:rPr>
                <w:rFonts w:ascii="Arial" w:cs="Arial" w:eastAsia="Arial" w:hAnsi="Arial"/>
                <w:sz w:val="11"/>
                <w:szCs w:val="11"/>
                <w:b w:val="1"/>
                <w:bCs w:val="1"/>
                <w:color w:val="auto"/>
              </w:rPr>
              <w:t>First Lien Secured Debt—1.2%</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 xml:space="preserve">Country Fresh Holdings, LLC - Super Senior Term Loan </w:t>
            </w:r>
            <w:r>
              <w:rPr>
                <w:rFonts w:ascii="Arial" w:cs="Arial" w:eastAsia="Arial" w:hAnsi="Arial"/>
                <w:sz w:val="9"/>
                <w:szCs w:val="9"/>
                <w:color w:val="auto"/>
              </w:rPr>
              <w:t>(7)</w:t>
            </w:r>
          </w:p>
        </w:tc>
        <w:tc>
          <w:tcPr>
            <w:tcW w:w="520" w:type="dxa"/>
            <w:vAlign w:val="bottom"/>
            <w:shd w:val="clear" w:color="auto" w:fill="CCECFF"/>
          </w:tcPr>
          <w:p>
            <w:pPr>
              <w:spacing w:after="0"/>
              <w:rPr>
                <w:sz w:val="20"/>
                <w:szCs w:val="20"/>
                <w:color w:val="auto"/>
              </w:rPr>
            </w:pPr>
            <w:r>
              <w:rPr>
                <w:rFonts w:ascii="Arial" w:cs="Arial" w:eastAsia="Arial" w:hAnsi="Arial"/>
                <w:sz w:val="11"/>
                <w:szCs w:val="11"/>
                <w:color w:val="auto"/>
                <w:w w:val="90"/>
              </w:rPr>
              <w:t>06/01/2022</w:t>
            </w:r>
          </w:p>
        </w:tc>
        <w:tc>
          <w:tcPr>
            <w:tcW w:w="24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5"/>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12.00%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1,366,489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1,366,489</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1,366,489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tcPr>
          <w:p>
            <w:pPr>
              <w:spacing w:after="0"/>
              <w:rPr>
                <w:sz w:val="20"/>
                <w:szCs w:val="20"/>
                <w:color w:val="auto"/>
              </w:rPr>
            </w:pPr>
            <w:r>
              <w:rPr>
                <w:rFonts w:ascii="Arial" w:cs="Arial" w:eastAsia="Arial" w:hAnsi="Arial"/>
                <w:sz w:val="11"/>
                <w:szCs w:val="11"/>
                <w:color w:val="auto"/>
              </w:rPr>
              <w:t xml:space="preserve">Country Fresh Holdings, LLC - Super Senior Term Loan </w:t>
            </w:r>
            <w:r>
              <w:rPr>
                <w:rFonts w:ascii="Arial" w:cs="Arial" w:eastAsia="Arial" w:hAnsi="Arial"/>
                <w:sz w:val="9"/>
                <w:szCs w:val="9"/>
                <w:color w:val="auto"/>
              </w:rPr>
              <w:t>(7), (9)</w:t>
            </w:r>
          </w:p>
        </w:tc>
        <w:tc>
          <w:tcPr>
            <w:tcW w:w="520" w:type="dxa"/>
            <w:vAlign w:val="bottom"/>
          </w:tcPr>
          <w:p>
            <w:pPr>
              <w:spacing w:after="0"/>
              <w:rPr>
                <w:sz w:val="20"/>
                <w:szCs w:val="20"/>
                <w:color w:val="auto"/>
              </w:rPr>
            </w:pPr>
            <w:r>
              <w:rPr>
                <w:rFonts w:ascii="Arial" w:cs="Arial" w:eastAsia="Arial" w:hAnsi="Arial"/>
                <w:sz w:val="11"/>
                <w:szCs w:val="11"/>
                <w:color w:val="auto"/>
                <w:w w:val="90"/>
              </w:rPr>
              <w:t>06/01/2022</w:t>
            </w:r>
          </w:p>
        </w:tc>
        <w:tc>
          <w:tcPr>
            <w:tcW w:w="240" w:type="dxa"/>
            <w:vAlign w:val="bottom"/>
          </w:tcPr>
          <w:p>
            <w:pPr>
              <w:spacing w:after="0"/>
              <w:rPr>
                <w:sz w:val="11"/>
                <w:szCs w:val="11"/>
                <w:color w:val="auto"/>
              </w:rPr>
            </w:pPr>
          </w:p>
        </w:tc>
        <w:tc>
          <w:tcPr>
            <w:tcW w:w="2460" w:type="dxa"/>
            <w:vAlign w:val="bottom"/>
            <w:gridSpan w:val="2"/>
          </w:tcPr>
          <w:p>
            <w:pPr>
              <w:jc w:val="center"/>
              <w:ind w:right="140"/>
              <w:spacing w:after="0"/>
              <w:rPr>
                <w:sz w:val="20"/>
                <w:szCs w:val="20"/>
                <w:color w:val="auto"/>
              </w:rPr>
            </w:pPr>
            <w:r>
              <w:rPr>
                <w:rFonts w:ascii="Arial" w:cs="Arial" w:eastAsia="Arial" w:hAnsi="Arial"/>
                <w:sz w:val="11"/>
                <w:szCs w:val="11"/>
                <w:color w:val="auto"/>
                <w:w w:val="85"/>
              </w:rPr>
              <w:t>Beverage, Food and Tobacco</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452,123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 xml:space="preserve">Country Fresh Holdings, LLC </w:t>
            </w:r>
            <w:r>
              <w:rPr>
                <w:rFonts w:ascii="Arial" w:cs="Arial" w:eastAsia="Arial" w:hAnsi="Arial"/>
                <w:sz w:val="9"/>
                <w:szCs w:val="9"/>
                <w:color w:val="auto"/>
              </w:rPr>
              <w:t>(7)</w:t>
            </w:r>
          </w:p>
        </w:tc>
        <w:tc>
          <w:tcPr>
            <w:tcW w:w="520" w:type="dxa"/>
            <w:vAlign w:val="bottom"/>
            <w:shd w:val="clear" w:color="auto" w:fill="CCECFF"/>
          </w:tcPr>
          <w:p>
            <w:pPr>
              <w:spacing w:after="0"/>
              <w:rPr>
                <w:sz w:val="20"/>
                <w:szCs w:val="20"/>
                <w:color w:val="auto"/>
              </w:rPr>
            </w:pPr>
            <w:r>
              <w:rPr>
                <w:rFonts w:ascii="Arial" w:cs="Arial" w:eastAsia="Arial" w:hAnsi="Arial"/>
                <w:sz w:val="11"/>
                <w:szCs w:val="11"/>
                <w:color w:val="auto"/>
                <w:w w:val="90"/>
              </w:rPr>
              <w:t>05/01/2023</w:t>
            </w:r>
          </w:p>
        </w:tc>
        <w:tc>
          <w:tcPr>
            <w:tcW w:w="24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5"/>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1,544,161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1,515,199</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1,544,161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color w:val="auto"/>
              </w:rPr>
              <w:t xml:space="preserve">Country Fresh Holdings, LLC (Revolver) </w:t>
            </w:r>
            <w:r>
              <w:rPr>
                <w:rFonts w:ascii="Arial" w:cs="Arial" w:eastAsia="Arial" w:hAnsi="Arial"/>
                <w:sz w:val="9"/>
                <w:szCs w:val="9"/>
                <w:color w:val="auto"/>
              </w:rPr>
              <w:t>(7)</w:t>
            </w:r>
          </w:p>
        </w:tc>
        <w:tc>
          <w:tcPr>
            <w:tcW w:w="52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w w:val="90"/>
              </w:rPr>
              <w:t>05/01/2023</w:t>
            </w:r>
          </w:p>
        </w:tc>
        <w:tc>
          <w:tcPr>
            <w:tcW w:w="240" w:type="dxa"/>
            <w:vAlign w:val="bottom"/>
            <w:tcBorders>
              <w:bottom w:val="single" w:sz="8" w:color="CCECFF"/>
            </w:tcBorders>
          </w:tcPr>
          <w:p>
            <w:pPr>
              <w:spacing w:after="0"/>
              <w:rPr>
                <w:sz w:val="11"/>
                <w:szCs w:val="11"/>
                <w:color w:val="auto"/>
              </w:rPr>
            </w:pPr>
          </w:p>
        </w:tc>
        <w:tc>
          <w:tcPr>
            <w:tcW w:w="246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85"/>
              </w:rPr>
              <w:t>Beverage, Food and Tobacco</w:t>
            </w:r>
          </w:p>
        </w:tc>
        <w:tc>
          <w:tcPr>
            <w:tcW w:w="94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1"/>
                <w:szCs w:val="11"/>
                <w:color w:val="auto"/>
              </w:rPr>
              <w:t>6.00%</w:t>
            </w:r>
          </w:p>
        </w:tc>
        <w:tc>
          <w:tcPr>
            <w:tcW w:w="92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1"/>
                <w:szCs w:val="11"/>
                <w:color w:val="auto"/>
              </w:rPr>
              <w:t>3M L+500</w:t>
            </w:r>
          </w:p>
        </w:tc>
        <w:tc>
          <w:tcPr>
            <w:tcW w:w="66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2,746,564</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2,746,564</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2,746,564</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Total First Lien Secured Debt</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5,628,252</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5,657,214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tcPr>
          <w:p>
            <w:pPr>
              <w:spacing w:after="0"/>
              <w:rPr>
                <w:sz w:val="20"/>
                <w:szCs w:val="20"/>
                <w:color w:val="auto"/>
              </w:rPr>
            </w:pPr>
            <w:r>
              <w:rPr>
                <w:rFonts w:ascii="Arial" w:cs="Arial" w:eastAsia="Arial" w:hAnsi="Arial"/>
                <w:sz w:val="11"/>
                <w:szCs w:val="11"/>
                <w:b w:val="1"/>
                <w:bCs w:val="1"/>
                <w:color w:val="auto"/>
              </w:rPr>
              <w:t>Second Lien Secured Debt—1.1%</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Country Fresh Holdings, LLC </w:t>
            </w:r>
            <w:r>
              <w:rPr>
                <w:rFonts w:ascii="Arial" w:cs="Arial" w:eastAsia="Arial" w:hAnsi="Arial"/>
                <w:sz w:val="9"/>
                <w:szCs w:val="9"/>
                <w:color w:val="auto"/>
              </w:rPr>
              <w:t>(7)</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20"/>
                <w:szCs w:val="20"/>
                <w:color w:val="auto"/>
              </w:rPr>
            </w:pPr>
            <w:r>
              <w:rPr>
                <w:rFonts w:ascii="Arial" w:cs="Arial" w:eastAsia="Arial" w:hAnsi="Arial"/>
                <w:sz w:val="11"/>
                <w:szCs w:val="11"/>
                <w:color w:val="auto"/>
                <w:w w:val="90"/>
              </w:rPr>
              <w:t>04/29/2024</w:t>
            </w:r>
          </w:p>
        </w:tc>
        <w:tc>
          <w:tcPr>
            <w:tcW w:w="24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5"/>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L+850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5,882,579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5,882,579</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5,429,620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shd w:val="clear" w:color="auto" w:fill="CCECFF"/>
          </w:tcPr>
          <w:p>
            <w:pPr>
              <w:spacing w:after="0"/>
              <w:rPr>
                <w:sz w:val="11"/>
                <w:szCs w:val="11"/>
                <w:color w:val="auto"/>
              </w:rPr>
            </w:pPr>
          </w:p>
        </w:tc>
        <w:tc>
          <w:tcPr>
            <w:tcW w:w="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9.50%)</w:t>
            </w: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gridSpan w:val="3"/>
          </w:tcPr>
          <w:p>
            <w:pPr>
              <w:spacing w:after="0"/>
              <w:rPr>
                <w:sz w:val="20"/>
                <w:szCs w:val="20"/>
                <w:color w:val="auto"/>
              </w:rPr>
            </w:pPr>
            <w:r>
              <w:rPr>
                <w:rFonts w:ascii="Arial" w:cs="Arial" w:eastAsia="Arial" w:hAnsi="Arial"/>
                <w:sz w:val="11"/>
                <w:szCs w:val="11"/>
                <w:b w:val="1"/>
                <w:bCs w:val="1"/>
                <w:color w:val="auto"/>
              </w:rPr>
              <w:t>Total Second Lien Secured Debt</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5,882,579</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5,429,620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 xml:space="preserve">Common Equity/Warrants—0.0% </w:t>
            </w:r>
            <w:r>
              <w:rPr>
                <w:rFonts w:ascii="Arial" w:cs="Arial" w:eastAsia="Arial" w:hAnsi="Arial"/>
                <w:sz w:val="9"/>
                <w:szCs w:val="9"/>
                <w:b w:val="1"/>
                <w:bCs w:val="1"/>
                <w:color w:val="auto"/>
              </w:rPr>
              <w:t>(6)</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color w:val="auto"/>
              </w:rPr>
              <w:t xml:space="preserve">Country Fresh Holding Company Inc. </w:t>
            </w:r>
            <w:r>
              <w:rPr>
                <w:rFonts w:ascii="Arial" w:cs="Arial" w:eastAsia="Arial" w:hAnsi="Arial"/>
                <w:sz w:val="9"/>
                <w:szCs w:val="9"/>
                <w:color w:val="auto"/>
              </w:rPr>
              <w:t>(7)</w:t>
            </w:r>
          </w:p>
        </w:tc>
        <w:tc>
          <w:tcPr>
            <w:tcW w:w="760" w:type="dxa"/>
            <w:vAlign w:val="bottom"/>
            <w:tcBorders>
              <w:bottom w:val="single" w:sz="8" w:color="CCECFF"/>
            </w:tcBorders>
            <w:gridSpan w:val="2"/>
          </w:tcPr>
          <w:p>
            <w:pPr>
              <w:ind w:left="260"/>
              <w:spacing w:after="0"/>
              <w:rPr>
                <w:sz w:val="20"/>
                <w:szCs w:val="20"/>
                <w:color w:val="auto"/>
              </w:rPr>
            </w:pPr>
            <w:r>
              <w:rPr>
                <w:rFonts w:ascii="Arial" w:cs="Arial" w:eastAsia="Arial" w:hAnsi="Arial"/>
                <w:sz w:val="11"/>
                <w:szCs w:val="11"/>
                <w:color w:val="auto"/>
              </w:rPr>
              <w:t>—</w:t>
            </w:r>
          </w:p>
        </w:tc>
        <w:tc>
          <w:tcPr>
            <w:tcW w:w="246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85"/>
              </w:rPr>
              <w:t>Beverage, Food and Tobacco</w:t>
            </w:r>
          </w:p>
        </w:tc>
        <w:tc>
          <w:tcPr>
            <w:tcW w:w="940" w:type="dxa"/>
            <w:vAlign w:val="bottom"/>
            <w:tcBorders>
              <w:bottom w:val="single" w:sz="8" w:color="CCECFF"/>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8,034</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10,453,350</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Total Common Equity/Warrants</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10,453,350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344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b w:val="1"/>
                <w:bCs w:val="1"/>
                <w:color w:val="auto"/>
                <w:w w:val="96"/>
              </w:rPr>
              <w:t>Total Investments in Non-Controlled, Affiliated Portfolio Companies</w:t>
            </w:r>
          </w:p>
        </w:tc>
        <w:tc>
          <w:tcPr>
            <w:tcW w:w="52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3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21,964,181</w:t>
            </w:r>
          </w:p>
        </w:tc>
        <w:tc>
          <w:tcPr>
            <w:tcW w:w="220" w:type="dxa"/>
            <w:vAlign w:val="bottom"/>
            <w:tcBorders>
              <w:bottom w:val="single" w:sz="8" w:color="CCEC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11,086,834</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w w:val="92"/>
              </w:rPr>
              <w:t xml:space="preserve">Investments in Controlled, Affiliated Portfolio Companies—34.6% </w:t>
            </w:r>
            <w:r>
              <w:rPr>
                <w:rFonts w:ascii="Arial" w:cs="Arial" w:eastAsia="Arial" w:hAnsi="Arial"/>
                <w:sz w:val="9"/>
                <w:szCs w:val="9"/>
                <w:b w:val="1"/>
                <w:bCs w:val="1"/>
                <w:color w:val="auto"/>
                <w:w w:val="92"/>
              </w:rPr>
              <w:t>(3), (4)</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tcPr>
          <w:p>
            <w:pPr>
              <w:spacing w:after="0"/>
              <w:rPr>
                <w:sz w:val="20"/>
                <w:szCs w:val="20"/>
                <w:color w:val="auto"/>
              </w:rPr>
            </w:pPr>
            <w:r>
              <w:rPr>
                <w:rFonts w:ascii="Arial" w:cs="Arial" w:eastAsia="Arial" w:hAnsi="Arial"/>
                <w:sz w:val="11"/>
                <w:szCs w:val="11"/>
                <w:b w:val="1"/>
                <w:bCs w:val="1"/>
                <w:color w:val="auto"/>
              </w:rPr>
              <w:t>First Lien Secured Debt—26.3%</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 xml:space="preserve">PennantPark Senior Secured Loan Fund I LLC </w:t>
            </w:r>
            <w:r>
              <w:rPr>
                <w:rFonts w:ascii="Arial" w:cs="Arial" w:eastAsia="Arial" w:hAnsi="Arial"/>
                <w:sz w:val="9"/>
                <w:szCs w:val="9"/>
                <w:color w:val="auto"/>
              </w:rPr>
              <w:t>(7), (9), (10)</w:t>
            </w:r>
          </w:p>
        </w:tc>
        <w:tc>
          <w:tcPr>
            <w:tcW w:w="520" w:type="dxa"/>
            <w:vAlign w:val="bottom"/>
            <w:shd w:val="clear" w:color="auto" w:fill="CCECFF"/>
          </w:tcPr>
          <w:p>
            <w:pPr>
              <w:spacing w:after="0"/>
              <w:rPr>
                <w:sz w:val="20"/>
                <w:szCs w:val="20"/>
                <w:color w:val="auto"/>
              </w:rPr>
            </w:pPr>
            <w:r>
              <w:rPr>
                <w:rFonts w:ascii="Arial" w:cs="Arial" w:eastAsia="Arial" w:hAnsi="Arial"/>
                <w:sz w:val="11"/>
                <w:szCs w:val="11"/>
                <w:color w:val="auto"/>
                <w:w w:val="90"/>
              </w:rPr>
              <w:t>05/06/2024</w:t>
            </w:r>
          </w:p>
        </w:tc>
        <w:tc>
          <w:tcPr>
            <w:tcW w:w="24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Financial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8.22%</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L+800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125,378,750</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125,378,750</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125,378,750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gridSpan w:val="3"/>
          </w:tcPr>
          <w:p>
            <w:pPr>
              <w:spacing w:after="0"/>
              <w:rPr>
                <w:sz w:val="20"/>
                <w:szCs w:val="20"/>
                <w:color w:val="auto"/>
              </w:rPr>
            </w:pPr>
            <w:r>
              <w:rPr>
                <w:rFonts w:ascii="Arial" w:cs="Arial" w:eastAsia="Arial" w:hAnsi="Arial"/>
                <w:sz w:val="11"/>
                <w:szCs w:val="11"/>
                <w:b w:val="1"/>
                <w:bCs w:val="1"/>
                <w:color w:val="auto"/>
              </w:rPr>
              <w:t>Total First Lien Secured Debt</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125,378,750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125,378,750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Equity Interests—8.4%</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color w:val="auto"/>
              </w:rPr>
              <w:t xml:space="preserve">PennantPark Senior Secured Loan Fund I LLC </w:t>
            </w:r>
            <w:r>
              <w:rPr>
                <w:rFonts w:ascii="Arial" w:cs="Arial" w:eastAsia="Arial" w:hAnsi="Arial"/>
                <w:sz w:val="9"/>
                <w:szCs w:val="9"/>
                <w:color w:val="auto"/>
              </w:rPr>
              <w:t>(7), (9), (10)</w:t>
            </w:r>
          </w:p>
        </w:tc>
        <w:tc>
          <w:tcPr>
            <w:tcW w:w="760" w:type="dxa"/>
            <w:vAlign w:val="bottom"/>
            <w:tcBorders>
              <w:bottom w:val="single" w:sz="8" w:color="CCECFF"/>
            </w:tcBorders>
            <w:gridSpan w:val="2"/>
          </w:tcPr>
          <w:p>
            <w:pPr>
              <w:ind w:left="260"/>
              <w:spacing w:after="0"/>
              <w:rPr>
                <w:sz w:val="20"/>
                <w:szCs w:val="20"/>
                <w:color w:val="auto"/>
              </w:rPr>
            </w:pPr>
            <w:r>
              <w:rPr>
                <w:rFonts w:ascii="Arial" w:cs="Arial" w:eastAsia="Arial" w:hAnsi="Arial"/>
                <w:sz w:val="11"/>
                <w:szCs w:val="11"/>
                <w:color w:val="auto"/>
              </w:rPr>
              <w:t>—</w:t>
            </w:r>
          </w:p>
        </w:tc>
        <w:tc>
          <w:tcPr>
            <w:tcW w:w="246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89"/>
              </w:rPr>
              <w:t>Financial Services</w:t>
            </w:r>
          </w:p>
        </w:tc>
        <w:tc>
          <w:tcPr>
            <w:tcW w:w="940" w:type="dxa"/>
            <w:vAlign w:val="bottom"/>
            <w:tcBorders>
              <w:bottom w:val="single" w:sz="8" w:color="CCECFF"/>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53,734</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53,733,750</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39,910,574</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Total Equity Interests</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53,733,750</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39,910,574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4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b w:val="1"/>
                <w:bCs w:val="1"/>
                <w:color w:val="auto"/>
              </w:rPr>
              <w:t>Total Investments in Controlled, Affiliated Portfolio Companies</w:t>
            </w:r>
          </w:p>
        </w:tc>
        <w:tc>
          <w:tcPr>
            <w:tcW w:w="52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3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179,112,500</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165,289,324</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Total Investments—227.7%</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88"/>
              </w:rPr>
              <w:t>1,116,951,438</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3"/>
              </w:rPr>
              <w:t>1,086,928,467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gridSpan w:val="3"/>
          </w:tcPr>
          <w:p>
            <w:pPr>
              <w:spacing w:after="0"/>
              <w:rPr>
                <w:sz w:val="20"/>
                <w:szCs w:val="20"/>
                <w:color w:val="auto"/>
              </w:rPr>
            </w:pPr>
            <w:r>
              <w:rPr>
                <w:rFonts w:ascii="Arial" w:cs="Arial" w:eastAsia="Arial" w:hAnsi="Arial"/>
                <w:sz w:val="11"/>
                <w:szCs w:val="11"/>
                <w:b w:val="1"/>
                <w:bCs w:val="1"/>
                <w:color w:val="auto"/>
              </w:rPr>
              <w:t>Cash and Cash Equivalents—12.1%</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BlackRock Federal FD Institutional 30</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8,433,416</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8,433,416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color w:val="auto"/>
              </w:rPr>
              <w:t>BNY Mellon Cash</w:t>
            </w:r>
          </w:p>
        </w:tc>
        <w:tc>
          <w:tcPr>
            <w:tcW w:w="52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3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49,101,005</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49,078,512</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Total Cash and Cash Equivalents</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57,534,421</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57,511,928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40" w:type="dxa"/>
            <w:vAlign w:val="bottom"/>
            <w:gridSpan w:val="3"/>
          </w:tcPr>
          <w:p>
            <w:pPr>
              <w:spacing w:after="0"/>
              <w:rPr>
                <w:sz w:val="20"/>
                <w:szCs w:val="20"/>
                <w:color w:val="auto"/>
              </w:rPr>
            </w:pPr>
            <w:r>
              <w:rPr>
                <w:rFonts w:ascii="Arial" w:cs="Arial" w:eastAsia="Arial" w:hAnsi="Arial"/>
                <w:sz w:val="11"/>
                <w:szCs w:val="11"/>
                <w:b w:val="1"/>
                <w:bCs w:val="1"/>
                <w:color w:val="auto"/>
              </w:rPr>
              <w:t>Total Investments and Cash Equivalents—239.8%</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w w:val="88"/>
              </w:rPr>
              <w:t>1,174,485,859</w:t>
            </w:r>
          </w:p>
        </w:tc>
        <w:tc>
          <w:tcPr>
            <w:tcW w:w="2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w w:val="93"/>
              </w:rPr>
              <w:t>1,144,440,395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CFF"/>
            </w:tcBorders>
            <w:gridSpan w:val="3"/>
            <w:vMerge w:val="restart"/>
            <w:shd w:val="clear" w:color="auto" w:fill="CCECFF"/>
          </w:tcPr>
          <w:p>
            <w:pPr>
              <w:spacing w:after="0"/>
              <w:rPr>
                <w:sz w:val="20"/>
                <w:szCs w:val="20"/>
                <w:color w:val="auto"/>
              </w:rPr>
            </w:pPr>
            <w:r>
              <w:rPr>
                <w:rFonts w:ascii="Arial" w:cs="Arial" w:eastAsia="Arial" w:hAnsi="Arial"/>
                <w:sz w:val="11"/>
                <w:szCs w:val="11"/>
                <w:b w:val="1"/>
                <w:bCs w:val="1"/>
                <w:color w:val="auto"/>
              </w:rPr>
              <w:t>Liabilities in Excess of Other Assets—(139.8)%</w:t>
            </w:r>
          </w:p>
        </w:tc>
        <w:tc>
          <w:tcPr>
            <w:tcW w:w="52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234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680" w:type="dxa"/>
            <w:vAlign w:val="bottom"/>
            <w:tcBorders>
              <w:top w:val="single" w:sz="8" w:color="CCECFF"/>
            </w:tcBorders>
            <w:shd w:val="clear" w:color="auto" w:fill="CCECFF"/>
          </w:tcPr>
          <w:p>
            <w:pPr>
              <w:spacing w:after="0" w:line="20" w:lineRule="exact"/>
              <w:rPr>
                <w:sz w:val="1"/>
                <w:szCs w:val="1"/>
                <w:color w:val="auto"/>
              </w:rPr>
            </w:pPr>
          </w:p>
        </w:tc>
        <w:tc>
          <w:tcPr>
            <w:tcW w:w="260" w:type="dxa"/>
            <w:vAlign w:val="bottom"/>
            <w:tcBorders>
              <w:top w:val="single" w:sz="8" w:color="CCECFF"/>
            </w:tcBorders>
            <w:shd w:val="clear" w:color="auto" w:fill="CCECFF"/>
          </w:tcPr>
          <w:p>
            <w:pPr>
              <w:spacing w:after="0" w:line="20" w:lineRule="exact"/>
              <w:rPr>
                <w:sz w:val="1"/>
                <w:szCs w:val="1"/>
                <w:color w:val="auto"/>
              </w:rPr>
            </w:pPr>
          </w:p>
        </w:tc>
        <w:tc>
          <w:tcPr>
            <w:tcW w:w="68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66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440" w:type="dxa"/>
            <w:vAlign w:val="bottom"/>
            <w:gridSpan w:val="3"/>
            <w:vMerge w:val="continue"/>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3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800" w:type="dxa"/>
            <w:vAlign w:val="bottom"/>
            <w:gridSpan w:val="2"/>
            <w:shd w:val="clear" w:color="auto" w:fill="CCECFF"/>
          </w:tcPr>
          <w:p>
            <w:pPr>
              <w:jc w:val="right"/>
              <w:ind w:right="80"/>
              <w:spacing w:after="0" w:line="116" w:lineRule="exact"/>
              <w:rPr>
                <w:sz w:val="20"/>
                <w:szCs w:val="20"/>
                <w:color w:val="auto"/>
              </w:rPr>
            </w:pPr>
            <w:r>
              <w:rPr>
                <w:rFonts w:ascii="Arial" w:cs="Arial" w:eastAsia="Arial" w:hAnsi="Arial"/>
                <w:sz w:val="11"/>
                <w:szCs w:val="11"/>
                <w:color w:val="auto"/>
              </w:rPr>
              <w:t>(667,170,003)</w:t>
            </w:r>
          </w:p>
        </w:tc>
        <w:tc>
          <w:tcPr>
            <w:tcW w:w="0" w:type="dxa"/>
            <w:vAlign w:val="bottom"/>
          </w:tcPr>
          <w:p>
            <w:pPr>
              <w:spacing w:after="0"/>
              <w:rPr>
                <w:sz w:val="1"/>
                <w:szCs w:val="1"/>
                <w:color w:val="auto"/>
              </w:rPr>
            </w:pPr>
          </w:p>
        </w:tc>
      </w:tr>
      <w:tr>
        <w:trPr>
          <w:trHeight w:val="128"/>
        </w:trPr>
        <w:tc>
          <w:tcPr>
            <w:tcW w:w="3440" w:type="dxa"/>
            <w:vAlign w:val="bottom"/>
            <w:gridSpan w:val="3"/>
          </w:tcPr>
          <w:p>
            <w:pPr>
              <w:spacing w:after="0"/>
              <w:rPr>
                <w:sz w:val="20"/>
                <w:szCs w:val="20"/>
                <w:color w:val="auto"/>
              </w:rPr>
            </w:pPr>
            <w:r>
              <w:rPr>
                <w:rFonts w:ascii="Arial" w:cs="Arial" w:eastAsia="Arial" w:hAnsi="Arial"/>
                <w:sz w:val="11"/>
                <w:szCs w:val="11"/>
                <w:b w:val="1"/>
                <w:bCs w:val="1"/>
                <w:color w:val="auto"/>
              </w:rPr>
              <w:t>Net Assets—100.0%</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477,270,392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940" w:type="dxa"/>
            <w:vAlign w:val="bottom"/>
            <w:tcBorders>
              <w:bottom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380" w:right="40" w:hanging="372"/>
        <w:spacing w:after="0" w:line="316" w:lineRule="auto"/>
        <w:tabs>
          <w:tab w:leader="none" w:pos="380" w:val="left"/>
        </w:tabs>
        <w:numPr>
          <w:ilvl w:val="0"/>
          <w:numId w:val="4"/>
        </w:numPr>
        <w:rPr>
          <w:rFonts w:ascii="Arial" w:cs="Arial" w:eastAsia="Arial" w:hAnsi="Arial"/>
          <w:sz w:val="9"/>
          <w:szCs w:val="9"/>
          <w:color w:val="auto"/>
        </w:rPr>
      </w:pPr>
      <w:r>
        <w:rPr>
          <w:rFonts w:ascii="Arial" w:cs="Arial" w:eastAsia="Arial" w:hAnsi="Arial"/>
          <w:sz w:val="9"/>
          <w:szCs w:val="9"/>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payment-in-kind, or PIK, interest and other fee rates, if any.</w:t>
      </w: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Valued based on our accounting policy (See Note 2). The value of all securities was determined using significant unobservable inputs (See Note 5).</w:t>
      </w: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80" w:hanging="372"/>
        <w:spacing w:after="0"/>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 securities, or a portion thereof, are not 1) pledged as collateral under the Credit Facility and held through Funding I; or, 2) securing the 2031 Asset-Backed Debt (See Note 10) and held through PennantPark CLO I, Ltd.</w:t>
      </w:r>
    </w:p>
    <w:p>
      <w:pPr>
        <w:spacing w:after="0" w:line="8" w:lineRule="exact"/>
        <w:rPr>
          <w:rFonts w:ascii="Arial" w:cs="Arial" w:eastAsia="Arial" w:hAnsi="Arial"/>
          <w:sz w:val="11"/>
          <w:szCs w:val="11"/>
          <w:color w:val="auto"/>
        </w:rPr>
      </w:pP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Investment is held through our Taxable Subsidiary (See Note 1).</w:t>
      </w:r>
    </w:p>
    <w:p>
      <w:pPr>
        <w:ind w:left="380" w:hanging="372"/>
        <w:spacing w:after="0"/>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80" w:right="2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2020, qualifying assets represent 81% of our total assets and non-qualifying assets represent 19% of our total assets.</w:t>
      </w: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Par amount is denominated in Canadian Dollars (C$) as denoted.</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line="221" w:lineRule="auto"/>
        <w:rPr>
          <w:sz w:val="20"/>
          <w:szCs w:val="20"/>
          <w:color w:val="auto"/>
        </w:rPr>
      </w:pPr>
      <w:r>
        <w:rPr>
          <w:rFonts w:ascii="Arial" w:cs="Arial" w:eastAsia="Arial" w:hAnsi="Arial"/>
          <w:sz w:val="14"/>
          <w:szCs w:val="14"/>
          <w:b w:val="1"/>
          <w:bCs w:val="1"/>
          <w:color w:val="auto"/>
        </w:rPr>
        <w:t>MARCH 31, 2021</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40" w:lineRule="exact"/>
        <w:rPr>
          <w:sz w:val="20"/>
          <w:szCs w:val="20"/>
          <w:color w:val="auto"/>
        </w:rPr>
      </w:pPr>
    </w:p>
    <w:p>
      <w:pPr>
        <w:ind w:right="40" w:firstLine="438"/>
        <w:spacing w:after="0" w:line="253" w:lineRule="auto"/>
        <w:rPr>
          <w:sz w:val="20"/>
          <w:szCs w:val="20"/>
          <w:color w:val="auto"/>
        </w:rPr>
      </w:pPr>
      <w:r>
        <w:rPr>
          <w:rFonts w:ascii="Arial" w:cs="Arial" w:eastAsia="Arial" w:hAnsi="Arial"/>
          <w:sz w:val="14"/>
          <w:szCs w:val="14"/>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106" w:lineRule="exact"/>
        <w:rPr>
          <w:sz w:val="20"/>
          <w:szCs w:val="20"/>
          <w:color w:val="auto"/>
        </w:rPr>
      </w:pPr>
    </w:p>
    <w:p>
      <w:pPr>
        <w:ind w:right="100" w:firstLine="438"/>
        <w:spacing w:after="0" w:line="228" w:lineRule="auto"/>
        <w:rPr>
          <w:sz w:val="20"/>
          <w:szCs w:val="20"/>
          <w:color w:val="auto"/>
        </w:rPr>
      </w:pPr>
      <w:r>
        <w:rPr>
          <w:rFonts w:ascii="Arial" w:cs="Arial" w:eastAsia="Arial" w:hAnsi="Arial"/>
          <w:sz w:val="14"/>
          <w:szCs w:val="14"/>
          <w:color w:val="auto"/>
        </w:rPr>
        <w:t>Our investment objectives are to generate both current income and capital appreciation while seeking to preserve capital. We seek to achieve our investment objectives by investing primarily in loans bearing variable rates of interest, or Floating Rate Loans, and other investments made to U.S. middle-market private companies whose debt is rated below investment grade. Interest on Floating Rate Loans is determined periodically, on the basis of a floating base lending rate such as LIBOR, with or without a floor, plus a fixed spread. Under normal market conditions, we generally expect that at least 80% of the value of our net assets plus any borrowings for investment purposes, or our Managed Assets, will be invested in Floating Rate Loans and other investments bearing a variable rate of interest, which may include, from time to time, variable rate derivative instruments. We generally expect that first lien secured debt will represent at least 65% of our overall portfolio. We generally expect to invest up to 35% of our overall portfolio opportunistically in other types of investments, including second lien secured debt, subordinated debt, and, to a lesser extent, equity investments.</w:t>
      </w:r>
    </w:p>
    <w:p>
      <w:pPr>
        <w:spacing w:after="0" w:line="117" w:lineRule="exact"/>
        <w:rPr>
          <w:sz w:val="20"/>
          <w:szCs w:val="20"/>
          <w:color w:val="auto"/>
        </w:rPr>
      </w:pPr>
    </w:p>
    <w:p>
      <w:pPr>
        <w:ind w:right="240" w:firstLine="438"/>
        <w:spacing w:after="0" w:line="238" w:lineRule="auto"/>
        <w:rPr>
          <w:sz w:val="20"/>
          <w:szCs w:val="20"/>
          <w:color w:val="auto"/>
        </w:rPr>
      </w:pPr>
      <w:r>
        <w:rPr>
          <w:rFonts w:ascii="Arial" w:cs="Arial" w:eastAsia="Arial" w:hAnsi="Arial"/>
          <w:sz w:val="14"/>
          <w:szCs w:val="14"/>
          <w:color w:val="auto"/>
        </w:rPr>
        <w:t>We have entered into an investment management agreement, or the Investment Management Agreement, with the Investment Adviser, an external adviser that manages our day-to-day operations. We have also entered into an administration agreement, or the Administration Agreement, with the Administrator, which provides the administrative services necessary for us to operate.</w:t>
      </w:r>
    </w:p>
    <w:p>
      <w:pPr>
        <w:spacing w:after="0" w:line="115"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Funding I, our wholly owned subsidiary and a special purpose entity, was organized in Delaware as a limited liability company in May 2011. We formed Funding I in order to establish the Credit Facility. The Investment Adviser serves as the collateral manager to Funding I and has irrevocably directed that any management fee owed with respect to such services is to be paid to us so long as the Investment Adviser remains the collateral manager. This arrangement does not increase our consolidated management fee. The Credit Facility allows Funding I to borrow up to $400 million (reduced from $520 million on January 19, 2021) at LIBOR (or an alternative risk-free floating interest rate index) plus 200 basis points during the revolving period. The Credit Facility is secured by all of the assets held by Funding I. See Note 10.</w:t>
      </w:r>
    </w:p>
    <w:p>
      <w:pPr>
        <w:spacing w:after="0" w:line="116" w:lineRule="exact"/>
        <w:rPr>
          <w:sz w:val="20"/>
          <w:szCs w:val="20"/>
          <w:color w:val="auto"/>
        </w:rPr>
      </w:pPr>
    </w:p>
    <w:p>
      <w:pPr>
        <w:ind w:right="20" w:firstLine="438"/>
        <w:spacing w:after="0" w:line="290" w:lineRule="auto"/>
        <w:rPr>
          <w:sz w:val="20"/>
          <w:szCs w:val="20"/>
          <w:color w:val="auto"/>
        </w:rPr>
      </w:pPr>
      <w:r>
        <w:rPr>
          <w:rFonts w:ascii="Arial" w:cs="Arial" w:eastAsia="Arial" w:hAnsi="Arial"/>
          <w:sz w:val="13"/>
          <w:szCs w:val="13"/>
          <w:color w:val="auto"/>
        </w:rPr>
        <w:t>We have formed and expect to continue to form certain taxable subsidiaries, including the Taxable Subsidiary,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84" w:lineRule="exact"/>
        <w:rPr>
          <w:sz w:val="20"/>
          <w:szCs w:val="20"/>
          <w:color w:val="auto"/>
        </w:rPr>
      </w:pPr>
    </w:p>
    <w:p>
      <w:pPr>
        <w:ind w:right="380" w:firstLine="438"/>
        <w:spacing w:after="0" w:line="290" w:lineRule="auto"/>
        <w:rPr>
          <w:sz w:val="20"/>
          <w:szCs w:val="20"/>
          <w:color w:val="auto"/>
        </w:rPr>
      </w:pPr>
      <w:r>
        <w:rPr>
          <w:rFonts w:ascii="Arial" w:cs="Arial" w:eastAsia="Arial" w:hAnsi="Arial"/>
          <w:sz w:val="13"/>
          <w:szCs w:val="13"/>
          <w:color w:val="auto"/>
        </w:rPr>
        <w:t>In May 2017, we and a subsidiary of Kemper Corporation (NYSE: KMPR), Trinity Universal Insurance Company, or Kemper, formed PSSL, an unconsolidated joint venture. PSSL invests primarily in middle-market and other corporate debt securities consistent with our strategy. PSSL was formed as a Delaware limited liability company. See Note 4.</w:t>
      </w:r>
    </w:p>
    <w:p>
      <w:pPr>
        <w:spacing w:after="0" w:line="84" w:lineRule="exact"/>
        <w:rPr>
          <w:sz w:val="20"/>
          <w:szCs w:val="20"/>
          <w:color w:val="auto"/>
        </w:rPr>
      </w:pPr>
    </w:p>
    <w:p>
      <w:pPr>
        <w:ind w:right="140" w:firstLine="438"/>
        <w:spacing w:after="0" w:line="233" w:lineRule="auto"/>
        <w:rPr>
          <w:sz w:val="20"/>
          <w:szCs w:val="20"/>
          <w:color w:val="auto"/>
        </w:rPr>
      </w:pPr>
      <w:r>
        <w:rPr>
          <w:rFonts w:ascii="Arial" w:cs="Arial" w:eastAsia="Arial" w:hAnsi="Arial"/>
          <w:sz w:val="14"/>
          <w:szCs w:val="14"/>
          <w:color w:val="auto"/>
        </w:rPr>
        <w:t>In November 2017, we issued $138.6 million of our 2023 Notes. The principal on the 2023 Notes is payable in four annual installments as follows: 15% of the original principal amount on December 15, 2020, 15% of the original principal amount on December 15, 2021, 15% of the original principal amount on December 15, 2022 and 55% on December 15, 2023. The 2023 Notes are general, unsecured obligations and rank equal in right of payment with all of our existing and future senior unsecured indebtedness. The 2023 Notes are listed on the Tel Aviv Stock Exchange, or the TASE. In connection with this offering, we have dual listed our common stock on the TASE.</w:t>
      </w:r>
    </w:p>
    <w:p>
      <w:pPr>
        <w:spacing w:after="0" w:line="117" w:lineRule="exact"/>
        <w:rPr>
          <w:sz w:val="20"/>
          <w:szCs w:val="20"/>
          <w:color w:val="auto"/>
        </w:rPr>
      </w:pPr>
    </w:p>
    <w:p>
      <w:pPr>
        <w:ind w:right="120" w:firstLine="438"/>
        <w:spacing w:after="0" w:line="231" w:lineRule="auto"/>
        <w:rPr>
          <w:sz w:val="20"/>
          <w:szCs w:val="20"/>
          <w:color w:val="auto"/>
        </w:rPr>
      </w:pPr>
      <w:r>
        <w:rPr>
          <w:rFonts w:ascii="Arial" w:cs="Arial" w:eastAsia="Arial" w:hAnsi="Arial"/>
          <w:sz w:val="14"/>
          <w:szCs w:val="14"/>
          <w:color w:val="auto"/>
        </w:rPr>
        <w:t>In September 2019, the Securitization Issuers completed the Debt Securitization. The 2031 Asset-Backed Debt is secured by a diversified portfolio of the Securitization Issuer consisting primarily of middle market loans and participation interests in middle market loans. The 2031 Asset-Backed Debt is scheduled to mature on October 15, 2031. On the closing date of the Debt Securitization, in consideration of our transfer to the Securitization Issuer of the initial closing date loan portfolio, which included loans distributed to us by certain of our wholly owned subsidiaries,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See Note 10.</w:t>
      </w:r>
    </w:p>
    <w:p>
      <w:pPr>
        <w:spacing w:after="0" w:line="116"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In March 2021, we issued $100.0 million in aggregate principal amount of our 2026 Notes at a public offering price per note of 99.4%. Interest on the 2026 Notes is paid semi-annually on April 1 and October 1 of each year, at a rate of 4.25% per year, commencing October 1, 2021. The 2026 Notes mature on April 1, 2026 and may be redeemed in whole or in part at our option subject to a make-whole premium if redeemed more than three months prior to maturity. The 2026 Notes are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18"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We are operated by a person who has claimed an exclusion from the definition of the term “commodity pool operator” under the Commodity Exchange Act and, therefore, is not subject to registration or regulation as a commodity pool operator under the Commodity Exchange Act.</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40" w:lineRule="exact"/>
        <w:rPr>
          <w:sz w:val="20"/>
          <w:szCs w:val="20"/>
          <w:color w:val="auto"/>
        </w:rPr>
      </w:pPr>
    </w:p>
    <w:p>
      <w:pPr>
        <w:ind w:right="20" w:firstLine="438"/>
        <w:spacing w:after="0" w:line="227" w:lineRule="auto"/>
        <w:rPr>
          <w:sz w:val="20"/>
          <w:szCs w:val="20"/>
          <w:color w:val="auto"/>
        </w:rPr>
      </w:pPr>
      <w:r>
        <w:rPr>
          <w:rFonts w:ascii="Arial" w:cs="Arial" w:eastAsia="Arial" w:hAnsi="Arial"/>
          <w:sz w:val="14"/>
          <w:szCs w:val="14"/>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Changes in the economic and regulatory environment, financial markets, the credit worthiness of our portfolio companies, the global outbreak of the novel coronavirus (“COVID-19”), and any other parameters used in determining these estimates and assumptions could cause actual results to differ from these estimates and assumptions. We may reclassify certain prior period amounts to conform to the current period presentation. We have eliminated all intercompany balances and transactions. References to the Financial Accounting Standards Board’s, or FASB’s,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18" w:lineRule="exact"/>
        <w:rPr>
          <w:sz w:val="20"/>
          <w:szCs w:val="20"/>
          <w:color w:val="auto"/>
        </w:rPr>
      </w:pPr>
    </w:p>
    <w:p>
      <w:pPr>
        <w:ind w:right="260" w:firstLine="438"/>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MARCH 31, 2021</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136" w:lineRule="exact"/>
        <w:rPr>
          <w:sz w:val="20"/>
          <w:szCs w:val="20"/>
          <w:color w:val="auto"/>
        </w:rPr>
      </w:pPr>
    </w:p>
    <w:p>
      <w:pPr>
        <w:ind w:right="20" w:firstLine="438"/>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11" w:lineRule="exact"/>
        <w:rPr>
          <w:sz w:val="20"/>
          <w:szCs w:val="20"/>
          <w:color w:val="auto"/>
        </w:rPr>
      </w:pPr>
    </w:p>
    <w:p>
      <w:pPr>
        <w:ind w:right="380" w:firstLine="438"/>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4" w:lineRule="exact"/>
        <w:rPr>
          <w:sz w:val="20"/>
          <w:szCs w:val="20"/>
          <w:color w:val="auto"/>
        </w:rPr>
      </w:pPr>
    </w:p>
    <w:p>
      <w:pPr>
        <w:ind w:left="800" w:right="420" w:hanging="360"/>
        <w:spacing w:after="0" w:line="253" w:lineRule="auto"/>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the Investment Adviser responsible for the portfolio investment;</w:t>
      </w:r>
    </w:p>
    <w:p>
      <w:pPr>
        <w:spacing w:after="0" w:line="106" w:lineRule="exact"/>
        <w:rPr>
          <w:rFonts w:ascii="Arial" w:cs="Arial" w:eastAsia="Arial" w:hAnsi="Arial"/>
          <w:sz w:val="14"/>
          <w:szCs w:val="14"/>
          <w:color w:val="auto"/>
        </w:rPr>
      </w:pPr>
    </w:p>
    <w:p>
      <w:pPr>
        <w:ind w:left="800" w:hanging="360"/>
        <w:spacing w:after="0"/>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the Investment Adviser;</w:t>
      </w:r>
    </w:p>
    <w:p>
      <w:pPr>
        <w:spacing w:after="0" w:line="136" w:lineRule="exact"/>
        <w:rPr>
          <w:rFonts w:ascii="Arial" w:cs="Arial" w:eastAsia="Arial" w:hAnsi="Arial"/>
          <w:sz w:val="14"/>
          <w:szCs w:val="14"/>
          <w:color w:val="auto"/>
        </w:rPr>
      </w:pPr>
    </w:p>
    <w:p>
      <w:pPr>
        <w:jc w:val="both"/>
        <w:ind w:left="800" w:right="180" w:hanging="360"/>
        <w:spacing w:after="0" w:line="264" w:lineRule="auto"/>
        <w:tabs>
          <w:tab w:leader="none" w:pos="80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800" w:right="60" w:hanging="360"/>
        <w:spacing w:after="0" w:line="238" w:lineRule="auto"/>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800" w:right="200" w:hanging="360"/>
        <w:spacing w:after="0" w:line="253" w:lineRule="auto"/>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Realized/Unrealized Gains or Losses</w:t>
      </w:r>
    </w:p>
    <w:p>
      <w:pPr>
        <w:spacing w:after="0" w:line="136"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as applicable, the change in the fair values of our portfolio investments, the Credit Facility and the 2023 Notes during the reporting period, including the reversal of previously recorded unrealized appreciation or depreciation, when gains or losses are realized.</w:t>
      </w:r>
    </w:p>
    <w:p>
      <w:pPr>
        <w:spacing w:after="0" w:line="117" w:lineRule="exact"/>
        <w:rPr>
          <w:sz w:val="20"/>
          <w:szCs w:val="20"/>
          <w:color w:val="auto"/>
        </w:rPr>
      </w:pPr>
    </w:p>
    <w:p>
      <w:pPr>
        <w:ind w:right="100" w:firstLine="438"/>
        <w:spacing w:after="0" w:line="245"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earned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Subtopic 450-30, Gain Contingencies, or ASC 450-30.</w:t>
      </w:r>
    </w:p>
    <w:p>
      <w:pPr>
        <w:spacing w:after="0" w:line="116" w:lineRule="exact"/>
        <w:rPr>
          <w:sz w:val="20"/>
          <w:szCs w:val="20"/>
          <w:color w:val="auto"/>
        </w:rPr>
      </w:pPr>
    </w:p>
    <w:p>
      <w:pPr>
        <w:ind w:right="340" w:firstLine="438"/>
        <w:spacing w:after="0" w:line="251" w:lineRule="auto"/>
        <w:rPr>
          <w:sz w:val="20"/>
          <w:szCs w:val="20"/>
          <w:color w:val="auto"/>
        </w:rPr>
      </w:pPr>
      <w:r>
        <w:rPr>
          <w:rFonts w:ascii="Arial" w:cs="Arial" w:eastAsia="Arial" w:hAnsi="Arial"/>
          <w:sz w:val="13"/>
          <w:szCs w:val="13"/>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 As of March 31, 2021, we had two portfolio companies on non-accrual, representing 3.1% and 2.3% of our overall portfolio on a cost and fair value basis, respectively. As of September 30, 2020, we had three portfolio companies on non-accrual, representing 2.1% and 1.8% of our overall portfolio on a cost and fair value basis, respectively.</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 Income Taxes</w:t>
      </w:r>
    </w:p>
    <w:p>
      <w:pPr>
        <w:spacing w:after="0" w:line="136" w:lineRule="exact"/>
        <w:rPr>
          <w:sz w:val="20"/>
          <w:szCs w:val="20"/>
          <w:color w:val="auto"/>
        </w:rPr>
      </w:pPr>
    </w:p>
    <w:p>
      <w:pPr>
        <w:ind w:firstLine="438"/>
        <w:spacing w:after="0" w:line="248" w:lineRule="auto"/>
        <w:rPr>
          <w:sz w:val="20"/>
          <w:szCs w:val="20"/>
          <w:color w:val="auto"/>
        </w:rPr>
      </w:pPr>
      <w:r>
        <w:rPr>
          <w:rFonts w:ascii="Arial" w:cs="Arial" w:eastAsia="Arial" w:hAnsi="Arial"/>
          <w:sz w:val="13"/>
          <w:szCs w:val="13"/>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U.S. federal income tax purposes, we typically do not incur material U.S. federal income taxes. However, we may choose to retain a portion of our calendar year income, which may result in the imposition of a U.S. federal excise tax, or we may incur taxes through our taxable subsidiaries, including the Taxable Subsidiary. For both the three and six months ended March 31, 2021 and 2020, we recorded a provision for taxes of $0.1 million and $0.2 million, respectively, pertaining to U.S. federal excise tax.</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39"/>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line="221" w:lineRule="auto"/>
        <w:rPr>
          <w:sz w:val="20"/>
          <w:szCs w:val="20"/>
          <w:color w:val="auto"/>
        </w:rPr>
      </w:pPr>
      <w:r>
        <w:rPr>
          <w:rFonts w:ascii="Arial" w:cs="Arial" w:eastAsia="Arial" w:hAnsi="Arial"/>
          <w:sz w:val="14"/>
          <w:szCs w:val="14"/>
          <w:b w:val="1"/>
          <w:bCs w:val="1"/>
          <w:color w:val="auto"/>
        </w:rPr>
        <w:t>MARCH 31, 2021</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jc w:val="both"/>
        <w:ind w:right="200" w:firstLine="438"/>
        <w:spacing w:after="0" w:line="248" w:lineRule="auto"/>
        <w:rPr>
          <w:sz w:val="20"/>
          <w:szCs w:val="20"/>
          <w:color w:val="auto"/>
        </w:rPr>
      </w:pPr>
      <w:r>
        <w:rPr>
          <w:rFonts w:ascii="Arial" w:cs="Arial" w:eastAsia="Arial" w:hAnsi="Arial"/>
          <w:sz w:val="13"/>
          <w:szCs w:val="13"/>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U.S. federal and state income tax returns, the Company’s major tax jurisdiction is federal.</w:t>
      </w:r>
    </w:p>
    <w:p>
      <w:pPr>
        <w:spacing w:after="0" w:line="113" w:lineRule="exact"/>
        <w:rPr>
          <w:sz w:val="20"/>
          <w:szCs w:val="20"/>
          <w:color w:val="auto"/>
        </w:rPr>
      </w:pPr>
    </w:p>
    <w:p>
      <w:pPr>
        <w:ind w:right="60" w:firstLine="438"/>
        <w:spacing w:after="0" w:line="264" w:lineRule="auto"/>
        <w:rPr>
          <w:sz w:val="20"/>
          <w:szCs w:val="20"/>
          <w:color w:val="auto"/>
        </w:rPr>
      </w:pPr>
      <w:r>
        <w:rPr>
          <w:rFonts w:ascii="Arial" w:cs="Arial" w:eastAsia="Arial" w:hAnsi="Arial"/>
          <w:sz w:val="13"/>
          <w:szCs w:val="13"/>
          <w:color w:val="auto"/>
        </w:rPr>
        <w:t>Because U.S. federal income tax regulations differ from GAAP, distributions characterized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(d) Distributions and Capital Transactions</w:t>
      </w:r>
    </w:p>
    <w:p>
      <w:pPr>
        <w:spacing w:after="0" w:line="136"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determined by our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a return of capital.</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3"/>
          <w:szCs w:val="13"/>
          <w:color w:val="auto"/>
        </w:rPr>
        <w:t>Capital transactions in connection with offerings of our common stock are recorded when issued and offering costs are charged as a reduction of capital upon issuance of our common</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stock.</w:t>
      </w:r>
    </w:p>
    <w:p>
      <w:pPr>
        <w:spacing w:after="0" w:line="124" w:lineRule="exact"/>
        <w:rPr>
          <w:sz w:val="20"/>
          <w:szCs w:val="20"/>
          <w:color w:val="auto"/>
        </w:rPr>
      </w:pPr>
    </w:p>
    <w:p>
      <w:pPr>
        <w:ind w:left="460" w:hanging="204"/>
        <w:spacing w:after="0"/>
        <w:tabs>
          <w:tab w:leader="none" w:pos="460" w:val="left"/>
        </w:tabs>
        <w:numPr>
          <w:ilvl w:val="0"/>
          <w:numId w:val="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Foreign Currency Translation</w:t>
      </w:r>
    </w:p>
    <w:p>
      <w:pPr>
        <w:spacing w:after="0" w:line="136" w:lineRule="exact"/>
        <w:rPr>
          <w:rFonts w:ascii="Arial" w:cs="Arial" w:eastAsia="Arial" w:hAnsi="Arial"/>
          <w:sz w:val="14"/>
          <w:szCs w:val="14"/>
          <w:b w:val="1"/>
          <w:bCs w:val="1"/>
          <w:i w:val="1"/>
          <w:iCs w:val="1"/>
          <w:color w:val="auto"/>
        </w:rPr>
      </w:pPr>
    </w:p>
    <w:p>
      <w:pPr>
        <w:ind w:left="440"/>
        <w:spacing w:after="0"/>
        <w:rPr>
          <w:rFonts w:ascii="Arial" w:cs="Arial" w:eastAsia="Arial" w:hAnsi="Arial"/>
          <w:sz w:val="14"/>
          <w:szCs w:val="14"/>
          <w:b w:val="1"/>
          <w:bCs w:val="1"/>
          <w:i w:val="1"/>
          <w:iCs w:val="1"/>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rFonts w:ascii="Arial" w:cs="Arial" w:eastAsia="Arial" w:hAnsi="Arial"/>
          <w:sz w:val="14"/>
          <w:szCs w:val="14"/>
          <w:b w:val="1"/>
          <w:bCs w:val="1"/>
          <w:i w:val="1"/>
          <w:iCs w:val="1"/>
          <w:color w:val="auto"/>
        </w:rPr>
      </w:pPr>
    </w:p>
    <w:p>
      <w:pPr>
        <w:ind w:left="820" w:hanging="367"/>
        <w:spacing w:after="0"/>
        <w:tabs>
          <w:tab w:leader="none" w:pos="820" w:val="left"/>
        </w:tabs>
        <w:numPr>
          <w:ilvl w:val="1"/>
          <w:numId w:val="6"/>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203" w:lineRule="exact"/>
        <w:rPr>
          <w:rFonts w:ascii="Arial" w:cs="Arial" w:eastAsia="Arial" w:hAnsi="Arial"/>
          <w:sz w:val="14"/>
          <w:szCs w:val="14"/>
          <w:color w:val="auto"/>
        </w:rPr>
      </w:pPr>
    </w:p>
    <w:p>
      <w:pPr>
        <w:ind w:left="820" w:hanging="367"/>
        <w:spacing w:after="0"/>
        <w:tabs>
          <w:tab w:leader="none" w:pos="820" w:val="left"/>
        </w:tabs>
        <w:numPr>
          <w:ilvl w:val="1"/>
          <w:numId w:val="6"/>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204" w:lineRule="exact"/>
        <w:rPr>
          <w:sz w:val="20"/>
          <w:szCs w:val="20"/>
          <w:color w:val="auto"/>
        </w:rPr>
      </w:pPr>
    </w:p>
    <w:p>
      <w:pPr>
        <w:jc w:val="both"/>
        <w:ind w:right="20" w:firstLine="438"/>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15" w:lineRule="exact"/>
        <w:rPr>
          <w:sz w:val="20"/>
          <w:szCs w:val="20"/>
          <w:color w:val="auto"/>
        </w:rPr>
      </w:pPr>
    </w:p>
    <w:p>
      <w:pPr>
        <w:jc w:val="both"/>
        <w:ind w:right="140" w:firstLine="438"/>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(f) Consolidation</w:t>
      </w:r>
    </w:p>
    <w:p>
      <w:pPr>
        <w:spacing w:after="0" w:line="136" w:lineRule="exact"/>
        <w:rPr>
          <w:sz w:val="20"/>
          <w:szCs w:val="20"/>
          <w:color w:val="auto"/>
        </w:rPr>
      </w:pPr>
    </w:p>
    <w:p>
      <w:pPr>
        <w:jc w:val="both"/>
        <w:ind w:right="40" w:firstLine="438"/>
        <w:spacing w:after="0" w:line="233" w:lineRule="auto"/>
        <w:rPr>
          <w:sz w:val="20"/>
          <w:szCs w:val="20"/>
          <w:color w:val="auto"/>
        </w:rPr>
      </w:pPr>
      <w:r>
        <w:rPr>
          <w:rFonts w:ascii="Arial" w:cs="Arial" w:eastAsia="Arial" w:hAnsi="Arial"/>
          <w:sz w:val="14"/>
          <w:szCs w:val="14"/>
          <w:color w:val="auto"/>
        </w:rPr>
        <w:t>As permitted under Regulation S-X and as explained by ASC paragraph 946-810-45-3, we will generally not consolidate our investment in a company other than an investment company subsidiary or a controlled operating company whose business consists of providing services to us. Accordingly, we have consolidated the results of our taxable subsidiaries, including the Taxable Subsidiary, Funding I and the Securitization Issuer in our Consolidated Financial Statements. We do not consolidate our investment in PSSL. See further description of our investment in PSSL in Note 4.</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(g) Asset Transfers and Servicing</w:t>
      </w:r>
    </w:p>
    <w:p>
      <w:pPr>
        <w:spacing w:after="0" w:line="136" w:lineRule="exact"/>
        <w:rPr>
          <w:sz w:val="20"/>
          <w:szCs w:val="20"/>
          <w:color w:val="auto"/>
        </w:rPr>
      </w:pPr>
    </w:p>
    <w:p>
      <w:pPr>
        <w:jc w:val="both"/>
        <w:ind w:firstLine="438"/>
        <w:spacing w:after="0" w:line="238" w:lineRule="auto"/>
        <w:rPr>
          <w:sz w:val="20"/>
          <w:szCs w:val="20"/>
          <w:color w:val="auto"/>
        </w:rPr>
      </w:pPr>
      <w:r>
        <w:rPr>
          <w:rFonts w:ascii="Arial" w:cs="Arial" w:eastAsia="Arial" w:hAnsi="Arial"/>
          <w:sz w:val="14"/>
          <w:szCs w:val="14"/>
          <w:color w:val="auto"/>
        </w:rPr>
        <w:t>Asset transfers that do not meet ASC Topic 860, Transfers and Servicing, requirements for sale accounting treatment are reflected in the Consolidated Statements of Assets and Liabilities and the Consolidated Schedules of Investments as investments. The creditors of Funding I have received a security interest in all of its assets and such assets are not intended to be available to the creditors of PennantPark Floating Rate Capital, Ltd. or any of its affiliates.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 AND RELATED PARTY TRANSACTIONS</w:t>
      </w:r>
    </w:p>
    <w:p>
      <w:pPr>
        <w:spacing w:after="0" w:line="140" w:lineRule="exact"/>
        <w:rPr>
          <w:sz w:val="20"/>
          <w:szCs w:val="20"/>
          <w:color w:val="auto"/>
        </w:rPr>
      </w:pPr>
    </w:p>
    <w:p>
      <w:pPr>
        <w:ind w:right="20" w:firstLine="438"/>
        <w:spacing w:after="0" w:line="251" w:lineRule="auto"/>
        <w:rPr>
          <w:sz w:val="20"/>
          <w:szCs w:val="20"/>
          <w:color w:val="auto"/>
        </w:rPr>
      </w:pPr>
      <w:r>
        <w:rPr>
          <w:rFonts w:ascii="Arial" w:cs="Arial" w:eastAsia="Arial" w:hAnsi="Arial"/>
          <w:sz w:val="13"/>
          <w:szCs w:val="13"/>
          <w:color w:val="auto"/>
        </w:rPr>
        <w:t>The Investment Management Agreement with the Investment Adviser was reapproved by our board of directors, including a majority of our directors who are not interested persons of us or the Investment Adviser, in February 2021.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any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 a base management fee and an incentive fee.</w:t>
      </w:r>
    </w:p>
    <w:p>
      <w:pPr>
        <w:spacing w:after="0" w:line="109" w:lineRule="exact"/>
        <w:rPr>
          <w:sz w:val="20"/>
          <w:szCs w:val="20"/>
          <w:color w:val="auto"/>
        </w:rPr>
      </w:pPr>
    </w:p>
    <w:p>
      <w:pPr>
        <w:ind w:right="20" w:firstLine="438"/>
        <w:spacing w:after="0" w:line="227" w:lineRule="auto"/>
        <w:rPr>
          <w:sz w:val="20"/>
          <w:szCs w:val="20"/>
          <w:color w:val="auto"/>
        </w:rPr>
      </w:pPr>
      <w:r>
        <w:rPr>
          <w:rFonts w:ascii="Arial" w:cs="Arial" w:eastAsia="Arial" w:hAnsi="Arial"/>
          <w:sz w:val="14"/>
          <w:szCs w:val="14"/>
          <w:color w:val="auto"/>
        </w:rPr>
        <w:t>The base management fee is calculated at an annual rate of 1.00% of our “average adjusted gross assets,” which equals our gross assets (exclusive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and six months ended March 31, 2021, the Investment Adviser earned a base management fee of $2.6 million and $5.3 million, respectively, from us. For the three and six months ended March 31, 2020, the Investment Adviser earned a base management fee of $2.9 million and $5.8 million, respectively, from us.</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incentive fee has two parts, as follows:</w:t>
      </w:r>
    </w:p>
    <w:p>
      <w:pPr>
        <w:spacing w:after="0" w:line="136" w:lineRule="exact"/>
        <w:rPr>
          <w:sz w:val="20"/>
          <w:szCs w:val="20"/>
          <w:color w:val="auto"/>
        </w:rPr>
      </w:pPr>
    </w:p>
    <w:p>
      <w:pPr>
        <w:jc w:val="both"/>
        <w:ind w:right="400" w:firstLine="438"/>
        <w:spacing w:after="0" w:line="238" w:lineRule="auto"/>
        <w:rPr>
          <w:sz w:val="20"/>
          <w:szCs w:val="20"/>
          <w:color w:val="auto"/>
        </w:rPr>
      </w:pPr>
      <w:r>
        <w:rPr>
          <w:rFonts w:ascii="Arial" w:cs="Arial" w:eastAsia="Arial" w:hAnsi="Arial"/>
          <w:sz w:val="14"/>
          <w:szCs w:val="14"/>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MARCH 31, 2021</w:t>
      </w:r>
    </w:p>
    <w:p>
      <w:pPr>
        <w:jc w:val="center"/>
        <w:ind w:right="-19"/>
        <w:spacing w:after="0" w:line="222" w:lineRule="auto"/>
        <w:rPr>
          <w:sz w:val="20"/>
          <w:szCs w:val="20"/>
          <w:color w:val="auto"/>
        </w:rPr>
      </w:pPr>
      <w:r>
        <w:rPr>
          <w:rFonts w:ascii="Arial" w:cs="Arial" w:eastAsia="Arial" w:hAnsi="Arial"/>
          <w:sz w:val="14"/>
          <w:szCs w:val="14"/>
          <w:b w:val="1"/>
          <w:bCs w:val="1"/>
          <w:color w:val="auto"/>
        </w:rPr>
        <w:t>(Unaudited)</w:t>
      </w:r>
    </w:p>
    <w:p>
      <w:pPr>
        <w:ind w:right="20"/>
        <w:spacing w:after="0" w:line="223" w:lineRule="auto"/>
        <w:rPr>
          <w:sz w:val="20"/>
          <w:szCs w:val="20"/>
          <w:color w:val="auto"/>
        </w:rPr>
      </w:pPr>
      <w:r>
        <w:rPr>
          <w:rFonts w:ascii="Arial" w:cs="Arial" w:eastAsia="Arial" w:hAnsi="Arial"/>
          <w:sz w:val="14"/>
          <w:szCs w:val="14"/>
          <w:color w:val="auto"/>
        </w:rPr>
        <w:t>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three and six months ended March 31, 2021, the Investment Adviser earned $1.3 million and $3.1 million, respectively, in incentive fees on net investment income from us. For the three and six months ended March 31, 2020, the Investment Adviser earned $2.9 million and $5.3 million, respectively, in incentive fees on net investment income from us.</w:t>
      </w:r>
    </w:p>
    <w:p>
      <w:pPr>
        <w:spacing w:after="0" w:line="121" w:lineRule="exact"/>
        <w:rPr>
          <w:sz w:val="20"/>
          <w:szCs w:val="20"/>
          <w:color w:val="auto"/>
        </w:rPr>
      </w:pPr>
    </w:p>
    <w:p>
      <w:pPr>
        <w:ind w:right="140" w:firstLine="438"/>
        <w:spacing w:after="0" w:line="255"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both the three and six months ended March 31, 2021 and 2020, the Investment Adviser did not accrue an incentive fee on capital gains, as calculated under the Investment Management Agreement (as described above).</w:t>
      </w:r>
    </w:p>
    <w:p>
      <w:pPr>
        <w:spacing w:after="0" w:line="107" w:lineRule="exact"/>
        <w:rPr>
          <w:sz w:val="20"/>
          <w:szCs w:val="20"/>
          <w:color w:val="auto"/>
        </w:rPr>
      </w:pPr>
    </w:p>
    <w:p>
      <w:pPr>
        <w:ind w:right="60" w:firstLine="438"/>
        <w:spacing w:after="0" w:line="227" w:lineRule="auto"/>
        <w:rPr>
          <w:sz w:val="20"/>
          <w:szCs w:val="20"/>
          <w:color w:val="auto"/>
        </w:rPr>
      </w:pPr>
      <w:r>
        <w:rPr>
          <w:rFonts w:ascii="Arial" w:cs="Arial" w:eastAsia="Arial" w:hAnsi="Arial"/>
          <w:sz w:val="14"/>
          <w:szCs w:val="14"/>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to incentive fees paid in all prior years. If such amount is negative, then there is no accrual for such year. There can be no assurance that such unrealized capital appreciation will be realized in the future. The incentive fee accrued for, but not payable, under GAAP on our unrealized and realized capital gains for both the three and six months ended March 31, 2021 and 2020 was zero, respectively.</w:t>
      </w:r>
    </w:p>
    <w:p>
      <w:pPr>
        <w:spacing w:after="0" w:line="118" w:lineRule="exact"/>
        <w:rPr>
          <w:sz w:val="20"/>
          <w:szCs w:val="20"/>
          <w:color w:val="auto"/>
        </w:rPr>
      </w:pPr>
    </w:p>
    <w:p>
      <w:pPr>
        <w:ind w:firstLine="438"/>
        <w:spacing w:after="0" w:line="226" w:lineRule="auto"/>
        <w:rPr>
          <w:sz w:val="20"/>
          <w:szCs w:val="20"/>
          <w:color w:val="auto"/>
        </w:rPr>
      </w:pPr>
      <w:r>
        <w:rPr>
          <w:rFonts w:ascii="Arial" w:cs="Arial" w:eastAsia="Arial" w:hAnsi="Arial"/>
          <w:sz w:val="14"/>
          <w:szCs w:val="14"/>
          <w:color w:val="auto"/>
        </w:rPr>
        <w:t>The Administration Agreement with the Administrator was reapproved by our board of directors, including a majority of our directors who are not interested persons of us, in February 2021. Under the Administration Agreement, the Administrator provides administrative services and office facilities to us.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three and six months ended March 31, 2021, we reimbursed the Investment Adviser approximately $0.5 million and $0.7 million, respectively, including expenses the Investment Adviser incurred on behalf of the Administrator, for services described above. For the three and six months ended March 31, 2020, we reimbursed the Investment Adviser approximately $0.7 million and $1.0 million, respectively, including expenses the Investment Adviser incurred on behalf of the Administrator, for services described above.</w:t>
      </w:r>
    </w:p>
    <w:p>
      <w:pPr>
        <w:spacing w:after="0" w:line="121"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There were no transactions subject to Rule 17a-7 under the 1940 Act during the three and six months ended March 31, 2021. During both the three and six months ended March 31, 2020, the Company sold $15.0 million in total investments to an affiliated fund managed by our Investment Adviser in accordance with, and pursuant to procedures adopted under, Rule 17a-7 of the 1940 Act. Realized losses on those sales for both periods amounted to $1.0 million.</w:t>
      </w:r>
    </w:p>
    <w:p>
      <w:pPr>
        <w:spacing w:after="0" w:line="115" w:lineRule="exact"/>
        <w:rPr>
          <w:sz w:val="20"/>
          <w:szCs w:val="20"/>
          <w:color w:val="auto"/>
        </w:rPr>
      </w:pPr>
    </w:p>
    <w:p>
      <w:pPr>
        <w:jc w:val="both"/>
        <w:ind w:right="60" w:firstLine="438"/>
        <w:spacing w:after="0" w:line="238" w:lineRule="auto"/>
        <w:rPr>
          <w:sz w:val="20"/>
          <w:szCs w:val="20"/>
          <w:color w:val="auto"/>
        </w:rPr>
      </w:pPr>
      <w:r>
        <w:rPr>
          <w:rFonts w:ascii="Arial" w:cs="Arial" w:eastAsia="Arial" w:hAnsi="Arial"/>
          <w:sz w:val="14"/>
          <w:szCs w:val="14"/>
          <w:color w:val="auto"/>
        </w:rPr>
        <w:t>For both the three and six months ended March 31, 2021, we sold $125.2 million in investments to PSSL at fair value and recognized $0.3 million of net realized gains. For the three and six months ended March 31, 2020, we sold $17.8 million and $86.7 million in investments, respectively, to PSSL at fair value and recognized net realized gains of less than $0.1 million and $0.5 million,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40" w:lineRule="exact"/>
        <w:rPr>
          <w:sz w:val="20"/>
          <w:szCs w:val="20"/>
          <w:color w:val="auto"/>
        </w:rPr>
      </w:pPr>
    </w:p>
    <w:p>
      <w:pPr>
        <w:ind w:right="140" w:firstLine="438"/>
        <w:spacing w:after="0" w:line="233" w:lineRule="auto"/>
        <w:rPr>
          <w:sz w:val="20"/>
          <w:szCs w:val="20"/>
          <w:color w:val="auto"/>
        </w:rPr>
      </w:pPr>
      <w:r>
        <w:rPr>
          <w:rFonts w:ascii="Arial" w:cs="Arial" w:eastAsia="Arial" w:hAnsi="Arial"/>
          <w:sz w:val="14"/>
          <w:szCs w:val="14"/>
          <w:color w:val="auto"/>
        </w:rPr>
        <w:t>Purchases of investments, including PIK interest, for the three and six months ended March 31, 2021 totaled $160.8 million and $229.3 million, respectively. For the same periods in the prior year, purchases of investments, including PIK interest, totaled $167.8 million and $408.1 million, respectively. Sales and repayments of investments for the three and six months ended March 31, 2021 totaled $172.1 million and $281.7 million, respectively. For the same periods in the prior year, sales and repayments of investments totaled $99.4 million and $243.1 million, respectively.</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 w:name="page20"/>
    <w:bookmarkEnd w:id="19"/>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40" w:type="dxa"/>
            <w:vAlign w:val="bottom"/>
            <w:gridSpan w:val="2"/>
          </w:tcPr>
          <w:p>
            <w:pPr>
              <w:ind w:left="440"/>
              <w:spacing w:after="0"/>
              <w:rPr>
                <w:sz w:val="20"/>
                <w:szCs w:val="20"/>
                <w:color w:val="auto"/>
              </w:rPr>
            </w:pPr>
            <w:r>
              <w:rPr>
                <w:rFonts w:ascii="Arial" w:cs="Arial" w:eastAsia="Arial" w:hAnsi="Arial"/>
                <w:sz w:val="14"/>
                <w:szCs w:val="14"/>
                <w:color w:val="auto"/>
                <w:w w:val="93"/>
              </w:rPr>
              <w:t>Investments and cash and cash equivalents consisted of the following:</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320" w:type="dxa"/>
            <w:vAlign w:val="bottom"/>
          </w:tcPr>
          <w:p>
            <w:pPr>
              <w:spacing w:after="0"/>
              <w:rPr>
                <w:sz w:val="22"/>
                <w:szCs w:val="22"/>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 2021</w:t>
            </w: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940" w:type="dxa"/>
            <w:vAlign w:val="bottom"/>
            <w:gridSpan w:val="6"/>
          </w:tcPr>
          <w:p>
            <w:pPr>
              <w:ind w:left="640"/>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156"/>
        </w:trPr>
        <w:tc>
          <w:tcPr>
            <w:tcW w:w="4540" w:type="dxa"/>
            <w:vAlign w:val="bottom"/>
            <w:gridSpan w:val="2"/>
            <w:vMerge w:val="continue"/>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Cost</w:t>
            </w:r>
          </w:p>
        </w:tc>
        <w:tc>
          <w:tcPr>
            <w:tcW w:w="2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w w:val="98"/>
              </w:rPr>
              <w:t>Fair Value</w:t>
            </w:r>
          </w:p>
        </w:tc>
        <w:tc>
          <w:tcPr>
            <w:tcW w:w="2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ind w:left="240"/>
              <w:spacing w:after="0" w:line="155" w:lineRule="exact"/>
              <w:rPr>
                <w:sz w:val="20"/>
                <w:szCs w:val="20"/>
                <w:color w:val="auto"/>
              </w:rPr>
            </w:pPr>
            <w:r>
              <w:rPr>
                <w:rFonts w:ascii="Arial" w:cs="Arial" w:eastAsia="Arial" w:hAnsi="Arial"/>
                <w:sz w:val="14"/>
                <w:szCs w:val="14"/>
                <w:b w:val="1"/>
                <w:bCs w:val="1"/>
                <w:color w:val="auto"/>
              </w:rPr>
              <w:t>Cost</w:t>
            </w: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3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797,284,918</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789,486,486</w:t>
            </w:r>
          </w:p>
        </w:tc>
        <w:tc>
          <w:tcPr>
            <w:tcW w:w="28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20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861,283,212</w:t>
            </w:r>
          </w:p>
        </w:tc>
        <w:tc>
          <w:tcPr>
            <w:tcW w:w="26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843,236,998</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40" w:type="dxa"/>
            <w:vAlign w:val="bottom"/>
            <w:gridSpan w:val="2"/>
          </w:tcPr>
          <w:p>
            <w:pPr>
              <w:spacing w:after="0"/>
              <w:rPr>
                <w:sz w:val="20"/>
                <w:szCs w:val="20"/>
                <w:color w:val="auto"/>
              </w:rPr>
            </w:pPr>
            <w:r>
              <w:rPr>
                <w:rFonts w:ascii="Arial" w:cs="Arial" w:eastAsia="Arial" w:hAnsi="Arial"/>
                <w:sz w:val="14"/>
                <w:szCs w:val="14"/>
                <w:color w:val="auto"/>
              </w:rPr>
              <w:t>First lien in PSSL</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126,481,250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126,481,250</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125,378,750</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125,378,750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Second lien</w:t>
            </w: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36,102,995</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30,167,743</w:t>
            </w:r>
          </w:p>
        </w:tc>
        <w:tc>
          <w:tcPr>
            <w:tcW w:w="28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31,627,520</w:t>
            </w:r>
          </w:p>
        </w:tc>
        <w:tc>
          <w:tcPr>
            <w:tcW w:w="2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29,911,030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tcPr>
          <w:p>
            <w:pPr>
              <w:spacing w:after="0"/>
              <w:rPr>
                <w:sz w:val="20"/>
                <w:szCs w:val="20"/>
                <w:color w:val="auto"/>
              </w:rPr>
            </w:pPr>
            <w:r>
              <w:rPr>
                <w:rFonts w:ascii="Arial" w:cs="Arial" w:eastAsia="Arial" w:hAnsi="Arial"/>
                <w:sz w:val="14"/>
                <w:szCs w:val="14"/>
                <w:color w:val="auto"/>
              </w:rPr>
              <w:t>Equity</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50,378,252</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77,496,325</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44,928,206</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48,491,115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Equity in PSSL</w:t>
            </w:r>
          </w:p>
        </w:tc>
        <w:tc>
          <w:tcPr>
            <w:tcW w:w="320" w:type="dxa"/>
            <w:vAlign w:val="bottom"/>
            <w:tcBorders>
              <w:bottom w:val="single" w:sz="8" w:color="auto"/>
            </w:tcBorders>
            <w:shd w:val="clear" w:color="auto" w:fill="CCECFF"/>
          </w:tcPr>
          <w:p>
            <w:pPr>
              <w:spacing w:after="0"/>
              <w:rPr>
                <w:sz w:val="14"/>
                <w:szCs w:val="14"/>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54,206,250</w:t>
            </w:r>
          </w:p>
        </w:tc>
        <w:tc>
          <w:tcPr>
            <w:tcW w:w="280" w:type="dxa"/>
            <w:vAlign w:val="bottom"/>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spacing w:after="0"/>
              <w:rPr>
                <w:sz w:val="14"/>
                <w:szCs w:val="14"/>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45,505,337</w:t>
            </w:r>
          </w:p>
        </w:tc>
        <w:tc>
          <w:tcPr>
            <w:tcW w:w="280" w:type="dxa"/>
            <w:vAlign w:val="bottom"/>
            <w:shd w:val="clear" w:color="auto" w:fill="CCECFF"/>
          </w:tcPr>
          <w:p>
            <w:pPr>
              <w:spacing w:after="0"/>
              <w:rPr>
                <w:sz w:val="14"/>
                <w:szCs w:val="14"/>
                <w:color w:val="auto"/>
              </w:rPr>
            </w:pPr>
          </w:p>
        </w:tc>
        <w:tc>
          <w:tcPr>
            <w:tcW w:w="320" w:type="dxa"/>
            <w:vAlign w:val="bottom"/>
            <w:tcBorders>
              <w:bottom w:val="single" w:sz="8" w:color="auto"/>
            </w:tcBorders>
            <w:shd w:val="clear" w:color="auto" w:fill="CCECFF"/>
          </w:tcPr>
          <w:p>
            <w:pPr>
              <w:spacing w:after="0"/>
              <w:rPr>
                <w:sz w:val="14"/>
                <w:szCs w:val="14"/>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53,733,750</w:t>
            </w:r>
          </w:p>
        </w:tc>
        <w:tc>
          <w:tcPr>
            <w:tcW w:w="2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39,910,574</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40" w:type="dxa"/>
            <w:vAlign w:val="bottom"/>
            <w:tcBorders>
              <w:bottom w:val="single" w:sz="8" w:color="CCECFF"/>
            </w:tcBorders>
            <w:gridSpan w:val="2"/>
          </w:tcPr>
          <w:p>
            <w:pPr>
              <w:spacing w:after="0" w:line="155" w:lineRule="exact"/>
              <w:rPr>
                <w:sz w:val="20"/>
                <w:szCs w:val="20"/>
                <w:color w:val="auto"/>
              </w:rPr>
            </w:pPr>
            <w:r>
              <w:rPr>
                <w:rFonts w:ascii="Arial" w:cs="Arial" w:eastAsia="Arial" w:hAnsi="Arial"/>
                <w:sz w:val="14"/>
                <w:szCs w:val="14"/>
                <w:color w:val="auto"/>
              </w:rPr>
              <w:t>Total investments</w:t>
            </w:r>
          </w:p>
        </w:tc>
        <w:tc>
          <w:tcPr>
            <w:tcW w:w="32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1,064,453,665</w:t>
            </w:r>
          </w:p>
        </w:tc>
        <w:tc>
          <w:tcPr>
            <w:tcW w:w="280" w:type="dxa"/>
            <w:vAlign w:val="bottom"/>
            <w:tcBorders>
              <w:bottom w:val="single" w:sz="8" w:color="CCECFF"/>
            </w:tcBorders>
          </w:tcPr>
          <w:p>
            <w:pPr>
              <w:spacing w:after="0"/>
              <w:rPr>
                <w:sz w:val="13"/>
                <w:szCs w:val="13"/>
                <w:color w:val="auto"/>
              </w:rPr>
            </w:pPr>
          </w:p>
        </w:tc>
        <w:tc>
          <w:tcPr>
            <w:tcW w:w="3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1,069,137,141</w:t>
            </w:r>
          </w:p>
        </w:tc>
        <w:tc>
          <w:tcPr>
            <w:tcW w:w="280" w:type="dxa"/>
            <w:vAlign w:val="bottom"/>
            <w:tcBorders>
              <w:bottom w:val="single" w:sz="8" w:color="CCECFF"/>
            </w:tcBorders>
          </w:tcPr>
          <w:p>
            <w:pPr>
              <w:spacing w:after="0"/>
              <w:rPr>
                <w:sz w:val="13"/>
                <w:szCs w:val="13"/>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1,116,951,438</w:t>
            </w:r>
          </w:p>
        </w:tc>
        <w:tc>
          <w:tcPr>
            <w:tcW w:w="26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1,086,928,467</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4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Cash and cash equivalents</w:t>
            </w:r>
          </w:p>
        </w:tc>
        <w:tc>
          <w:tcPr>
            <w:tcW w:w="320" w:type="dxa"/>
            <w:vAlign w:val="bottom"/>
            <w:tcBorders>
              <w:bottom w:val="single" w:sz="8" w:color="auto"/>
            </w:tcBorders>
            <w:shd w:val="clear" w:color="auto" w:fill="CCECFF"/>
          </w:tcPr>
          <w:p>
            <w:pPr>
              <w:spacing w:after="0"/>
              <w:rPr>
                <w:sz w:val="13"/>
                <w:szCs w:val="13"/>
                <w:color w:val="auto"/>
              </w:rPr>
            </w:pPr>
          </w:p>
        </w:tc>
        <w:tc>
          <w:tcPr>
            <w:tcW w:w="1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66,572,341</w:t>
            </w:r>
          </w:p>
        </w:tc>
        <w:tc>
          <w:tcPr>
            <w:tcW w:w="280" w:type="dxa"/>
            <w:vAlign w:val="bottom"/>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spacing w:after="0"/>
              <w:rPr>
                <w:sz w:val="13"/>
                <w:szCs w:val="13"/>
                <w:color w:val="auto"/>
              </w:rPr>
            </w:pPr>
          </w:p>
        </w:tc>
        <w:tc>
          <w:tcPr>
            <w:tcW w:w="10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66,572,811</w:t>
            </w:r>
          </w:p>
        </w:tc>
        <w:tc>
          <w:tcPr>
            <w:tcW w:w="280" w:type="dxa"/>
            <w:vAlign w:val="bottom"/>
            <w:shd w:val="clear" w:color="auto" w:fill="CCECFF"/>
          </w:tcPr>
          <w:p>
            <w:pPr>
              <w:spacing w:after="0"/>
              <w:rPr>
                <w:sz w:val="13"/>
                <w:szCs w:val="13"/>
                <w:color w:val="auto"/>
              </w:rPr>
            </w:pPr>
          </w:p>
        </w:tc>
        <w:tc>
          <w:tcPr>
            <w:tcW w:w="320" w:type="dxa"/>
            <w:vAlign w:val="bottom"/>
            <w:tcBorders>
              <w:bottom w:val="single" w:sz="8" w:color="auto"/>
            </w:tcBorders>
            <w:shd w:val="clear" w:color="auto" w:fill="CCECFF"/>
          </w:tcPr>
          <w:p>
            <w:pPr>
              <w:spacing w:after="0"/>
              <w:rPr>
                <w:sz w:val="13"/>
                <w:szCs w:val="13"/>
                <w:color w:val="auto"/>
              </w:rPr>
            </w:pPr>
          </w:p>
        </w:tc>
        <w:tc>
          <w:tcPr>
            <w:tcW w:w="1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57,534,421</w:t>
            </w:r>
          </w:p>
        </w:tc>
        <w:tc>
          <w:tcPr>
            <w:tcW w:w="26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57,511,928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40" w:type="dxa"/>
            <w:vAlign w:val="bottom"/>
            <w:gridSpan w:val="2"/>
          </w:tcPr>
          <w:p>
            <w:pPr>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32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1,131,026,006</w:t>
            </w:r>
          </w:p>
        </w:tc>
        <w:tc>
          <w:tcPr>
            <w:tcW w:w="280" w:type="dxa"/>
            <w:vAlign w:val="bottom"/>
          </w:tcPr>
          <w:p>
            <w:pPr>
              <w:spacing w:after="0"/>
              <w:rPr>
                <w:sz w:val="13"/>
                <w:szCs w:val="13"/>
                <w:color w:val="auto"/>
              </w:rPr>
            </w:pPr>
          </w:p>
        </w:tc>
        <w:tc>
          <w:tcPr>
            <w:tcW w:w="3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1,135,709,952</w:t>
            </w:r>
          </w:p>
        </w:tc>
        <w:tc>
          <w:tcPr>
            <w:tcW w:w="280" w:type="dxa"/>
            <w:vAlign w:val="bottom"/>
          </w:tcPr>
          <w:p>
            <w:pPr>
              <w:spacing w:after="0"/>
              <w:rPr>
                <w:sz w:val="13"/>
                <w:szCs w:val="13"/>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1,174,485,859</w:t>
            </w: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1,144,440,395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220" w:firstLine="438"/>
        <w:spacing w:after="0" w:line="253"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and cash equivalents) in such industries: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200" w:type="dxa"/>
            <w:vAlign w:val="bottom"/>
            <w:tcBorders>
              <w:bottom w:val="single" w:sz="8" w:color="CCECFF"/>
            </w:tcBorders>
          </w:tcPr>
          <w:p>
            <w:pPr>
              <w:spacing w:after="0"/>
              <w:rPr>
                <w:sz w:val="14"/>
                <w:szCs w:val="14"/>
                <w:color w:val="auto"/>
              </w:rPr>
            </w:pPr>
          </w:p>
        </w:tc>
        <w:tc>
          <w:tcPr>
            <w:tcW w:w="1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 xml:space="preserve">March 31, 2021 </w:t>
            </w:r>
            <w:r>
              <w:rPr>
                <w:rFonts w:ascii="Arial" w:cs="Arial" w:eastAsia="Arial" w:hAnsi="Arial"/>
                <w:sz w:val="12"/>
                <w:szCs w:val="12"/>
                <w:b w:val="1"/>
                <w:bCs w:val="1"/>
                <w:color w:val="auto"/>
              </w:rPr>
              <w:t>(1)</w:t>
            </w:r>
          </w:p>
        </w:tc>
        <w:tc>
          <w:tcPr>
            <w:tcW w:w="320" w:type="dxa"/>
            <w:vAlign w:val="bottom"/>
            <w:tcBorders>
              <w:bottom w:val="single" w:sz="8" w:color="CCECFF"/>
            </w:tcBorders>
          </w:tcPr>
          <w:p>
            <w:pPr>
              <w:spacing w:after="0"/>
              <w:rPr>
                <w:sz w:val="14"/>
                <w:szCs w:val="14"/>
                <w:color w:val="auto"/>
              </w:rPr>
            </w:pPr>
          </w:p>
        </w:tc>
        <w:tc>
          <w:tcPr>
            <w:tcW w:w="1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 xml:space="preserve">September 30, 2020 </w:t>
            </w:r>
            <w:r>
              <w:rPr>
                <w:rFonts w:ascii="Arial" w:cs="Arial" w:eastAsia="Arial" w:hAnsi="Arial"/>
                <w:sz w:val="12"/>
                <w:szCs w:val="12"/>
                <w:b w:val="1"/>
                <w:bCs w:val="1"/>
                <w:color w:val="auto"/>
              </w:rPr>
              <w:t>(1)</w:t>
            </w:r>
          </w:p>
        </w:tc>
        <w:tc>
          <w:tcPr>
            <w:tcW w:w="140" w:type="dxa"/>
            <w:vAlign w:val="bottom"/>
            <w:tcBorders>
              <w:bottom w:val="single" w:sz="8" w:color="CCECFF"/>
            </w:tcBorders>
          </w:tcPr>
          <w:p>
            <w:pPr>
              <w:spacing w:after="0"/>
              <w:rPr>
                <w:sz w:val="14"/>
                <w:szCs w:val="14"/>
                <w:color w:val="auto"/>
              </w:rPr>
            </w:pPr>
          </w:p>
        </w:tc>
      </w:tr>
      <w:tr>
        <w:trPr>
          <w:trHeight w:val="155"/>
        </w:trPr>
        <w:tc>
          <w:tcPr>
            <w:tcW w:w="6980" w:type="dxa"/>
            <w:vAlign w:val="bottom"/>
            <w:gridSpan w:val="3"/>
            <w:shd w:val="clear" w:color="auto" w:fill="CCECFF"/>
          </w:tcPr>
          <w:p>
            <w:pPr>
              <w:spacing w:after="0" w:line="155" w:lineRule="exact"/>
              <w:rPr>
                <w:sz w:val="20"/>
                <w:szCs w:val="20"/>
                <w:color w:val="auto"/>
              </w:rPr>
            </w:pPr>
            <w:r>
              <w:rPr>
                <w:rFonts w:ascii="Arial" w:cs="Arial" w:eastAsia="Arial" w:hAnsi="Arial"/>
                <w:sz w:val="14"/>
                <w:szCs w:val="14"/>
                <w:color w:val="auto"/>
              </w:rPr>
              <w:t>High Tech Industries</w:t>
            </w:r>
          </w:p>
        </w:tc>
        <w:tc>
          <w:tcPr>
            <w:tcW w:w="200" w:type="dxa"/>
            <w:vAlign w:val="bottom"/>
            <w:shd w:val="clear" w:color="auto" w:fill="CCECFF"/>
          </w:tcPr>
          <w:p>
            <w:pPr>
              <w:spacing w:after="0"/>
              <w:rPr>
                <w:sz w:val="13"/>
                <w:szCs w:val="13"/>
                <w:color w:val="auto"/>
              </w:rPr>
            </w:pPr>
          </w:p>
        </w:tc>
        <w:tc>
          <w:tcPr>
            <w:tcW w:w="2120" w:type="dxa"/>
            <w:vAlign w:val="bottom"/>
            <w:gridSpan w:val="2"/>
            <w:shd w:val="clear" w:color="auto" w:fill="CCECFF"/>
          </w:tcPr>
          <w:p>
            <w:pPr>
              <w:jc w:val="right"/>
              <w:ind w:right="200"/>
              <w:spacing w:after="0" w:line="155" w:lineRule="exact"/>
              <w:rPr>
                <w:sz w:val="20"/>
                <w:szCs w:val="20"/>
                <w:color w:val="auto"/>
              </w:rPr>
            </w:pPr>
            <w:r>
              <w:rPr>
                <w:rFonts w:ascii="Arial" w:cs="Arial" w:eastAsia="Arial" w:hAnsi="Arial"/>
                <w:sz w:val="14"/>
                <w:szCs w:val="14"/>
                <w:color w:val="auto"/>
              </w:rPr>
              <w:t>7%</w:t>
            </w:r>
          </w:p>
        </w:tc>
        <w:tc>
          <w:tcPr>
            <w:tcW w:w="194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6%</w:t>
            </w: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Professional Services</w:t>
            </w:r>
          </w:p>
        </w:tc>
        <w:tc>
          <w:tcPr>
            <w:tcW w:w="1800" w:type="dxa"/>
            <w:vAlign w:val="bottom"/>
          </w:tcPr>
          <w:p>
            <w:pPr>
              <w:jc w:val="right"/>
              <w:spacing w:after="0"/>
              <w:rPr>
                <w:sz w:val="20"/>
                <w:szCs w:val="20"/>
                <w:color w:val="auto"/>
              </w:rPr>
            </w:pPr>
            <w:r>
              <w:rPr>
                <w:rFonts w:ascii="Arial" w:cs="Arial" w:eastAsia="Arial" w:hAnsi="Arial"/>
                <w:sz w:val="14"/>
                <w:szCs w:val="14"/>
                <w:color w:val="auto"/>
              </w:rPr>
              <w:t>7</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4"/>
                <w:szCs w:val="14"/>
                <w:color w:val="auto"/>
              </w:rPr>
            </w:pPr>
          </w:p>
        </w:tc>
      </w:tr>
      <w:tr>
        <w:trPr>
          <w:trHeight w:val="162"/>
        </w:trPr>
        <w:tc>
          <w:tcPr>
            <w:tcW w:w="71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IT Services</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Wholesale</w:t>
            </w:r>
          </w:p>
        </w:tc>
        <w:tc>
          <w:tcPr>
            <w:tcW w:w="1800" w:type="dxa"/>
            <w:vAlign w:val="bottom"/>
          </w:tcPr>
          <w:p>
            <w:pPr>
              <w:jc w:val="right"/>
              <w:spacing w:after="0"/>
              <w:rPr>
                <w:sz w:val="20"/>
                <w:szCs w:val="20"/>
                <w:color w:val="auto"/>
              </w:rPr>
            </w:pPr>
            <w:r>
              <w:rPr>
                <w:rFonts w:ascii="Arial" w:cs="Arial" w:eastAsia="Arial" w:hAnsi="Arial"/>
                <w:sz w:val="14"/>
                <w:szCs w:val="14"/>
                <w:color w:val="auto"/>
              </w:rPr>
              <w:t>6</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71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Capital Equipment</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Commercial Services &amp; Supplies</w:t>
            </w:r>
          </w:p>
        </w:tc>
        <w:tc>
          <w:tcPr>
            <w:tcW w:w="1800" w:type="dxa"/>
            <w:vAlign w:val="bottom"/>
          </w:tcPr>
          <w:p>
            <w:pPr>
              <w:jc w:val="right"/>
              <w:spacing w:after="0"/>
              <w:rPr>
                <w:sz w:val="20"/>
                <w:szCs w:val="20"/>
                <w:color w:val="auto"/>
              </w:rPr>
            </w:pPr>
            <w:r>
              <w:rPr>
                <w:rFonts w:ascii="Arial" w:cs="Arial" w:eastAsia="Arial" w:hAnsi="Arial"/>
                <w:sz w:val="14"/>
                <w:szCs w:val="14"/>
                <w:color w:val="auto"/>
              </w:rPr>
              <w:t>5</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71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Media</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Aerospace and Defense</w:t>
            </w:r>
          </w:p>
        </w:tc>
        <w:tc>
          <w:tcPr>
            <w:tcW w:w="1800" w:type="dxa"/>
            <w:vAlign w:val="bottom"/>
          </w:tcPr>
          <w:p>
            <w:pPr>
              <w:jc w:val="right"/>
              <w:spacing w:after="0"/>
              <w:rPr>
                <w:sz w:val="20"/>
                <w:szCs w:val="20"/>
                <w:color w:val="auto"/>
              </w:rPr>
            </w:pPr>
            <w:r>
              <w:rPr>
                <w:rFonts w:ascii="Arial" w:cs="Arial" w:eastAsia="Arial" w:hAnsi="Arial"/>
                <w:sz w:val="14"/>
                <w:szCs w:val="14"/>
                <w:color w:val="auto"/>
              </w:rPr>
              <w:t>4</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r>
      <w:tr>
        <w:trPr>
          <w:trHeight w:val="162"/>
        </w:trPr>
        <w:tc>
          <w:tcPr>
            <w:tcW w:w="71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Business Services</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Diversified Financial Services</w:t>
            </w:r>
          </w:p>
        </w:tc>
        <w:tc>
          <w:tcPr>
            <w:tcW w:w="1800" w:type="dxa"/>
            <w:vAlign w:val="bottom"/>
          </w:tcPr>
          <w:p>
            <w:pPr>
              <w:jc w:val="right"/>
              <w:spacing w:after="0"/>
              <w:rPr>
                <w:sz w:val="20"/>
                <w:szCs w:val="20"/>
                <w:color w:val="auto"/>
              </w:rPr>
            </w:pPr>
            <w:r>
              <w:rPr>
                <w:rFonts w:ascii="Arial" w:cs="Arial" w:eastAsia="Arial" w:hAnsi="Arial"/>
                <w:sz w:val="14"/>
                <w:szCs w:val="14"/>
                <w:color w:val="auto"/>
              </w:rPr>
              <w:t>4</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r>
      <w:tr>
        <w:trPr>
          <w:trHeight w:val="162"/>
        </w:trPr>
        <w:tc>
          <w:tcPr>
            <w:tcW w:w="71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Media: Diversified and Production</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Beverage, Food and Tobacco</w:t>
            </w:r>
          </w:p>
        </w:tc>
        <w:tc>
          <w:tcPr>
            <w:tcW w:w="1800" w:type="dxa"/>
            <w:vAlign w:val="bottom"/>
          </w:tcPr>
          <w:p>
            <w:pPr>
              <w:jc w:val="right"/>
              <w:spacing w:after="0"/>
              <w:rPr>
                <w:sz w:val="20"/>
                <w:szCs w:val="20"/>
                <w:color w:val="auto"/>
              </w:rPr>
            </w:pPr>
            <w:r>
              <w:rPr>
                <w:rFonts w:ascii="Arial" w:cs="Arial" w:eastAsia="Arial" w:hAnsi="Arial"/>
                <w:sz w:val="14"/>
                <w:szCs w:val="14"/>
                <w:color w:val="auto"/>
              </w:rPr>
              <w:t>3</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r>
      <w:tr>
        <w:trPr>
          <w:trHeight w:val="162"/>
        </w:trPr>
        <w:tc>
          <w:tcPr>
            <w:tcW w:w="71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Consumer Services</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Healthcare Technology</w:t>
            </w:r>
          </w:p>
        </w:tc>
        <w:tc>
          <w:tcPr>
            <w:tcW w:w="1800" w:type="dxa"/>
            <w:vAlign w:val="bottom"/>
          </w:tcPr>
          <w:p>
            <w:pPr>
              <w:jc w:val="right"/>
              <w:spacing w:after="0"/>
              <w:rPr>
                <w:sz w:val="20"/>
                <w:szCs w:val="20"/>
                <w:color w:val="auto"/>
              </w:rPr>
            </w:pPr>
            <w:r>
              <w:rPr>
                <w:rFonts w:ascii="Arial" w:cs="Arial" w:eastAsia="Arial" w:hAnsi="Arial"/>
                <w:sz w:val="14"/>
                <w:szCs w:val="14"/>
                <w:color w:val="auto"/>
              </w:rPr>
              <w:t>3</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r>
      <w:tr>
        <w:trPr>
          <w:trHeight w:val="162"/>
        </w:trPr>
        <w:tc>
          <w:tcPr>
            <w:tcW w:w="71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Hotels, Restaurants and Leisure</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Media: Broadcasting and Subscription</w:t>
            </w:r>
          </w:p>
        </w:tc>
        <w:tc>
          <w:tcPr>
            <w:tcW w:w="1800" w:type="dxa"/>
            <w:vAlign w:val="bottom"/>
          </w:tcPr>
          <w:p>
            <w:pPr>
              <w:jc w:val="right"/>
              <w:spacing w:after="0"/>
              <w:rPr>
                <w:sz w:val="20"/>
                <w:szCs w:val="20"/>
                <w:color w:val="auto"/>
              </w:rPr>
            </w:pPr>
            <w:r>
              <w:rPr>
                <w:rFonts w:ascii="Arial" w:cs="Arial" w:eastAsia="Arial" w:hAnsi="Arial"/>
                <w:sz w:val="14"/>
                <w:szCs w:val="14"/>
                <w:color w:val="auto"/>
              </w:rPr>
              <w:t>3</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71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Banking, Finance, Insurance &amp; Real Estate</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Diversified Consumer Services</w:t>
            </w:r>
          </w:p>
        </w:tc>
        <w:tc>
          <w:tcPr>
            <w:tcW w:w="1800" w:type="dxa"/>
            <w:vAlign w:val="bottom"/>
          </w:tcPr>
          <w:p>
            <w:pPr>
              <w:jc w:val="right"/>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r>
      <w:tr>
        <w:trPr>
          <w:trHeight w:val="162"/>
        </w:trPr>
        <w:tc>
          <w:tcPr>
            <w:tcW w:w="71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Electronic Equipment, Instruments, and Components</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Healthcare and Pharmaceuticals</w:t>
            </w:r>
          </w:p>
        </w:tc>
        <w:tc>
          <w:tcPr>
            <w:tcW w:w="1800" w:type="dxa"/>
            <w:vAlign w:val="bottom"/>
          </w:tcPr>
          <w:p>
            <w:pPr>
              <w:jc w:val="right"/>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r>
      <w:tr>
        <w:trPr>
          <w:trHeight w:val="162"/>
        </w:trPr>
        <w:tc>
          <w:tcPr>
            <w:tcW w:w="71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Healthcare Providers and Services</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Insurance</w:t>
            </w:r>
          </w:p>
        </w:tc>
        <w:tc>
          <w:tcPr>
            <w:tcW w:w="1800" w:type="dxa"/>
            <w:vAlign w:val="bottom"/>
          </w:tcPr>
          <w:p>
            <w:pPr>
              <w:jc w:val="right"/>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71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Media: Advertising, Printing and Publishing</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Telecommunications</w:t>
            </w:r>
          </w:p>
        </w:tc>
        <w:tc>
          <w:tcPr>
            <w:tcW w:w="1800" w:type="dxa"/>
            <w:vAlign w:val="bottom"/>
          </w:tcPr>
          <w:p>
            <w:pPr>
              <w:jc w:val="right"/>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71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Building Products</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Chemicals, Plastics and Rubber</w:t>
            </w:r>
          </w:p>
        </w:tc>
        <w:tc>
          <w:tcPr>
            <w:tcW w:w="1800" w:type="dxa"/>
            <w:vAlign w:val="bottom"/>
          </w:tcPr>
          <w:p>
            <w:pPr>
              <w:jc w:val="right"/>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71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Construction &amp; Engineering</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Construction and Building</w:t>
            </w:r>
          </w:p>
        </w:tc>
        <w:tc>
          <w:tcPr>
            <w:tcW w:w="1800" w:type="dxa"/>
            <w:vAlign w:val="bottom"/>
          </w:tcPr>
          <w:p>
            <w:pPr>
              <w:jc w:val="right"/>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r>
      <w:tr>
        <w:trPr>
          <w:trHeight w:val="162"/>
        </w:trPr>
        <w:tc>
          <w:tcPr>
            <w:tcW w:w="71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Consumer Goods: Durable</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Consumer Goods: Non-Durable</w:t>
            </w:r>
          </w:p>
        </w:tc>
        <w:tc>
          <w:tcPr>
            <w:tcW w:w="1800" w:type="dxa"/>
            <w:vAlign w:val="bottom"/>
          </w:tcPr>
          <w:p>
            <w:pPr>
              <w:jc w:val="right"/>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71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Healthcare Equipment and Supplies</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Hotel, Gaming and Leisure</w:t>
            </w:r>
          </w:p>
        </w:tc>
        <w:tc>
          <w:tcPr>
            <w:tcW w:w="1800" w:type="dxa"/>
            <w:vAlign w:val="bottom"/>
          </w:tcPr>
          <w:p>
            <w:pPr>
              <w:jc w:val="right"/>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r>
      <w:tr>
        <w:trPr>
          <w:trHeight w:val="162"/>
        </w:trPr>
        <w:tc>
          <w:tcPr>
            <w:tcW w:w="71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Leisure Products</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Personal Products</w:t>
            </w:r>
          </w:p>
        </w:tc>
        <w:tc>
          <w:tcPr>
            <w:tcW w:w="1800" w:type="dxa"/>
            <w:vAlign w:val="bottom"/>
          </w:tcPr>
          <w:p>
            <w:pPr>
              <w:jc w:val="right"/>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r>
      <w:tr>
        <w:trPr>
          <w:trHeight w:val="162"/>
        </w:trPr>
        <w:tc>
          <w:tcPr>
            <w:tcW w:w="71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Transportation: Consumer</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tcBorders>
              <w:bottom w:val="single" w:sz="8" w:color="CCECFF"/>
            </w:tcBorders>
            <w:gridSpan w:val="4"/>
          </w:tcPr>
          <w:p>
            <w:pPr>
              <w:spacing w:after="0"/>
              <w:rPr>
                <w:sz w:val="20"/>
                <w:szCs w:val="20"/>
                <w:color w:val="auto"/>
              </w:rPr>
            </w:pPr>
            <w:r>
              <w:rPr>
                <w:rFonts w:ascii="Arial" w:cs="Arial" w:eastAsia="Arial" w:hAnsi="Arial"/>
                <w:sz w:val="14"/>
                <w:szCs w:val="14"/>
                <w:color w:val="auto"/>
              </w:rPr>
              <w:t>All Other</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320" w:type="dxa"/>
            <w:vAlign w:val="bottom"/>
            <w:tcBorders>
              <w:bottom w:val="single" w:sz="8" w:color="CCECFF"/>
            </w:tcBorders>
          </w:tcPr>
          <w:p>
            <w:pPr>
              <w:spacing w:after="0"/>
              <w:rPr>
                <w:sz w:val="14"/>
                <w:szCs w:val="14"/>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40" w:type="dxa"/>
            <w:vAlign w:val="bottom"/>
            <w:tcBorders>
              <w:bottom w:val="single" w:sz="8" w:color="CCECFF"/>
            </w:tcBorders>
          </w:tcPr>
          <w:p>
            <w:pPr>
              <w:spacing w:after="0"/>
              <w:rPr>
                <w:sz w:val="14"/>
                <w:szCs w:val="14"/>
                <w:color w:val="auto"/>
              </w:rPr>
            </w:pPr>
          </w:p>
        </w:tc>
      </w:tr>
      <w:tr>
        <w:trPr>
          <w:trHeight w:val="155"/>
        </w:trPr>
        <w:tc>
          <w:tcPr>
            <w:tcW w:w="34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Total</w:t>
            </w:r>
          </w:p>
        </w:tc>
        <w:tc>
          <w:tcPr>
            <w:tcW w:w="2600" w:type="dxa"/>
            <w:vAlign w:val="bottom"/>
            <w:shd w:val="clear" w:color="auto" w:fill="CCECFF"/>
          </w:tcPr>
          <w:p>
            <w:pPr>
              <w:spacing w:after="0"/>
              <w:rPr>
                <w:sz w:val="13"/>
                <w:szCs w:val="13"/>
                <w:color w:val="auto"/>
              </w:rPr>
            </w:pPr>
          </w:p>
        </w:tc>
        <w:tc>
          <w:tcPr>
            <w:tcW w:w="404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120" w:type="dxa"/>
            <w:vAlign w:val="bottom"/>
            <w:gridSpan w:val="2"/>
            <w:shd w:val="clear" w:color="auto" w:fill="CCECFF"/>
          </w:tcPr>
          <w:p>
            <w:pPr>
              <w:jc w:val="right"/>
              <w:ind w:right="200"/>
              <w:spacing w:after="0" w:line="155" w:lineRule="exact"/>
              <w:rPr>
                <w:sz w:val="20"/>
                <w:szCs w:val="20"/>
                <w:color w:val="auto"/>
              </w:rPr>
            </w:pPr>
            <w:r>
              <w:rPr>
                <w:rFonts w:ascii="Arial" w:cs="Arial" w:eastAsia="Arial" w:hAnsi="Arial"/>
                <w:sz w:val="14"/>
                <w:szCs w:val="14"/>
                <w:color w:val="auto"/>
              </w:rPr>
              <w:t>100%</w:t>
            </w:r>
          </w:p>
        </w:tc>
        <w:tc>
          <w:tcPr>
            <w:tcW w:w="194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100%</w:t>
            </w:r>
          </w:p>
        </w:tc>
      </w:tr>
      <w:tr>
        <w:trPr>
          <w:trHeight w:val="20"/>
        </w:trPr>
        <w:tc>
          <w:tcPr>
            <w:tcW w:w="340" w:type="dxa"/>
            <w:vAlign w:val="bottom"/>
            <w:tcBorders>
              <w:top w:val="single" w:sz="8" w:color="CCECFF"/>
            </w:tcBorders>
          </w:tcPr>
          <w:p>
            <w:pPr>
              <w:spacing w:after="0" w:line="20" w:lineRule="exact"/>
              <w:rPr>
                <w:sz w:val="1"/>
                <w:szCs w:val="1"/>
                <w:color w:val="auto"/>
              </w:rPr>
            </w:pPr>
          </w:p>
        </w:tc>
        <w:tc>
          <w:tcPr>
            <w:tcW w:w="2600" w:type="dxa"/>
            <w:vAlign w:val="bottom"/>
            <w:tcBorders>
              <w:top w:val="single" w:sz="8" w:color="CCECFF"/>
            </w:tcBorders>
          </w:tcPr>
          <w:p>
            <w:pPr>
              <w:spacing w:after="0" w:line="20" w:lineRule="exact"/>
              <w:rPr>
                <w:sz w:val="1"/>
                <w:szCs w:val="1"/>
                <w:color w:val="auto"/>
              </w:rPr>
            </w:pPr>
          </w:p>
        </w:tc>
        <w:tc>
          <w:tcPr>
            <w:tcW w:w="4040" w:type="dxa"/>
            <w:vAlign w:val="bottom"/>
            <w:tcBorders>
              <w:top w:val="single" w:sz="8" w:color="CCECFF"/>
            </w:tcBorders>
          </w:tcPr>
          <w:p>
            <w:pPr>
              <w:spacing w:after="0" w:line="20" w:lineRule="exact"/>
              <w:rPr>
                <w:sz w:val="1"/>
                <w:szCs w:val="1"/>
                <w:color w:val="auto"/>
              </w:rPr>
            </w:pPr>
          </w:p>
        </w:tc>
        <w:tc>
          <w:tcPr>
            <w:tcW w:w="200" w:type="dxa"/>
            <w:vAlign w:val="bottom"/>
            <w:tcBorders>
              <w:top w:val="single" w:sz="8" w:color="CCEC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C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CFF"/>
            </w:tcBorders>
          </w:tcPr>
          <w:p>
            <w:pPr>
              <w:spacing w:after="0" w:line="20" w:lineRule="exact"/>
              <w:rPr>
                <w:sz w:val="1"/>
                <w:szCs w:val="1"/>
                <w:color w:val="auto"/>
              </w:rPr>
            </w:pPr>
          </w:p>
        </w:tc>
      </w:tr>
      <w:tr>
        <w:trPr>
          <w:trHeight w:val="143"/>
        </w:trPr>
        <w:tc>
          <w:tcPr>
            <w:tcW w:w="340" w:type="dxa"/>
            <w:vAlign w:val="bottom"/>
            <w:tcBorders>
              <w:bottom w:val="single" w:sz="8" w:color="auto"/>
            </w:tcBorders>
          </w:tcPr>
          <w:p>
            <w:pPr>
              <w:spacing w:after="0"/>
              <w:rPr>
                <w:sz w:val="12"/>
                <w:szCs w:val="12"/>
                <w:color w:val="auto"/>
              </w:rPr>
            </w:pPr>
          </w:p>
        </w:tc>
        <w:tc>
          <w:tcPr>
            <w:tcW w:w="2600" w:type="dxa"/>
            <w:vAlign w:val="bottom"/>
            <w:tcBorders>
              <w:bottom w:val="single" w:sz="8" w:color="auto"/>
            </w:tcBorders>
          </w:tcPr>
          <w:p>
            <w:pPr>
              <w:spacing w:after="0"/>
              <w:rPr>
                <w:sz w:val="12"/>
                <w:szCs w:val="12"/>
                <w:color w:val="auto"/>
              </w:rPr>
            </w:pPr>
          </w:p>
        </w:tc>
        <w:tc>
          <w:tcPr>
            <w:tcW w:w="4240" w:type="dxa"/>
            <w:vAlign w:val="bottom"/>
            <w:gridSpan w:val="2"/>
          </w:tcPr>
          <w:p>
            <w:pPr>
              <w:spacing w:after="0"/>
              <w:rPr>
                <w:sz w:val="12"/>
                <w:szCs w:val="12"/>
                <w:color w:val="auto"/>
              </w:rPr>
            </w:pPr>
          </w:p>
        </w:tc>
        <w:tc>
          <w:tcPr>
            <w:tcW w:w="1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98"/>
        </w:trPr>
        <w:tc>
          <w:tcPr>
            <w:tcW w:w="340" w:type="dxa"/>
            <w:vAlign w:val="bottom"/>
          </w:tcPr>
          <w:p>
            <w:pPr>
              <w:spacing w:after="0"/>
              <w:rPr>
                <w:sz w:val="20"/>
                <w:szCs w:val="20"/>
                <w:color w:val="auto"/>
              </w:rPr>
            </w:pPr>
            <w:r>
              <w:rPr>
                <w:rFonts w:ascii="Arial" w:cs="Arial" w:eastAsia="Arial" w:hAnsi="Arial"/>
                <w:sz w:val="12"/>
                <w:szCs w:val="12"/>
                <w:color w:val="auto"/>
              </w:rPr>
              <w:t>(1)</w:t>
            </w:r>
          </w:p>
        </w:tc>
        <w:tc>
          <w:tcPr>
            <w:tcW w:w="6840" w:type="dxa"/>
            <w:vAlign w:val="bottom"/>
            <w:gridSpan w:val="3"/>
          </w:tcPr>
          <w:p>
            <w:pPr>
              <w:ind w:left="40"/>
              <w:spacing w:after="0"/>
              <w:rPr>
                <w:sz w:val="20"/>
                <w:szCs w:val="20"/>
                <w:color w:val="auto"/>
              </w:rPr>
            </w:pPr>
            <w:r>
              <w:rPr>
                <w:rFonts w:ascii="Arial" w:cs="Arial" w:eastAsia="Arial" w:hAnsi="Arial"/>
                <w:sz w:val="14"/>
                <w:szCs w:val="14"/>
                <w:color w:val="auto"/>
              </w:rPr>
              <w:t>Excludes investments in PSSL.</w:t>
            </w:r>
          </w:p>
        </w:tc>
        <w:tc>
          <w:tcPr>
            <w:tcW w:w="1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13" w:lineRule="exact"/>
        <w:rPr>
          <w:sz w:val="20"/>
          <w:szCs w:val="20"/>
          <w:color w:val="auto"/>
        </w:rPr>
      </w:pPr>
    </w:p>
    <w:p>
      <w:pPr>
        <w:ind w:right="40" w:firstLine="438"/>
        <w:spacing w:after="0" w:line="248" w:lineRule="auto"/>
        <w:rPr>
          <w:sz w:val="20"/>
          <w:szCs w:val="20"/>
          <w:color w:val="auto"/>
        </w:rPr>
      </w:pPr>
      <w:r>
        <w:rPr>
          <w:rFonts w:ascii="Arial" w:cs="Arial" w:eastAsia="Arial" w:hAnsi="Arial"/>
          <w:sz w:val="13"/>
          <w:szCs w:val="13"/>
          <w:color w:val="auto"/>
        </w:rPr>
        <w:t>In May 2017, we and Kemper formed PSSL, an unconsolidated joint venture. PSSL invests primarily in middle-market and other corporate debt securities consistent with our strategy. PSSL was formed as a Delaware limited liability company. As of March 31, 2021 and September 30, 2020, PSSL had total assets of $532.2 million and $406.4 million, respectively. As of March 31, 2021, PSSL had $36.0 million of unused borrowing capacity under the PSSL Credit Facility (as defined point below), subject to leverage and borrowing base restrictions, and cash and cash equivalents of $43.7 million. As of September 30, 2020, PSSL had $107.5 million of unused borrowing capacity under the PSSL Credit Facility, subject to leverage and borrowing base restrictions, and cash and cash equivalents of $11.1 million. As of March 31, 2021 and September 30, 2020, we and Kemper had remaining commitments to fund first lien secured debt and equity interests in PSSL in an aggregate amount of $23.5 million and $25.3 million, respectively. PSSL invests in portfolio companies in the same industries in which we may directly invest.</w:t>
      </w:r>
    </w:p>
    <w:p>
      <w:pPr>
        <w:spacing w:after="0" w:line="86" w:lineRule="exact"/>
        <w:rPr>
          <w:sz w:val="20"/>
          <w:szCs w:val="20"/>
          <w:color w:val="auto"/>
        </w:rPr>
      </w:pPr>
    </w:p>
    <w:p>
      <w:pPr>
        <w:ind w:right="140" w:firstLine="438"/>
        <w:spacing w:after="0" w:line="233" w:lineRule="auto"/>
        <w:rPr>
          <w:sz w:val="20"/>
          <w:szCs w:val="20"/>
          <w:color w:val="auto"/>
        </w:rPr>
      </w:pPr>
      <w:r>
        <w:rPr>
          <w:rFonts w:ascii="Arial" w:cs="Arial" w:eastAsia="Arial" w:hAnsi="Arial"/>
          <w:sz w:val="14"/>
          <w:szCs w:val="14"/>
          <w:color w:val="auto"/>
        </w:rPr>
        <w:t>We provide capital to PSSL in the form of first lien secured debt and equity interests. As of March 31, 2021 and September 30, 2020, we and Kemper owned 87.5% and 12.5%, respectively, of each of the outstanding first lien secured debt and equity interests. As of the same dates, our investment in PSSL consisted of first lien secured debt of $126.5 million (additional $14.4 million unfunded) and $125.4 million (additional $15.5 million unfunded), respectively, and equity interests of $54.2 million (additional $6.2 million unfunded) and $53.7 million (additional $6.6 million unfunded), respectively.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0" w:name="page21"/>
    <w:bookmarkEnd w:id="20"/>
    <w:p>
      <w:pPr>
        <w:ind w:right="140" w:firstLine="438"/>
        <w:spacing w:after="0" w:line="229" w:lineRule="auto"/>
        <w:rPr>
          <w:sz w:val="20"/>
          <w:szCs w:val="20"/>
          <w:color w:val="auto"/>
        </w:rPr>
      </w:pPr>
      <w:r>
        <w:rPr>
          <w:rFonts w:ascii="Arial" w:cs="Arial" w:eastAsia="Arial" w:hAnsi="Arial"/>
          <w:sz w:val="14"/>
          <w:szCs w:val="14"/>
          <w:color w:val="auto"/>
        </w:rPr>
        <w:t>We and Kemper each appointed two members to PSSL’s four-person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or (iii) the presence of four members of the board of directors or investment committee, provided that two individuals are present that were elected, designated or appointed by each member.</w:t>
      </w:r>
    </w:p>
    <w:p>
      <w:pPr>
        <w:spacing w:after="0" w:line="118" w:lineRule="exact"/>
        <w:rPr>
          <w:sz w:val="20"/>
          <w:szCs w:val="20"/>
          <w:color w:val="auto"/>
        </w:rPr>
      </w:pPr>
    </w:p>
    <w:p>
      <w:pPr>
        <w:ind w:right="100" w:firstLine="438"/>
        <w:spacing w:after="0" w:line="253" w:lineRule="auto"/>
        <w:rPr>
          <w:sz w:val="20"/>
          <w:szCs w:val="20"/>
          <w:color w:val="auto"/>
        </w:rPr>
      </w:pPr>
      <w:r>
        <w:rPr>
          <w:rFonts w:ascii="Arial" w:cs="Arial" w:eastAsia="Arial" w:hAnsi="Arial"/>
          <w:sz w:val="14"/>
          <w:szCs w:val="14"/>
          <w:color w:val="auto"/>
        </w:rPr>
        <w:t>PSSL has entered into a $125.0 million senior secured revolving credit facility which bears interest at LIBOR (or an alternative risk-free floating interest rate index) plus 225 basis points, or the PSSL Credit Facility, with Ally Bank through a wholly-owned subsidiary, subject to leverage and borrowing base restrictions.</w:t>
      </w:r>
    </w:p>
    <w:p>
      <w:pPr>
        <w:spacing w:after="0" w:line="106"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In January 2021, PSSL completed a $300.7 million debt securitization in the form of a collateralized loan obligation, or the “2032 Asset-Backed Debt”. The 2032 Asset-Backed Debt is secured by a diversified portfolio of PennantPark CLO II, Ltd., a wholly-owned and consolidated subsidiary of PSSL, consisting primarily of middle market loans and participation interests in middle market loans. The 2032 Asset-Backed Debt is scheduled to mature in January 2032. On the closing date of the transaction, in consideration of PSSL’s transfer to PennantPark CLO II, Ltd. of the initial closing date loan portfolio, which included loans distributed to PSSL by certain of its wholly owned subsidiaries and us, PennantPark CLO II, Ltd. transferred to PSSL 100% of the Preferred Shares of PennantPark CLO II, Ltd. and 100% of the Class E Notes issued by PennantPark CLO II, Ltd.</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summary of PSSL’s portfolio at fair value: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September 30, 2020</w:t>
            </w:r>
          </w:p>
        </w:tc>
        <w:tc>
          <w:tcPr>
            <w:tcW w:w="20" w:type="dxa"/>
            <w:vAlign w:val="bottom"/>
          </w:tcPr>
          <w:p>
            <w:pPr>
              <w:spacing w:after="0"/>
              <w:rPr>
                <w:sz w:val="14"/>
                <w:szCs w:val="14"/>
                <w:color w:val="auto"/>
              </w:rPr>
            </w:pPr>
          </w:p>
        </w:tc>
      </w:tr>
      <w:tr>
        <w:trPr>
          <w:trHeight w:val="155"/>
        </w:trPr>
        <w:tc>
          <w:tcPr>
            <w:tcW w:w="426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292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485,117,492</w:t>
            </w: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392,986,090</w:t>
            </w:r>
          </w:p>
        </w:tc>
        <w:tc>
          <w:tcPr>
            <w:tcW w:w="14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Weighted average yield on debt investments</w:t>
            </w:r>
          </w:p>
        </w:tc>
        <w:tc>
          <w:tcPr>
            <w:tcW w:w="2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4"/>
                <w:szCs w:val="14"/>
                <w:color w:val="auto"/>
              </w:rPr>
              <w:t>6.8%</w:t>
            </w:r>
          </w:p>
        </w:tc>
        <w:tc>
          <w:tcPr>
            <w:tcW w:w="20" w:type="dxa"/>
            <w:vAlign w:val="bottom"/>
          </w:tcPr>
          <w:p>
            <w:pPr>
              <w:spacing w:after="0"/>
              <w:rPr>
                <w:sz w:val="14"/>
                <w:szCs w:val="14"/>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Number of portfolio companies in PSSL</w:t>
            </w:r>
          </w:p>
        </w:tc>
        <w:tc>
          <w:tcPr>
            <w:tcW w:w="29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64</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Largest portfolio company investment</w:t>
            </w:r>
          </w:p>
        </w:tc>
        <w:tc>
          <w:tcPr>
            <w:tcW w:w="316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21,747,486</w:t>
            </w:r>
          </w:p>
        </w:tc>
        <w:tc>
          <w:tcPr>
            <w:tcW w:w="220" w:type="dxa"/>
            <w:vAlign w:val="bottom"/>
          </w:tcPr>
          <w:p>
            <w:pPr>
              <w:spacing w:after="0"/>
              <w:rPr>
                <w:sz w:val="14"/>
                <w:szCs w:val="14"/>
                <w:color w:val="auto"/>
              </w:rPr>
            </w:pP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20,614,860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Total of five largest portfolio company investments</w:t>
            </w:r>
          </w:p>
        </w:tc>
        <w:tc>
          <w:tcPr>
            <w:tcW w:w="3160" w:type="dxa"/>
            <w:vAlign w:val="bottom"/>
            <w:gridSpan w:val="2"/>
            <w:shd w:val="clear" w:color="auto" w:fill="CCECFF"/>
          </w:tcPr>
          <w:p>
            <w:pPr>
              <w:jc w:val="right"/>
              <w:ind w:right="129"/>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88,027,443</w:t>
            </w:r>
          </w:p>
        </w:tc>
        <w:tc>
          <w:tcPr>
            <w:tcW w:w="220" w:type="dxa"/>
            <w:vAlign w:val="bottom"/>
            <w:shd w:val="clear" w:color="auto" w:fill="CCECFF"/>
          </w:tcPr>
          <w:p>
            <w:pPr>
              <w:spacing w:after="0"/>
              <w:rPr>
                <w:sz w:val="14"/>
                <w:szCs w:val="14"/>
                <w:color w:val="auto"/>
              </w:rPr>
            </w:pPr>
          </w:p>
        </w:tc>
        <w:tc>
          <w:tcPr>
            <w:tcW w:w="300" w:type="dxa"/>
            <w:vAlign w:val="bottom"/>
            <w:gridSpan w:val="2"/>
            <w:shd w:val="clear" w:color="auto" w:fill="CCECFF"/>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93,320,993</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528"/>
        </w:trPr>
        <w:tc>
          <w:tcPr>
            <w:tcW w:w="4260" w:type="dxa"/>
            <w:vAlign w:val="bottom"/>
          </w:tcPr>
          <w:p>
            <w:pPr>
              <w:spacing w:after="0"/>
              <w:rPr>
                <w:sz w:val="24"/>
                <w:szCs w:val="24"/>
                <w:color w:val="auto"/>
              </w:rPr>
            </w:pPr>
          </w:p>
        </w:tc>
        <w:tc>
          <w:tcPr>
            <w:tcW w:w="2920" w:type="dxa"/>
            <w:vAlign w:val="bottom"/>
          </w:tcPr>
          <w:p>
            <w:pPr>
              <w:jc w:val="right"/>
              <w:ind w:right="1408"/>
              <w:spacing w:after="0"/>
              <w:rPr>
                <w:sz w:val="20"/>
                <w:szCs w:val="20"/>
                <w:color w:val="auto"/>
              </w:rPr>
            </w:pPr>
            <w:r>
              <w:rPr>
                <w:rFonts w:ascii="Arial" w:cs="Arial" w:eastAsia="Arial" w:hAnsi="Arial"/>
                <w:sz w:val="14"/>
                <w:szCs w:val="14"/>
                <w:color w:val="auto"/>
              </w:rPr>
              <w:t>21</w:t>
            </w: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4260" w:type="dxa"/>
            <w:vAlign w:val="bottom"/>
            <w:tcBorders>
              <w:bottom w:val="single" w:sz="8" w:color="9A9A9A"/>
            </w:tcBorders>
          </w:tcPr>
          <w:p>
            <w:pPr>
              <w:spacing w:after="0"/>
              <w:rPr>
                <w:sz w:val="8"/>
                <w:szCs w:val="8"/>
                <w:color w:val="auto"/>
              </w:rPr>
            </w:pPr>
          </w:p>
        </w:tc>
        <w:tc>
          <w:tcPr>
            <w:tcW w:w="29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69" w:right="319" w:bottom="1440" w:gutter="0" w:footer="0" w:header="0"/>
        </w:sectPr>
      </w:pPr>
    </w:p>
    <w:bookmarkStart w:id="21" w:name="page22"/>
    <w:bookmarkEnd w:id="21"/>
    <w:p>
      <w:pPr>
        <w:jc w:val="center"/>
        <w:spacing w:after="0"/>
        <w:rPr>
          <w:sz w:val="20"/>
          <w:szCs w:val="20"/>
          <w:color w:val="auto"/>
        </w:rPr>
      </w:pPr>
      <w:r>
        <w:rPr>
          <w:rFonts w:ascii="Arial" w:cs="Arial" w:eastAsia="Arial" w:hAnsi="Arial"/>
          <w:sz w:val="14"/>
          <w:szCs w:val="14"/>
          <w:color w:val="auto"/>
        </w:rPr>
        <w:t>P</w:t>
      </w:r>
      <w:r>
        <w:rPr>
          <w:rFonts w:ascii="Arial" w:cs="Arial" w:eastAsia="Arial" w:hAnsi="Arial"/>
          <w:sz w:val="14"/>
          <w:szCs w:val="14"/>
          <w:b w:val="1"/>
          <w:bCs w:val="1"/>
          <w:color w:val="auto"/>
        </w:rPr>
        <w:t>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listing of PSSL’s individual investments as of March 31, 2021: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4"/>
          </w:tcPr>
          <w:p>
            <w:pPr>
              <w:jc w:val="center"/>
              <w:ind w:right="260"/>
              <w:spacing w:after="0"/>
              <w:rPr>
                <w:sz w:val="20"/>
                <w:szCs w:val="20"/>
                <w:color w:val="auto"/>
              </w:rPr>
            </w:pPr>
            <w:r>
              <w:rPr>
                <w:rFonts w:ascii="Arial" w:cs="Arial" w:eastAsia="Arial" w:hAnsi="Arial"/>
                <w:sz w:val="11"/>
                <w:szCs w:val="11"/>
                <w:b w:val="1"/>
                <w:bCs w:val="1"/>
                <w:color w:val="auto"/>
                <w:w w:val="86"/>
              </w:rPr>
              <w:t>Basis Point</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300"/>
              <w:spacing w:after="0" w:line="122" w:lineRule="exact"/>
              <w:rPr>
                <w:sz w:val="20"/>
                <w:szCs w:val="20"/>
                <w:color w:val="auto"/>
              </w:rPr>
            </w:pPr>
            <w:r>
              <w:rPr>
                <w:rFonts w:ascii="Arial" w:cs="Arial" w:eastAsia="Arial" w:hAnsi="Arial"/>
                <w:sz w:val="11"/>
                <w:szCs w:val="11"/>
                <w:b w:val="1"/>
                <w:bCs w:val="1"/>
                <w:color w:val="auto"/>
              </w:rPr>
              <w:t>Current</w:t>
            </w:r>
          </w:p>
        </w:tc>
        <w:tc>
          <w:tcPr>
            <w:tcW w:w="140" w:type="dxa"/>
            <w:vAlign w:val="bottom"/>
          </w:tcPr>
          <w:p>
            <w:pPr>
              <w:spacing w:after="0"/>
              <w:rPr>
                <w:sz w:val="10"/>
                <w:szCs w:val="10"/>
                <w:color w:val="auto"/>
              </w:rPr>
            </w:pPr>
          </w:p>
        </w:tc>
        <w:tc>
          <w:tcPr>
            <w:tcW w:w="1060" w:type="dxa"/>
            <w:vAlign w:val="bottom"/>
            <w:gridSpan w:val="4"/>
          </w:tcPr>
          <w:p>
            <w:pPr>
              <w:jc w:val="center"/>
              <w:ind w:right="280"/>
              <w:spacing w:after="0" w:line="122" w:lineRule="exact"/>
              <w:rPr>
                <w:sz w:val="20"/>
                <w:szCs w:val="20"/>
                <w:color w:val="auto"/>
              </w:rPr>
            </w:pPr>
            <w:r>
              <w:rPr>
                <w:rFonts w:ascii="Arial" w:cs="Arial" w:eastAsia="Arial" w:hAnsi="Arial"/>
                <w:sz w:val="11"/>
                <w:szCs w:val="11"/>
                <w:b w:val="1"/>
                <w:bCs w:val="1"/>
                <w:color w:val="auto"/>
                <w:w w:val="89"/>
              </w:rPr>
              <w:t>Spread Above</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Maturity</w:t>
            </w: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Industry</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Coupon</w:t>
            </w:r>
          </w:p>
        </w:tc>
        <w:tc>
          <w:tcPr>
            <w:tcW w:w="140" w:type="dxa"/>
            <w:vAlign w:val="bottom"/>
          </w:tcPr>
          <w:p>
            <w:pPr>
              <w:spacing w:after="0"/>
              <w:rPr>
                <w:sz w:val="11"/>
                <w:szCs w:val="11"/>
                <w:color w:val="auto"/>
              </w:rPr>
            </w:pPr>
          </w:p>
        </w:tc>
        <w:tc>
          <w:tcPr>
            <w:tcW w:w="1060" w:type="dxa"/>
            <w:vAlign w:val="bottom"/>
            <w:gridSpan w:val="4"/>
          </w:tcPr>
          <w:p>
            <w:pPr>
              <w:jc w:val="center"/>
              <w:ind w:right="26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560" w:type="dxa"/>
            <w:vAlign w:val="bottom"/>
          </w:tcPr>
          <w:p>
            <w:pPr>
              <w:jc w:val="right"/>
              <w:ind w:right="206"/>
              <w:spacing w:after="0"/>
              <w:rPr>
                <w:sz w:val="20"/>
                <w:szCs w:val="20"/>
                <w:color w:val="auto"/>
              </w:rPr>
            </w:pPr>
            <w:r>
              <w:rPr>
                <w:rFonts w:ascii="Arial" w:cs="Arial" w:eastAsia="Arial" w:hAnsi="Arial"/>
                <w:sz w:val="11"/>
                <w:szCs w:val="11"/>
                <w:b w:val="1"/>
                <w:bCs w:val="1"/>
                <w:color w:val="auto"/>
              </w:rPr>
              <w:t>Par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Cost</w:t>
            </w:r>
          </w:p>
        </w:tc>
        <w:tc>
          <w:tcPr>
            <w:tcW w:w="840" w:type="dxa"/>
            <w:vAlign w:val="bottom"/>
            <w:gridSpan w:val="3"/>
          </w:tcPr>
          <w:p>
            <w:pPr>
              <w:ind w:left="40"/>
              <w:spacing w:after="0"/>
              <w:rPr>
                <w:sz w:val="20"/>
                <w:szCs w:val="20"/>
                <w:color w:val="auto"/>
              </w:rPr>
            </w:pPr>
            <w:r>
              <w:rPr>
                <w:rFonts w:ascii="Arial" w:cs="Arial" w:eastAsia="Arial" w:hAnsi="Arial"/>
                <w:sz w:val="11"/>
                <w:szCs w:val="11"/>
                <w:b w:val="1"/>
                <w:bCs w:val="1"/>
                <w:color w:val="auto"/>
              </w:rPr>
              <w:t xml:space="preserve">Fair Value </w:t>
            </w:r>
            <w:r>
              <w:rPr>
                <w:rFonts w:ascii="Arial" w:cs="Arial" w:eastAsia="Arial" w:hAnsi="Arial"/>
                <w:sz w:val="9"/>
                <w:szCs w:val="9"/>
                <w:b w:val="1"/>
                <w:bCs w:val="1"/>
                <w:color w:val="auto"/>
              </w:rPr>
              <w:t>(2)</w:t>
            </w:r>
          </w:p>
        </w:tc>
      </w:tr>
      <w:tr>
        <w:trPr>
          <w:trHeight w:val="128"/>
        </w:trPr>
        <w:tc>
          <w:tcPr>
            <w:tcW w:w="3080" w:type="dxa"/>
            <w:vAlign w:val="bottom"/>
            <w:tcBorders>
              <w:top w:val="single" w:sz="8" w:color="auto"/>
            </w:tcBorders>
            <w:gridSpan w:val="2"/>
          </w:tcPr>
          <w:p>
            <w:pPr>
              <w:spacing w:after="0"/>
              <w:rPr>
                <w:sz w:val="20"/>
                <w:szCs w:val="20"/>
                <w:color w:val="auto"/>
              </w:rPr>
            </w:pPr>
            <w:r>
              <w:rPr>
                <w:rFonts w:ascii="Arial" w:cs="Arial" w:eastAsia="Arial" w:hAnsi="Arial"/>
                <w:sz w:val="11"/>
                <w:szCs w:val="11"/>
                <w:b w:val="1"/>
                <w:bCs w:val="1"/>
                <w:color w:val="auto"/>
              </w:rPr>
              <w:t>First Lien Secured Debt—907.4%</w:t>
            </w: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Altamira Technologies,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07/24/2025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8.00%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L+700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5,675,031</w:t>
            </w:r>
          </w:p>
        </w:tc>
        <w:tc>
          <w:tcPr>
            <w:tcW w:w="3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5,506,409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5,462,217</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American Auto Auction Group,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01/02/2024</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Transportation: Consumer</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5.75%</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L+475</w:t>
            </w:r>
          </w:p>
        </w:tc>
        <w:tc>
          <w:tcPr>
            <w:tcW w:w="560" w:type="dxa"/>
            <w:vAlign w:val="bottom"/>
          </w:tcPr>
          <w:p>
            <w:pPr>
              <w:jc w:val="right"/>
              <w:spacing w:after="0"/>
              <w:rPr>
                <w:sz w:val="20"/>
                <w:szCs w:val="20"/>
                <w:color w:val="auto"/>
              </w:rPr>
            </w:pPr>
            <w:r>
              <w:rPr>
                <w:rFonts w:ascii="Arial" w:cs="Arial" w:eastAsia="Arial" w:hAnsi="Arial"/>
                <w:sz w:val="11"/>
                <w:szCs w:val="11"/>
                <w:color w:val="auto"/>
              </w:rPr>
              <w:t>7,093,665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6,946,622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6,880,855</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American Insulated Glass,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12/21/2023</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Building Products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L+550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5,750,000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5,669,071</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5,692,500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Apex Service Partners,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07/31/2025</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L+525</w:t>
            </w:r>
          </w:p>
        </w:tc>
        <w:tc>
          <w:tcPr>
            <w:tcW w:w="560" w:type="dxa"/>
            <w:vAlign w:val="bottom"/>
          </w:tcPr>
          <w:p>
            <w:pPr>
              <w:jc w:val="right"/>
              <w:spacing w:after="0"/>
              <w:rPr>
                <w:sz w:val="20"/>
                <w:szCs w:val="20"/>
                <w:color w:val="auto"/>
              </w:rPr>
            </w:pPr>
            <w:r>
              <w:rPr>
                <w:rFonts w:ascii="Arial" w:cs="Arial" w:eastAsia="Arial" w:hAnsi="Arial"/>
                <w:sz w:val="11"/>
                <w:szCs w:val="11"/>
                <w:color w:val="auto"/>
              </w:rPr>
              <w:t>1,028,431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1,028,431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1,028,431</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Apex Service Partners, LLC Term Loan B</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07/31/2025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L+550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2,232,458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2,232,458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2,232,458</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Applied Technical Services,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12/29/2026</w:t>
            </w:r>
          </w:p>
        </w:tc>
        <w:tc>
          <w:tcPr>
            <w:tcW w:w="1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Commercial Services &amp; Supplies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L+575</w:t>
            </w:r>
          </w:p>
        </w:tc>
        <w:tc>
          <w:tcPr>
            <w:tcW w:w="560" w:type="dxa"/>
            <w:vAlign w:val="bottom"/>
          </w:tcPr>
          <w:p>
            <w:pPr>
              <w:jc w:val="right"/>
              <w:spacing w:after="0"/>
              <w:rPr>
                <w:sz w:val="20"/>
                <w:szCs w:val="20"/>
                <w:color w:val="auto"/>
              </w:rPr>
            </w:pPr>
            <w:r>
              <w:rPr>
                <w:rFonts w:ascii="Arial" w:cs="Arial" w:eastAsia="Arial" w:hAnsi="Arial"/>
                <w:sz w:val="11"/>
                <w:szCs w:val="11"/>
                <w:color w:val="auto"/>
              </w:rPr>
              <w:t>4,534,091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4,435,119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4,466,080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BEI Precision Systems &amp; Space Company,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04/28/2023</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L+550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5,116,838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5,093,710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5,116,838</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By Light Professional IT Services,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05/16/2022</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7.25%</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L+625</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13,225,375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13,205,260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13,225,375</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Cadence Aerospace, LLC</w:t>
            </w:r>
          </w:p>
        </w:tc>
        <w:tc>
          <w:tcPr>
            <w:tcW w:w="78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11/14/2023</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9.50%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L+850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12,117,407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12,059,250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11,741,768</w:t>
            </w:r>
          </w:p>
        </w:tc>
        <w:tc>
          <w:tcPr>
            <w:tcW w:w="120" w:type="dxa"/>
            <w:vAlign w:val="bottom"/>
            <w:shd w:val="clear" w:color="auto" w:fill="CCECFF"/>
          </w:tcPr>
          <w:p>
            <w:pPr>
              <w:spacing w:after="0"/>
              <w:rPr>
                <w:sz w:val="11"/>
                <w:szCs w:val="11"/>
                <w:color w:val="auto"/>
              </w:rPr>
            </w:pPr>
          </w:p>
        </w:tc>
      </w:tr>
      <w:tr>
        <w:trPr>
          <w:trHeight w:val="135"/>
        </w:trPr>
        <w:tc>
          <w:tcPr>
            <w:tcW w:w="212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(PIK 9.50%)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Cardenas Markets LLC</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11/29/2023</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L+575</w:t>
            </w:r>
          </w:p>
        </w:tc>
        <w:tc>
          <w:tcPr>
            <w:tcW w:w="560" w:type="dxa"/>
            <w:vAlign w:val="bottom"/>
          </w:tcPr>
          <w:p>
            <w:pPr>
              <w:jc w:val="right"/>
              <w:spacing w:after="0"/>
              <w:rPr>
                <w:sz w:val="20"/>
                <w:szCs w:val="20"/>
                <w:color w:val="auto"/>
              </w:rPr>
            </w:pPr>
            <w:r>
              <w:rPr>
                <w:rFonts w:ascii="Arial" w:cs="Arial" w:eastAsia="Arial" w:hAnsi="Arial"/>
                <w:sz w:val="11"/>
                <w:szCs w:val="11"/>
                <w:color w:val="auto"/>
              </w:rPr>
              <w:t>7,235,516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7,203,969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7,199,339</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CHA Holdings,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04/10/2025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Construction and Engineering</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L+450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5,647,742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5,539,609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5,534,787</w:t>
            </w:r>
          </w:p>
        </w:tc>
        <w:tc>
          <w:tcPr>
            <w:tcW w:w="120" w:type="dxa"/>
            <w:vAlign w:val="bottom"/>
            <w:shd w:val="clear" w:color="auto" w:fill="CCECFF"/>
          </w:tcPr>
          <w:p>
            <w:pPr>
              <w:spacing w:after="0"/>
              <w:rPr>
                <w:sz w:val="11"/>
                <w:szCs w:val="11"/>
                <w:color w:val="auto"/>
              </w:rPr>
            </w:pPr>
          </w:p>
        </w:tc>
      </w:tr>
      <w:tr>
        <w:trPr>
          <w:trHeight w:val="139"/>
        </w:trPr>
        <w:tc>
          <w:tcPr>
            <w:tcW w:w="3080" w:type="dxa"/>
            <w:vAlign w:val="bottom"/>
            <w:gridSpan w:val="2"/>
          </w:tcPr>
          <w:p>
            <w:pPr>
              <w:spacing w:after="0"/>
              <w:rPr>
                <w:sz w:val="20"/>
                <w:szCs w:val="20"/>
                <w:color w:val="auto"/>
              </w:rPr>
            </w:pPr>
            <w:r>
              <w:rPr>
                <w:rFonts w:ascii="Arial" w:cs="Arial" w:eastAsia="Arial" w:hAnsi="Arial"/>
                <w:sz w:val="11"/>
                <w:szCs w:val="11"/>
                <w:color w:val="auto"/>
              </w:rPr>
              <w:t>Challenger Performance Optimization,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08/31/2023</w:t>
            </w:r>
          </w:p>
        </w:tc>
        <w:tc>
          <w:tcPr>
            <w:tcW w:w="120" w:type="dxa"/>
            <w:vAlign w:val="bottom"/>
          </w:tcPr>
          <w:p>
            <w:pPr>
              <w:spacing w:after="0"/>
              <w:rPr>
                <w:sz w:val="12"/>
                <w:szCs w:val="12"/>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8.00%</w:t>
            </w:r>
          </w:p>
        </w:tc>
        <w:tc>
          <w:tcPr>
            <w:tcW w:w="140" w:type="dxa"/>
            <w:vAlign w:val="bottom"/>
          </w:tcPr>
          <w:p>
            <w:pPr>
              <w:spacing w:after="0"/>
              <w:rPr>
                <w:sz w:val="12"/>
                <w:szCs w:val="12"/>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L+675</w:t>
            </w:r>
          </w:p>
        </w:tc>
        <w:tc>
          <w:tcPr>
            <w:tcW w:w="560" w:type="dxa"/>
            <w:vAlign w:val="bottom"/>
          </w:tcPr>
          <w:p>
            <w:pPr>
              <w:jc w:val="right"/>
              <w:spacing w:after="0"/>
              <w:rPr>
                <w:sz w:val="20"/>
                <w:szCs w:val="20"/>
                <w:color w:val="auto"/>
              </w:rPr>
            </w:pPr>
            <w:r>
              <w:rPr>
                <w:rFonts w:ascii="Arial" w:cs="Arial" w:eastAsia="Arial" w:hAnsi="Arial"/>
                <w:sz w:val="11"/>
                <w:szCs w:val="11"/>
                <w:color w:val="auto"/>
              </w:rPr>
              <w:t>9,516,938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9,460,520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9,088,675</w:t>
            </w:r>
          </w:p>
        </w:tc>
        <w:tc>
          <w:tcPr>
            <w:tcW w:w="120" w:type="dxa"/>
            <w:vAlign w:val="bottom"/>
          </w:tcPr>
          <w:p>
            <w:pPr>
              <w:spacing w:after="0"/>
              <w:rPr>
                <w:sz w:val="12"/>
                <w:szCs w:val="12"/>
                <w:color w:val="auto"/>
              </w:rPr>
            </w:pPr>
          </w:p>
        </w:tc>
      </w:tr>
      <w:tr>
        <w:trPr>
          <w:trHeight w:val="131"/>
        </w:trPr>
        <w:tc>
          <w:tcPr>
            <w:tcW w:w="2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(PIK 1.00%)</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Country Fresh Holdings,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05/01/2023</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0.00%</w:t>
            </w:r>
          </w:p>
        </w:tc>
        <w:tc>
          <w:tcPr>
            <w:tcW w:w="140" w:type="dxa"/>
            <w:vAlign w:val="bottom"/>
            <w:shd w:val="clear" w:color="auto" w:fill="CCECFF"/>
          </w:tcPr>
          <w:p>
            <w:pPr>
              <w:jc w:val="right"/>
              <w:spacing w:after="0"/>
              <w:rPr>
                <w:sz w:val="20"/>
                <w:szCs w:val="20"/>
                <w:color w:val="auto"/>
              </w:rPr>
            </w:pPr>
            <w:r>
              <w:rPr>
                <w:rFonts w:ascii="Arial" w:cs="Arial" w:eastAsia="Arial" w:hAnsi="Arial"/>
                <w:sz w:val="9"/>
                <w:szCs w:val="9"/>
                <w:color w:val="auto"/>
                <w:w w:val="90"/>
              </w:rPr>
              <w:t>(5)</w:t>
            </w:r>
          </w:p>
        </w:tc>
        <w:tc>
          <w:tcPr>
            <w:tcW w:w="480" w:type="dxa"/>
            <w:vAlign w:val="bottom"/>
            <w:shd w:val="clear" w:color="auto" w:fill="CCECFF"/>
          </w:tcPr>
          <w:p>
            <w:pPr>
              <w:spacing w:after="0"/>
              <w:rPr>
                <w:sz w:val="11"/>
                <w:szCs w:val="11"/>
                <w:color w:val="auto"/>
              </w:rPr>
            </w:pP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182,403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180,417</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59,463</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Country Fresh Holdings, LLC (Revolver)</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05/01/2023</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0.00%</w:t>
            </w:r>
          </w:p>
        </w:tc>
        <w:tc>
          <w:tcPr>
            <w:tcW w:w="140" w:type="dxa"/>
            <w:vAlign w:val="bottom"/>
          </w:tcPr>
          <w:p>
            <w:pPr>
              <w:jc w:val="right"/>
              <w:spacing w:after="0"/>
              <w:rPr>
                <w:sz w:val="20"/>
                <w:szCs w:val="20"/>
                <w:color w:val="auto"/>
              </w:rPr>
            </w:pPr>
            <w:r>
              <w:rPr>
                <w:rFonts w:ascii="Arial" w:cs="Arial" w:eastAsia="Arial" w:hAnsi="Arial"/>
                <w:sz w:val="9"/>
                <w:szCs w:val="9"/>
                <w:color w:val="auto"/>
                <w:w w:val="90"/>
              </w:rPr>
              <w:t>(5)</w:t>
            </w:r>
          </w:p>
        </w:tc>
        <w:tc>
          <w:tcPr>
            <w:tcW w:w="480" w:type="dxa"/>
            <w:vAlign w:val="bottom"/>
          </w:tcPr>
          <w:p>
            <w:pPr>
              <w:spacing w:after="0"/>
              <w:rPr>
                <w:sz w:val="11"/>
                <w:szCs w:val="11"/>
                <w:color w:val="auto"/>
              </w:rPr>
            </w:pP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450,110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450,111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146,736</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Datalot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01/24/2025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IT Services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L+525</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5,735,516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5,735,516</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5,735,516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Digital Room Holdings,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05/22/2026</w:t>
            </w:r>
          </w:p>
        </w:tc>
        <w:tc>
          <w:tcPr>
            <w:tcW w:w="1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Commercial Services &amp; Supplies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5.20%</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L+500</w:t>
            </w:r>
          </w:p>
        </w:tc>
        <w:tc>
          <w:tcPr>
            <w:tcW w:w="560" w:type="dxa"/>
            <w:vAlign w:val="bottom"/>
          </w:tcPr>
          <w:p>
            <w:pPr>
              <w:jc w:val="right"/>
              <w:spacing w:after="0"/>
              <w:rPr>
                <w:sz w:val="20"/>
                <w:szCs w:val="20"/>
                <w:color w:val="auto"/>
              </w:rPr>
            </w:pPr>
            <w:r>
              <w:rPr>
                <w:rFonts w:ascii="Arial" w:cs="Arial" w:eastAsia="Arial" w:hAnsi="Arial"/>
                <w:sz w:val="11"/>
                <w:szCs w:val="11"/>
                <w:color w:val="auto"/>
              </w:rPr>
              <w:t>3,244,513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3,116,172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3,174,204</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Douglas Products and Packaging Company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10/19/2022</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L+575</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8,791,367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8,719,166</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8,703,453</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Douglas Sewer Intermediate,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10/19/2022</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L+575</w:t>
            </w:r>
          </w:p>
        </w:tc>
        <w:tc>
          <w:tcPr>
            <w:tcW w:w="560" w:type="dxa"/>
            <w:vAlign w:val="bottom"/>
          </w:tcPr>
          <w:p>
            <w:pPr>
              <w:jc w:val="right"/>
              <w:spacing w:after="0"/>
              <w:rPr>
                <w:sz w:val="20"/>
                <w:szCs w:val="20"/>
                <w:color w:val="auto"/>
              </w:rPr>
            </w:pPr>
            <w:r>
              <w:rPr>
                <w:rFonts w:ascii="Arial" w:cs="Arial" w:eastAsia="Arial" w:hAnsi="Arial"/>
                <w:sz w:val="11"/>
                <w:szCs w:val="11"/>
                <w:color w:val="auto"/>
              </w:rPr>
              <w:t>7,365,508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7,299,919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7,291,852</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DRS Holdings III, Inc.</w:t>
            </w:r>
          </w:p>
        </w:tc>
        <w:tc>
          <w:tcPr>
            <w:tcW w:w="78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11/03/2025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Consumer Goods: Durable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L+575</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7,981,736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7,961,854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8,061,553</w:t>
            </w:r>
          </w:p>
        </w:tc>
        <w:tc>
          <w:tcPr>
            <w:tcW w:w="120" w:type="dxa"/>
            <w:vAlign w:val="bottom"/>
            <w:shd w:val="clear" w:color="auto" w:fill="CCECFF"/>
          </w:tcPr>
          <w:p>
            <w:pPr>
              <w:spacing w:after="0"/>
              <w:rPr>
                <w:sz w:val="11"/>
                <w:szCs w:val="11"/>
                <w:color w:val="auto"/>
              </w:rPr>
            </w:pPr>
          </w:p>
        </w:tc>
      </w:tr>
      <w:tr>
        <w:trPr>
          <w:trHeight w:val="139"/>
        </w:trPr>
        <w:tc>
          <w:tcPr>
            <w:tcW w:w="3080" w:type="dxa"/>
            <w:vAlign w:val="bottom"/>
            <w:gridSpan w:val="2"/>
          </w:tcPr>
          <w:p>
            <w:pPr>
              <w:spacing w:after="0"/>
              <w:rPr>
                <w:sz w:val="20"/>
                <w:szCs w:val="20"/>
                <w:color w:val="auto"/>
              </w:rPr>
            </w:pPr>
            <w:r>
              <w:rPr>
                <w:rFonts w:ascii="Arial" w:cs="Arial" w:eastAsia="Arial" w:hAnsi="Arial"/>
                <w:sz w:val="11"/>
                <w:szCs w:val="11"/>
                <w:color w:val="auto"/>
              </w:rPr>
              <w:t>East Valley Tourist Development Authority</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03/07/2022</w:t>
            </w:r>
          </w:p>
        </w:tc>
        <w:tc>
          <w:tcPr>
            <w:tcW w:w="120" w:type="dxa"/>
            <w:vAlign w:val="bottom"/>
          </w:tcPr>
          <w:p>
            <w:pPr>
              <w:spacing w:after="0"/>
              <w:rPr>
                <w:sz w:val="12"/>
                <w:szCs w:val="12"/>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Hotels, Restaurants and Leisure</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9.00%</w:t>
            </w:r>
          </w:p>
        </w:tc>
        <w:tc>
          <w:tcPr>
            <w:tcW w:w="140" w:type="dxa"/>
            <w:vAlign w:val="bottom"/>
          </w:tcPr>
          <w:p>
            <w:pPr>
              <w:spacing w:after="0"/>
              <w:rPr>
                <w:sz w:val="12"/>
                <w:szCs w:val="12"/>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L+800</w:t>
            </w:r>
          </w:p>
        </w:tc>
        <w:tc>
          <w:tcPr>
            <w:tcW w:w="560" w:type="dxa"/>
            <w:vAlign w:val="bottom"/>
          </w:tcPr>
          <w:p>
            <w:pPr>
              <w:jc w:val="right"/>
              <w:spacing w:after="0"/>
              <w:rPr>
                <w:sz w:val="20"/>
                <w:szCs w:val="20"/>
                <w:color w:val="auto"/>
              </w:rPr>
            </w:pPr>
            <w:r>
              <w:rPr>
                <w:rFonts w:ascii="Arial" w:cs="Arial" w:eastAsia="Arial" w:hAnsi="Arial"/>
                <w:sz w:val="11"/>
                <w:szCs w:val="11"/>
                <w:color w:val="auto"/>
              </w:rPr>
              <w:t>5,750,000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5,554,582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5,663,750</w:t>
            </w:r>
          </w:p>
        </w:tc>
        <w:tc>
          <w:tcPr>
            <w:tcW w:w="120" w:type="dxa"/>
            <w:vAlign w:val="bottom"/>
          </w:tcPr>
          <w:p>
            <w:pPr>
              <w:spacing w:after="0"/>
              <w:rPr>
                <w:sz w:val="12"/>
                <w:szCs w:val="12"/>
                <w:color w:val="auto"/>
              </w:rPr>
            </w:pPr>
          </w:p>
        </w:tc>
      </w:tr>
      <w:tr>
        <w:trPr>
          <w:trHeight w:val="131"/>
        </w:trPr>
        <w:tc>
          <w:tcPr>
            <w:tcW w:w="2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(PIK 3.50%)</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ECL Entertainment,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04/01/2028</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Hotels, Restaurants and Leisure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8.25%</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L+750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2,653,846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2,627,308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2,653,846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ECM Industries,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12/23/2025</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Electronic Equipment, Instruments, and Components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L+450</w:t>
            </w:r>
          </w:p>
        </w:tc>
        <w:tc>
          <w:tcPr>
            <w:tcW w:w="560" w:type="dxa"/>
            <w:vAlign w:val="bottom"/>
          </w:tcPr>
          <w:p>
            <w:pPr>
              <w:jc w:val="right"/>
              <w:spacing w:after="0"/>
              <w:rPr>
                <w:sz w:val="20"/>
                <w:szCs w:val="20"/>
                <w:color w:val="auto"/>
              </w:rPr>
            </w:pPr>
            <w:r>
              <w:rPr>
                <w:rFonts w:ascii="Arial" w:cs="Arial" w:eastAsia="Arial" w:hAnsi="Arial"/>
                <w:sz w:val="11"/>
                <w:szCs w:val="11"/>
                <w:color w:val="auto"/>
              </w:rPr>
              <w:t>4,994,355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4,994,355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4,969,383</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Findex Group Limited </w:t>
            </w:r>
            <w:r>
              <w:rPr>
                <w:rFonts w:ascii="Arial" w:cs="Arial" w:eastAsia="Arial" w:hAnsi="Arial"/>
                <w:sz w:val="9"/>
                <w:szCs w:val="9"/>
                <w:color w:val="auto"/>
              </w:rPr>
              <w:t>(3), (4)</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05/31/2024</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Banking, Finance, Insurance and Real Estate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5.07%</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shd w:val="clear" w:color="auto" w:fill="CCECFF"/>
          </w:tcPr>
          <w:p>
            <w:pPr>
              <w:ind w:left="20"/>
              <w:spacing w:after="0"/>
              <w:rPr>
                <w:sz w:val="20"/>
                <w:szCs w:val="20"/>
                <w:color w:val="auto"/>
              </w:rPr>
            </w:pPr>
            <w:r>
              <w:rPr>
                <w:rFonts w:ascii="Arial" w:cs="Arial" w:eastAsia="Arial" w:hAnsi="Arial"/>
                <w:sz w:val="11"/>
                <w:szCs w:val="11"/>
                <w:color w:val="auto"/>
              </w:rPr>
              <w:t>L+500A $</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10,000,000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7,393,107</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7,311,840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FlexPrint,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01/02/2024</w:t>
            </w:r>
          </w:p>
        </w:tc>
        <w:tc>
          <w:tcPr>
            <w:tcW w:w="1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Commercial Services &amp; Supplies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6.30%</w:t>
            </w:r>
          </w:p>
        </w:tc>
        <w:tc>
          <w:tcPr>
            <w:tcW w:w="140" w:type="dxa"/>
            <w:vAlign w:val="bottom"/>
          </w:tcPr>
          <w:p>
            <w:pPr>
              <w:spacing w:after="0"/>
              <w:rPr>
                <w:sz w:val="11"/>
                <w:szCs w:val="11"/>
                <w:color w:val="auto"/>
              </w:rPr>
            </w:pPr>
          </w:p>
        </w:tc>
        <w:tc>
          <w:tcPr>
            <w:tcW w:w="1060" w:type="dxa"/>
            <w:vAlign w:val="bottom"/>
            <w:gridSpan w:val="4"/>
          </w:tcPr>
          <w:p>
            <w:pPr>
              <w:jc w:val="right"/>
              <w:ind w:right="280"/>
              <w:spacing w:after="0"/>
              <w:rPr>
                <w:sz w:val="20"/>
                <w:szCs w:val="20"/>
                <w:color w:val="auto"/>
              </w:rPr>
            </w:pPr>
            <w:r>
              <w:rPr>
                <w:rFonts w:ascii="Arial" w:cs="Arial" w:eastAsia="Arial" w:hAnsi="Arial"/>
                <w:sz w:val="11"/>
                <w:szCs w:val="11"/>
                <w:color w:val="auto"/>
              </w:rPr>
              <w:t>1M L+611</w:t>
            </w:r>
          </w:p>
        </w:tc>
        <w:tc>
          <w:tcPr>
            <w:tcW w:w="560" w:type="dxa"/>
            <w:vAlign w:val="bottom"/>
          </w:tcPr>
          <w:p>
            <w:pPr>
              <w:jc w:val="right"/>
              <w:spacing w:after="0"/>
              <w:rPr>
                <w:sz w:val="20"/>
                <w:szCs w:val="20"/>
                <w:color w:val="auto"/>
              </w:rPr>
            </w:pPr>
            <w:r>
              <w:rPr>
                <w:rFonts w:ascii="Arial" w:cs="Arial" w:eastAsia="Arial" w:hAnsi="Arial"/>
                <w:sz w:val="11"/>
                <w:szCs w:val="11"/>
                <w:color w:val="auto"/>
              </w:rPr>
              <w:t>4,769,595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4,726,098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4,733,824</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GCOM Software LLC</w:t>
            </w:r>
          </w:p>
        </w:tc>
        <w:tc>
          <w:tcPr>
            <w:tcW w:w="78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11/14/2022</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7.75%</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L+625</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16,355,634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16,349,515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16,355,634</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Good2Grow LLC</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11/18/2024</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Beverages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5.25%</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L+425</w:t>
            </w:r>
          </w:p>
        </w:tc>
        <w:tc>
          <w:tcPr>
            <w:tcW w:w="560" w:type="dxa"/>
            <w:vAlign w:val="bottom"/>
          </w:tcPr>
          <w:p>
            <w:pPr>
              <w:jc w:val="right"/>
              <w:spacing w:after="0"/>
              <w:rPr>
                <w:sz w:val="20"/>
                <w:szCs w:val="20"/>
                <w:color w:val="auto"/>
              </w:rPr>
            </w:pPr>
            <w:r>
              <w:rPr>
                <w:rFonts w:ascii="Arial" w:cs="Arial" w:eastAsia="Arial" w:hAnsi="Arial"/>
                <w:sz w:val="11"/>
                <w:szCs w:val="11"/>
                <w:color w:val="auto"/>
              </w:rPr>
              <w:t>9,499,183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9,480,078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9,499,183</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Hancock Roofing and Construction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12/31/2026</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Insurance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L+525</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2,493,750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2,433,228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2,431,406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Holdco Sands Intermediate,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12/19/2025</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7.50%</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L+600</w:t>
            </w:r>
          </w:p>
        </w:tc>
        <w:tc>
          <w:tcPr>
            <w:tcW w:w="560" w:type="dxa"/>
            <w:vAlign w:val="bottom"/>
          </w:tcPr>
          <w:p>
            <w:pPr>
              <w:jc w:val="right"/>
              <w:spacing w:after="0"/>
              <w:rPr>
                <w:sz w:val="20"/>
                <w:szCs w:val="20"/>
                <w:color w:val="auto"/>
              </w:rPr>
            </w:pPr>
            <w:r>
              <w:rPr>
                <w:rFonts w:ascii="Arial" w:cs="Arial" w:eastAsia="Arial" w:hAnsi="Arial"/>
                <w:sz w:val="11"/>
                <w:szCs w:val="11"/>
                <w:color w:val="auto"/>
              </w:rPr>
              <w:t>1,995,000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1,956,503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1,965,075</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IMIA Holdings,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10/26/2025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L+600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12,082,850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12,030,983</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12,082,850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Impact Group,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06/27/2023</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Wholesale</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8.37%</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L+737</w:t>
            </w:r>
          </w:p>
        </w:tc>
        <w:tc>
          <w:tcPr>
            <w:tcW w:w="560" w:type="dxa"/>
            <w:vAlign w:val="bottom"/>
          </w:tcPr>
          <w:p>
            <w:pPr>
              <w:jc w:val="right"/>
              <w:spacing w:after="0"/>
              <w:rPr>
                <w:sz w:val="20"/>
                <w:szCs w:val="20"/>
                <w:color w:val="auto"/>
              </w:rPr>
            </w:pPr>
            <w:r>
              <w:rPr>
                <w:rFonts w:ascii="Arial" w:cs="Arial" w:eastAsia="Arial" w:hAnsi="Arial"/>
                <w:sz w:val="11"/>
                <w:szCs w:val="11"/>
                <w:color w:val="auto"/>
              </w:rPr>
              <w:t>9,190,185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9,228,510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9,282,087</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Integrative Nutrition,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09/29/2023</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5.75%</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L+475</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8,537,355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8,485,632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8,537,355</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K2 Pure Solutions NoCal, L.P.</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12/20/2023</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8.00%</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L+700</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19,550,000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19,246,779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19,133,584</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Kentucky Downs,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03/07/25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Hotels, Restaurants and Leisure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10.00%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L+900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5,528,183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5,460,714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5,873,695</w:t>
            </w:r>
          </w:p>
        </w:tc>
        <w:tc>
          <w:tcPr>
            <w:tcW w:w="120" w:type="dxa"/>
            <w:vAlign w:val="bottom"/>
            <w:shd w:val="clear" w:color="auto" w:fill="CCECFF"/>
          </w:tcPr>
          <w:p>
            <w:pPr>
              <w:spacing w:after="0"/>
              <w:rPr>
                <w:sz w:val="11"/>
                <w:szCs w:val="11"/>
                <w:color w:val="auto"/>
              </w:rPr>
            </w:pPr>
          </w:p>
        </w:tc>
      </w:tr>
      <w:tr>
        <w:trPr>
          <w:trHeight w:val="139"/>
        </w:trPr>
        <w:tc>
          <w:tcPr>
            <w:tcW w:w="3080" w:type="dxa"/>
            <w:vAlign w:val="bottom"/>
            <w:gridSpan w:val="2"/>
          </w:tcPr>
          <w:p>
            <w:pPr>
              <w:spacing w:after="0"/>
              <w:rPr>
                <w:sz w:val="20"/>
                <w:szCs w:val="20"/>
                <w:color w:val="auto"/>
              </w:rPr>
            </w:pPr>
            <w:r>
              <w:rPr>
                <w:rFonts w:ascii="Arial" w:cs="Arial" w:eastAsia="Arial" w:hAnsi="Arial"/>
                <w:sz w:val="11"/>
                <w:szCs w:val="11"/>
                <w:color w:val="auto"/>
              </w:rPr>
              <w:t>LAV Gear Holdings,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10/31/2024</w:t>
            </w:r>
          </w:p>
        </w:tc>
        <w:tc>
          <w:tcPr>
            <w:tcW w:w="120" w:type="dxa"/>
            <w:vAlign w:val="bottom"/>
          </w:tcPr>
          <w:p>
            <w:pPr>
              <w:spacing w:after="0"/>
              <w:rPr>
                <w:sz w:val="12"/>
                <w:szCs w:val="12"/>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8.50%</w:t>
            </w:r>
          </w:p>
        </w:tc>
        <w:tc>
          <w:tcPr>
            <w:tcW w:w="140" w:type="dxa"/>
            <w:vAlign w:val="bottom"/>
          </w:tcPr>
          <w:p>
            <w:pPr>
              <w:spacing w:after="0"/>
              <w:rPr>
                <w:sz w:val="12"/>
                <w:szCs w:val="12"/>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L+750</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10,229,622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10,166,770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9,480,813</w:t>
            </w:r>
          </w:p>
        </w:tc>
        <w:tc>
          <w:tcPr>
            <w:tcW w:w="120" w:type="dxa"/>
            <w:vAlign w:val="bottom"/>
          </w:tcPr>
          <w:p>
            <w:pPr>
              <w:spacing w:after="0"/>
              <w:rPr>
                <w:sz w:val="12"/>
                <w:szCs w:val="12"/>
                <w:color w:val="auto"/>
              </w:rPr>
            </w:pPr>
          </w:p>
        </w:tc>
      </w:tr>
      <w:tr>
        <w:trPr>
          <w:trHeight w:val="131"/>
        </w:trPr>
        <w:tc>
          <w:tcPr>
            <w:tcW w:w="2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(PIK 1.00%)</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Lightspeed Buyer Inc.</w:t>
            </w:r>
          </w:p>
        </w:tc>
        <w:tc>
          <w:tcPr>
            <w:tcW w:w="78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9"/>
              </w:rPr>
              <w:t>02/3/2026</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Healthcare Providers and Services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L+550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5,735,516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5,624,157</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5,649,484</w:t>
            </w:r>
          </w:p>
        </w:tc>
        <w:tc>
          <w:tcPr>
            <w:tcW w:w="120" w:type="dxa"/>
            <w:vAlign w:val="bottom"/>
            <w:shd w:val="clear" w:color="auto" w:fill="CCECFF"/>
          </w:tcPr>
          <w:p>
            <w:pPr>
              <w:spacing w:after="0"/>
              <w:rPr>
                <w:sz w:val="11"/>
                <w:szCs w:val="11"/>
                <w:color w:val="auto"/>
              </w:rPr>
            </w:pPr>
          </w:p>
        </w:tc>
      </w:tr>
      <w:tr>
        <w:trPr>
          <w:trHeight w:val="139"/>
        </w:trPr>
        <w:tc>
          <w:tcPr>
            <w:tcW w:w="3080" w:type="dxa"/>
            <w:vAlign w:val="bottom"/>
            <w:gridSpan w:val="2"/>
          </w:tcPr>
          <w:p>
            <w:pPr>
              <w:spacing w:after="0"/>
              <w:rPr>
                <w:sz w:val="20"/>
                <w:szCs w:val="20"/>
                <w:color w:val="auto"/>
              </w:rPr>
            </w:pPr>
            <w:r>
              <w:rPr>
                <w:rFonts w:ascii="Arial" w:cs="Arial" w:eastAsia="Arial" w:hAnsi="Arial"/>
                <w:sz w:val="11"/>
                <w:szCs w:val="11"/>
                <w:color w:val="auto"/>
              </w:rPr>
              <w:t>Marketplace Events, LLC - Super Priority First Lien Term Loan</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09/30/2025</w:t>
            </w:r>
          </w:p>
        </w:tc>
        <w:tc>
          <w:tcPr>
            <w:tcW w:w="120" w:type="dxa"/>
            <w:vAlign w:val="bottom"/>
          </w:tcPr>
          <w:p>
            <w:pPr>
              <w:spacing w:after="0"/>
              <w:rPr>
                <w:sz w:val="12"/>
                <w:szCs w:val="12"/>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Media: Diversified and Production</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tcPr>
          <w:p>
            <w:pPr>
              <w:spacing w:after="0"/>
              <w:rPr>
                <w:sz w:val="12"/>
                <w:szCs w:val="12"/>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L+525</w:t>
            </w:r>
          </w:p>
        </w:tc>
        <w:tc>
          <w:tcPr>
            <w:tcW w:w="560" w:type="dxa"/>
            <w:vAlign w:val="bottom"/>
          </w:tcPr>
          <w:p>
            <w:pPr>
              <w:jc w:val="right"/>
              <w:spacing w:after="0"/>
              <w:rPr>
                <w:sz w:val="20"/>
                <w:szCs w:val="20"/>
                <w:color w:val="auto"/>
              </w:rPr>
            </w:pPr>
            <w:r>
              <w:rPr>
                <w:rFonts w:ascii="Arial" w:cs="Arial" w:eastAsia="Arial" w:hAnsi="Arial"/>
                <w:sz w:val="11"/>
                <w:szCs w:val="11"/>
                <w:color w:val="auto"/>
              </w:rPr>
              <w:t>598,532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598,532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598,532</w:t>
            </w:r>
          </w:p>
        </w:tc>
        <w:tc>
          <w:tcPr>
            <w:tcW w:w="120" w:type="dxa"/>
            <w:vAlign w:val="bottom"/>
          </w:tcPr>
          <w:p>
            <w:pPr>
              <w:spacing w:after="0"/>
              <w:rPr>
                <w:sz w:val="12"/>
                <w:szCs w:val="12"/>
                <w:color w:val="auto"/>
              </w:rPr>
            </w:pPr>
          </w:p>
        </w:tc>
      </w:tr>
      <w:tr>
        <w:trPr>
          <w:trHeight w:val="131"/>
        </w:trPr>
        <w:tc>
          <w:tcPr>
            <w:tcW w:w="2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(PIK 6.25%)</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w w:val="96"/>
              </w:rPr>
              <w:t xml:space="preserve">Marketplace Events, LLC - Super Priority First Lien Term Loan </w:t>
            </w:r>
            <w:r>
              <w:rPr>
                <w:rFonts w:ascii="Arial" w:cs="Arial" w:eastAsia="Arial" w:hAnsi="Arial"/>
                <w:sz w:val="9"/>
                <w:szCs w:val="9"/>
                <w:color w:val="auto"/>
                <w:w w:val="96"/>
              </w:rPr>
              <w:t>(6)</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09/30/2025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Media: Diversified and Production</w:t>
            </w: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589,122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Marketplace Events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09/30/2026</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Media: Diversified and Production</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0.00%</w:t>
            </w:r>
          </w:p>
        </w:tc>
        <w:tc>
          <w:tcPr>
            <w:tcW w:w="140" w:type="dxa"/>
            <w:vAlign w:val="bottom"/>
          </w:tcPr>
          <w:p>
            <w:pPr>
              <w:jc w:val="right"/>
              <w:spacing w:after="0"/>
              <w:rPr>
                <w:sz w:val="20"/>
                <w:szCs w:val="20"/>
                <w:color w:val="auto"/>
              </w:rPr>
            </w:pPr>
            <w:r>
              <w:rPr>
                <w:rFonts w:ascii="Arial" w:cs="Arial" w:eastAsia="Arial" w:hAnsi="Arial"/>
                <w:sz w:val="9"/>
                <w:szCs w:val="9"/>
                <w:color w:val="auto"/>
                <w:w w:val="90"/>
              </w:rPr>
              <w:t>(5)</w:t>
            </w:r>
          </w:p>
        </w:tc>
        <w:tc>
          <w:tcPr>
            <w:tcW w:w="480" w:type="dxa"/>
            <w:vAlign w:val="bottom"/>
          </w:tcPr>
          <w:p>
            <w:pPr>
              <w:spacing w:after="0"/>
              <w:rPr>
                <w:sz w:val="11"/>
                <w:szCs w:val="11"/>
                <w:color w:val="auto"/>
              </w:rPr>
            </w:pP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4,473,302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3,441,474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3,638,124</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MeritDirect,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05/23/2024</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2"/>
              </w:rPr>
              <w:t>Media: Advertising, Printing &amp; Publishing</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L+550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5,677,285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5,535,512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5,549,546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Mission Critical Electronics,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09/28/2022</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6.00%</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L+500</w:t>
            </w:r>
          </w:p>
        </w:tc>
        <w:tc>
          <w:tcPr>
            <w:tcW w:w="560" w:type="dxa"/>
            <w:vAlign w:val="bottom"/>
          </w:tcPr>
          <w:p>
            <w:pPr>
              <w:jc w:val="right"/>
              <w:spacing w:after="0"/>
              <w:rPr>
                <w:sz w:val="20"/>
                <w:szCs w:val="20"/>
                <w:color w:val="auto"/>
              </w:rPr>
            </w:pPr>
            <w:r>
              <w:rPr>
                <w:rFonts w:ascii="Arial" w:cs="Arial" w:eastAsia="Arial" w:hAnsi="Arial"/>
                <w:sz w:val="11"/>
                <w:szCs w:val="11"/>
                <w:color w:val="auto"/>
              </w:rPr>
              <w:t>5,919,606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5,901,714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5,919,606</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New Milani Group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06/06/2024</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L+550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14,587,500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14,506,823</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12,982,875</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Output Services Group,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03/27/2024</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L+450</w:t>
            </w:r>
          </w:p>
        </w:tc>
        <w:tc>
          <w:tcPr>
            <w:tcW w:w="560" w:type="dxa"/>
            <w:vAlign w:val="bottom"/>
          </w:tcPr>
          <w:p>
            <w:pPr>
              <w:jc w:val="right"/>
              <w:spacing w:after="0"/>
              <w:rPr>
                <w:sz w:val="20"/>
                <w:szCs w:val="20"/>
                <w:color w:val="auto"/>
              </w:rPr>
            </w:pPr>
            <w:r>
              <w:rPr>
                <w:rFonts w:ascii="Arial" w:cs="Arial" w:eastAsia="Arial" w:hAnsi="Arial"/>
                <w:sz w:val="11"/>
                <w:szCs w:val="11"/>
                <w:color w:val="auto"/>
              </w:rPr>
              <w:t>7,783,419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7,780,546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7,199,662</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Ox Two,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02/27/2023</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Construction Materials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7.25%</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L+625</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5,720,680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5,720,680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5,720,680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PH Beauty Holdings III,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09/29/2025</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Wholesale</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5.23%</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L+500</w:t>
            </w:r>
          </w:p>
        </w:tc>
        <w:tc>
          <w:tcPr>
            <w:tcW w:w="560" w:type="dxa"/>
            <w:vAlign w:val="bottom"/>
          </w:tcPr>
          <w:p>
            <w:pPr>
              <w:jc w:val="right"/>
              <w:spacing w:after="0"/>
              <w:rPr>
                <w:sz w:val="20"/>
                <w:szCs w:val="20"/>
                <w:color w:val="auto"/>
              </w:rPr>
            </w:pPr>
            <w:r>
              <w:rPr>
                <w:rFonts w:ascii="Arial" w:cs="Arial" w:eastAsia="Arial" w:hAnsi="Arial"/>
                <w:sz w:val="11"/>
                <w:szCs w:val="11"/>
                <w:color w:val="auto"/>
              </w:rPr>
              <w:t>9,752,907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9,556,261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9,248,975</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Plant Health Intermediate,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10/19/2022</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L+575</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1,585,918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1,571,787</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1,570,059</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PlayPower, Inc.</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05/8/2026</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Leisure Products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5.74%</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L+550</w:t>
            </w:r>
          </w:p>
        </w:tc>
        <w:tc>
          <w:tcPr>
            <w:tcW w:w="560" w:type="dxa"/>
            <w:vAlign w:val="bottom"/>
          </w:tcPr>
          <w:p>
            <w:pPr>
              <w:jc w:val="right"/>
              <w:spacing w:after="0"/>
              <w:rPr>
                <w:sz w:val="20"/>
                <w:szCs w:val="20"/>
                <w:color w:val="auto"/>
              </w:rPr>
            </w:pPr>
            <w:r>
              <w:rPr>
                <w:rFonts w:ascii="Arial" w:cs="Arial" w:eastAsia="Arial" w:hAnsi="Arial"/>
                <w:sz w:val="11"/>
                <w:szCs w:val="11"/>
                <w:color w:val="auto"/>
              </w:rPr>
              <w:t>4,004,520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3,906,458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3,949,458</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Recteq,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01/29/2026</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Leisure Products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L+600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4,903,516</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4,900,000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w w:val="94"/>
              </w:rPr>
              <w:t>Research Now Group, Inc. and Survey Sampling International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12/20/2024</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L+550</w:t>
            </w:r>
          </w:p>
        </w:tc>
        <w:tc>
          <w:tcPr>
            <w:tcW w:w="560" w:type="dxa"/>
            <w:vAlign w:val="bottom"/>
          </w:tcPr>
          <w:p>
            <w:pPr>
              <w:jc w:val="right"/>
              <w:spacing w:after="0"/>
              <w:rPr>
                <w:sz w:val="20"/>
                <w:szCs w:val="20"/>
                <w:color w:val="auto"/>
              </w:rPr>
            </w:pPr>
            <w:r>
              <w:rPr>
                <w:rFonts w:ascii="Arial" w:cs="Arial" w:eastAsia="Arial" w:hAnsi="Arial"/>
                <w:sz w:val="11"/>
                <w:szCs w:val="11"/>
                <w:color w:val="auto"/>
              </w:rPr>
              <w:t>5,735,180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5,728,272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5,667,792</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Sales Benchmark Index LLC</w:t>
            </w:r>
          </w:p>
        </w:tc>
        <w:tc>
          <w:tcPr>
            <w:tcW w:w="78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9"/>
              </w:rPr>
              <w:t>01/3/2025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Professional Services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7.75%</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L+600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5,735,516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5,639,881</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5,348,369</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Sargent &amp; Greenleaf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12/20/2024</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Wholesale</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L+550</w:t>
            </w:r>
          </w:p>
        </w:tc>
        <w:tc>
          <w:tcPr>
            <w:tcW w:w="560" w:type="dxa"/>
            <w:vAlign w:val="bottom"/>
          </w:tcPr>
          <w:p>
            <w:pPr>
              <w:jc w:val="right"/>
              <w:spacing w:after="0"/>
              <w:rPr>
                <w:sz w:val="20"/>
                <w:szCs w:val="20"/>
                <w:color w:val="auto"/>
              </w:rPr>
            </w:pPr>
            <w:r>
              <w:rPr>
                <w:rFonts w:ascii="Arial" w:cs="Arial" w:eastAsia="Arial" w:hAnsi="Arial"/>
                <w:sz w:val="11"/>
                <w:szCs w:val="11"/>
                <w:color w:val="auto"/>
              </w:rPr>
              <w:t>5,705,995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5,638,785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5,705,995</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Schlesinger Global,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07/14/2025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L+600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11,869,257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11,862,413</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10,919,716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Smile Brands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10/14/2024</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5.42%</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L+450</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11,119,063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10,982,271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11,174,658</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Snak Club,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07/19/2021</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L+550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4,475,195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4,447,964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4,452,819</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Solutionreach,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01/17/2024</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L+575</w:t>
            </w:r>
          </w:p>
        </w:tc>
        <w:tc>
          <w:tcPr>
            <w:tcW w:w="560" w:type="dxa"/>
            <w:vAlign w:val="bottom"/>
          </w:tcPr>
          <w:p>
            <w:pPr>
              <w:jc w:val="right"/>
              <w:spacing w:after="0"/>
              <w:rPr>
                <w:sz w:val="20"/>
                <w:szCs w:val="20"/>
                <w:color w:val="auto"/>
              </w:rPr>
            </w:pPr>
            <w:r>
              <w:rPr>
                <w:rFonts w:ascii="Arial" w:cs="Arial" w:eastAsia="Arial" w:hAnsi="Arial"/>
                <w:sz w:val="11"/>
                <w:szCs w:val="11"/>
                <w:color w:val="auto"/>
              </w:rPr>
              <w:t>6,181,277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6,133,171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6,181,277</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Spectacle Gary Holdings,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12/23/2025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Hotels, Restaurants and Leisure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11.06%</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L+900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4,400,000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4,528,969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4,796,000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STV Group Incorporated</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12/11/2026</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Construction and Building</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5.36%</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L+525</w:t>
            </w:r>
          </w:p>
        </w:tc>
        <w:tc>
          <w:tcPr>
            <w:tcW w:w="560" w:type="dxa"/>
            <w:vAlign w:val="bottom"/>
          </w:tcPr>
          <w:p>
            <w:pPr>
              <w:jc w:val="right"/>
              <w:spacing w:after="0"/>
              <w:rPr>
                <w:sz w:val="20"/>
                <w:szCs w:val="20"/>
                <w:color w:val="auto"/>
              </w:rPr>
            </w:pPr>
            <w:r>
              <w:rPr>
                <w:rFonts w:ascii="Arial" w:cs="Arial" w:eastAsia="Arial" w:hAnsi="Arial"/>
                <w:sz w:val="11"/>
                <w:szCs w:val="11"/>
                <w:color w:val="auto"/>
              </w:rPr>
              <w:t>7,643,027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7,618,395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7,299,091</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TAC LifePort Purchaser,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03/01/2026</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L+600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4,902,105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4,919,898</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TeleGuam Holdings, LLC</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11/20/2025</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Telecommunications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L+450</w:t>
            </w:r>
          </w:p>
        </w:tc>
        <w:tc>
          <w:tcPr>
            <w:tcW w:w="560" w:type="dxa"/>
            <w:vAlign w:val="bottom"/>
          </w:tcPr>
          <w:p>
            <w:pPr>
              <w:jc w:val="right"/>
              <w:spacing w:after="0"/>
              <w:rPr>
                <w:sz w:val="20"/>
                <w:szCs w:val="20"/>
                <w:color w:val="auto"/>
              </w:rPr>
            </w:pPr>
            <w:r>
              <w:rPr>
                <w:rFonts w:ascii="Arial" w:cs="Arial" w:eastAsia="Arial" w:hAnsi="Arial"/>
                <w:sz w:val="11"/>
                <w:szCs w:val="11"/>
                <w:color w:val="auto"/>
              </w:rPr>
              <w:t>7,977,748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7,916,462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7,897,970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Teneo Holdings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07/18/2025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L+525</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5,735,443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5,652,325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5,719,671</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The Aegis Technologies Group,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10/31/2025</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L+550</w:t>
            </w:r>
          </w:p>
        </w:tc>
        <w:tc>
          <w:tcPr>
            <w:tcW w:w="560" w:type="dxa"/>
            <w:vAlign w:val="bottom"/>
          </w:tcPr>
          <w:p>
            <w:pPr>
              <w:jc w:val="right"/>
              <w:spacing w:after="0"/>
              <w:rPr>
                <w:sz w:val="20"/>
                <w:szCs w:val="20"/>
                <w:color w:val="auto"/>
              </w:rPr>
            </w:pPr>
            <w:r>
              <w:rPr>
                <w:rFonts w:ascii="Arial" w:cs="Arial" w:eastAsia="Arial" w:hAnsi="Arial"/>
                <w:sz w:val="11"/>
                <w:szCs w:val="11"/>
                <w:color w:val="auto"/>
              </w:rPr>
              <w:t>5,735,625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5,652,172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5,678,269</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The Infosoft Group,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09/16/2024</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Media: Broadcasting and Subscription</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6M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L+575</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9,331,350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9,323,057</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9,331,350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The Original Cakerie, Co.</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07/20/22</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Food Products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6.00%</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2M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L+500</w:t>
            </w:r>
          </w:p>
        </w:tc>
        <w:tc>
          <w:tcPr>
            <w:tcW w:w="560" w:type="dxa"/>
            <w:vAlign w:val="bottom"/>
          </w:tcPr>
          <w:p>
            <w:pPr>
              <w:jc w:val="right"/>
              <w:spacing w:after="0"/>
              <w:rPr>
                <w:sz w:val="20"/>
                <w:szCs w:val="20"/>
                <w:color w:val="auto"/>
              </w:rPr>
            </w:pPr>
            <w:r>
              <w:rPr>
                <w:rFonts w:ascii="Arial" w:cs="Arial" w:eastAsia="Arial" w:hAnsi="Arial"/>
                <w:sz w:val="11"/>
                <w:szCs w:val="11"/>
                <w:color w:val="auto"/>
              </w:rPr>
              <w:t>5,735,219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5,709,621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5,735,219</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TPC Canada Parent, Inc. and TPC US Parent, LLC</w:t>
            </w:r>
          </w:p>
        </w:tc>
        <w:tc>
          <w:tcPr>
            <w:tcW w:w="78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11/24/2025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L+525</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8,879,066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8,680,367</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8,612,694</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TVC Enterprises,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01/18/2024</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L+575</w:t>
            </w:r>
          </w:p>
        </w:tc>
        <w:tc>
          <w:tcPr>
            <w:tcW w:w="560" w:type="dxa"/>
            <w:vAlign w:val="bottom"/>
          </w:tcPr>
          <w:p>
            <w:pPr>
              <w:jc w:val="right"/>
              <w:spacing w:after="0"/>
              <w:rPr>
                <w:sz w:val="20"/>
                <w:szCs w:val="20"/>
                <w:color w:val="auto"/>
              </w:rPr>
            </w:pPr>
            <w:r>
              <w:rPr>
                <w:rFonts w:ascii="Arial" w:cs="Arial" w:eastAsia="Arial" w:hAnsi="Arial"/>
                <w:sz w:val="11"/>
                <w:szCs w:val="11"/>
                <w:color w:val="auto"/>
              </w:rPr>
              <w:t>8,601,287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8,643,688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8,515,274</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TWS Acquisition Corporation</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06/16/2025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7.25%</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L+625</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6,636,062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6,594,117</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6,636,062</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Tyto Athene,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08/27/2024</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IT Services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L+525</w:t>
            </w:r>
          </w:p>
        </w:tc>
        <w:tc>
          <w:tcPr>
            <w:tcW w:w="560" w:type="dxa"/>
            <w:vAlign w:val="bottom"/>
          </w:tcPr>
          <w:p>
            <w:pPr>
              <w:jc w:val="right"/>
              <w:spacing w:after="0"/>
              <w:rPr>
                <w:sz w:val="20"/>
                <w:szCs w:val="20"/>
                <w:color w:val="auto"/>
              </w:rPr>
            </w:pPr>
            <w:r>
              <w:rPr>
                <w:rFonts w:ascii="Arial" w:cs="Arial" w:eastAsia="Arial" w:hAnsi="Arial"/>
                <w:sz w:val="11"/>
                <w:szCs w:val="11"/>
                <w:color w:val="auto"/>
              </w:rPr>
              <w:t>5,750,000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5,750,000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5,750,000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UBEO,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04/03/2024</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L+450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21,911,825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21,750,856</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21,747,486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Urology Management Associates,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08/30/2024</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6.00%</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L+500</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11,405,118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11,189,157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11,262,554</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Whitney, Bradley &amp; Brown,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10/18/2022</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8.50%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L+750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5,049,742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5,026,778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5,100,240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color w:val="auto"/>
              </w:rPr>
              <w:t>Wildcat Buyerco, Inc.</w:t>
            </w:r>
          </w:p>
        </w:tc>
        <w:tc>
          <w:tcPr>
            <w:tcW w:w="780" w:type="dxa"/>
            <w:vAlign w:val="bottom"/>
            <w:tcBorders>
              <w:bottom w:val="single" w:sz="8" w:color="CCECFF"/>
            </w:tcBorders>
            <w:gridSpan w:val="2"/>
          </w:tcPr>
          <w:p>
            <w:pPr>
              <w:jc w:val="center"/>
              <w:ind w:left="66"/>
              <w:spacing w:after="0"/>
              <w:rPr>
                <w:sz w:val="20"/>
                <w:szCs w:val="20"/>
                <w:color w:val="auto"/>
              </w:rPr>
            </w:pPr>
            <w:r>
              <w:rPr>
                <w:rFonts w:ascii="Arial" w:cs="Arial" w:eastAsia="Arial" w:hAnsi="Arial"/>
                <w:sz w:val="11"/>
                <w:szCs w:val="11"/>
                <w:color w:val="auto"/>
                <w:w w:val="90"/>
              </w:rPr>
              <w:t>02/27/2026</w:t>
            </w:r>
          </w:p>
        </w:tc>
        <w:tc>
          <w:tcPr>
            <w:tcW w:w="120" w:type="dxa"/>
            <w:vAlign w:val="bottom"/>
            <w:tcBorders>
              <w:bottom w:val="single" w:sz="8" w:color="CCECFF"/>
            </w:tcBorders>
          </w:tcPr>
          <w:p>
            <w:pPr>
              <w:spacing w:after="0"/>
              <w:rPr>
                <w:sz w:val="11"/>
                <w:szCs w:val="11"/>
                <w:color w:val="auto"/>
              </w:rPr>
            </w:pPr>
          </w:p>
        </w:tc>
        <w:tc>
          <w:tcPr>
            <w:tcW w:w="268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89"/>
              </w:rPr>
              <w:t>Electronic Equipment, Instruments, and Components</w:t>
            </w:r>
          </w:p>
        </w:tc>
        <w:tc>
          <w:tcPr>
            <w:tcW w:w="820" w:type="dxa"/>
            <w:vAlign w:val="bottom"/>
            <w:tcBorders>
              <w:bottom w:val="single" w:sz="8" w:color="CCECFF"/>
            </w:tcBorders>
            <w:gridSpan w:val="2"/>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tcBorders>
              <w:bottom w:val="single" w:sz="8" w:color="CCECFF"/>
            </w:tcBorders>
          </w:tcPr>
          <w:p>
            <w:pPr>
              <w:spacing w:after="0"/>
              <w:rPr>
                <w:sz w:val="11"/>
                <w:szCs w:val="11"/>
                <w:color w:val="auto"/>
              </w:rPr>
            </w:pPr>
          </w:p>
        </w:tc>
        <w:tc>
          <w:tcPr>
            <w:tcW w:w="480" w:type="dxa"/>
            <w:vAlign w:val="bottom"/>
            <w:tcBorders>
              <w:bottom w:val="single" w:sz="8" w:color="CCECFF"/>
            </w:tcBorders>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tcBorders>
              <w:bottom w:val="single" w:sz="8" w:color="CCECFF"/>
            </w:tcBorders>
            <w:gridSpan w:val="3"/>
          </w:tcPr>
          <w:p>
            <w:pPr>
              <w:jc w:val="right"/>
              <w:ind w:right="280"/>
              <w:spacing w:after="0"/>
              <w:rPr>
                <w:sz w:val="20"/>
                <w:szCs w:val="20"/>
                <w:color w:val="auto"/>
              </w:rPr>
            </w:pPr>
            <w:r>
              <w:rPr>
                <w:rFonts w:ascii="Arial" w:cs="Arial" w:eastAsia="Arial" w:hAnsi="Arial"/>
                <w:sz w:val="11"/>
                <w:szCs w:val="11"/>
                <w:color w:val="auto"/>
                <w:w w:val="90"/>
              </w:rPr>
              <w:t>L+525</w:t>
            </w:r>
          </w:p>
        </w:tc>
        <w:tc>
          <w:tcPr>
            <w:tcW w:w="56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5,735,516</w:t>
            </w: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5,680,359</w:t>
            </w: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5,706,837</w:t>
            </w:r>
          </w:p>
        </w:tc>
        <w:tc>
          <w:tcPr>
            <w:tcW w:w="120" w:type="dxa"/>
            <w:vAlign w:val="bottom"/>
            <w:tcBorders>
              <w:bottom w:val="single" w:sz="8" w:color="CCECFF"/>
            </w:tcBorders>
          </w:tcPr>
          <w:p>
            <w:pPr>
              <w:spacing w:after="0"/>
              <w:rPr>
                <w:sz w:val="11"/>
                <w:szCs w:val="11"/>
                <w:color w:val="auto"/>
              </w:rPr>
            </w:pPr>
          </w:p>
        </w:tc>
      </w:tr>
      <w:tr>
        <w:trPr>
          <w:trHeight w:val="129"/>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First Lien Secured Debt</w:t>
            </w: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1"/>
              </w:rPr>
              <w:t>476,076,390</w:t>
            </w:r>
          </w:p>
        </w:tc>
        <w:tc>
          <w:tcPr>
            <w:tcW w:w="220" w:type="dxa"/>
            <w:vAlign w:val="bottom"/>
            <w:shd w:val="clear" w:color="auto" w:fill="CCECFF"/>
          </w:tcPr>
          <w:p>
            <w:pPr>
              <w:spacing w:after="0"/>
              <w:rPr>
                <w:sz w:val="11"/>
                <w:szCs w:val="11"/>
                <w:color w:val="auto"/>
              </w:rPr>
            </w:pPr>
          </w:p>
        </w:tc>
        <w:tc>
          <w:tcPr>
            <w:tcW w:w="12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1"/>
              </w:rPr>
              <w:t>471,902,667</w:t>
            </w:r>
          </w:p>
        </w:tc>
        <w:tc>
          <w:tcPr>
            <w:tcW w:w="120" w:type="dxa"/>
            <w:vAlign w:val="bottom"/>
            <w:shd w:val="clear" w:color="auto" w:fill="CCECFF"/>
          </w:tcPr>
          <w:p>
            <w:pPr>
              <w:spacing w:after="0"/>
              <w:rPr>
                <w:sz w:val="11"/>
                <w:szCs w:val="11"/>
                <w:color w:val="auto"/>
              </w:rPr>
            </w:pPr>
          </w:p>
        </w:tc>
      </w:tr>
      <w:tr>
        <w:trPr>
          <w:trHeight w:val="34"/>
        </w:trPr>
        <w:tc>
          <w:tcPr>
            <w:tcW w:w="212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4"/>
          <w:szCs w:val="14"/>
          <w:color w:val="auto"/>
        </w:rPr>
        <w:t>P</w:t>
      </w:r>
      <w:r>
        <w:rPr>
          <w:rFonts w:ascii="Arial" w:cs="Arial" w:eastAsia="Arial" w:hAnsi="Arial"/>
          <w:sz w:val="14"/>
          <w:szCs w:val="14"/>
          <w:b w:val="1"/>
          <w:bCs w:val="1"/>
          <w:color w:val="auto"/>
        </w:rPr>
        <w:t>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120" w:type="dxa"/>
            <w:vAlign w:val="bottom"/>
            <w:tcBorders>
              <w:top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Basis Point</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1"/>
              </w:rPr>
              <w:t>Spread</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9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Above</w:t>
            </w: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rPr>
              <w:t>Par /</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00" w:type="dxa"/>
            <w:vAlign w:val="bottom"/>
            <w:gridSpan w:val="3"/>
          </w:tcPr>
          <w:p>
            <w:pPr>
              <w:spacing w:after="0"/>
              <w:rPr>
                <w:sz w:val="20"/>
                <w:szCs w:val="20"/>
                <w:color w:val="auto"/>
              </w:rPr>
            </w:pPr>
            <w:r>
              <w:rPr>
                <w:rFonts w:ascii="Arial" w:cs="Arial" w:eastAsia="Arial" w:hAnsi="Arial"/>
                <w:sz w:val="11"/>
                <w:szCs w:val="11"/>
                <w:b w:val="1"/>
                <w:bCs w:val="1"/>
                <w:color w:val="auto"/>
              </w:rPr>
              <w:t>Issuer Name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Maturity</w:t>
            </w: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Industry</w:t>
            </w:r>
          </w:p>
        </w:tc>
        <w:tc>
          <w:tcPr>
            <w:tcW w:w="96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Coupon</w:t>
            </w:r>
          </w:p>
        </w:tc>
        <w:tc>
          <w:tcPr>
            <w:tcW w:w="9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9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7"/>
              </w:rPr>
              <w:t>Shares</w:t>
            </w:r>
          </w:p>
        </w:tc>
        <w:tc>
          <w:tcPr>
            <w:tcW w:w="100" w:type="dxa"/>
            <w:vAlign w:val="bottom"/>
          </w:tcPr>
          <w:p>
            <w:pPr>
              <w:spacing w:after="0"/>
              <w:rPr>
                <w:sz w:val="11"/>
                <w:szCs w:val="11"/>
                <w:color w:val="auto"/>
              </w:rPr>
            </w:pPr>
          </w:p>
        </w:tc>
        <w:tc>
          <w:tcPr>
            <w:tcW w:w="600" w:type="dxa"/>
            <w:vAlign w:val="bottom"/>
          </w:tcPr>
          <w:p>
            <w:pPr>
              <w:jc w:val="right"/>
              <w:ind w:right="20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11"/>
                <w:szCs w:val="11"/>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w w:val="98"/>
              </w:rPr>
              <w:t xml:space="preserve">Fair Value </w:t>
            </w:r>
            <w:r>
              <w:rPr>
                <w:rFonts w:ascii="Arial" w:cs="Arial" w:eastAsia="Arial" w:hAnsi="Arial"/>
                <w:sz w:val="9"/>
                <w:szCs w:val="9"/>
                <w:b w:val="1"/>
                <w:bCs w:val="1"/>
                <w:color w:val="auto"/>
                <w:w w:val="98"/>
              </w:rPr>
              <w:t>(2)</w:t>
            </w:r>
          </w:p>
        </w:tc>
        <w:tc>
          <w:tcPr>
            <w:tcW w:w="0" w:type="dxa"/>
            <w:vAlign w:val="bottom"/>
          </w:tcPr>
          <w:p>
            <w:pPr>
              <w:spacing w:after="0"/>
              <w:rPr>
                <w:sz w:val="1"/>
                <w:szCs w:val="1"/>
                <w:color w:val="auto"/>
              </w:rPr>
            </w:pPr>
          </w:p>
        </w:tc>
      </w:tr>
      <w:tr>
        <w:trPr>
          <w:trHeight w:val="128"/>
        </w:trPr>
        <w:tc>
          <w:tcPr>
            <w:tcW w:w="3080" w:type="dxa"/>
            <w:vAlign w:val="bottom"/>
            <w:tcBorders>
              <w:top w:val="single" w:sz="8" w:color="auto"/>
            </w:tcBorders>
            <w:gridSpan w:val="2"/>
          </w:tcPr>
          <w:p>
            <w:pPr>
              <w:spacing w:after="0"/>
              <w:rPr>
                <w:sz w:val="20"/>
                <w:szCs w:val="20"/>
                <w:color w:val="auto"/>
              </w:rPr>
            </w:pPr>
            <w:r>
              <w:rPr>
                <w:rFonts w:ascii="Arial" w:cs="Arial" w:eastAsia="Arial" w:hAnsi="Arial"/>
                <w:sz w:val="11"/>
                <w:szCs w:val="11"/>
                <w:b w:val="1"/>
                <w:bCs w:val="1"/>
                <w:color w:val="auto"/>
              </w:rPr>
              <w:t>Second Lien Secured Debt—16.7%</w:t>
            </w:r>
          </w:p>
        </w:tc>
        <w:tc>
          <w:tcPr>
            <w:tcW w:w="1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Country Fresh Holdings, LLC</w:t>
            </w:r>
          </w:p>
        </w:tc>
        <w:tc>
          <w:tcPr>
            <w:tcW w:w="540" w:type="dxa"/>
            <w:vAlign w:val="bottom"/>
            <w:shd w:val="clear" w:color="auto" w:fill="CCECFF"/>
          </w:tcPr>
          <w:p>
            <w:pPr>
              <w:ind w:left="20"/>
              <w:spacing w:after="0"/>
              <w:rPr>
                <w:sz w:val="20"/>
                <w:szCs w:val="20"/>
                <w:color w:val="auto"/>
              </w:rPr>
            </w:pPr>
            <w:r>
              <w:rPr>
                <w:rFonts w:ascii="Arial" w:cs="Arial" w:eastAsia="Arial" w:hAnsi="Arial"/>
                <w:sz w:val="11"/>
                <w:szCs w:val="11"/>
                <w:color w:val="auto"/>
                <w:w w:val="90"/>
              </w:rPr>
              <w:t>04/29/2024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5"/>
              </w:rPr>
              <w:t>Beverage, Food and Tobacco</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 xml:space="preserve">0.00% </w:t>
            </w:r>
            <w:r>
              <w:rPr>
                <w:rFonts w:ascii="Arial" w:cs="Arial" w:eastAsia="Arial" w:hAnsi="Arial"/>
                <w:sz w:val="9"/>
                <w:szCs w:val="9"/>
                <w:color w:val="auto"/>
              </w:rPr>
              <w:t>(5)</w:t>
            </w:r>
          </w:p>
        </w:tc>
        <w:tc>
          <w:tcPr>
            <w:tcW w:w="940" w:type="dxa"/>
            <w:vAlign w:val="bottom"/>
            <w:gridSpan w:val="2"/>
            <w:shd w:val="clear" w:color="auto" w:fill="CCECFF"/>
          </w:tcPr>
          <w:p>
            <w:pPr>
              <w:ind w:left="58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1,013,316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977,408</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3200" w:type="dxa"/>
            <w:vAlign w:val="bottom"/>
            <w:gridSpan w:val="3"/>
          </w:tcPr>
          <w:p>
            <w:pPr>
              <w:spacing w:after="0"/>
              <w:rPr>
                <w:sz w:val="20"/>
                <w:szCs w:val="20"/>
                <w:color w:val="auto"/>
              </w:rPr>
            </w:pPr>
            <w:r>
              <w:rPr>
                <w:rFonts w:ascii="Arial" w:cs="Arial" w:eastAsia="Arial" w:hAnsi="Arial"/>
                <w:sz w:val="11"/>
                <w:szCs w:val="11"/>
                <w:color w:val="auto"/>
              </w:rPr>
              <w:t>DBI Holding, LLC, Term Loan B</w:t>
            </w:r>
          </w:p>
        </w:tc>
        <w:tc>
          <w:tcPr>
            <w:tcW w:w="540" w:type="dxa"/>
            <w:vAlign w:val="bottom"/>
          </w:tcPr>
          <w:p>
            <w:pPr>
              <w:ind w:left="20"/>
              <w:spacing w:after="0"/>
              <w:rPr>
                <w:sz w:val="20"/>
                <w:szCs w:val="20"/>
                <w:color w:val="auto"/>
              </w:rPr>
            </w:pPr>
            <w:r>
              <w:rPr>
                <w:rFonts w:ascii="Arial" w:cs="Arial" w:eastAsia="Arial" w:hAnsi="Arial"/>
                <w:sz w:val="11"/>
                <w:szCs w:val="11"/>
                <w:color w:val="auto"/>
                <w:w w:val="90"/>
              </w:rPr>
              <w:t>03/26/2021</w:t>
            </w:r>
          </w:p>
        </w:tc>
        <w:tc>
          <w:tcPr>
            <w:tcW w:w="220" w:type="dxa"/>
            <w:vAlign w:val="bottom"/>
          </w:tcPr>
          <w:p>
            <w:pPr>
              <w:spacing w:after="0"/>
              <w:rPr>
                <w:sz w:val="12"/>
                <w:szCs w:val="12"/>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9.00%</w:t>
            </w:r>
          </w:p>
        </w:tc>
        <w:tc>
          <w:tcPr>
            <w:tcW w:w="94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8,672,665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8,672,664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8,672,665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120" w:type="dxa"/>
            <w:vAlign w:val="bottom"/>
            <w:tcBorders>
              <w:bottom w:val="single" w:sz="8" w:color="CCECFF"/>
            </w:tcBorders>
          </w:tcPr>
          <w:p>
            <w:pPr>
              <w:spacing w:after="0"/>
              <w:rPr>
                <w:sz w:val="11"/>
                <w:szCs w:val="11"/>
                <w:color w:val="auto"/>
              </w:rPr>
            </w:pPr>
          </w:p>
        </w:tc>
        <w:tc>
          <w:tcPr>
            <w:tcW w:w="9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5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96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1"/>
                <w:szCs w:val="11"/>
                <w:color w:val="auto"/>
              </w:rPr>
              <w:t>(PIK 9.00%)</w:t>
            </w:r>
          </w:p>
        </w:tc>
        <w:tc>
          <w:tcPr>
            <w:tcW w:w="7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Total Second Lien Secured Debt</w:t>
            </w: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9,650,072</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8,672,665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0" w:type="dxa"/>
            <w:vAlign w:val="bottom"/>
            <w:gridSpan w:val="3"/>
          </w:tcPr>
          <w:p>
            <w:pPr>
              <w:spacing w:after="0"/>
              <w:rPr>
                <w:sz w:val="20"/>
                <w:szCs w:val="20"/>
                <w:color w:val="auto"/>
              </w:rPr>
            </w:pPr>
            <w:r>
              <w:rPr>
                <w:rFonts w:ascii="Arial" w:cs="Arial" w:eastAsia="Arial" w:hAnsi="Arial"/>
                <w:sz w:val="11"/>
                <w:szCs w:val="11"/>
                <w:b w:val="1"/>
                <w:bCs w:val="1"/>
                <w:color w:val="auto"/>
              </w:rPr>
              <w:t>Equity Securities—8.7%</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Country Fresh Holding Company Inc.</w:t>
            </w: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5"/>
              </w:rPr>
              <w:t>Beverage, Food and Tobacco</w:t>
            </w:r>
          </w:p>
        </w:tc>
        <w:tc>
          <w:tcPr>
            <w:tcW w:w="7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5,034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5,034,310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4,542,160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tcPr>
          <w:p>
            <w:pPr>
              <w:spacing w:after="0"/>
              <w:rPr>
                <w:sz w:val="20"/>
                <w:szCs w:val="20"/>
                <w:color w:val="auto"/>
              </w:rPr>
            </w:pPr>
            <w:r>
              <w:rPr>
                <w:rFonts w:ascii="Arial" w:cs="Arial" w:eastAsia="Arial" w:hAnsi="Arial"/>
                <w:sz w:val="11"/>
                <w:szCs w:val="11"/>
                <w:color w:val="auto"/>
              </w:rPr>
              <w:t>DBI Holding, LLC, Series A-1</w:t>
            </w: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13.00%</w:t>
            </w:r>
          </w:p>
        </w:tc>
        <w:tc>
          <w:tcPr>
            <w:tcW w:w="94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1,317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1,713,106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20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DBI Holding, LLC, Series B</w:t>
            </w: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CFF"/>
          </w:tcPr>
          <w:p>
            <w:pPr>
              <w:ind w:left="58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1,065,021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236,521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200" w:type="dxa"/>
            <w:vAlign w:val="bottom"/>
            <w:gridSpan w:val="3"/>
          </w:tcPr>
          <w:p>
            <w:pPr>
              <w:spacing w:after="0"/>
              <w:rPr>
                <w:sz w:val="20"/>
                <w:szCs w:val="20"/>
                <w:color w:val="auto"/>
              </w:rPr>
            </w:pPr>
            <w:r>
              <w:rPr>
                <w:rFonts w:ascii="Arial" w:cs="Arial" w:eastAsia="Arial" w:hAnsi="Arial"/>
                <w:sz w:val="11"/>
                <w:szCs w:val="11"/>
                <w:color w:val="auto"/>
              </w:rPr>
              <w:t>New MPE Holdings, LLC</w:t>
            </w: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92"/>
              </w:rPr>
              <w:t>Media: Diversified and Production</w:t>
            </w: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4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47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3200" w:type="dxa"/>
            <w:vAlign w:val="bottom"/>
            <w:tcBorders>
              <w:top w:val="single" w:sz="8" w:color="CCECFF"/>
            </w:tcBorders>
            <w:gridSpan w:val="3"/>
            <w:shd w:val="clear" w:color="auto" w:fill="CCECFF"/>
          </w:tcPr>
          <w:p>
            <w:pPr>
              <w:spacing w:after="0"/>
              <w:rPr>
                <w:sz w:val="20"/>
                <w:szCs w:val="20"/>
                <w:color w:val="auto"/>
              </w:rPr>
            </w:pPr>
            <w:r>
              <w:rPr>
                <w:rFonts w:ascii="Arial" w:cs="Arial" w:eastAsia="Arial" w:hAnsi="Arial"/>
                <w:sz w:val="11"/>
                <w:szCs w:val="11"/>
                <w:b w:val="1"/>
                <w:bCs w:val="1"/>
                <w:color w:val="auto"/>
              </w:rPr>
              <w:t>Total Equity Securities</w:t>
            </w:r>
          </w:p>
        </w:tc>
        <w:tc>
          <w:tcPr>
            <w:tcW w:w="54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256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70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70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bottom w:val="single" w:sz="8" w:color="auto"/>
            </w:tcBorders>
            <w:shd w:val="clear" w:color="auto" w:fill="CCECFF"/>
          </w:tcPr>
          <w:p>
            <w:pPr>
              <w:spacing w:after="0"/>
              <w:rPr>
                <w:sz w:val="11"/>
                <w:szCs w:val="11"/>
                <w:color w:val="auto"/>
              </w:rPr>
            </w:pPr>
          </w:p>
        </w:tc>
        <w:tc>
          <w:tcPr>
            <w:tcW w:w="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6,983,937</w:t>
            </w: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bottom w:val="single" w:sz="8" w:color="auto"/>
            </w:tcBorders>
            <w:shd w:val="clear" w:color="auto" w:fill="CCECFF"/>
          </w:tcPr>
          <w:p>
            <w:pPr>
              <w:spacing w:after="0"/>
              <w:rPr>
                <w:sz w:val="11"/>
                <w:szCs w:val="11"/>
                <w:color w:val="auto"/>
              </w:rPr>
            </w:pPr>
          </w:p>
        </w:tc>
        <w:tc>
          <w:tcPr>
            <w:tcW w:w="6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4,542,160</w:t>
            </w:r>
          </w:p>
        </w:tc>
        <w:tc>
          <w:tcPr>
            <w:tcW w:w="12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b w:val="1"/>
                <w:bCs w:val="1"/>
                <w:color w:val="auto"/>
              </w:rPr>
              <w:t>Total Investments—932.2.8%</w:t>
            </w: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5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1"/>
              </w:rPr>
              <w:t>492,710,399</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8"/>
              </w:rPr>
              <w:t>485,117,492</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0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Cash and Cash Equivalents—84.1%</w:t>
            </w: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tcPr>
          <w:p>
            <w:pPr>
              <w:spacing w:after="0"/>
              <w:rPr>
                <w:sz w:val="20"/>
                <w:szCs w:val="20"/>
                <w:color w:val="auto"/>
              </w:rPr>
            </w:pPr>
            <w:r>
              <w:rPr>
                <w:rFonts w:ascii="Arial" w:cs="Arial" w:eastAsia="Arial" w:hAnsi="Arial"/>
                <w:sz w:val="11"/>
                <w:szCs w:val="11"/>
                <w:color w:val="auto"/>
              </w:rPr>
              <w:t>BlackRock Federal FD Institutional 30</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17,622,205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17,622,205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US Bank Cash</w:t>
            </w: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26,110,389</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26,108,972</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b w:val="1"/>
                <w:bCs w:val="1"/>
                <w:color w:val="auto"/>
              </w:rPr>
              <w:t>Total Cash and Cash Equivalents</w:t>
            </w: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5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43,732,594</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43,731,177</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0" w:type="dxa"/>
            <w:vAlign w:val="bottom"/>
            <w:tcBorders>
              <w:bottom w:val="single" w:sz="8" w:color="CCECFF"/>
            </w:tcBorders>
            <w:gridSpan w:val="3"/>
            <w:shd w:val="clear" w:color="auto" w:fill="CCECFF"/>
          </w:tcPr>
          <w:p>
            <w:pPr>
              <w:spacing w:after="0"/>
              <w:rPr>
                <w:sz w:val="20"/>
                <w:szCs w:val="20"/>
                <w:color w:val="auto"/>
              </w:rPr>
            </w:pPr>
            <w:r>
              <w:rPr>
                <w:rFonts w:ascii="Arial" w:cs="Arial" w:eastAsia="Arial" w:hAnsi="Arial"/>
                <w:sz w:val="11"/>
                <w:szCs w:val="11"/>
                <w:b w:val="1"/>
                <w:bCs w:val="1"/>
                <w:color w:val="auto"/>
              </w:rPr>
              <w:t>Total Investments and Cash Equivalents—1,016.9%</w:t>
            </w:r>
          </w:p>
        </w:tc>
        <w:tc>
          <w:tcPr>
            <w:tcW w:w="5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25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1"/>
              </w:rPr>
              <w:t>536,442,993</w:t>
            </w:r>
          </w:p>
        </w:tc>
        <w:tc>
          <w:tcPr>
            <w:tcW w:w="22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8"/>
              </w:rPr>
              <w:t>528,848,669</w:t>
            </w:r>
          </w:p>
        </w:tc>
        <w:tc>
          <w:tcPr>
            <w:tcW w:w="12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Liabilities in Excess of Other Assets—(916.9)%</w:t>
            </w: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200" w:type="dxa"/>
            <w:vAlign w:val="bottom"/>
            <w:gridSpan w:val="3"/>
            <w:vMerge w:val="continue"/>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80"/>
              <w:spacing w:after="0" w:line="116" w:lineRule="exact"/>
              <w:rPr>
                <w:sz w:val="20"/>
                <w:szCs w:val="20"/>
                <w:color w:val="auto"/>
              </w:rPr>
            </w:pPr>
            <w:r>
              <w:rPr>
                <w:rFonts w:ascii="Arial" w:cs="Arial" w:eastAsia="Arial" w:hAnsi="Arial"/>
                <w:sz w:val="11"/>
                <w:szCs w:val="11"/>
                <w:color w:val="auto"/>
                <w:w w:val="96"/>
              </w:rPr>
              <w:t>(476,842,569)</w:t>
            </w:r>
          </w:p>
        </w:tc>
        <w:tc>
          <w:tcPr>
            <w:tcW w:w="0" w:type="dxa"/>
            <w:vAlign w:val="bottom"/>
          </w:tcPr>
          <w:p>
            <w:pPr>
              <w:spacing w:after="0"/>
              <w:rPr>
                <w:sz w:val="1"/>
                <w:szCs w:val="1"/>
                <w:color w:val="auto"/>
              </w:rPr>
            </w:pPr>
          </w:p>
        </w:tc>
      </w:tr>
      <w:tr>
        <w:trPr>
          <w:trHeight w:val="128"/>
        </w:trPr>
        <w:tc>
          <w:tcPr>
            <w:tcW w:w="3200" w:type="dxa"/>
            <w:vAlign w:val="bottom"/>
            <w:tcBorders>
              <w:top w:val="single" w:sz="8" w:color="CCECFF"/>
              <w:bottom w:val="single" w:sz="8" w:color="CCECFF"/>
            </w:tcBorders>
            <w:gridSpan w:val="3"/>
            <w:shd w:val="clear" w:color="auto" w:fill="CCECFF"/>
          </w:tcPr>
          <w:p>
            <w:pPr>
              <w:spacing w:after="0"/>
              <w:rPr>
                <w:sz w:val="20"/>
                <w:szCs w:val="20"/>
                <w:color w:val="auto"/>
              </w:rPr>
            </w:pPr>
            <w:r>
              <w:rPr>
                <w:rFonts w:ascii="Arial" w:cs="Arial" w:eastAsia="Arial" w:hAnsi="Arial"/>
                <w:sz w:val="11"/>
                <w:szCs w:val="11"/>
                <w:b w:val="1"/>
                <w:bCs w:val="1"/>
                <w:color w:val="auto"/>
              </w:rPr>
              <w:t>Members' Equity—100.0%</w:t>
            </w:r>
          </w:p>
        </w:tc>
        <w:tc>
          <w:tcPr>
            <w:tcW w:w="540" w:type="dxa"/>
            <w:vAlign w:val="bottom"/>
            <w:tcBorders>
              <w:top w:val="single" w:sz="8" w:color="CCECFF"/>
              <w:bottom w:val="single" w:sz="8" w:color="CCECFF"/>
            </w:tcBorders>
            <w:shd w:val="clear" w:color="auto" w:fill="CCECFF"/>
          </w:tcPr>
          <w:p>
            <w:pPr>
              <w:spacing w:after="0"/>
              <w:rPr>
                <w:sz w:val="11"/>
                <w:szCs w:val="11"/>
                <w:color w:val="auto"/>
              </w:rPr>
            </w:pPr>
          </w:p>
        </w:tc>
        <w:tc>
          <w:tcPr>
            <w:tcW w:w="220" w:type="dxa"/>
            <w:vAlign w:val="bottom"/>
            <w:tcBorders>
              <w:top w:val="single" w:sz="8" w:color="CCECFF"/>
              <w:bottom w:val="single" w:sz="8" w:color="CCECFF"/>
            </w:tcBorders>
            <w:shd w:val="clear" w:color="auto" w:fill="CCECFF"/>
          </w:tcPr>
          <w:p>
            <w:pPr>
              <w:spacing w:after="0"/>
              <w:rPr>
                <w:sz w:val="11"/>
                <w:szCs w:val="11"/>
                <w:color w:val="auto"/>
              </w:rPr>
            </w:pPr>
          </w:p>
        </w:tc>
        <w:tc>
          <w:tcPr>
            <w:tcW w:w="2560" w:type="dxa"/>
            <w:vAlign w:val="bottom"/>
            <w:tcBorders>
              <w:top w:val="single" w:sz="8" w:color="CCECFF"/>
              <w:bottom w:val="single" w:sz="8" w:color="CCECFF"/>
            </w:tcBorders>
            <w:shd w:val="clear" w:color="auto" w:fill="CCECFF"/>
          </w:tcPr>
          <w:p>
            <w:pPr>
              <w:spacing w:after="0"/>
              <w:rPr>
                <w:sz w:val="11"/>
                <w:szCs w:val="11"/>
                <w:color w:val="auto"/>
              </w:rPr>
            </w:pPr>
          </w:p>
        </w:tc>
        <w:tc>
          <w:tcPr>
            <w:tcW w:w="120" w:type="dxa"/>
            <w:vAlign w:val="bottom"/>
            <w:tcBorders>
              <w:top w:val="single" w:sz="8" w:color="CCECFF"/>
              <w:bottom w:val="single" w:sz="8" w:color="CCECFF"/>
            </w:tcBorders>
            <w:shd w:val="clear" w:color="auto" w:fill="CCECFF"/>
          </w:tcPr>
          <w:p>
            <w:pPr>
              <w:spacing w:after="0"/>
              <w:rPr>
                <w:sz w:val="11"/>
                <w:szCs w:val="11"/>
                <w:color w:val="auto"/>
              </w:rPr>
            </w:pPr>
          </w:p>
        </w:tc>
        <w:tc>
          <w:tcPr>
            <w:tcW w:w="700" w:type="dxa"/>
            <w:vAlign w:val="bottom"/>
            <w:tcBorders>
              <w:top w:val="single" w:sz="8" w:color="CCECFF"/>
              <w:bottom w:val="single" w:sz="8" w:color="CCECFF"/>
            </w:tcBorders>
            <w:shd w:val="clear" w:color="auto" w:fill="CCECFF"/>
          </w:tcPr>
          <w:p>
            <w:pPr>
              <w:spacing w:after="0"/>
              <w:rPr>
                <w:sz w:val="11"/>
                <w:szCs w:val="11"/>
                <w:color w:val="auto"/>
              </w:rPr>
            </w:pPr>
          </w:p>
        </w:tc>
        <w:tc>
          <w:tcPr>
            <w:tcW w:w="260" w:type="dxa"/>
            <w:vAlign w:val="bottom"/>
            <w:tcBorders>
              <w:top w:val="single" w:sz="8" w:color="CCECFF"/>
              <w:bottom w:val="single" w:sz="8" w:color="CCECFF"/>
            </w:tcBorders>
            <w:shd w:val="clear" w:color="auto" w:fill="CCECFF"/>
          </w:tcPr>
          <w:p>
            <w:pPr>
              <w:spacing w:after="0"/>
              <w:rPr>
                <w:sz w:val="11"/>
                <w:szCs w:val="11"/>
                <w:color w:val="auto"/>
              </w:rPr>
            </w:pPr>
          </w:p>
        </w:tc>
        <w:tc>
          <w:tcPr>
            <w:tcW w:w="700" w:type="dxa"/>
            <w:vAlign w:val="bottom"/>
            <w:tcBorders>
              <w:top w:val="single" w:sz="8" w:color="CCECFF"/>
              <w:bottom w:val="single" w:sz="8" w:color="CCECFF"/>
            </w:tcBorders>
            <w:shd w:val="clear" w:color="auto" w:fill="CCECFF"/>
          </w:tcPr>
          <w:p>
            <w:pPr>
              <w:spacing w:after="0"/>
              <w:rPr>
                <w:sz w:val="11"/>
                <w:szCs w:val="11"/>
                <w:color w:val="auto"/>
              </w:rPr>
            </w:pPr>
          </w:p>
        </w:tc>
        <w:tc>
          <w:tcPr>
            <w:tcW w:w="240" w:type="dxa"/>
            <w:vAlign w:val="bottom"/>
            <w:tcBorders>
              <w:top w:val="single" w:sz="8" w:color="CCECFF"/>
              <w:bottom w:val="single" w:sz="8" w:color="CCECFF"/>
            </w:tcBorders>
            <w:shd w:val="clear" w:color="auto" w:fill="CCECFF"/>
          </w:tcPr>
          <w:p>
            <w:pPr>
              <w:spacing w:after="0"/>
              <w:rPr>
                <w:sz w:val="11"/>
                <w:szCs w:val="11"/>
                <w:color w:val="auto"/>
              </w:rPr>
            </w:pPr>
          </w:p>
        </w:tc>
        <w:tc>
          <w:tcPr>
            <w:tcW w:w="680" w:type="dxa"/>
            <w:vAlign w:val="bottom"/>
            <w:tcBorders>
              <w:top w:val="single" w:sz="8" w:color="CCECFF"/>
              <w:bottom w:val="single" w:sz="8" w:color="CCECFF"/>
            </w:tcBorders>
            <w:shd w:val="clear" w:color="auto" w:fill="CCECFF"/>
          </w:tcPr>
          <w:p>
            <w:pPr>
              <w:spacing w:after="0"/>
              <w:rPr>
                <w:sz w:val="11"/>
                <w:szCs w:val="11"/>
                <w:color w:val="auto"/>
              </w:rPr>
            </w:pPr>
          </w:p>
        </w:tc>
        <w:tc>
          <w:tcPr>
            <w:tcW w:w="240" w:type="dxa"/>
            <w:vAlign w:val="bottom"/>
            <w:tcBorders>
              <w:top w:val="single" w:sz="8" w:color="CCECFF"/>
              <w:bottom w:val="single" w:sz="8" w:color="CCECFF"/>
            </w:tcBorders>
            <w:shd w:val="clear" w:color="auto" w:fill="CCECFF"/>
          </w:tcPr>
          <w:p>
            <w:pPr>
              <w:spacing w:after="0"/>
              <w:rPr>
                <w:sz w:val="11"/>
                <w:szCs w:val="11"/>
                <w:color w:val="auto"/>
              </w:rPr>
            </w:pPr>
          </w:p>
        </w:tc>
        <w:tc>
          <w:tcPr>
            <w:tcW w:w="100" w:type="dxa"/>
            <w:vAlign w:val="bottom"/>
            <w:tcBorders>
              <w:top w:val="single" w:sz="8" w:color="CCECFF"/>
              <w:bottom w:val="single" w:sz="8" w:color="CCECFF"/>
            </w:tcBorders>
            <w:shd w:val="clear" w:color="auto" w:fill="CCECFF"/>
          </w:tcPr>
          <w:p>
            <w:pPr>
              <w:spacing w:after="0"/>
              <w:rPr>
                <w:sz w:val="11"/>
                <w:szCs w:val="11"/>
                <w:color w:val="auto"/>
              </w:rPr>
            </w:pPr>
          </w:p>
        </w:tc>
        <w:tc>
          <w:tcPr>
            <w:tcW w:w="600" w:type="dxa"/>
            <w:vAlign w:val="bottom"/>
            <w:tcBorders>
              <w:top w:val="single" w:sz="8" w:color="CCECFF"/>
              <w:bottom w:val="single" w:sz="8" w:color="CCECFF"/>
            </w:tcBorders>
            <w:shd w:val="clear" w:color="auto" w:fill="CCECFF"/>
          </w:tcPr>
          <w:p>
            <w:pPr>
              <w:spacing w:after="0"/>
              <w:rPr>
                <w:sz w:val="11"/>
                <w:szCs w:val="11"/>
                <w:color w:val="auto"/>
              </w:rPr>
            </w:pPr>
          </w:p>
        </w:tc>
        <w:tc>
          <w:tcPr>
            <w:tcW w:w="220" w:type="dxa"/>
            <w:vAlign w:val="bottom"/>
            <w:tcBorders>
              <w:top w:val="single" w:sz="8" w:color="CCECFF"/>
              <w:bottom w:val="single" w:sz="8" w:color="CCECFF"/>
            </w:tcBorders>
            <w:shd w:val="clear" w:color="auto" w:fill="CCECFF"/>
          </w:tcPr>
          <w:p>
            <w:pPr>
              <w:spacing w:after="0"/>
              <w:rPr>
                <w:sz w:val="11"/>
                <w:szCs w:val="11"/>
                <w:color w:val="auto"/>
              </w:rPr>
            </w:pP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52,006,100</w:t>
            </w:r>
          </w:p>
        </w:tc>
        <w:tc>
          <w:tcPr>
            <w:tcW w:w="120" w:type="dxa"/>
            <w:vAlign w:val="bottom"/>
            <w:tcBorders>
              <w:top w:val="single" w:sz="8" w:color="CCECFF"/>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1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380" w:right="40" w:hanging="372"/>
        <w:spacing w:after="0" w:line="239" w:lineRule="auto"/>
        <w:tabs>
          <w:tab w:leader="none" w:pos="380" w:val="left"/>
        </w:tabs>
        <w:numPr>
          <w:ilvl w:val="0"/>
          <w:numId w:val="7"/>
        </w:numPr>
        <w:rPr>
          <w:rFonts w:ascii="Arial" w:cs="Arial" w:eastAsia="Arial" w:hAnsi="Arial"/>
          <w:sz w:val="9"/>
          <w:szCs w:val="9"/>
          <w:b w:val="1"/>
          <w:bCs w:val="1"/>
          <w:color w:val="auto"/>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27" w:lineRule="exact"/>
        <w:rPr>
          <w:rFonts w:ascii="Arial" w:cs="Arial" w:eastAsia="Arial" w:hAnsi="Arial"/>
          <w:sz w:val="9"/>
          <w:szCs w:val="9"/>
          <w:b w:val="1"/>
          <w:bCs w:val="1"/>
          <w:color w:val="auto"/>
        </w:rPr>
      </w:pPr>
    </w:p>
    <w:p>
      <w:pPr>
        <w:ind w:left="380" w:hanging="372"/>
        <w:spacing w:after="0"/>
        <w:tabs>
          <w:tab w:leader="none" w:pos="380" w:val="left"/>
        </w:tabs>
        <w:numPr>
          <w:ilvl w:val="0"/>
          <w:numId w:val="7"/>
        </w:numPr>
        <w:rPr>
          <w:rFonts w:ascii="Arial" w:cs="Arial" w:eastAsia="Arial" w:hAnsi="Arial"/>
          <w:sz w:val="9"/>
          <w:szCs w:val="9"/>
          <w:b w:val="1"/>
          <w:bCs w:val="1"/>
          <w:color w:val="auto"/>
        </w:rPr>
      </w:pPr>
      <w:r>
        <w:rPr>
          <w:rFonts w:ascii="Arial" w:cs="Arial" w:eastAsia="Arial" w:hAnsi="Arial"/>
          <w:sz w:val="11"/>
          <w:szCs w:val="11"/>
          <w:color w:val="auto"/>
        </w:rPr>
        <w:t>Valued based on PSSL’s accounting policy.</w:t>
      </w:r>
    </w:p>
    <w:p>
      <w:pPr>
        <w:spacing w:after="0" w:line="35" w:lineRule="exact"/>
        <w:rPr>
          <w:rFonts w:ascii="Arial" w:cs="Arial" w:eastAsia="Arial" w:hAnsi="Arial"/>
          <w:sz w:val="9"/>
          <w:szCs w:val="9"/>
          <w:b w:val="1"/>
          <w:bCs w:val="1"/>
          <w:color w:val="auto"/>
        </w:rPr>
      </w:pPr>
    </w:p>
    <w:p>
      <w:pPr>
        <w:ind w:left="380" w:hanging="372"/>
        <w:spacing w:after="0"/>
        <w:tabs>
          <w:tab w:leader="none" w:pos="380" w:val="left"/>
        </w:tabs>
        <w:numPr>
          <w:ilvl w:val="0"/>
          <w:numId w:val="7"/>
        </w:numPr>
        <w:rPr>
          <w:rFonts w:ascii="Arial" w:cs="Arial" w:eastAsia="Arial" w:hAnsi="Arial"/>
          <w:sz w:val="9"/>
          <w:szCs w:val="9"/>
          <w:b w:val="1"/>
          <w:bCs w:val="1"/>
          <w:color w:val="auto"/>
        </w:rPr>
      </w:pPr>
      <w:r>
        <w:rPr>
          <w:rFonts w:ascii="Arial" w:cs="Arial" w:eastAsia="Arial" w:hAnsi="Arial"/>
          <w:sz w:val="11"/>
          <w:szCs w:val="11"/>
          <w:color w:val="auto"/>
        </w:rPr>
        <w:t>Non-U.S. company or principal place of business outside the United States.</w:t>
      </w:r>
    </w:p>
    <w:p>
      <w:pPr>
        <w:spacing w:after="0" w:line="35" w:lineRule="exact"/>
        <w:rPr>
          <w:rFonts w:ascii="Arial" w:cs="Arial" w:eastAsia="Arial" w:hAnsi="Arial"/>
          <w:sz w:val="9"/>
          <w:szCs w:val="9"/>
          <w:b w:val="1"/>
          <w:bCs w:val="1"/>
          <w:color w:val="auto"/>
        </w:rPr>
      </w:pPr>
    </w:p>
    <w:p>
      <w:pPr>
        <w:ind w:left="380" w:hanging="372"/>
        <w:spacing w:after="0"/>
        <w:tabs>
          <w:tab w:leader="none" w:pos="380" w:val="left"/>
        </w:tabs>
        <w:numPr>
          <w:ilvl w:val="0"/>
          <w:numId w:val="7"/>
        </w:numPr>
        <w:rPr>
          <w:rFonts w:ascii="Arial" w:cs="Arial" w:eastAsia="Arial" w:hAnsi="Arial"/>
          <w:sz w:val="9"/>
          <w:szCs w:val="9"/>
          <w:b w:val="1"/>
          <w:bCs w:val="1"/>
          <w:color w:val="auto"/>
        </w:rPr>
      </w:pPr>
      <w:r>
        <w:rPr>
          <w:rFonts w:ascii="Arial" w:cs="Arial" w:eastAsia="Arial" w:hAnsi="Arial"/>
          <w:sz w:val="11"/>
          <w:szCs w:val="11"/>
          <w:color w:val="auto"/>
        </w:rPr>
        <w:t>Par amount is denominated in Australian Dollars (A$) as denoted.</w:t>
      </w:r>
    </w:p>
    <w:p>
      <w:pPr>
        <w:spacing w:after="0" w:line="3" w:lineRule="exact"/>
        <w:rPr>
          <w:rFonts w:ascii="Arial" w:cs="Arial" w:eastAsia="Arial" w:hAnsi="Arial"/>
          <w:sz w:val="9"/>
          <w:szCs w:val="9"/>
          <w:b w:val="1"/>
          <w:bCs w:val="1"/>
          <w:color w:val="auto"/>
        </w:rPr>
      </w:pPr>
    </w:p>
    <w:p>
      <w:pPr>
        <w:ind w:left="380" w:hanging="372"/>
        <w:spacing w:after="0" w:line="230" w:lineRule="auto"/>
        <w:tabs>
          <w:tab w:leader="none" w:pos="380" w:val="left"/>
        </w:tabs>
        <w:numPr>
          <w:ilvl w:val="0"/>
          <w:numId w:val="7"/>
        </w:numPr>
        <w:rPr>
          <w:rFonts w:ascii="Arial" w:cs="Arial" w:eastAsia="Arial" w:hAnsi="Arial"/>
          <w:sz w:val="9"/>
          <w:szCs w:val="9"/>
          <w:b w:val="1"/>
          <w:bCs w:val="1"/>
          <w:color w:val="auto"/>
        </w:rPr>
      </w:pPr>
      <w:r>
        <w:rPr>
          <w:rFonts w:ascii="Arial" w:cs="Arial" w:eastAsia="Arial" w:hAnsi="Arial"/>
          <w:sz w:val="11"/>
          <w:szCs w:val="11"/>
          <w:color w:val="auto"/>
        </w:rPr>
        <w:t>Non-income producing security.</w:t>
      </w:r>
    </w:p>
    <w:p>
      <w:pPr>
        <w:ind w:left="380" w:hanging="372"/>
        <w:spacing w:after="0"/>
        <w:tabs>
          <w:tab w:leader="none" w:pos="380" w:val="left"/>
        </w:tabs>
        <w:numPr>
          <w:ilvl w:val="0"/>
          <w:numId w:val="7"/>
        </w:numPr>
        <w:rPr>
          <w:rFonts w:ascii="Arial" w:cs="Arial" w:eastAsia="Arial" w:hAnsi="Arial"/>
          <w:sz w:val="9"/>
          <w:szCs w:val="9"/>
          <w:b w:val="1"/>
          <w:bCs w:val="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listing of PSSL’s individual investments as of September 30,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86"/>
              </w:rPr>
              <w:t>Basis Point</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1"/>
        </w:trPr>
        <w:tc>
          <w:tcPr>
            <w:tcW w:w="2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right"/>
              <w:ind w:right="300"/>
              <w:spacing w:after="0" w:line="122" w:lineRule="exact"/>
              <w:rPr>
                <w:sz w:val="20"/>
                <w:szCs w:val="20"/>
                <w:color w:val="auto"/>
              </w:rPr>
            </w:pPr>
            <w:r>
              <w:rPr>
                <w:rFonts w:ascii="Arial" w:cs="Arial" w:eastAsia="Arial" w:hAnsi="Arial"/>
                <w:sz w:val="11"/>
                <w:szCs w:val="11"/>
                <w:b w:val="1"/>
                <w:bCs w:val="1"/>
                <w:color w:val="auto"/>
              </w:rPr>
              <w:t>Current</w:t>
            </w:r>
          </w:p>
        </w:tc>
        <w:tc>
          <w:tcPr>
            <w:tcW w:w="120" w:type="dxa"/>
            <w:vAlign w:val="bottom"/>
          </w:tcPr>
          <w:p>
            <w:pPr>
              <w:spacing w:after="0"/>
              <w:rPr>
                <w:sz w:val="10"/>
                <w:szCs w:val="10"/>
                <w:color w:val="auto"/>
              </w:rPr>
            </w:pPr>
          </w:p>
        </w:tc>
        <w:tc>
          <w:tcPr>
            <w:tcW w:w="940" w:type="dxa"/>
            <w:vAlign w:val="bottom"/>
            <w:gridSpan w:val="3"/>
          </w:tcPr>
          <w:p>
            <w:pPr>
              <w:jc w:val="center"/>
              <w:ind w:right="140"/>
              <w:spacing w:after="0" w:line="122" w:lineRule="exact"/>
              <w:rPr>
                <w:sz w:val="20"/>
                <w:szCs w:val="20"/>
                <w:color w:val="auto"/>
              </w:rPr>
            </w:pPr>
            <w:r>
              <w:rPr>
                <w:rFonts w:ascii="Arial" w:cs="Arial" w:eastAsia="Arial" w:hAnsi="Arial"/>
                <w:sz w:val="11"/>
                <w:szCs w:val="11"/>
                <w:b w:val="1"/>
                <w:bCs w:val="1"/>
                <w:color w:val="auto"/>
                <w:w w:val="86"/>
              </w:rPr>
              <w:t>Spread Above</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1"/>
                <w:szCs w:val="11"/>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Maturity</w:t>
            </w: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Industry</w:t>
            </w:r>
          </w:p>
        </w:tc>
        <w:tc>
          <w:tcPr>
            <w:tcW w:w="84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Coupon</w:t>
            </w:r>
          </w:p>
        </w:tc>
        <w:tc>
          <w:tcPr>
            <w:tcW w:w="120" w:type="dxa"/>
            <w:vAlign w:val="bottom"/>
          </w:tcPr>
          <w:p>
            <w:pPr>
              <w:spacing w:after="0"/>
              <w:rPr>
                <w:sz w:val="11"/>
                <w:szCs w:val="11"/>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120" w:type="dxa"/>
            <w:vAlign w:val="bottom"/>
          </w:tcPr>
          <w:p>
            <w:pPr>
              <w:spacing w:after="0"/>
              <w:rPr>
                <w:sz w:val="11"/>
                <w:szCs w:val="11"/>
                <w:color w:val="auto"/>
              </w:rPr>
            </w:pPr>
          </w:p>
        </w:tc>
        <w:tc>
          <w:tcPr>
            <w:tcW w:w="800" w:type="dxa"/>
            <w:vAlign w:val="bottom"/>
            <w:gridSpan w:val="2"/>
          </w:tcPr>
          <w:p>
            <w:pPr>
              <w:ind w:left="140"/>
              <w:spacing w:after="0"/>
              <w:rPr>
                <w:sz w:val="20"/>
                <w:szCs w:val="20"/>
                <w:color w:val="auto"/>
              </w:rPr>
            </w:pPr>
            <w:r>
              <w:rPr>
                <w:rFonts w:ascii="Arial" w:cs="Arial" w:eastAsia="Arial" w:hAnsi="Arial"/>
                <w:sz w:val="11"/>
                <w:szCs w:val="11"/>
                <w:b w:val="1"/>
                <w:bCs w:val="1"/>
                <w:color w:val="auto"/>
              </w:rPr>
              <w:t>Par</w:t>
            </w:r>
          </w:p>
        </w:tc>
        <w:tc>
          <w:tcPr>
            <w:tcW w:w="100" w:type="dxa"/>
            <w:vAlign w:val="bottom"/>
          </w:tcPr>
          <w:p>
            <w:pPr>
              <w:spacing w:after="0"/>
              <w:rPr>
                <w:sz w:val="11"/>
                <w:szCs w:val="11"/>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Cost</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w w:val="98"/>
              </w:rPr>
              <w:t xml:space="preserve">Fair Value </w:t>
            </w:r>
            <w:r>
              <w:rPr>
                <w:rFonts w:ascii="Arial" w:cs="Arial" w:eastAsia="Arial" w:hAnsi="Arial"/>
                <w:sz w:val="9"/>
                <w:szCs w:val="9"/>
                <w:b w:val="1"/>
                <w:bCs w:val="1"/>
                <w:color w:val="auto"/>
                <w:w w:val="98"/>
              </w:rPr>
              <w:t>(2)</w:t>
            </w:r>
          </w:p>
        </w:tc>
      </w:tr>
      <w:tr>
        <w:trPr>
          <w:trHeight w:val="128"/>
        </w:trPr>
        <w:tc>
          <w:tcPr>
            <w:tcW w:w="3080" w:type="dxa"/>
            <w:vAlign w:val="bottom"/>
            <w:tcBorders>
              <w:top w:val="single" w:sz="8" w:color="auto"/>
            </w:tcBorders>
            <w:gridSpan w:val="2"/>
          </w:tcPr>
          <w:p>
            <w:pPr>
              <w:spacing w:after="0"/>
              <w:rPr>
                <w:sz w:val="20"/>
                <w:szCs w:val="20"/>
                <w:color w:val="auto"/>
              </w:rPr>
            </w:pPr>
            <w:r>
              <w:rPr>
                <w:rFonts w:ascii="Arial" w:cs="Arial" w:eastAsia="Arial" w:hAnsi="Arial"/>
                <w:sz w:val="11"/>
                <w:szCs w:val="11"/>
                <w:b w:val="1"/>
                <w:bCs w:val="1"/>
                <w:color w:val="auto"/>
              </w:rPr>
              <w:t>First Lien Secured Debt—838.2%</w:t>
            </w:r>
          </w:p>
        </w:tc>
        <w:tc>
          <w:tcPr>
            <w:tcW w:w="1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Altamira Technologies, LLC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07/24/2025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High Tech Industries</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7.00%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L+600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4,856,155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4,795,251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4,686,189</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American Auto Auction Group,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01/02/2024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Transportation: Consumer</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6.00%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L+500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7,670,399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7,596,860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7,440,287</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By Light Professional IT Services, LLC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05/16/2022</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High Tech Industries</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7.25%</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L+625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10,901,843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10,774,172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10,792,825</w:t>
            </w:r>
          </w:p>
        </w:tc>
        <w:tc>
          <w:tcPr>
            <w:tcW w:w="120" w:type="dxa"/>
            <w:vAlign w:val="bottom"/>
            <w:shd w:val="clear" w:color="auto" w:fill="CCECFF"/>
          </w:tcPr>
          <w:p>
            <w:pPr>
              <w:spacing w:after="0"/>
              <w:rPr>
                <w:sz w:val="11"/>
                <w:szCs w:val="11"/>
                <w:color w:val="auto"/>
              </w:rPr>
            </w:pPr>
          </w:p>
        </w:tc>
      </w:tr>
      <w:tr>
        <w:trPr>
          <w:trHeight w:val="139"/>
        </w:trPr>
        <w:tc>
          <w:tcPr>
            <w:tcW w:w="3080" w:type="dxa"/>
            <w:vAlign w:val="bottom"/>
            <w:gridSpan w:val="2"/>
          </w:tcPr>
          <w:p>
            <w:pPr>
              <w:spacing w:after="0"/>
              <w:rPr>
                <w:sz w:val="20"/>
                <w:szCs w:val="20"/>
                <w:color w:val="auto"/>
              </w:rPr>
            </w:pPr>
            <w:r>
              <w:rPr>
                <w:rFonts w:ascii="Arial" w:cs="Arial" w:eastAsia="Arial" w:hAnsi="Arial"/>
                <w:sz w:val="11"/>
                <w:szCs w:val="11"/>
                <w:color w:val="auto"/>
              </w:rPr>
              <w:t>Cadence Aerospace,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11/14/2023</w:t>
            </w:r>
          </w:p>
        </w:tc>
        <w:tc>
          <w:tcPr>
            <w:tcW w:w="220" w:type="dxa"/>
            <w:vAlign w:val="bottom"/>
          </w:tcPr>
          <w:p>
            <w:pPr>
              <w:spacing w:after="0"/>
              <w:rPr>
                <w:sz w:val="12"/>
                <w:szCs w:val="12"/>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9.50%</w:t>
            </w:r>
          </w:p>
        </w:tc>
        <w:tc>
          <w:tcPr>
            <w:tcW w:w="120" w:type="dxa"/>
            <w:vAlign w:val="bottom"/>
          </w:tcPr>
          <w:p>
            <w:pPr>
              <w:spacing w:after="0"/>
              <w:rPr>
                <w:sz w:val="12"/>
                <w:szCs w:val="12"/>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L+850</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11,802,082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11,730,187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11,322,915</w:t>
            </w:r>
          </w:p>
        </w:tc>
        <w:tc>
          <w:tcPr>
            <w:tcW w:w="120" w:type="dxa"/>
            <w:vAlign w:val="bottom"/>
          </w:tcPr>
          <w:p>
            <w:pPr>
              <w:spacing w:after="0"/>
              <w:rPr>
                <w:sz w:val="12"/>
                <w:szCs w:val="12"/>
                <w:color w:val="auto"/>
              </w:rPr>
            </w:pPr>
          </w:p>
        </w:tc>
      </w:tr>
      <w:tr>
        <w:trPr>
          <w:trHeight w:val="131"/>
        </w:trPr>
        <w:tc>
          <w:tcPr>
            <w:tcW w:w="2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1"/>
                <w:szCs w:val="11"/>
                <w:color w:val="auto"/>
              </w:rPr>
              <w:t>(PIK 9.50%)</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Cardenas Markets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11/29/2023</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5"/>
              </w:rPr>
              <w:t>Beverage, Food and Tobacco</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6.75%</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L+575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4,779,776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4,759,527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4,779,776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Centauri Group Holdings,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02/12/2024</w:t>
            </w:r>
          </w:p>
        </w:tc>
        <w:tc>
          <w:tcPr>
            <w:tcW w:w="2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6.25%</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L+525</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5,330,847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5,330,847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5,304,193</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Challenger Performance Optimization, Inc.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08/31/2023</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7.00%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L+575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9,663,392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9,595,826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8,986,954</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Country Fresh Holdings,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05/01/2023</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5"/>
              </w:rPr>
              <w:t>Beverage, Food and Tobacco</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6.00%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L+500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182,403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179,976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182,403</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Country Fresh Holdings, LLC (Revolver)</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05/01/2023</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5"/>
              </w:rPr>
              <w:t>Beverage, Food and Tobacco</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6.00%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L+500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450,110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450,111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450,110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Douglas Products and Packaging Company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10/19/2022</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Chemicals, Plastics and Rubber</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6.75%</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L+575</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8,836,683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8,756,358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8,704,133</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Douglas Sewer Intermediate, LLC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10/19/2022</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Chemicals, Plastics and Rubber</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6.75%</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L+575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7,403,183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7,370,405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7,292,135</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DRS Holdings III, Inc.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11/03/2025</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Consumer Goods: Durable</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6.75%</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L+575</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8,022,149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7,950,609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7,875,344</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Findex Group Limited </w:t>
            </w:r>
            <w:r>
              <w:rPr>
                <w:rFonts w:ascii="Arial" w:cs="Arial" w:eastAsia="Arial" w:hAnsi="Arial"/>
                <w:sz w:val="9"/>
                <w:szCs w:val="9"/>
                <w:color w:val="auto"/>
              </w:rPr>
              <w:t>(3), (4)</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05/31/2024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Banking, Finance, Insurance and Real Estate</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5.46%</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L+525A</w:t>
            </w:r>
          </w:p>
        </w:tc>
        <w:tc>
          <w:tcPr>
            <w:tcW w:w="120" w:type="dxa"/>
            <w:vAlign w:val="bottom"/>
            <w:shd w:val="clear" w:color="auto" w:fill="CCEC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10,000,000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7,411,600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6,809,125</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GCOM Software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11/14/2022</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High Tech Industries</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7.75%</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L+625</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16,646,228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16,562,972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16,646,228</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Good2Grow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11/18/2024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3"/>
              </w:rPr>
              <w:t>Beverages</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5.25%</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L+425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9,499,183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9,429,133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9,427,938</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GSM Holdings, Inc.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06/03/2024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Consumer Goods: Durable</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5.50%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L+450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19,470,523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19,354,235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19,275,817</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IMIA Holdings, Inc.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10/26/2025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5.50%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L+450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12,143,568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12,097,717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12,022,132</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Impact Group,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06/27/2023</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5"/>
              </w:rPr>
              <w:t>Wholesale</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8.37%</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L+737</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9,290,185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9,216,206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9,336,636</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Integrative Nutrition, LLC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09/29/2023</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Diversified Consumer Services</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5.75%</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L+475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8,587,606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8,587,606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8,458,792</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K2 Pure Solutions NoCal, L.P.</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12/20/2023</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Chemicals, Plastics and Rubber</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8.00%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L+700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19,650,000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19,436,214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19,217,700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LAV Gear Holdings, Inc.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10/31/2024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Capital Equipment</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8.50%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L+750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9,975,861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9,902,990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9,188,766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LSF9 Atlantis Holdings,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05/01/2023</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5"/>
              </w:rPr>
              <w:t>Retail</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7.00%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L+600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6,843,750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6,872,048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6,631,320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Manna Pro Products, LLC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12/08/2023</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7.00%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L+600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4,313,910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4,273,019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4,197,866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 xml:space="preserve">Marketplace Events LLC </w:t>
            </w:r>
            <w:r>
              <w:rPr>
                <w:rFonts w:ascii="Arial" w:cs="Arial" w:eastAsia="Arial" w:hAnsi="Arial"/>
                <w:sz w:val="9"/>
                <w:szCs w:val="9"/>
                <w:color w:val="auto"/>
              </w:rPr>
              <w:t>(4)</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01/27/2023</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92"/>
              </w:rPr>
              <w:t>Media: Diversified and Production</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0.00%</w:t>
            </w:r>
          </w:p>
        </w:tc>
        <w:tc>
          <w:tcPr>
            <w:tcW w:w="120" w:type="dxa"/>
            <w:vAlign w:val="bottom"/>
          </w:tcPr>
          <w:p>
            <w:pPr>
              <w:jc w:val="right"/>
              <w:spacing w:after="0"/>
              <w:rPr>
                <w:sz w:val="20"/>
                <w:szCs w:val="20"/>
                <w:color w:val="auto"/>
              </w:rPr>
            </w:pPr>
            <w:r>
              <w:rPr>
                <w:rFonts w:ascii="Arial" w:cs="Arial" w:eastAsia="Arial" w:hAnsi="Arial"/>
                <w:sz w:val="9"/>
                <w:szCs w:val="9"/>
                <w:color w:val="auto"/>
                <w:w w:val="90"/>
              </w:rPr>
              <w:t>(5)</w:t>
            </w:r>
          </w:p>
        </w:tc>
        <w:tc>
          <w:tcPr>
            <w:tcW w:w="480" w:type="dxa"/>
            <w:vAlign w:val="bottom"/>
          </w:tcPr>
          <w:p>
            <w:pPr>
              <w:spacing w:after="0"/>
              <w:rPr>
                <w:sz w:val="11"/>
                <w:szCs w:val="11"/>
                <w:color w:val="auto"/>
              </w:rPr>
            </w:pPr>
          </w:p>
        </w:tc>
        <w:tc>
          <w:tcPr>
            <w:tcW w:w="460" w:type="dxa"/>
            <w:vAlign w:val="bottom"/>
            <w:gridSpan w:val="2"/>
          </w:tcPr>
          <w:p>
            <w:pPr>
              <w:ind w:left="200"/>
              <w:spacing w:after="0"/>
              <w:rPr>
                <w:sz w:val="20"/>
                <w:szCs w:val="20"/>
                <w:color w:val="auto"/>
              </w:rPr>
            </w:pPr>
            <w:r>
              <w:rPr>
                <w:rFonts w:ascii="Arial" w:cs="Arial" w:eastAsia="Arial" w:hAnsi="Arial"/>
                <w:sz w:val="11"/>
                <w:szCs w:val="11"/>
                <w:color w:val="auto"/>
              </w:rPr>
              <w:t>— C</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5,730,254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4,449,786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3,623,691</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MeritDirect, LLC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05/23/2024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2"/>
              </w:rPr>
              <w:t>Media: Advertising, Printing &amp; Publishing</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6.50%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L+550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4,812,500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4,771,073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4,583,906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Mission Critical Electronics, Inc.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09/28/2022</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Capital Equipment</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6.00%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L+500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5,949,731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5,927,114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5,877,737</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New Milani Group LLC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06/06/2024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6.50%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L+550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14,662,500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14,568,019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13,379,531</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Output Services Group, Inc.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03/27/2024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5.50%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L+450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7,803,419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7,825,029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7,101,111</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PH Beauty Holdings III, Inc.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09/29/2025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5"/>
              </w:rPr>
              <w:t>Wholesale</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5.19%</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L+500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9,792,594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9,717,936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9,156,076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Plant Health Intermediate, Inc.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10/19/2022</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Chemicals, Plastics and Rubber</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6.75%</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L+575</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1,594,030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1,579,915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1,570,120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PlayPower, Inc.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9"/>
              </w:rPr>
              <w:t>05/8/2026</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Leisure Products</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5.72%</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L+550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4,025,520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3,990,707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3,824,244</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Sargent &amp; Greenleaf Inc.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12/20/2024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5"/>
              </w:rPr>
              <w:t>Wholesale</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7.00%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L+550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4,925,000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4,860,858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4,836,350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Schlesinger Global, Inc.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07/14/2025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7.00%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L+600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11,904,617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11,904,617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11,041,532</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Smile Brands Inc.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10/14/2024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Healthcare and Pharmaceuticals</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4.93%</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L+450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11,175,938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11,090,654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10,840,659</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Snak Club, LLC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07/19/2021</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5"/>
              </w:rPr>
              <w:t>Beverage, Food and Tobacco</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6.50%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L+550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4,561,971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4,561,971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4,493,542</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Solutionreach, Inc.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01/17/2024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Healthcare and Pharmaceuticals</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6.75%</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L+575</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6,214,305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6,149,172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6,145,948</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STV Group Incorporated</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12/11/2026</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2"/>
              </w:rPr>
              <w:t>Construction and Building</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5.40%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L+525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7,762,222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7,692,023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7,684,600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TeleGuam Holdings,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11/20/2025</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Telecommunications</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5.50%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L+450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8,309,797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8,272,104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8,060,503</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Teneo Holdings LLC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07/18/2025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6.25%</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L+525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4,950,000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4,783,595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4,764,375</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The Infosoft Group,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09/16/2024</w:t>
            </w:r>
          </w:p>
        </w:tc>
        <w:tc>
          <w:tcPr>
            <w:tcW w:w="2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Media: Broadcasting and Subscription</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6.75%</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6M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L+575</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8,602,807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8,584,634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8,602,807</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TPC Canada Parent, Inc. and TPC US Parent,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11/24/2025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6.25%</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L+525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8,924,066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8,837,614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8,656,344</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TVC Enterprises,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01/18/2024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Diversified Consumer Services</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6.50%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L+550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9,747,335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9,747,335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9,674,230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TWS Acquisition Corporation</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06/16/2025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Diversified Consumer Services</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7.25%</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L+625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6,910,465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6,797,117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6,772,256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UBEO,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04/03/2024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Capital Equipment</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5.50%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L+450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21,930,702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21,762,065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20,614,860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Urology Management Associates, LLC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08/30/2024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Healthcare and Pharmaceuticals</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6.00%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L+500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11,463,443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11,311,325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11,119,540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Walker Edison Furniture Company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09/26/2024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5"/>
              </w:rPr>
              <w:t>Wholesale</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7.25%</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L+625</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10,594,047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10,440,520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10,594,047</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Whitney, Bradley &amp; Brown, Inc.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10/18/2022</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8.50%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L+750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254,095</w:t>
            </w: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250,910</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251,557</w:t>
            </w:r>
          </w:p>
        </w:tc>
        <w:tc>
          <w:tcPr>
            <w:tcW w:w="120" w:type="dxa"/>
            <w:vAlign w:val="bottom"/>
            <w:shd w:val="clear" w:color="auto" w:fill="CCECFF"/>
          </w:tcPr>
          <w:p>
            <w:pPr>
              <w:spacing w:after="0"/>
              <w:rPr>
                <w:sz w:val="11"/>
                <w:szCs w:val="11"/>
                <w:color w:val="auto"/>
              </w:rPr>
            </w:pPr>
          </w:p>
        </w:tc>
      </w:tr>
      <w:tr>
        <w:trPr>
          <w:trHeight w:val="128"/>
        </w:trPr>
        <w:tc>
          <w:tcPr>
            <w:tcW w:w="308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b w:val="1"/>
                <w:bCs w:val="1"/>
                <w:color w:val="auto"/>
              </w:rPr>
              <w:t>Total First Lien Secured Debt</w:t>
            </w: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5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48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1"/>
              </w:rPr>
              <w:t>392,309,962</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8"/>
              </w:rPr>
              <w:t>382,299,150</w:t>
            </w:r>
          </w:p>
        </w:tc>
        <w:tc>
          <w:tcPr>
            <w:tcW w:w="120" w:type="dxa"/>
            <w:vAlign w:val="bottom"/>
            <w:tcBorders>
              <w:bottom w:val="single" w:sz="8" w:color="CCECFF"/>
            </w:tcBorders>
          </w:tcPr>
          <w:p>
            <w:pPr>
              <w:spacing w:after="0"/>
              <w:rPr>
                <w:sz w:val="11"/>
                <w:szCs w:val="11"/>
                <w:color w:val="auto"/>
              </w:rPr>
            </w:pPr>
          </w:p>
        </w:tc>
      </w:tr>
      <w:tr>
        <w:trPr>
          <w:trHeight w:val="128"/>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Second Lien Secured Debt—19.5%</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080" w:type="dxa"/>
            <w:vAlign w:val="bottom"/>
            <w:gridSpan w:val="2"/>
          </w:tcPr>
          <w:p>
            <w:pPr>
              <w:spacing w:after="0"/>
              <w:rPr>
                <w:sz w:val="20"/>
                <w:szCs w:val="20"/>
                <w:color w:val="auto"/>
              </w:rPr>
            </w:pPr>
            <w:r>
              <w:rPr>
                <w:rFonts w:ascii="Arial" w:cs="Arial" w:eastAsia="Arial" w:hAnsi="Arial"/>
                <w:sz w:val="11"/>
                <w:szCs w:val="11"/>
                <w:color w:val="auto"/>
              </w:rPr>
              <w:t>Country Fresh Holdings,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04/29/2024</w:t>
            </w:r>
          </w:p>
        </w:tc>
        <w:tc>
          <w:tcPr>
            <w:tcW w:w="220" w:type="dxa"/>
            <w:vAlign w:val="bottom"/>
          </w:tcPr>
          <w:p>
            <w:pPr>
              <w:spacing w:after="0"/>
              <w:rPr>
                <w:sz w:val="12"/>
                <w:szCs w:val="12"/>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5"/>
              </w:rPr>
              <w:t>Beverage, Food and Tobacco</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9.50%</w:t>
            </w:r>
          </w:p>
        </w:tc>
        <w:tc>
          <w:tcPr>
            <w:tcW w:w="120" w:type="dxa"/>
            <w:vAlign w:val="bottom"/>
          </w:tcPr>
          <w:p>
            <w:pPr>
              <w:spacing w:after="0"/>
              <w:rPr>
                <w:sz w:val="12"/>
                <w:szCs w:val="12"/>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L+850</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964,045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964,045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889,813</w:t>
            </w:r>
          </w:p>
        </w:tc>
        <w:tc>
          <w:tcPr>
            <w:tcW w:w="120" w:type="dxa"/>
            <w:vAlign w:val="bottom"/>
          </w:tcPr>
          <w:p>
            <w:pPr>
              <w:spacing w:after="0"/>
              <w:rPr>
                <w:sz w:val="12"/>
                <w:szCs w:val="12"/>
                <w:color w:val="auto"/>
              </w:rPr>
            </w:pPr>
          </w:p>
        </w:tc>
      </w:tr>
      <w:tr>
        <w:trPr>
          <w:trHeight w:val="131"/>
        </w:trPr>
        <w:tc>
          <w:tcPr>
            <w:tcW w:w="2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1"/>
                <w:szCs w:val="11"/>
                <w:color w:val="auto"/>
              </w:rPr>
              <w:t>(PIK 9.50%)</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DBI Holding, LLC, Term Loan B</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03/26/2021</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9.00%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15,946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15,946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15,946</w:t>
            </w:r>
          </w:p>
        </w:tc>
        <w:tc>
          <w:tcPr>
            <w:tcW w:w="120" w:type="dxa"/>
            <w:vAlign w:val="bottom"/>
            <w:shd w:val="clear" w:color="auto" w:fill="CCECFF"/>
          </w:tcPr>
          <w:p>
            <w:pPr>
              <w:spacing w:after="0"/>
              <w:rPr>
                <w:sz w:val="11"/>
                <w:szCs w:val="11"/>
                <w:color w:val="auto"/>
              </w:rPr>
            </w:pPr>
          </w:p>
        </w:tc>
      </w:tr>
      <w:tr>
        <w:trPr>
          <w:trHeight w:val="135"/>
        </w:trPr>
        <w:tc>
          <w:tcPr>
            <w:tcW w:w="29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(PIK 9.00%)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080" w:type="dxa"/>
            <w:vAlign w:val="bottom"/>
            <w:gridSpan w:val="2"/>
          </w:tcPr>
          <w:p>
            <w:pPr>
              <w:spacing w:after="0"/>
              <w:rPr>
                <w:sz w:val="20"/>
                <w:szCs w:val="20"/>
                <w:color w:val="auto"/>
              </w:rPr>
            </w:pPr>
            <w:r>
              <w:rPr>
                <w:rFonts w:ascii="Arial" w:cs="Arial" w:eastAsia="Arial" w:hAnsi="Arial"/>
                <w:sz w:val="11"/>
                <w:szCs w:val="11"/>
                <w:color w:val="auto"/>
              </w:rPr>
              <w:t>DBI Holding, LLC, Term Loan 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02/02/2026</w:t>
            </w:r>
          </w:p>
        </w:tc>
        <w:tc>
          <w:tcPr>
            <w:tcW w:w="220" w:type="dxa"/>
            <w:vAlign w:val="bottom"/>
          </w:tcPr>
          <w:p>
            <w:pPr>
              <w:spacing w:after="0"/>
              <w:rPr>
                <w:sz w:val="12"/>
                <w:szCs w:val="12"/>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9.00%</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7,977,513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7,977,513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7,977,513</w:t>
            </w:r>
          </w:p>
        </w:tc>
        <w:tc>
          <w:tcPr>
            <w:tcW w:w="120" w:type="dxa"/>
            <w:vAlign w:val="bottom"/>
          </w:tcPr>
          <w:p>
            <w:pPr>
              <w:spacing w:after="0"/>
              <w:rPr>
                <w:sz w:val="12"/>
                <w:szCs w:val="12"/>
                <w:color w:val="auto"/>
              </w:rPr>
            </w:pPr>
          </w:p>
        </w:tc>
      </w:tr>
      <w:tr>
        <w:trPr>
          <w:trHeight w:val="131"/>
        </w:trPr>
        <w:tc>
          <w:tcPr>
            <w:tcW w:w="294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5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gridSpan w:val="2"/>
          </w:tcPr>
          <w:p>
            <w:pPr>
              <w:jc w:val="right"/>
              <w:ind w:right="20"/>
              <w:spacing w:after="0"/>
              <w:rPr>
                <w:sz w:val="20"/>
                <w:szCs w:val="20"/>
                <w:color w:val="auto"/>
              </w:rPr>
            </w:pPr>
            <w:r>
              <w:rPr>
                <w:rFonts w:ascii="Arial" w:cs="Arial" w:eastAsia="Arial" w:hAnsi="Arial"/>
                <w:sz w:val="11"/>
                <w:szCs w:val="11"/>
                <w:color w:val="auto"/>
              </w:rPr>
              <w:t>(PIK 9.00%)</w:t>
            </w:r>
          </w:p>
        </w:tc>
        <w:tc>
          <w:tcPr>
            <w:tcW w:w="120" w:type="dxa"/>
            <w:vAlign w:val="bottom"/>
            <w:tcBorders>
              <w:bottom w:val="single" w:sz="8" w:color="CCECFF"/>
            </w:tcBorders>
          </w:tcPr>
          <w:p>
            <w:pPr>
              <w:spacing w:after="0"/>
              <w:rPr>
                <w:sz w:val="11"/>
                <w:szCs w:val="11"/>
                <w:color w:val="auto"/>
              </w:rPr>
            </w:pPr>
          </w:p>
        </w:tc>
        <w:tc>
          <w:tcPr>
            <w:tcW w:w="48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r>
      <w:tr>
        <w:trPr>
          <w:trHeight w:val="128"/>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Second Lien Secured Debt</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8,957,504</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8,883,272</w:t>
            </w:r>
          </w:p>
        </w:tc>
        <w:tc>
          <w:tcPr>
            <w:tcW w:w="120" w:type="dxa"/>
            <w:vAlign w:val="bottom"/>
            <w:shd w:val="clear" w:color="auto" w:fill="CCECFF"/>
          </w:tcPr>
          <w:p>
            <w:pPr>
              <w:spacing w:after="0"/>
              <w:rPr>
                <w:sz w:val="11"/>
                <w:szCs w:val="11"/>
                <w:color w:val="auto"/>
              </w:rPr>
            </w:pPr>
          </w:p>
        </w:tc>
      </w:tr>
      <w:tr>
        <w:trPr>
          <w:trHeight w:val="129"/>
        </w:trPr>
        <w:tc>
          <w:tcPr>
            <w:tcW w:w="3080" w:type="dxa"/>
            <w:vAlign w:val="bottom"/>
            <w:gridSpan w:val="2"/>
          </w:tcPr>
          <w:p>
            <w:pPr>
              <w:spacing w:after="0"/>
              <w:rPr>
                <w:sz w:val="20"/>
                <w:szCs w:val="20"/>
                <w:color w:val="auto"/>
              </w:rPr>
            </w:pPr>
            <w:r>
              <w:rPr>
                <w:rFonts w:ascii="Arial" w:cs="Arial" w:eastAsia="Arial" w:hAnsi="Arial"/>
                <w:sz w:val="11"/>
                <w:szCs w:val="11"/>
                <w:b w:val="1"/>
                <w:bCs w:val="1"/>
                <w:color w:val="auto"/>
              </w:rPr>
              <w:t>Equity Securities—4.0%</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Country Fresh Holding Company Inc.</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5"/>
              </w:rPr>
              <w:t>Beverage, Food and Tobacco</w:t>
            </w:r>
          </w:p>
        </w:tc>
        <w:tc>
          <w:tcPr>
            <w:tcW w:w="7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1,317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1,713,105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DBI Holding, LLC, Series A-1</w:t>
            </w:r>
          </w:p>
        </w:tc>
        <w:tc>
          <w:tcPr>
            <w:tcW w:w="120" w:type="dxa"/>
            <w:vAlign w:val="bottom"/>
          </w:tcPr>
          <w:p>
            <w:pPr>
              <w:spacing w:after="0"/>
              <w:rPr>
                <w:sz w:val="11"/>
                <w:szCs w:val="11"/>
                <w:color w:val="auto"/>
              </w:rPr>
            </w:pP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5,034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5,034,310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1,803,668</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DBI Holding, LLC, Series B</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8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1,065,021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236,521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28"/>
        </w:trPr>
        <w:tc>
          <w:tcPr>
            <w:tcW w:w="308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b w:val="1"/>
                <w:bCs w:val="1"/>
                <w:color w:val="auto"/>
              </w:rPr>
              <w:t>Total Equity Securities</w:t>
            </w: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5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48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6,983,936</w:t>
            </w:r>
          </w:p>
        </w:tc>
        <w:tc>
          <w:tcPr>
            <w:tcW w:w="220" w:type="dxa"/>
            <w:vAlign w:val="bottom"/>
            <w:tcBorders>
              <w:bottom w:val="single" w:sz="8" w:color="CCEC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1,803,668</w:t>
            </w:r>
          </w:p>
        </w:tc>
        <w:tc>
          <w:tcPr>
            <w:tcW w:w="120" w:type="dxa"/>
            <w:vAlign w:val="bottom"/>
            <w:tcBorders>
              <w:bottom w:val="single" w:sz="8" w:color="CCECFF"/>
            </w:tcBorders>
          </w:tcPr>
          <w:p>
            <w:pPr>
              <w:spacing w:after="0"/>
              <w:rPr>
                <w:sz w:val="11"/>
                <w:szCs w:val="11"/>
                <w:color w:val="auto"/>
              </w:rPr>
            </w:pPr>
          </w:p>
        </w:tc>
      </w:tr>
      <w:tr>
        <w:trPr>
          <w:trHeight w:val="129"/>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Investments—861.6%</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1"/>
              </w:rPr>
              <w:t>408,251,402</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8"/>
              </w:rPr>
              <w:t>392,986,090</w:t>
            </w:r>
          </w:p>
        </w:tc>
        <w:tc>
          <w:tcPr>
            <w:tcW w:w="120" w:type="dxa"/>
            <w:vAlign w:val="bottom"/>
            <w:shd w:val="clear" w:color="auto" w:fill="CCECFF"/>
          </w:tcPr>
          <w:p>
            <w:pPr>
              <w:spacing w:after="0"/>
              <w:rPr>
                <w:sz w:val="11"/>
                <w:szCs w:val="11"/>
                <w:color w:val="auto"/>
              </w:rPr>
            </w:pPr>
          </w:p>
        </w:tc>
      </w:tr>
      <w:tr>
        <w:trPr>
          <w:trHeight w:val="128"/>
        </w:trPr>
        <w:tc>
          <w:tcPr>
            <w:tcW w:w="3080" w:type="dxa"/>
            <w:vAlign w:val="bottom"/>
            <w:gridSpan w:val="2"/>
          </w:tcPr>
          <w:p>
            <w:pPr>
              <w:spacing w:after="0"/>
              <w:rPr>
                <w:sz w:val="20"/>
                <w:szCs w:val="20"/>
                <w:color w:val="auto"/>
              </w:rPr>
            </w:pPr>
            <w:r>
              <w:rPr>
                <w:rFonts w:ascii="Arial" w:cs="Arial" w:eastAsia="Arial" w:hAnsi="Arial"/>
                <w:sz w:val="11"/>
                <w:szCs w:val="11"/>
                <w:b w:val="1"/>
                <w:bCs w:val="1"/>
                <w:color w:val="auto"/>
              </w:rPr>
              <w:t>Cash and Cash Equivalents—24.4%</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BlackRock Federal FD Institutional 30</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6,005,963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6,005,963</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color w:val="auto"/>
              </w:rPr>
              <w:t>US Bank Cash</w:t>
            </w: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5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48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5,109,410</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5,115,516</w:t>
            </w:r>
          </w:p>
        </w:tc>
        <w:tc>
          <w:tcPr>
            <w:tcW w:w="120" w:type="dxa"/>
            <w:vAlign w:val="bottom"/>
            <w:tcBorders>
              <w:bottom w:val="single" w:sz="8" w:color="CCECFF"/>
            </w:tcBorders>
          </w:tcPr>
          <w:p>
            <w:pPr>
              <w:spacing w:after="0"/>
              <w:rPr>
                <w:sz w:val="11"/>
                <w:szCs w:val="11"/>
                <w:color w:val="auto"/>
              </w:rPr>
            </w:pPr>
          </w:p>
        </w:tc>
      </w:tr>
      <w:tr>
        <w:trPr>
          <w:trHeight w:val="128"/>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Cash and Cash Equivalents</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11,115,373</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11,121,479</w:t>
            </w:r>
          </w:p>
        </w:tc>
        <w:tc>
          <w:tcPr>
            <w:tcW w:w="120" w:type="dxa"/>
            <w:vAlign w:val="bottom"/>
            <w:shd w:val="clear" w:color="auto" w:fill="CCECFF"/>
          </w:tcPr>
          <w:p>
            <w:pPr>
              <w:spacing w:after="0"/>
              <w:rPr>
                <w:sz w:val="11"/>
                <w:szCs w:val="11"/>
                <w:color w:val="auto"/>
              </w:rPr>
            </w:pPr>
          </w:p>
        </w:tc>
      </w:tr>
      <w:tr>
        <w:trPr>
          <w:trHeight w:val="169"/>
        </w:trPr>
        <w:tc>
          <w:tcPr>
            <w:tcW w:w="308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b w:val="1"/>
                <w:bCs w:val="1"/>
                <w:color w:val="auto"/>
              </w:rPr>
              <w:t>Total Investments and Cash Equivalents—886.0%</w:t>
            </w:r>
          </w:p>
        </w:tc>
        <w:tc>
          <w:tcPr>
            <w:tcW w:w="120" w:type="dxa"/>
            <w:vAlign w:val="bottom"/>
            <w:tcBorders>
              <w:bottom w:val="single" w:sz="8" w:color="CCECFF"/>
            </w:tcBorders>
          </w:tcPr>
          <w:p>
            <w:pPr>
              <w:spacing w:after="0"/>
              <w:rPr>
                <w:sz w:val="14"/>
                <w:szCs w:val="14"/>
                <w:color w:val="auto"/>
              </w:rPr>
            </w:pPr>
          </w:p>
        </w:tc>
        <w:tc>
          <w:tcPr>
            <w:tcW w:w="540" w:type="dxa"/>
            <w:vAlign w:val="bottom"/>
            <w:tcBorders>
              <w:bottom w:val="single" w:sz="8" w:color="CCECFF"/>
            </w:tcBorders>
          </w:tcPr>
          <w:p>
            <w:pPr>
              <w:spacing w:after="0"/>
              <w:rPr>
                <w:sz w:val="14"/>
                <w:szCs w:val="14"/>
                <w:color w:val="auto"/>
              </w:rPr>
            </w:pPr>
          </w:p>
        </w:tc>
        <w:tc>
          <w:tcPr>
            <w:tcW w:w="220" w:type="dxa"/>
            <w:vAlign w:val="bottom"/>
            <w:tcBorders>
              <w:bottom w:val="single" w:sz="8" w:color="CCECFF"/>
            </w:tcBorders>
          </w:tcPr>
          <w:p>
            <w:pPr>
              <w:spacing w:after="0"/>
              <w:rPr>
                <w:sz w:val="14"/>
                <w:szCs w:val="14"/>
                <w:color w:val="auto"/>
              </w:rPr>
            </w:pPr>
          </w:p>
        </w:tc>
        <w:tc>
          <w:tcPr>
            <w:tcW w:w="256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700" w:type="dxa"/>
            <w:vAlign w:val="bottom"/>
            <w:tcBorders>
              <w:bottom w:val="single" w:sz="8" w:color="CCECFF"/>
            </w:tcBorders>
          </w:tcPr>
          <w:p>
            <w:pPr>
              <w:spacing w:after="0"/>
              <w:rPr>
                <w:sz w:val="14"/>
                <w:szCs w:val="14"/>
                <w:color w:val="auto"/>
              </w:rPr>
            </w:pPr>
          </w:p>
        </w:tc>
        <w:tc>
          <w:tcPr>
            <w:tcW w:w="14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480" w:type="dxa"/>
            <w:vAlign w:val="bottom"/>
            <w:tcBorders>
              <w:bottom w:val="single" w:sz="8" w:color="CCECFF"/>
            </w:tcBorders>
          </w:tcPr>
          <w:p>
            <w:pPr>
              <w:spacing w:after="0"/>
              <w:rPr>
                <w:sz w:val="14"/>
                <w:szCs w:val="14"/>
                <w:color w:val="auto"/>
              </w:rPr>
            </w:pPr>
          </w:p>
        </w:tc>
        <w:tc>
          <w:tcPr>
            <w:tcW w:w="320" w:type="dxa"/>
            <w:vAlign w:val="bottom"/>
            <w:tcBorders>
              <w:bottom w:val="single" w:sz="8" w:color="CCECFF"/>
            </w:tcBorders>
          </w:tcPr>
          <w:p>
            <w:pPr>
              <w:spacing w:after="0"/>
              <w:rPr>
                <w:sz w:val="14"/>
                <w:szCs w:val="14"/>
                <w:color w:val="auto"/>
              </w:rPr>
            </w:pPr>
          </w:p>
        </w:tc>
        <w:tc>
          <w:tcPr>
            <w:tcW w:w="14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560" w:type="dxa"/>
            <w:vAlign w:val="bottom"/>
            <w:tcBorders>
              <w:bottom w:val="single" w:sz="8" w:color="CCECFF"/>
            </w:tcBorders>
          </w:tcPr>
          <w:p>
            <w:pPr>
              <w:spacing w:after="0"/>
              <w:rPr>
                <w:sz w:val="14"/>
                <w:szCs w:val="14"/>
                <w:color w:val="auto"/>
              </w:rPr>
            </w:pPr>
          </w:p>
        </w:tc>
        <w:tc>
          <w:tcPr>
            <w:tcW w:w="24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1"/>
              </w:rPr>
              <w:t>419,366,775</w:t>
            </w:r>
          </w:p>
        </w:tc>
        <w:tc>
          <w:tcPr>
            <w:tcW w:w="22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8"/>
              </w:rPr>
              <w:t>404,107,569</w:t>
            </w:r>
          </w:p>
        </w:tc>
        <w:tc>
          <w:tcPr>
            <w:tcW w:w="120" w:type="dxa"/>
            <w:vAlign w:val="bottom"/>
            <w:tcBorders>
              <w:bottom w:val="single" w:sz="8" w:color="CCECFF"/>
            </w:tcBorders>
          </w:tcPr>
          <w:p>
            <w:pPr>
              <w:spacing w:after="0"/>
              <w:rPr>
                <w:sz w:val="14"/>
                <w:szCs w:val="14"/>
                <w:color w:val="auto"/>
              </w:rPr>
            </w:pPr>
          </w:p>
        </w:tc>
      </w:tr>
      <w:tr>
        <w:trPr>
          <w:trHeight w:val="115"/>
        </w:trPr>
        <w:tc>
          <w:tcPr>
            <w:tcW w:w="3080" w:type="dxa"/>
            <w:vAlign w:val="bottom"/>
            <w:gridSpan w:val="2"/>
            <w:shd w:val="clear" w:color="auto" w:fill="CCECFF"/>
          </w:tcPr>
          <w:p>
            <w:pPr>
              <w:spacing w:after="0" w:line="116" w:lineRule="exact"/>
              <w:rPr>
                <w:sz w:val="20"/>
                <w:szCs w:val="20"/>
                <w:color w:val="auto"/>
              </w:rPr>
            </w:pPr>
            <w:r>
              <w:rPr>
                <w:rFonts w:ascii="Arial" w:cs="Arial" w:eastAsia="Arial" w:hAnsi="Arial"/>
                <w:sz w:val="11"/>
                <w:szCs w:val="11"/>
                <w:b w:val="1"/>
                <w:bCs w:val="1"/>
                <w:color w:val="auto"/>
              </w:rPr>
              <w:t>Liabilities in Excess of Other Assets—(786.0)%</w:t>
            </w: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25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3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80"/>
              <w:spacing w:after="0" w:line="116" w:lineRule="exact"/>
              <w:rPr>
                <w:sz w:val="20"/>
                <w:szCs w:val="20"/>
                <w:color w:val="auto"/>
              </w:rPr>
            </w:pPr>
            <w:r>
              <w:rPr>
                <w:rFonts w:ascii="Arial" w:cs="Arial" w:eastAsia="Arial" w:hAnsi="Arial"/>
                <w:sz w:val="11"/>
                <w:szCs w:val="11"/>
                <w:color w:val="auto"/>
                <w:w w:val="96"/>
              </w:rPr>
              <w:t>(358,495,484)</w:t>
            </w:r>
          </w:p>
        </w:tc>
      </w:tr>
      <w:tr>
        <w:trPr>
          <w:trHeight w:val="128"/>
        </w:trPr>
        <w:tc>
          <w:tcPr>
            <w:tcW w:w="3080" w:type="dxa"/>
            <w:vAlign w:val="bottom"/>
            <w:gridSpan w:val="2"/>
          </w:tcPr>
          <w:p>
            <w:pPr>
              <w:spacing w:after="0"/>
              <w:rPr>
                <w:sz w:val="20"/>
                <w:szCs w:val="20"/>
                <w:color w:val="auto"/>
              </w:rPr>
            </w:pPr>
            <w:r>
              <w:rPr>
                <w:rFonts w:ascii="Arial" w:cs="Arial" w:eastAsia="Arial" w:hAnsi="Arial"/>
                <w:sz w:val="11"/>
                <w:szCs w:val="11"/>
                <w:b w:val="1"/>
                <w:bCs w:val="1"/>
                <w:color w:val="auto"/>
              </w:rPr>
              <w:t>Members' Equity—100.0%</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45,612,085</w:t>
            </w:r>
          </w:p>
        </w:tc>
        <w:tc>
          <w:tcPr>
            <w:tcW w:w="120" w:type="dxa"/>
            <w:vAlign w:val="bottom"/>
          </w:tcPr>
          <w:p>
            <w:pPr>
              <w:spacing w:after="0"/>
              <w:rPr>
                <w:sz w:val="11"/>
                <w:szCs w:val="11"/>
                <w:color w:val="auto"/>
              </w:rPr>
            </w:pPr>
          </w:p>
        </w:tc>
      </w:tr>
      <w:tr>
        <w:trPr>
          <w:trHeight w:val="20"/>
        </w:trPr>
        <w:tc>
          <w:tcPr>
            <w:tcW w:w="2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
        </w:trPr>
        <w:tc>
          <w:tcPr>
            <w:tcW w:w="29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r>
    </w:tbl>
    <w:p>
      <w:pPr>
        <w:spacing w:after="0" w:line="31" w:lineRule="exact"/>
        <w:rPr>
          <w:sz w:val="20"/>
          <w:szCs w:val="20"/>
          <w:color w:val="auto"/>
        </w:rPr>
      </w:pPr>
    </w:p>
    <w:p>
      <w:pPr>
        <w:ind w:left="380" w:right="40" w:hanging="372"/>
        <w:spacing w:after="0" w:line="235" w:lineRule="auto"/>
        <w:tabs>
          <w:tab w:leader="none" w:pos="380" w:val="left"/>
        </w:tabs>
        <w:numPr>
          <w:ilvl w:val="0"/>
          <w:numId w:val="8"/>
        </w:numPr>
        <w:rPr>
          <w:rFonts w:ascii="Arial" w:cs="Arial" w:eastAsia="Arial" w:hAnsi="Arial"/>
          <w:sz w:val="9"/>
          <w:szCs w:val="9"/>
          <w:b w:val="1"/>
          <w:bCs w:val="1"/>
          <w:color w:val="auto"/>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ind w:left="380" w:hanging="372"/>
        <w:spacing w:after="0" w:line="230" w:lineRule="auto"/>
        <w:tabs>
          <w:tab w:leader="none" w:pos="380" w:val="left"/>
        </w:tabs>
        <w:numPr>
          <w:ilvl w:val="0"/>
          <w:numId w:val="8"/>
        </w:numPr>
        <w:rPr>
          <w:rFonts w:ascii="Arial" w:cs="Arial" w:eastAsia="Arial" w:hAnsi="Arial"/>
          <w:sz w:val="9"/>
          <w:szCs w:val="9"/>
          <w:b w:val="1"/>
          <w:bCs w:val="1"/>
          <w:color w:val="auto"/>
        </w:rPr>
      </w:pPr>
      <w:r>
        <w:rPr>
          <w:rFonts w:ascii="Arial" w:cs="Arial" w:eastAsia="Arial" w:hAnsi="Arial"/>
          <w:sz w:val="11"/>
          <w:szCs w:val="11"/>
          <w:color w:val="auto"/>
        </w:rPr>
        <w:t>Valued based on PSSL’s accounting policy.</w:t>
      </w:r>
    </w:p>
    <w:p>
      <w:pPr>
        <w:ind w:left="380" w:hanging="372"/>
        <w:spacing w:after="0" w:line="230" w:lineRule="auto"/>
        <w:tabs>
          <w:tab w:leader="none" w:pos="380" w:val="left"/>
        </w:tabs>
        <w:numPr>
          <w:ilvl w:val="0"/>
          <w:numId w:val="8"/>
        </w:numPr>
        <w:rPr>
          <w:rFonts w:ascii="Arial" w:cs="Arial" w:eastAsia="Arial" w:hAnsi="Arial"/>
          <w:sz w:val="9"/>
          <w:szCs w:val="9"/>
          <w:b w:val="1"/>
          <w:bCs w:val="1"/>
          <w:color w:val="auto"/>
        </w:rPr>
      </w:pPr>
      <w:r>
        <w:rPr>
          <w:rFonts w:ascii="Arial" w:cs="Arial" w:eastAsia="Arial" w:hAnsi="Arial"/>
          <w:sz w:val="11"/>
          <w:szCs w:val="11"/>
          <w:color w:val="auto"/>
        </w:rPr>
        <w:t>Non-U.S. company or principal place of business outside the United States.</w:t>
      </w:r>
    </w:p>
    <w:p>
      <w:pPr>
        <w:ind w:left="380" w:hanging="372"/>
        <w:spacing w:after="0" w:line="230" w:lineRule="auto"/>
        <w:tabs>
          <w:tab w:leader="none" w:pos="380" w:val="left"/>
        </w:tabs>
        <w:numPr>
          <w:ilvl w:val="0"/>
          <w:numId w:val="8"/>
        </w:numPr>
        <w:rPr>
          <w:rFonts w:ascii="Arial" w:cs="Arial" w:eastAsia="Arial" w:hAnsi="Arial"/>
          <w:sz w:val="9"/>
          <w:szCs w:val="9"/>
          <w:b w:val="1"/>
          <w:bCs w:val="1"/>
          <w:color w:val="auto"/>
        </w:rPr>
      </w:pPr>
      <w:r>
        <w:rPr>
          <w:rFonts w:ascii="Arial" w:cs="Arial" w:eastAsia="Arial" w:hAnsi="Arial"/>
          <w:sz w:val="11"/>
          <w:szCs w:val="11"/>
          <w:color w:val="auto"/>
        </w:rPr>
        <w:t>Par amount is denominated in Australian Dollars (A$) or in Canadian Dollars (C$) as denoted.</w:t>
      </w:r>
    </w:p>
    <w:p>
      <w:pPr>
        <w:ind w:left="380" w:hanging="372"/>
        <w:spacing w:after="0"/>
        <w:tabs>
          <w:tab w:leader="none" w:pos="380" w:val="left"/>
        </w:tabs>
        <w:numPr>
          <w:ilvl w:val="0"/>
          <w:numId w:val="8"/>
        </w:numPr>
        <w:rPr>
          <w:rFonts w:ascii="Arial" w:cs="Arial" w:eastAsia="Arial" w:hAnsi="Arial"/>
          <w:sz w:val="9"/>
          <w:szCs w:val="9"/>
          <w:b w:val="1"/>
          <w:bCs w:val="1"/>
          <w:color w:val="auto"/>
        </w:rPr>
      </w:pPr>
      <w:r>
        <w:rPr>
          <w:rFonts w:ascii="Arial" w:cs="Arial" w:eastAsia="Arial" w:hAnsi="Arial"/>
          <w:sz w:val="11"/>
          <w:szCs w:val="11"/>
          <w:color w:val="auto"/>
        </w:rPr>
        <w:t>Non-income producing security.</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the financial information for PSSL:</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60" w:type="dxa"/>
            <w:vAlign w:val="bottom"/>
          </w:tcPr>
          <w:p>
            <w:pPr>
              <w:spacing w:after="0"/>
              <w:rPr>
                <w:sz w:val="16"/>
                <w:szCs w:val="16"/>
                <w:color w:val="auto"/>
              </w:rPr>
            </w:pPr>
          </w:p>
        </w:tc>
        <w:tc>
          <w:tcPr>
            <w:tcW w:w="4080" w:type="dxa"/>
            <w:vAlign w:val="bottom"/>
          </w:tcPr>
          <w:p>
            <w:pPr>
              <w:ind w:left="1520"/>
              <w:spacing w:after="0"/>
              <w:rPr>
                <w:sz w:val="20"/>
                <w:szCs w:val="20"/>
                <w:color w:val="auto"/>
              </w:rPr>
            </w:pPr>
            <w:r>
              <w:rPr>
                <w:rFonts w:ascii="Arial" w:cs="Arial" w:eastAsia="Arial" w:hAnsi="Arial"/>
                <w:sz w:val="14"/>
                <w:szCs w:val="14"/>
                <w:b w:val="1"/>
                <w:bCs w:val="1"/>
                <w:color w:val="auto"/>
              </w:rPr>
              <w:t>Statements of Assets and Liabilities</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9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6"/>
              </w:rPr>
              <w:t>March 31, 2021</w:t>
            </w:r>
          </w:p>
        </w:tc>
        <w:tc>
          <w:tcPr>
            <w:tcW w:w="140" w:type="dxa"/>
            <w:vAlign w:val="bottom"/>
          </w:tcPr>
          <w:p>
            <w:pPr>
              <w:spacing w:after="0"/>
              <w:rPr>
                <w:sz w:val="24"/>
                <w:szCs w:val="2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171"/>
        </w:trPr>
        <w:tc>
          <w:tcPr>
            <w:tcW w:w="7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Assets</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04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0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Investments at fair value (cost—$492,710,399 and $408,251,402, respectively)</w:t>
            </w:r>
          </w:p>
        </w:tc>
        <w:tc>
          <w:tcPr>
            <w:tcW w:w="620" w:type="dxa"/>
            <w:vAlign w:val="bottom"/>
            <w:gridSpan w:val="2"/>
            <w:shd w:val="clear" w:color="auto" w:fill="CCEC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485,117,492</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jc w:val="right"/>
              <w:ind w:right="29"/>
              <w:spacing w:after="0"/>
              <w:rPr>
                <w:sz w:val="20"/>
                <w:szCs w:val="20"/>
                <w:color w:val="auto"/>
              </w:rPr>
            </w:pPr>
            <w:r>
              <w:rPr>
                <w:rFonts w:ascii="Arial" w:cs="Arial" w:eastAsia="Arial" w:hAnsi="Arial"/>
                <w:sz w:val="10"/>
                <w:szCs w:val="10"/>
                <w:color w:val="auto"/>
                <w:w w:val="71"/>
              </w:rPr>
              <w:t>$</w:t>
            </w: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392,986,090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gridSpan w:val="2"/>
          </w:tcPr>
          <w:p>
            <w:pPr>
              <w:spacing w:after="0"/>
              <w:rPr>
                <w:sz w:val="20"/>
                <w:szCs w:val="20"/>
                <w:color w:val="auto"/>
              </w:rPr>
            </w:pPr>
            <w:r>
              <w:rPr>
                <w:rFonts w:ascii="Arial" w:cs="Arial" w:eastAsia="Arial" w:hAnsi="Arial"/>
                <w:sz w:val="14"/>
                <w:szCs w:val="14"/>
                <w:color w:val="auto"/>
              </w:rPr>
              <w:t>Cash and cash equivalents (cost—$43,732,593 and $11,115,373, respectively)</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43,731,177</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11,121,479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Interest receivable</w:t>
            </w:r>
          </w:p>
        </w:tc>
        <w:tc>
          <w:tcPr>
            <w:tcW w:w="4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1,897,994</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2,235,595</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Prepaid expenses and other assets</w:t>
            </w:r>
          </w:p>
        </w:tc>
        <w:tc>
          <w:tcPr>
            <w:tcW w:w="400" w:type="dxa"/>
            <w:vAlign w:val="bottom"/>
            <w:tcBorders>
              <w:bottom w:val="single" w:sz="8" w:color="CCEC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1,424,936</w:t>
            </w:r>
          </w:p>
        </w:tc>
        <w:tc>
          <w:tcPr>
            <w:tcW w:w="30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62,812</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040" w:type="dxa"/>
            <w:vAlign w:val="bottom"/>
            <w:gridSpan w:val="2"/>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assets</w:t>
            </w:r>
          </w:p>
        </w:tc>
        <w:tc>
          <w:tcPr>
            <w:tcW w:w="40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14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532,171,599</w:t>
            </w:r>
          </w:p>
        </w:tc>
        <w:tc>
          <w:tcPr>
            <w:tcW w:w="300" w:type="dxa"/>
            <w:vAlign w:val="bottom"/>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15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406,405,976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0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0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Payable for investments purchased</w:t>
            </w:r>
          </w:p>
        </w:tc>
        <w:tc>
          <w:tcPr>
            <w:tcW w:w="4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2,627,308</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66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040" w:type="dxa"/>
            <w:vAlign w:val="bottom"/>
            <w:gridSpan w:val="2"/>
          </w:tcPr>
          <w:p>
            <w:pPr>
              <w:spacing w:after="0"/>
              <w:rPr>
                <w:sz w:val="20"/>
                <w:szCs w:val="20"/>
                <w:color w:val="auto"/>
              </w:rPr>
            </w:pPr>
            <w:r>
              <w:rPr>
                <w:rFonts w:ascii="Arial" w:cs="Arial" w:eastAsia="Arial" w:hAnsi="Arial"/>
                <w:sz w:val="14"/>
                <w:szCs w:val="14"/>
                <w:color w:val="auto"/>
              </w:rPr>
              <w:t>PSSL Credit Facility payable</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89,000,000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0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Capital One, N.A. credit facility payable</w:t>
            </w:r>
          </w:p>
        </w:tc>
        <w:tc>
          <w:tcPr>
            <w:tcW w:w="4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780" w:type="dxa"/>
            <w:vAlign w:val="bottom"/>
            <w:gridSpan w:val="2"/>
            <w:shd w:val="clear" w:color="auto" w:fill="CCECFF"/>
          </w:tcPr>
          <w:p>
            <w:pPr>
              <w:jc w:val="right"/>
              <w:ind w:right="3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216,969,469</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gridSpan w:val="2"/>
          </w:tcPr>
          <w:p>
            <w:pPr>
              <w:spacing w:after="0"/>
              <w:rPr>
                <w:sz w:val="20"/>
                <w:szCs w:val="20"/>
                <w:color w:val="auto"/>
              </w:rPr>
            </w:pPr>
            <w:r>
              <w:rPr>
                <w:rFonts w:ascii="Arial" w:cs="Arial" w:eastAsia="Arial" w:hAnsi="Arial"/>
                <w:sz w:val="14"/>
                <w:szCs w:val="14"/>
                <w:color w:val="auto"/>
              </w:rPr>
              <w:t>2032 Asset-Backed Debt, net (par—$246,000,000)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242,452,861</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0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Notes payable to members</w:t>
            </w:r>
          </w:p>
        </w:tc>
        <w:tc>
          <w:tcPr>
            <w:tcW w:w="4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144,550,000</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143,290,000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gridSpan w:val="2"/>
          </w:tcPr>
          <w:p>
            <w:pPr>
              <w:spacing w:after="0"/>
              <w:rPr>
                <w:sz w:val="20"/>
                <w:szCs w:val="20"/>
                <w:color w:val="auto"/>
              </w:rPr>
            </w:pPr>
            <w:r>
              <w:rPr>
                <w:rFonts w:ascii="Arial" w:cs="Arial" w:eastAsia="Arial" w:hAnsi="Arial"/>
                <w:sz w:val="14"/>
                <w:szCs w:val="14"/>
                <w:color w:val="auto"/>
              </w:rPr>
              <w:t>Interest payable on PSSL Credit Facility</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1,444,561</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490,858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Interest payable on notes to members</w:t>
            </w:r>
          </w:p>
        </w:tc>
        <w:tc>
          <w:tcPr>
            <w:tcW w:w="4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32,935</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32,719</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Accrued other expenses</w:t>
            </w:r>
          </w:p>
        </w:tc>
        <w:tc>
          <w:tcPr>
            <w:tcW w:w="400" w:type="dxa"/>
            <w:vAlign w:val="bottom"/>
            <w:tcBorders>
              <w:bottom w:val="single" w:sz="8" w:color="CCEC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57,834</w:t>
            </w:r>
          </w:p>
        </w:tc>
        <w:tc>
          <w:tcPr>
            <w:tcW w:w="30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10,845</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040" w:type="dxa"/>
            <w:vAlign w:val="bottom"/>
            <w:gridSpan w:val="2"/>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liabilities</w:t>
            </w:r>
          </w:p>
        </w:tc>
        <w:tc>
          <w:tcPr>
            <w:tcW w:w="40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14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480,165,499</w:t>
            </w:r>
          </w:p>
        </w:tc>
        <w:tc>
          <w:tcPr>
            <w:tcW w:w="300" w:type="dxa"/>
            <w:vAlign w:val="bottom"/>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15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360,793,891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40" w:type="dxa"/>
            <w:vAlign w:val="bottom"/>
            <w:tcBorders>
              <w:bottom w:val="single" w:sz="8" w:color="CCECFF"/>
            </w:tcBorders>
            <w:gridSpan w:val="2"/>
          </w:tcPr>
          <w:p>
            <w:pPr>
              <w:spacing w:after="0" w:line="155" w:lineRule="exact"/>
              <w:rPr>
                <w:sz w:val="20"/>
                <w:szCs w:val="20"/>
                <w:color w:val="auto"/>
              </w:rPr>
            </w:pPr>
            <w:r>
              <w:rPr>
                <w:rFonts w:ascii="Arial" w:cs="Arial" w:eastAsia="Arial" w:hAnsi="Arial"/>
                <w:sz w:val="14"/>
                <w:szCs w:val="14"/>
                <w:color w:val="auto"/>
              </w:rPr>
              <w:t xml:space="preserve">Commitments and contingencies </w:t>
            </w:r>
            <w:r>
              <w:rPr>
                <w:rFonts w:ascii="Arial" w:cs="Arial" w:eastAsia="Arial" w:hAnsi="Arial"/>
                <w:sz w:val="12"/>
                <w:szCs w:val="12"/>
                <w:color w:val="auto"/>
              </w:rPr>
              <w:t>(1)</w:t>
            </w:r>
          </w:p>
        </w:tc>
        <w:tc>
          <w:tcPr>
            <w:tcW w:w="40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CCEC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040" w:type="dxa"/>
            <w:vAlign w:val="bottom"/>
            <w:gridSpan w:val="2"/>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Members' equity</w:t>
            </w:r>
          </w:p>
        </w:tc>
        <w:tc>
          <w:tcPr>
            <w:tcW w:w="40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14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52,006,100</w:t>
            </w:r>
          </w:p>
        </w:tc>
        <w:tc>
          <w:tcPr>
            <w:tcW w:w="300" w:type="dxa"/>
            <w:vAlign w:val="bottom"/>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15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45,612,085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40" w:type="dxa"/>
            <w:vAlign w:val="bottom"/>
            <w:gridSpan w:val="2"/>
          </w:tcPr>
          <w:p>
            <w:pPr>
              <w:ind w:left="740"/>
              <w:spacing w:after="0" w:line="155" w:lineRule="exact"/>
              <w:rPr>
                <w:sz w:val="20"/>
                <w:szCs w:val="20"/>
                <w:color w:val="auto"/>
              </w:rPr>
            </w:pPr>
            <w:r>
              <w:rPr>
                <w:rFonts w:ascii="Arial" w:cs="Arial" w:eastAsia="Arial" w:hAnsi="Arial"/>
                <w:sz w:val="14"/>
                <w:szCs w:val="14"/>
                <w:b w:val="1"/>
                <w:bCs w:val="1"/>
                <w:color w:val="auto"/>
              </w:rPr>
              <w:t>Total liabilities and members' equity</w:t>
            </w:r>
          </w:p>
        </w:tc>
        <w:tc>
          <w:tcPr>
            <w:tcW w:w="40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532,171,599</w:t>
            </w:r>
          </w:p>
        </w:tc>
        <w:tc>
          <w:tcPr>
            <w:tcW w:w="300" w:type="dxa"/>
            <w:vAlign w:val="bottom"/>
          </w:tcPr>
          <w:p>
            <w:pPr>
              <w:spacing w:after="0"/>
              <w:rPr>
                <w:sz w:val="13"/>
                <w:szCs w:val="13"/>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406,405,976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960" w:type="dxa"/>
            <w:vAlign w:val="bottom"/>
            <w:tcBorders>
              <w:bottom w:val="single" w:sz="8" w:color="auto"/>
            </w:tcBorders>
          </w:tcPr>
          <w:p>
            <w:pPr>
              <w:spacing w:after="0"/>
              <w:rPr>
                <w:sz w:val="3"/>
                <w:szCs w:val="3"/>
                <w:color w:val="auto"/>
              </w:rPr>
            </w:pPr>
          </w:p>
        </w:tc>
        <w:tc>
          <w:tcPr>
            <w:tcW w:w="4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380" w:hanging="372"/>
        <w:spacing w:after="0" w:line="211" w:lineRule="auto"/>
        <w:tabs>
          <w:tab w:leader="none" w:pos="380" w:val="left"/>
        </w:tabs>
        <w:numPr>
          <w:ilvl w:val="0"/>
          <w:numId w:val="9"/>
        </w:numPr>
        <w:rPr>
          <w:rFonts w:ascii="Arial" w:cs="Arial" w:eastAsia="Arial" w:hAnsi="Arial"/>
          <w:sz w:val="18"/>
          <w:szCs w:val="18"/>
          <w:b w:val="1"/>
          <w:bCs w:val="1"/>
          <w:color w:val="auto"/>
          <w:vertAlign w:val="superscript"/>
        </w:rPr>
      </w:pPr>
      <w:r>
        <w:rPr>
          <w:rFonts w:ascii="Arial" w:cs="Arial" w:eastAsia="Arial" w:hAnsi="Arial"/>
          <w:sz w:val="12"/>
          <w:szCs w:val="12"/>
          <w:color w:val="auto"/>
        </w:rPr>
        <w:t>As of March 31, 2021 and September 30, 2020, PSSL had unfunded commitments to fund investments of $0.6 million and zero, respectively.</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92"/>
              </w:rPr>
              <w:t>Statements of Operations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9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Pr>
          <w:p>
            <w:pPr>
              <w:spacing w:after="0"/>
              <w:rPr>
                <w:sz w:val="14"/>
                <w:szCs w:val="14"/>
                <w:color w:val="auto"/>
              </w:rPr>
            </w:pPr>
          </w:p>
        </w:tc>
        <w:tc>
          <w:tcPr>
            <w:tcW w:w="24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Six Months Ended March 31,</w:t>
            </w:r>
          </w:p>
        </w:tc>
      </w:tr>
      <w:tr>
        <w:trPr>
          <w:trHeight w:val="155"/>
        </w:trPr>
        <w:tc>
          <w:tcPr>
            <w:tcW w:w="2940" w:type="dxa"/>
            <w:vAlign w:val="bottom"/>
            <w:tcBorders>
              <w:bottom w:val="single" w:sz="8" w:color="CCECFF"/>
            </w:tcBorders>
          </w:tcPr>
          <w:p>
            <w:pPr>
              <w:spacing w:after="0"/>
              <w:rPr>
                <w:sz w:val="13"/>
                <w:szCs w:val="13"/>
                <w:color w:val="auto"/>
              </w:rPr>
            </w:pPr>
          </w:p>
        </w:tc>
        <w:tc>
          <w:tcPr>
            <w:tcW w:w="1800" w:type="dxa"/>
            <w:vAlign w:val="bottom"/>
            <w:tcBorders>
              <w:bottom w:val="single" w:sz="8" w:color="CCECFF"/>
            </w:tcBorders>
          </w:tcPr>
          <w:p>
            <w:pPr>
              <w:spacing w:after="0"/>
              <w:rPr>
                <w:sz w:val="13"/>
                <w:szCs w:val="13"/>
                <w:color w:val="auto"/>
              </w:rPr>
            </w:pPr>
          </w:p>
        </w:tc>
        <w:tc>
          <w:tcPr>
            <w:tcW w:w="940" w:type="dxa"/>
            <w:vAlign w:val="bottom"/>
            <w:tcBorders>
              <w:bottom w:val="single" w:sz="8" w:color="CCEC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CFF"/>
            </w:tcBorders>
          </w:tcPr>
          <w:p>
            <w:pPr>
              <w:spacing w:after="0"/>
              <w:rPr>
                <w:sz w:val="13"/>
                <w:szCs w:val="13"/>
                <w:color w:val="auto"/>
              </w:rPr>
            </w:pPr>
          </w:p>
        </w:tc>
        <w:tc>
          <w:tcPr>
            <w:tcW w:w="100" w:type="dxa"/>
            <w:vAlign w:val="bottom"/>
            <w:tcBorders>
              <w:top w:val="single" w:sz="8" w:color="auto"/>
              <w:bottom w:val="single" w:sz="8" w:color="CCEC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CFF"/>
            </w:tcBorders>
          </w:tcPr>
          <w:p>
            <w:pPr>
              <w:spacing w:after="0"/>
              <w:rPr>
                <w:sz w:val="13"/>
                <w:szCs w:val="13"/>
                <w:color w:val="auto"/>
              </w:rPr>
            </w:pPr>
          </w:p>
        </w:tc>
        <w:tc>
          <w:tcPr>
            <w:tcW w:w="100" w:type="dxa"/>
            <w:vAlign w:val="bottom"/>
            <w:tcBorders>
              <w:top w:val="single" w:sz="8" w:color="auto"/>
              <w:bottom w:val="single" w:sz="8" w:color="CCEC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CFF"/>
            </w:tcBorders>
          </w:tcPr>
          <w:p>
            <w:pPr>
              <w:spacing w:after="0"/>
              <w:rPr>
                <w:sz w:val="13"/>
                <w:szCs w:val="13"/>
                <w:color w:val="auto"/>
              </w:rPr>
            </w:pPr>
          </w:p>
        </w:tc>
      </w:tr>
      <w:tr>
        <w:trPr>
          <w:trHeight w:val="156"/>
        </w:trPr>
        <w:tc>
          <w:tcPr>
            <w:tcW w:w="474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9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4740" w:type="dxa"/>
            <w:vAlign w:val="bottom"/>
            <w:gridSpan w:val="2"/>
          </w:tcPr>
          <w:p>
            <w:pPr>
              <w:ind w:left="260"/>
              <w:spacing w:after="0"/>
              <w:rPr>
                <w:sz w:val="20"/>
                <w:szCs w:val="20"/>
                <w:color w:val="auto"/>
              </w:rPr>
            </w:pPr>
            <w:r>
              <w:rPr>
                <w:rFonts w:ascii="Arial" w:cs="Arial" w:eastAsia="Arial" w:hAnsi="Arial"/>
                <w:sz w:val="14"/>
                <w:szCs w:val="14"/>
                <w:color w:val="auto"/>
              </w:rPr>
              <w:t>Interest</w:t>
            </w:r>
          </w:p>
        </w:tc>
        <w:tc>
          <w:tcPr>
            <w:tcW w:w="11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8,305,134</w:t>
            </w:r>
          </w:p>
        </w:tc>
        <w:tc>
          <w:tcPr>
            <w:tcW w:w="140" w:type="dxa"/>
            <w:vAlign w:val="bottom"/>
          </w:tcPr>
          <w:p>
            <w:pPr>
              <w:spacing w:after="0"/>
              <w:rPr>
                <w:sz w:val="14"/>
                <w:szCs w:val="14"/>
                <w:color w:val="auto"/>
              </w:rPr>
            </w:pPr>
          </w:p>
        </w:tc>
        <w:tc>
          <w:tcPr>
            <w:tcW w:w="36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8,623,991</w:t>
            </w:r>
          </w:p>
        </w:tc>
        <w:tc>
          <w:tcPr>
            <w:tcW w:w="240" w:type="dxa"/>
            <w:vAlign w:val="bottom"/>
          </w:tcPr>
          <w:p>
            <w:pPr>
              <w:spacing w:after="0"/>
              <w:rPr>
                <w:sz w:val="14"/>
                <w:szCs w:val="14"/>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15,053,073</w:t>
            </w:r>
          </w:p>
        </w:tc>
        <w:tc>
          <w:tcPr>
            <w:tcW w:w="140" w:type="dxa"/>
            <w:vAlign w:val="bottom"/>
          </w:tcPr>
          <w:p>
            <w:pPr>
              <w:spacing w:after="0"/>
              <w:rPr>
                <w:sz w:val="14"/>
                <w:szCs w:val="14"/>
                <w:color w:val="auto"/>
              </w:rPr>
            </w:pPr>
          </w:p>
        </w:tc>
        <w:tc>
          <w:tcPr>
            <w:tcW w:w="36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17,399,249</w:t>
            </w:r>
          </w:p>
        </w:tc>
        <w:tc>
          <w:tcPr>
            <w:tcW w:w="100" w:type="dxa"/>
            <w:vAlign w:val="bottom"/>
          </w:tcPr>
          <w:p>
            <w:pPr>
              <w:spacing w:after="0"/>
              <w:rPr>
                <w:sz w:val="14"/>
                <w:szCs w:val="14"/>
                <w:color w:val="auto"/>
              </w:rPr>
            </w:pPr>
          </w:p>
        </w:tc>
      </w:tr>
      <w:tr>
        <w:trPr>
          <w:trHeight w:val="162"/>
        </w:trPr>
        <w:tc>
          <w:tcPr>
            <w:tcW w:w="474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Other income</w:t>
            </w:r>
          </w:p>
        </w:tc>
        <w:tc>
          <w:tcPr>
            <w:tcW w:w="9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95,942</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2,994</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251,326</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(3,637)</w:t>
            </w:r>
          </w:p>
        </w:tc>
      </w:tr>
      <w:tr>
        <w:trPr>
          <w:trHeight w:val="155"/>
        </w:trPr>
        <w:tc>
          <w:tcPr>
            <w:tcW w:w="4740" w:type="dxa"/>
            <w:vAlign w:val="bottom"/>
            <w:tcBorders>
              <w:bottom w:val="single" w:sz="8" w:color="CCECFF"/>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940" w:type="dxa"/>
            <w:vAlign w:val="bottom"/>
            <w:tcBorders>
              <w:bottom w:val="single" w:sz="8" w:color="CCEC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8,401,076</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8,626,985</w:t>
            </w:r>
          </w:p>
        </w:tc>
        <w:tc>
          <w:tcPr>
            <w:tcW w:w="24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15,304,399</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17,395,612</w:t>
            </w:r>
          </w:p>
        </w:tc>
        <w:tc>
          <w:tcPr>
            <w:tcW w:w="100" w:type="dxa"/>
            <w:vAlign w:val="bottom"/>
            <w:tcBorders>
              <w:bottom w:val="single" w:sz="8" w:color="CCECFF"/>
            </w:tcBorders>
          </w:tcPr>
          <w:p>
            <w:pPr>
              <w:spacing w:after="0"/>
              <w:rPr>
                <w:sz w:val="13"/>
                <w:szCs w:val="13"/>
                <w:color w:val="auto"/>
              </w:rPr>
            </w:pPr>
          </w:p>
        </w:tc>
      </w:tr>
      <w:tr>
        <w:trPr>
          <w:trHeight w:val="155"/>
        </w:trPr>
        <w:tc>
          <w:tcPr>
            <w:tcW w:w="474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9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4740" w:type="dxa"/>
            <w:vAlign w:val="bottom"/>
            <w:gridSpan w:val="2"/>
          </w:tcPr>
          <w:p>
            <w:pPr>
              <w:ind w:left="260"/>
              <w:spacing w:after="0"/>
              <w:rPr>
                <w:sz w:val="20"/>
                <w:szCs w:val="20"/>
                <w:color w:val="auto"/>
              </w:rPr>
            </w:pPr>
            <w:r>
              <w:rPr>
                <w:rFonts w:ascii="Arial" w:cs="Arial" w:eastAsia="Arial" w:hAnsi="Arial"/>
                <w:sz w:val="14"/>
                <w:szCs w:val="14"/>
                <w:color w:val="auto"/>
                <w:w w:val="94"/>
              </w:rPr>
              <w:t>Interest and expenses on PSSL Credit Facility and 2032 Asset-Backed Debt</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2,402,766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3,341,355</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3,818,773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6,746,751</w:t>
            </w:r>
          </w:p>
        </w:tc>
        <w:tc>
          <w:tcPr>
            <w:tcW w:w="100" w:type="dxa"/>
            <w:vAlign w:val="bottom"/>
          </w:tcPr>
          <w:p>
            <w:pPr>
              <w:spacing w:after="0"/>
              <w:rPr>
                <w:sz w:val="14"/>
                <w:szCs w:val="14"/>
                <w:color w:val="auto"/>
              </w:rPr>
            </w:pPr>
          </w:p>
        </w:tc>
      </w:tr>
      <w:tr>
        <w:trPr>
          <w:trHeight w:val="162"/>
        </w:trPr>
        <w:tc>
          <w:tcPr>
            <w:tcW w:w="474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Interest expense on notes to members</w:t>
            </w:r>
          </w:p>
        </w:tc>
        <w:tc>
          <w:tcPr>
            <w:tcW w:w="9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3,086,113</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3,508,325</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6,140,631</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7,139,570</w:t>
            </w:r>
          </w:p>
        </w:tc>
        <w:tc>
          <w:tcPr>
            <w:tcW w:w="100" w:type="dxa"/>
            <w:vAlign w:val="bottom"/>
            <w:shd w:val="clear" w:color="auto" w:fill="CCECFF"/>
          </w:tcPr>
          <w:p>
            <w:pPr>
              <w:spacing w:after="0"/>
              <w:rPr>
                <w:sz w:val="14"/>
                <w:szCs w:val="14"/>
                <w:color w:val="auto"/>
              </w:rPr>
            </w:pPr>
          </w:p>
        </w:tc>
      </w:tr>
      <w:tr>
        <w:trPr>
          <w:trHeight w:val="162"/>
        </w:trPr>
        <w:tc>
          <w:tcPr>
            <w:tcW w:w="4740" w:type="dxa"/>
            <w:vAlign w:val="bottom"/>
            <w:gridSpan w:val="2"/>
          </w:tcPr>
          <w:p>
            <w:pPr>
              <w:ind w:left="260"/>
              <w:spacing w:after="0"/>
              <w:rPr>
                <w:sz w:val="20"/>
                <w:szCs w:val="20"/>
                <w:color w:val="auto"/>
              </w:rPr>
            </w:pPr>
            <w:r>
              <w:rPr>
                <w:rFonts w:ascii="Arial" w:cs="Arial" w:eastAsia="Arial" w:hAnsi="Arial"/>
                <w:sz w:val="14"/>
                <w:szCs w:val="14"/>
                <w:color w:val="auto"/>
              </w:rPr>
              <w:t>Administrative services expenses</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300,000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300,000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600,000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600,000</w:t>
            </w:r>
          </w:p>
        </w:tc>
        <w:tc>
          <w:tcPr>
            <w:tcW w:w="100" w:type="dxa"/>
            <w:vAlign w:val="bottom"/>
          </w:tcPr>
          <w:p>
            <w:pPr>
              <w:spacing w:after="0"/>
              <w:rPr>
                <w:sz w:val="14"/>
                <w:szCs w:val="14"/>
                <w:color w:val="auto"/>
              </w:rPr>
            </w:pPr>
          </w:p>
        </w:tc>
      </w:tr>
      <w:tr>
        <w:trPr>
          <w:trHeight w:val="162"/>
        </w:trPr>
        <w:tc>
          <w:tcPr>
            <w:tcW w:w="474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 xml:space="preserve">Other general and administrative expenses </w:t>
            </w:r>
            <w:r>
              <w:rPr>
                <w:rFonts w:ascii="Arial" w:cs="Arial" w:eastAsia="Arial" w:hAnsi="Arial"/>
                <w:sz w:val="12"/>
                <w:szCs w:val="12"/>
                <w:color w:val="auto"/>
              </w:rPr>
              <w:t>(1)</w:t>
            </w:r>
          </w:p>
        </w:tc>
        <w:tc>
          <w:tcPr>
            <w:tcW w:w="940" w:type="dxa"/>
            <w:vAlign w:val="bottom"/>
            <w:shd w:val="clear" w:color="auto" w:fill="CCECFF"/>
          </w:tcPr>
          <w:p>
            <w:pPr>
              <w:spacing w:after="0"/>
              <w:rPr>
                <w:sz w:val="14"/>
                <w:szCs w:val="14"/>
                <w:color w:val="auto"/>
              </w:rPr>
            </w:pPr>
          </w:p>
        </w:tc>
        <w:tc>
          <w:tcPr>
            <w:tcW w:w="180" w:type="dxa"/>
            <w:vAlign w:val="bottom"/>
            <w:tcBorders>
              <w:bottom w:val="single" w:sz="8" w:color="auto"/>
            </w:tcBorders>
            <w:shd w:val="clear" w:color="auto" w:fill="CCECFF"/>
          </w:tcPr>
          <w:p>
            <w:pPr>
              <w:spacing w:after="0"/>
              <w:rPr>
                <w:sz w:val="14"/>
                <w:szCs w:val="14"/>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195,317</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113,650</w:t>
            </w:r>
          </w:p>
        </w:tc>
        <w:tc>
          <w:tcPr>
            <w:tcW w:w="24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390,634</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227,360</w:t>
            </w:r>
          </w:p>
        </w:tc>
        <w:tc>
          <w:tcPr>
            <w:tcW w:w="100" w:type="dxa"/>
            <w:vAlign w:val="bottom"/>
            <w:shd w:val="clear" w:color="auto" w:fill="CCECFF"/>
          </w:tcPr>
          <w:p>
            <w:pPr>
              <w:spacing w:after="0"/>
              <w:rPr>
                <w:sz w:val="14"/>
                <w:szCs w:val="14"/>
                <w:color w:val="auto"/>
              </w:rPr>
            </w:pPr>
          </w:p>
        </w:tc>
      </w:tr>
      <w:tr>
        <w:trPr>
          <w:trHeight w:val="155"/>
        </w:trPr>
        <w:tc>
          <w:tcPr>
            <w:tcW w:w="4740" w:type="dxa"/>
            <w:vAlign w:val="bottom"/>
            <w:tcBorders>
              <w:bottom w:val="single" w:sz="8" w:color="CCECFF"/>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Total expenses</w:t>
            </w:r>
          </w:p>
        </w:tc>
        <w:tc>
          <w:tcPr>
            <w:tcW w:w="940" w:type="dxa"/>
            <w:vAlign w:val="bottom"/>
            <w:tcBorders>
              <w:bottom w:val="single" w:sz="8" w:color="CCEC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5,984,196</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7,263,330</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10,950,038</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14,713,681</w:t>
            </w:r>
          </w:p>
        </w:tc>
        <w:tc>
          <w:tcPr>
            <w:tcW w:w="100" w:type="dxa"/>
            <w:vAlign w:val="bottom"/>
            <w:tcBorders>
              <w:bottom w:val="single" w:sz="8" w:color="CCECFF"/>
            </w:tcBorders>
          </w:tcPr>
          <w:p>
            <w:pPr>
              <w:spacing w:after="0"/>
              <w:rPr>
                <w:sz w:val="13"/>
                <w:szCs w:val="13"/>
                <w:color w:val="auto"/>
              </w:rPr>
            </w:pPr>
          </w:p>
        </w:tc>
      </w:tr>
      <w:tr>
        <w:trPr>
          <w:trHeight w:val="155"/>
        </w:trPr>
        <w:tc>
          <w:tcPr>
            <w:tcW w:w="4740" w:type="dxa"/>
            <w:vAlign w:val="bottom"/>
            <w:gridSpan w:val="2"/>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940" w:type="dxa"/>
            <w:vAlign w:val="bottom"/>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2,416,880</w:t>
            </w: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spacing w:after="0"/>
              <w:rPr>
                <w:sz w:val="13"/>
                <w:szCs w:val="13"/>
                <w:color w:val="auto"/>
              </w:rPr>
            </w:pP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1,363,655</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4,354,361</w:t>
            </w: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spacing w:after="0"/>
              <w:rPr>
                <w:sz w:val="13"/>
                <w:szCs w:val="13"/>
                <w:color w:val="auto"/>
              </w:rPr>
            </w:pP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2,681,931</w:t>
            </w:r>
          </w:p>
        </w:tc>
        <w:tc>
          <w:tcPr>
            <w:tcW w:w="100" w:type="dxa"/>
            <w:vAlign w:val="bottom"/>
            <w:shd w:val="clear" w:color="auto" w:fill="CCECFF"/>
          </w:tcPr>
          <w:p>
            <w:pPr>
              <w:spacing w:after="0"/>
              <w:rPr>
                <w:sz w:val="13"/>
                <w:szCs w:val="13"/>
                <w:color w:val="auto"/>
              </w:rPr>
            </w:pPr>
          </w:p>
        </w:tc>
      </w:tr>
      <w:tr>
        <w:trPr>
          <w:trHeight w:val="133"/>
        </w:trPr>
        <w:tc>
          <w:tcPr>
            <w:tcW w:w="474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2"/>
              </w:rPr>
              <w:t>Realized and unrealized gain (loss) on investments and credit facility foreign</w:t>
            </w: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1"/>
        </w:trPr>
        <w:tc>
          <w:tcPr>
            <w:tcW w:w="4740" w:type="dxa"/>
            <w:vAlign w:val="bottom"/>
            <w:gridSpan w:val="2"/>
          </w:tcPr>
          <w:p>
            <w:pPr>
              <w:ind w:left="120"/>
              <w:spacing w:after="0"/>
              <w:rPr>
                <w:sz w:val="20"/>
                <w:szCs w:val="20"/>
                <w:color w:val="auto"/>
              </w:rPr>
            </w:pPr>
            <w:r>
              <w:rPr>
                <w:rFonts w:ascii="Arial" w:cs="Arial" w:eastAsia="Arial" w:hAnsi="Arial"/>
                <w:sz w:val="14"/>
                <w:szCs w:val="14"/>
                <w:b w:val="1"/>
                <w:bCs w:val="1"/>
                <w:color w:val="auto"/>
              </w:rPr>
              <w:t>currency translations:</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7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Net realized (loss) gain on investments</w:t>
            </w:r>
          </w:p>
        </w:tc>
        <w:tc>
          <w:tcPr>
            <w:tcW w:w="9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(484,275)</w:t>
            </w: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(34,117)</w:t>
            </w:r>
          </w:p>
        </w:tc>
        <w:tc>
          <w:tcPr>
            <w:tcW w:w="24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(1,275,553)</w:t>
            </w: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418,361</w:t>
            </w:r>
          </w:p>
        </w:tc>
        <w:tc>
          <w:tcPr>
            <w:tcW w:w="100" w:type="dxa"/>
            <w:vAlign w:val="bottom"/>
            <w:shd w:val="clear" w:color="auto" w:fill="CCECFF"/>
          </w:tcPr>
          <w:p>
            <w:pPr>
              <w:spacing w:after="0"/>
              <w:rPr>
                <w:sz w:val="14"/>
                <w:szCs w:val="14"/>
                <w:color w:val="auto"/>
              </w:rPr>
            </w:pPr>
          </w:p>
        </w:tc>
      </w:tr>
      <w:tr>
        <w:trPr>
          <w:trHeight w:val="162"/>
        </w:trPr>
        <w:tc>
          <w:tcPr>
            <w:tcW w:w="4740" w:type="dxa"/>
            <w:vAlign w:val="bottom"/>
            <w:gridSpan w:val="2"/>
          </w:tcPr>
          <w:p>
            <w:pPr>
              <w:spacing w:after="0"/>
              <w:rPr>
                <w:sz w:val="20"/>
                <w:szCs w:val="20"/>
                <w:color w:val="auto"/>
              </w:rPr>
            </w:pPr>
            <w:r>
              <w:rPr>
                <w:rFonts w:ascii="Arial" w:cs="Arial" w:eastAsia="Arial" w:hAnsi="Arial"/>
                <w:sz w:val="14"/>
                <w:szCs w:val="14"/>
                <w:color w:val="auto"/>
              </w:rPr>
              <w:t>Net change in unrealized appreciation (depreciation) on:</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74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Investments</w:t>
            </w:r>
          </w:p>
        </w:tc>
        <w:tc>
          <w:tcPr>
            <w:tcW w:w="9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3,480,140</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(20,835,443)</w:t>
            </w: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7,664,241</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(19,756,654)</w:t>
            </w:r>
          </w:p>
        </w:tc>
      </w:tr>
      <w:tr>
        <w:trPr>
          <w:trHeight w:val="162"/>
        </w:trPr>
        <w:tc>
          <w:tcPr>
            <w:tcW w:w="4740" w:type="dxa"/>
            <w:vAlign w:val="bottom"/>
            <w:gridSpan w:val="2"/>
          </w:tcPr>
          <w:p>
            <w:pPr>
              <w:ind w:left="260"/>
              <w:spacing w:after="0"/>
              <w:rPr>
                <w:sz w:val="20"/>
                <w:szCs w:val="20"/>
                <w:color w:val="auto"/>
              </w:rPr>
            </w:pPr>
            <w:r>
              <w:rPr>
                <w:rFonts w:ascii="Arial" w:cs="Arial" w:eastAsia="Arial" w:hAnsi="Arial"/>
                <w:sz w:val="14"/>
                <w:szCs w:val="14"/>
                <w:color w:val="auto"/>
              </w:rPr>
              <w:t>Credit facility foreign currency translation</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170,720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4,013,416</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(489,034)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2,687,894</w:t>
            </w:r>
          </w:p>
        </w:tc>
        <w:tc>
          <w:tcPr>
            <w:tcW w:w="100" w:type="dxa"/>
            <w:vAlign w:val="bottom"/>
          </w:tcPr>
          <w:p>
            <w:pPr>
              <w:spacing w:after="0"/>
              <w:rPr>
                <w:sz w:val="14"/>
                <w:szCs w:val="14"/>
                <w:color w:val="auto"/>
              </w:rPr>
            </w:pPr>
          </w:p>
        </w:tc>
      </w:tr>
      <w:tr>
        <w:trPr>
          <w:trHeight w:val="133"/>
        </w:trPr>
        <w:tc>
          <w:tcPr>
            <w:tcW w:w="4740" w:type="dxa"/>
            <w:vAlign w:val="bottom"/>
            <w:tcBorders>
              <w:top w:val="single" w:sz="8" w:color="CCECFF"/>
            </w:tcBorders>
            <w:gridSpan w:val="2"/>
            <w:shd w:val="clear" w:color="auto" w:fill="CCECFF"/>
          </w:tcPr>
          <w:p>
            <w:pPr>
              <w:ind w:left="260"/>
              <w:spacing w:after="0" w:line="133" w:lineRule="exact"/>
              <w:rPr>
                <w:sz w:val="20"/>
                <w:szCs w:val="20"/>
                <w:color w:val="auto"/>
              </w:rPr>
            </w:pPr>
            <w:r>
              <w:rPr>
                <w:rFonts w:ascii="Arial" w:cs="Arial" w:eastAsia="Arial" w:hAnsi="Arial"/>
                <w:sz w:val="14"/>
                <w:szCs w:val="14"/>
                <w:b w:val="1"/>
                <w:bCs w:val="1"/>
                <w:color w:val="auto"/>
                <w:w w:val="92"/>
              </w:rPr>
              <w:t>Net change in unrealized appreciation (depreciation) on investments and</w:t>
            </w:r>
          </w:p>
        </w:tc>
        <w:tc>
          <w:tcPr>
            <w:tcW w:w="940" w:type="dxa"/>
            <w:vAlign w:val="bottom"/>
            <w:tcBorders>
              <w:top w:val="single" w:sz="8" w:color="CCECFF"/>
            </w:tcBorders>
            <w:shd w:val="clear" w:color="auto" w:fill="CCECFF"/>
          </w:tcPr>
          <w:p>
            <w:pPr>
              <w:spacing w:after="0"/>
              <w:rPr>
                <w:sz w:val="11"/>
                <w:szCs w:val="11"/>
                <w:color w:val="auto"/>
              </w:rPr>
            </w:pPr>
          </w:p>
        </w:tc>
        <w:tc>
          <w:tcPr>
            <w:tcW w:w="180" w:type="dxa"/>
            <w:vAlign w:val="bottom"/>
            <w:tcBorders>
              <w:top w:val="single" w:sz="8" w:color="auto"/>
            </w:tcBorders>
            <w:shd w:val="clear" w:color="auto" w:fill="CCECFF"/>
          </w:tcPr>
          <w:p>
            <w:pPr>
              <w:spacing w:after="0"/>
              <w:rPr>
                <w:sz w:val="11"/>
                <w:szCs w:val="11"/>
                <w:color w:val="auto"/>
              </w:rPr>
            </w:pPr>
          </w:p>
        </w:tc>
        <w:tc>
          <w:tcPr>
            <w:tcW w:w="100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auto"/>
            </w:tcBorders>
            <w:shd w:val="clear" w:color="auto" w:fill="CCECFF"/>
          </w:tcPr>
          <w:p>
            <w:pPr>
              <w:spacing w:after="0"/>
              <w:rPr>
                <w:sz w:val="11"/>
                <w:szCs w:val="11"/>
                <w:color w:val="auto"/>
              </w:rPr>
            </w:pPr>
          </w:p>
        </w:tc>
        <w:tc>
          <w:tcPr>
            <w:tcW w:w="92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auto"/>
            </w:tcBorders>
            <w:shd w:val="clear" w:color="auto" w:fill="CCECFF"/>
          </w:tcPr>
          <w:p>
            <w:pPr>
              <w:spacing w:after="0"/>
              <w:rPr>
                <w:sz w:val="11"/>
                <w:szCs w:val="11"/>
                <w:color w:val="auto"/>
              </w:rPr>
            </w:pPr>
          </w:p>
        </w:tc>
        <w:tc>
          <w:tcPr>
            <w:tcW w:w="94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auto"/>
            </w:tcBorders>
            <w:shd w:val="clear" w:color="auto" w:fill="CCECFF"/>
          </w:tcPr>
          <w:p>
            <w:pPr>
              <w:spacing w:after="0"/>
              <w:rPr>
                <w:sz w:val="11"/>
                <w:szCs w:val="11"/>
                <w:color w:val="auto"/>
              </w:rPr>
            </w:pPr>
          </w:p>
        </w:tc>
        <w:tc>
          <w:tcPr>
            <w:tcW w:w="94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r>
      <w:tr>
        <w:trPr>
          <w:trHeight w:val="171"/>
        </w:trPr>
        <w:tc>
          <w:tcPr>
            <w:tcW w:w="4740" w:type="dxa"/>
            <w:vAlign w:val="bottom"/>
            <w:gridSpan w:val="2"/>
            <w:shd w:val="clear" w:color="auto" w:fill="CCECFF"/>
          </w:tcPr>
          <w:p>
            <w:pPr>
              <w:ind w:left="360"/>
              <w:spacing w:after="0"/>
              <w:rPr>
                <w:sz w:val="20"/>
                <w:szCs w:val="20"/>
                <w:color w:val="auto"/>
              </w:rPr>
            </w:pPr>
            <w:r>
              <w:rPr>
                <w:rFonts w:ascii="Arial" w:cs="Arial" w:eastAsia="Arial" w:hAnsi="Arial"/>
                <w:sz w:val="14"/>
                <w:szCs w:val="14"/>
                <w:b w:val="1"/>
                <w:bCs w:val="1"/>
                <w:color w:val="auto"/>
              </w:rPr>
              <w:t>credit facility foreign currency translation</w:t>
            </w:r>
          </w:p>
        </w:tc>
        <w:tc>
          <w:tcPr>
            <w:tcW w:w="9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3,650,860</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(16,822,027)</w:t>
            </w: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7,175,207</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(17,068,760)</w:t>
            </w:r>
          </w:p>
        </w:tc>
      </w:tr>
      <w:tr>
        <w:trPr>
          <w:trHeight w:val="133"/>
        </w:trPr>
        <w:tc>
          <w:tcPr>
            <w:tcW w:w="474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5"/>
              </w:rPr>
              <w:t>Net realized and unrealized gain (loss) from investments and credit facility</w:t>
            </w:r>
          </w:p>
        </w:tc>
        <w:tc>
          <w:tcPr>
            <w:tcW w:w="9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71"/>
        </w:trPr>
        <w:tc>
          <w:tcPr>
            <w:tcW w:w="4740" w:type="dxa"/>
            <w:vAlign w:val="bottom"/>
            <w:gridSpan w:val="2"/>
          </w:tcPr>
          <w:p>
            <w:pPr>
              <w:ind w:left="120"/>
              <w:spacing w:after="0"/>
              <w:rPr>
                <w:sz w:val="20"/>
                <w:szCs w:val="20"/>
                <w:color w:val="auto"/>
              </w:rPr>
            </w:pPr>
            <w:r>
              <w:rPr>
                <w:rFonts w:ascii="Arial" w:cs="Arial" w:eastAsia="Arial" w:hAnsi="Arial"/>
                <w:sz w:val="14"/>
                <w:szCs w:val="14"/>
                <w:b w:val="1"/>
                <w:bCs w:val="1"/>
                <w:color w:val="auto"/>
              </w:rPr>
              <w:t>foreign currency translation</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3,166,585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(16,856,144)</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5,899,654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(16,650,399)</w:t>
            </w:r>
          </w:p>
        </w:tc>
      </w:tr>
      <w:tr>
        <w:trPr>
          <w:trHeight w:val="155"/>
        </w:trPr>
        <w:tc>
          <w:tcPr>
            <w:tcW w:w="4740" w:type="dxa"/>
            <w:vAlign w:val="bottom"/>
            <w:tcBorders>
              <w:top w:val="single" w:sz="8" w:color="CCECFF"/>
              <w:bottom w:val="single" w:sz="8" w:color="CCECFF"/>
            </w:tcBorders>
            <w:gridSpan w:val="2"/>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(decrease) in members' equity resulting from operations</w:t>
            </w:r>
          </w:p>
        </w:tc>
        <w:tc>
          <w:tcPr>
            <w:tcW w:w="940" w:type="dxa"/>
            <w:vAlign w:val="bottom"/>
            <w:tcBorders>
              <w:top w:val="single" w:sz="8" w:color="CCECFF"/>
              <w:bottom w:val="single" w:sz="8" w:color="CCECFF"/>
            </w:tcBorders>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5,583,465</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260" w:type="dxa"/>
            <w:vAlign w:val="bottom"/>
            <w:tcBorders>
              <w:top w:val="single" w:sz="8" w:color="auto"/>
              <w:bottom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(15,492,489)</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10,254,015</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260" w:type="dxa"/>
            <w:vAlign w:val="bottom"/>
            <w:tcBorders>
              <w:top w:val="single" w:sz="8" w:color="auto"/>
              <w:bottom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(13,968,468)</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r>
      <w:tr>
        <w:trPr>
          <w:trHeight w:val="20"/>
        </w:trPr>
        <w:tc>
          <w:tcPr>
            <w:tcW w:w="29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
        </w:trPr>
        <w:tc>
          <w:tcPr>
            <w:tcW w:w="2940" w:type="dxa"/>
            <w:vAlign w:val="bottom"/>
            <w:tcBorders>
              <w:bottom w:val="single" w:sz="8" w:color="auto"/>
            </w:tcBorders>
          </w:tcPr>
          <w:p>
            <w:pPr>
              <w:spacing w:after="0"/>
              <w:rPr>
                <w:sz w:val="4"/>
                <w:szCs w:val="4"/>
                <w:color w:val="auto"/>
              </w:rPr>
            </w:pPr>
          </w:p>
        </w:tc>
        <w:tc>
          <w:tcPr>
            <w:tcW w:w="1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r>
    </w:tbl>
    <w:p>
      <w:pPr>
        <w:ind w:left="380" w:hanging="372"/>
        <w:spacing w:after="0" w:line="195" w:lineRule="auto"/>
        <w:tabs>
          <w:tab w:leader="none" w:pos="380" w:val="left"/>
        </w:tabs>
        <w:numPr>
          <w:ilvl w:val="0"/>
          <w:numId w:val="10"/>
        </w:numPr>
        <w:rPr>
          <w:rFonts w:ascii="Arial" w:cs="Arial" w:eastAsia="Arial" w:hAnsi="Arial"/>
          <w:sz w:val="18"/>
          <w:szCs w:val="18"/>
          <w:b w:val="1"/>
          <w:bCs w:val="1"/>
          <w:color w:val="auto"/>
          <w:vertAlign w:val="superscript"/>
        </w:rPr>
      </w:pPr>
      <w:r>
        <w:rPr>
          <w:rFonts w:ascii="Arial" w:cs="Arial" w:eastAsia="Arial" w:hAnsi="Arial"/>
          <w:sz w:val="12"/>
          <w:szCs w:val="12"/>
          <w:color w:val="auto"/>
        </w:rPr>
        <w:t>No management or incentive fees are payable by PSSL. If any fees were to be charged, they would be separately disclosed in the Statement of Operations.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MARCH 31, 2021</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40" w:lineRule="exact"/>
        <w:rPr>
          <w:sz w:val="20"/>
          <w:szCs w:val="20"/>
          <w:color w:val="auto"/>
        </w:rPr>
      </w:pPr>
    </w:p>
    <w:p>
      <w:pPr>
        <w:ind w:firstLine="438"/>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440"/>
        <w:spacing w:after="0"/>
        <w:tabs>
          <w:tab w:leader="none" w:pos="12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260" w:right="20" w:hanging="809"/>
        <w:spacing w:after="0" w:line="290" w:lineRule="auto"/>
        <w:tabs>
          <w:tab w:leader="none" w:pos="12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4" w:lineRule="exact"/>
        <w:rPr>
          <w:sz w:val="20"/>
          <w:szCs w:val="20"/>
          <w:color w:val="auto"/>
        </w:rPr>
      </w:pPr>
    </w:p>
    <w:p>
      <w:pPr>
        <w:ind w:left="440"/>
        <w:spacing w:after="0"/>
        <w:tabs>
          <w:tab w:leader="none" w:pos="12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our 2026 Notes, our 2031 Asset-Backed Debt and our Credit Facility are classified as Level 3. Our 2023 Notes are classified as Level 1, as they were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7"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16" w:lineRule="exact"/>
        <w:rPr>
          <w:sz w:val="20"/>
          <w:szCs w:val="20"/>
          <w:color w:val="auto"/>
        </w:rPr>
      </w:pPr>
    </w:p>
    <w:p>
      <w:pPr>
        <w:jc w:val="both"/>
        <w:ind w:right="60" w:firstLine="438"/>
        <w:spacing w:after="0" w:line="231" w:lineRule="auto"/>
        <w:rPr>
          <w:sz w:val="20"/>
          <w:szCs w:val="20"/>
          <w:color w:val="auto"/>
        </w:rPr>
      </w:pPr>
      <w:r>
        <w:rPr>
          <w:rFonts w:ascii="Arial" w:cs="Arial" w:eastAsia="Arial" w:hAnsi="Arial"/>
          <w:sz w:val="14"/>
          <w:szCs w:val="14"/>
          <w:color w:val="auto"/>
        </w:rPr>
        <w:t>Our investments are generally structured as Floating Rate Loans, mainly first lien secured debt, but also may include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16" w:lineRule="exact"/>
        <w:rPr>
          <w:sz w:val="20"/>
          <w:szCs w:val="20"/>
          <w:color w:val="auto"/>
        </w:rPr>
      </w:pPr>
    </w:p>
    <w:p>
      <w:pPr>
        <w:ind w:right="280" w:firstLine="438"/>
        <w:spacing w:after="0" w:line="253"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w:t>
      </w:r>
    </w:p>
    <w:p>
      <w:pPr>
        <w:spacing w:after="0" w:line="106" w:lineRule="exact"/>
        <w:rPr>
          <w:sz w:val="20"/>
          <w:szCs w:val="20"/>
          <w:color w:val="auto"/>
        </w:rPr>
      </w:pPr>
    </w:p>
    <w:p>
      <w:pPr>
        <w:ind w:right="220" w:firstLine="438"/>
        <w:spacing w:after="0" w:line="238" w:lineRule="auto"/>
        <w:rPr>
          <w:sz w:val="20"/>
          <w:szCs w:val="20"/>
          <w:color w:val="auto"/>
        </w:rPr>
      </w:pPr>
      <w:r>
        <w:rPr>
          <w:rFonts w:ascii="Arial" w:cs="Arial" w:eastAsia="Arial" w:hAnsi="Arial"/>
          <w:sz w:val="14"/>
          <w:szCs w:val="14"/>
          <w:color w:val="auto"/>
        </w:rPr>
        <w:t>In addition to using the above inputs to value cash equivalents, investments, our 2023 Notes, our 2026 Notes, our 2031 Asset-Backed Debt and our Credit Facility,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15" w:lineRule="exact"/>
        <w:rPr>
          <w:sz w:val="20"/>
          <w:szCs w:val="20"/>
          <w:color w:val="auto"/>
        </w:rPr>
      </w:pPr>
    </w:p>
    <w:p>
      <w:pPr>
        <w:jc w:val="both"/>
        <w:ind w:right="140" w:firstLine="438"/>
        <w:spacing w:after="0" w:line="251" w:lineRule="auto"/>
        <w:rPr>
          <w:sz w:val="20"/>
          <w:szCs w:val="20"/>
          <w:color w:val="auto"/>
        </w:rPr>
      </w:pPr>
      <w:r>
        <w:rPr>
          <w:rFonts w:ascii="Arial" w:cs="Arial" w:eastAsia="Arial" w:hAnsi="Arial"/>
          <w:sz w:val="13"/>
          <w:szCs w:val="13"/>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our board of directors has a bona fide reason to believe any such bids do not reflect the fair value of an investment, it may independently value such investment by using the valuation procedure that it uses with respect to assets for which market quotations are not readily available. In accordance with ASC 820, we do not categorize any investments for which fair value is measured using the net asset value per share within the fair value hierarchy.</w:t>
      </w:r>
    </w:p>
    <w:p>
      <w:pPr>
        <w:spacing w:after="0" w:line="109" w:lineRule="exact"/>
        <w:rPr>
          <w:sz w:val="20"/>
          <w:szCs w:val="20"/>
          <w:color w:val="auto"/>
        </w:rPr>
      </w:pPr>
    </w:p>
    <w:p>
      <w:pPr>
        <w:ind w:right="20" w:firstLine="438"/>
        <w:spacing w:after="0" w:line="225" w:lineRule="auto"/>
        <w:rPr>
          <w:sz w:val="20"/>
          <w:szCs w:val="20"/>
          <w:color w:val="auto"/>
        </w:rPr>
      </w:pPr>
      <w:r>
        <w:rPr>
          <w:rFonts w:ascii="Arial" w:cs="Arial" w:eastAsia="Arial" w:hAnsi="Arial"/>
          <w:sz w:val="14"/>
          <w:szCs w:val="14"/>
          <w:color w:val="auto"/>
        </w:rPr>
        <w:t>The remainder of our investment portfolio and our long-term Credit Facility are valued using a market comparable or an enterprise market value technique.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or EBITDA, multiple will result in an increase in the valuation of an investment, while a decrease in an EBITDA multiple will have the opposite effect.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80" w:type="dxa"/>
            <w:vAlign w:val="bottom"/>
            <w:gridSpan w:val="9"/>
          </w:tcPr>
          <w:p>
            <w:pPr>
              <w:ind w:left="440"/>
              <w:spacing w:after="0"/>
              <w:rPr>
                <w:sz w:val="20"/>
                <w:szCs w:val="20"/>
                <w:color w:val="auto"/>
              </w:rPr>
            </w:pPr>
            <w:r>
              <w:rPr>
                <w:rFonts w:ascii="Arial" w:cs="Arial" w:eastAsia="Arial" w:hAnsi="Arial"/>
                <w:sz w:val="14"/>
                <w:szCs w:val="14"/>
                <w:color w:val="auto"/>
              </w:rPr>
              <w:t>Our Level 3 valuation techniques, unobservable inputs and ranges were categorized as follows:</w:t>
            </w:r>
          </w:p>
        </w:tc>
        <w:tc>
          <w:tcPr>
            <w:tcW w:w="1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3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8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Fair Value at March 31,</w:t>
            </w:r>
          </w:p>
        </w:tc>
        <w:tc>
          <w:tcPr>
            <w:tcW w:w="260" w:type="dxa"/>
            <w:vAlign w:val="bottom"/>
          </w:tcPr>
          <w:p>
            <w:pPr>
              <w:spacing w:after="0"/>
              <w:rPr>
                <w:sz w:val="23"/>
                <w:szCs w:val="23"/>
                <w:color w:val="auto"/>
              </w:rPr>
            </w:pP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Valuation Technique</w:t>
            </w: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Unobservable Input</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34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 xml:space="preserve">(Weighted Average) </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155"/>
        </w:trPr>
        <w:tc>
          <w:tcPr>
            <w:tcW w:w="3420" w:type="dxa"/>
            <w:vAlign w:val="bottom"/>
            <w:tcBorders>
              <w:top w:val="single" w:sz="8" w:color="auto"/>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5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174,383,745</w:t>
            </w:r>
          </w:p>
        </w:tc>
        <w:tc>
          <w:tcPr>
            <w:tcW w:w="2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17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rPr>
              <w:t>N/A</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20" w:type="dxa"/>
            <w:vAlign w:val="bottom"/>
            <w:gridSpan w:val="2"/>
          </w:tcPr>
          <w:p>
            <w:pPr>
              <w:spacing w:after="0"/>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734,062,798</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5.3% – 15.0% (7.8)</w:t>
            </w:r>
          </w:p>
        </w:tc>
        <w:tc>
          <w:tcPr>
            <w:tcW w:w="0" w:type="dxa"/>
            <w:vAlign w:val="bottom"/>
          </w:tcPr>
          <w:p>
            <w:pPr>
              <w:spacing w:after="0"/>
              <w:rPr>
                <w:sz w:val="1"/>
                <w:szCs w:val="1"/>
                <w:color w:val="auto"/>
              </w:rPr>
            </w:pPr>
          </w:p>
        </w:tc>
      </w:tr>
      <w:tr>
        <w:trPr>
          <w:trHeight w:val="162"/>
        </w:trPr>
        <w:tc>
          <w:tcPr>
            <w:tcW w:w="34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Second lien</w:t>
            </w:r>
          </w:p>
        </w:tc>
        <w:tc>
          <w:tcPr>
            <w:tcW w:w="1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29,363,370</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1800" w:type="dxa"/>
            <w:vAlign w:val="bottom"/>
            <w:gridSpan w:val="2"/>
            <w:shd w:val="clear" w:color="auto" w:fill="CCECFF"/>
          </w:tcPr>
          <w:p>
            <w:pPr>
              <w:jc w:val="center"/>
              <w:ind w:right="120"/>
              <w:spacing w:after="0"/>
              <w:rPr>
                <w:sz w:val="20"/>
                <w:szCs w:val="20"/>
                <w:color w:val="auto"/>
              </w:rPr>
            </w:pPr>
            <w:r>
              <w:rPr>
                <w:rFonts w:ascii="Arial" w:cs="Arial" w:eastAsia="Arial" w:hAnsi="Arial"/>
                <w:sz w:val="14"/>
                <w:szCs w:val="14"/>
                <w:color w:val="auto"/>
                <w:w w:val="93"/>
              </w:rPr>
              <w:t>9.3% – 14.0% (10.2)</w:t>
            </w:r>
          </w:p>
        </w:tc>
        <w:tc>
          <w:tcPr>
            <w:tcW w:w="0" w:type="dxa"/>
            <w:vAlign w:val="bottom"/>
          </w:tcPr>
          <w:p>
            <w:pPr>
              <w:spacing w:after="0"/>
              <w:rPr>
                <w:sz w:val="1"/>
                <w:szCs w:val="1"/>
                <w:color w:val="auto"/>
              </w:rPr>
            </w:pPr>
          </w:p>
        </w:tc>
      </w:tr>
      <w:tr>
        <w:trPr>
          <w:trHeight w:val="162"/>
        </w:trPr>
        <w:tc>
          <w:tcPr>
            <w:tcW w:w="3420" w:type="dxa"/>
            <w:vAlign w:val="bottom"/>
            <w:gridSpan w:val="2"/>
          </w:tcPr>
          <w:p>
            <w:pPr>
              <w:spacing w:after="0"/>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7,521,194</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rPr>
              <w:t>EBITDA multiple</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5.0x</w:t>
            </w:r>
          </w:p>
        </w:tc>
        <w:tc>
          <w:tcPr>
            <w:tcW w:w="0" w:type="dxa"/>
            <w:vAlign w:val="bottom"/>
          </w:tcPr>
          <w:p>
            <w:pPr>
              <w:spacing w:after="0"/>
              <w:rPr>
                <w:sz w:val="1"/>
                <w:szCs w:val="1"/>
                <w:color w:val="auto"/>
              </w:rPr>
            </w:pPr>
          </w:p>
        </w:tc>
      </w:tr>
      <w:tr>
        <w:trPr>
          <w:trHeight w:val="162"/>
        </w:trPr>
        <w:tc>
          <w:tcPr>
            <w:tcW w:w="34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Second lien</w:t>
            </w:r>
          </w:p>
        </w:tc>
        <w:tc>
          <w:tcPr>
            <w:tcW w:w="1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804,373</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rPr>
              <w:t>EBITDA multiple</w:t>
            </w:r>
          </w:p>
        </w:tc>
        <w:tc>
          <w:tcPr>
            <w:tcW w:w="1800" w:type="dxa"/>
            <w:vAlign w:val="bottom"/>
            <w:gridSpan w:val="2"/>
            <w:shd w:val="clear" w:color="auto" w:fill="CCECFF"/>
          </w:tcPr>
          <w:p>
            <w:pPr>
              <w:jc w:val="center"/>
              <w:ind w:right="120"/>
              <w:spacing w:after="0"/>
              <w:rPr>
                <w:sz w:val="20"/>
                <w:szCs w:val="20"/>
                <w:color w:val="auto"/>
              </w:rPr>
            </w:pPr>
            <w:r>
              <w:rPr>
                <w:rFonts w:ascii="Arial" w:cs="Arial" w:eastAsia="Arial" w:hAnsi="Arial"/>
                <w:sz w:val="14"/>
                <w:szCs w:val="14"/>
                <w:color w:val="auto"/>
                <w:w w:val="90"/>
              </w:rPr>
              <w:t>5.9x</w:t>
            </w:r>
          </w:p>
        </w:tc>
        <w:tc>
          <w:tcPr>
            <w:tcW w:w="0" w:type="dxa"/>
            <w:vAlign w:val="bottom"/>
          </w:tcPr>
          <w:p>
            <w:pPr>
              <w:spacing w:after="0"/>
              <w:rPr>
                <w:sz w:val="1"/>
                <w:szCs w:val="1"/>
                <w:color w:val="auto"/>
              </w:rPr>
            </w:pPr>
          </w:p>
        </w:tc>
      </w:tr>
      <w:tr>
        <w:trPr>
          <w:trHeight w:val="162"/>
        </w:trPr>
        <w:tc>
          <w:tcPr>
            <w:tcW w:w="3420" w:type="dxa"/>
            <w:vAlign w:val="bottom"/>
            <w:gridSpan w:val="2"/>
          </w:tcPr>
          <w:p>
            <w:pPr>
              <w:spacing w:after="0"/>
              <w:rPr>
                <w:sz w:val="20"/>
                <w:szCs w:val="20"/>
                <w:color w:val="auto"/>
              </w:rPr>
            </w:pPr>
            <w:r>
              <w:rPr>
                <w:rFonts w:ascii="Arial" w:cs="Arial" w:eastAsia="Arial" w:hAnsi="Arial"/>
                <w:sz w:val="14"/>
                <w:szCs w:val="14"/>
                <w:color w:val="auto"/>
              </w:rPr>
              <w:t>Equity</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68,413,502</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rPr>
              <w:t>EBITDA multiple</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4.0x – 17.9x (11.1x)</w:t>
            </w:r>
          </w:p>
        </w:tc>
        <w:tc>
          <w:tcPr>
            <w:tcW w:w="0" w:type="dxa"/>
            <w:vAlign w:val="bottom"/>
          </w:tcPr>
          <w:p>
            <w:pPr>
              <w:spacing w:after="0"/>
              <w:rPr>
                <w:sz w:val="1"/>
                <w:szCs w:val="1"/>
                <w:color w:val="auto"/>
              </w:rPr>
            </w:pPr>
          </w:p>
        </w:tc>
      </w:tr>
      <w:tr>
        <w:trPr>
          <w:trHeight w:val="162"/>
        </w:trPr>
        <w:tc>
          <w:tcPr>
            <w:tcW w:w="34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Equity</w:t>
            </w:r>
          </w:p>
        </w:tc>
        <w:tc>
          <w:tcPr>
            <w:tcW w:w="1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80" w:type="dxa"/>
            <w:vAlign w:val="bottom"/>
            <w:tcBorders>
              <w:bottom w:val="single" w:sz="8" w:color="auto"/>
            </w:tcBorders>
            <w:shd w:val="clear" w:color="auto" w:fill="CCECFF"/>
          </w:tcPr>
          <w:p>
            <w:pPr>
              <w:spacing w:after="0"/>
              <w:rPr>
                <w:sz w:val="14"/>
                <w:szCs w:val="14"/>
                <w:color w:val="auto"/>
              </w:rPr>
            </w:pPr>
          </w:p>
        </w:tc>
        <w:tc>
          <w:tcPr>
            <w:tcW w:w="15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9,082,822</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196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rPr>
              <w:t>DLOM</w:t>
            </w:r>
          </w:p>
        </w:tc>
        <w:tc>
          <w:tcPr>
            <w:tcW w:w="17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3"/>
              </w:rPr>
              <w:t>5.7%</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420" w:type="dxa"/>
            <w:vAlign w:val="bottom"/>
            <w:tcBorders>
              <w:bottom w:val="single" w:sz="8" w:color="CCECFF"/>
            </w:tcBorders>
            <w:gridSpan w:val="2"/>
          </w:tcPr>
          <w:p>
            <w:pPr>
              <w:ind w:left="260"/>
              <w:spacing w:after="0" w:line="155" w:lineRule="exact"/>
              <w:rPr>
                <w:sz w:val="20"/>
                <w:szCs w:val="20"/>
                <w:color w:val="auto"/>
              </w:rPr>
            </w:pPr>
            <w:r>
              <w:rPr>
                <w:rFonts w:ascii="Arial" w:cs="Arial" w:eastAsia="Arial" w:hAnsi="Arial"/>
                <w:sz w:val="14"/>
                <w:szCs w:val="14"/>
                <w:color w:val="auto"/>
              </w:rPr>
              <w:t>Total Level 3 investments</w:t>
            </w:r>
          </w:p>
        </w:tc>
        <w:tc>
          <w:tcPr>
            <w:tcW w:w="160" w:type="dxa"/>
            <w:vAlign w:val="bottom"/>
            <w:tcBorders>
              <w:bottom w:val="single" w:sz="8" w:color="CCECFF"/>
            </w:tcBorders>
          </w:tcPr>
          <w:p>
            <w:pPr>
              <w:spacing w:after="0"/>
              <w:rPr>
                <w:sz w:val="17"/>
                <w:szCs w:val="17"/>
                <w:color w:val="auto"/>
              </w:rPr>
            </w:pPr>
          </w:p>
        </w:tc>
        <w:tc>
          <w:tcPr>
            <w:tcW w:w="20" w:type="dxa"/>
            <w:vAlign w:val="bottom"/>
            <w:tcBorders>
              <w:bottom w:val="single" w:sz="8" w:color="CCECFF"/>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1,023,631,804</w:t>
            </w:r>
          </w:p>
        </w:tc>
        <w:tc>
          <w:tcPr>
            <w:tcW w:w="260" w:type="dxa"/>
            <w:vAlign w:val="bottom"/>
            <w:tcBorders>
              <w:bottom w:val="single" w:sz="8" w:color="CCECFF"/>
            </w:tcBorders>
          </w:tcPr>
          <w:p>
            <w:pPr>
              <w:spacing w:after="0"/>
              <w:rPr>
                <w:sz w:val="17"/>
                <w:szCs w:val="17"/>
                <w:color w:val="auto"/>
              </w:rPr>
            </w:pPr>
          </w:p>
        </w:tc>
        <w:tc>
          <w:tcPr>
            <w:tcW w:w="180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180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1700" w:type="dxa"/>
            <w:vAlign w:val="bottom"/>
            <w:tcBorders>
              <w:bottom w:val="single" w:sz="8" w:color="CCECFF"/>
            </w:tcBorders>
          </w:tcPr>
          <w:p>
            <w:pPr>
              <w:spacing w:after="0"/>
              <w:rPr>
                <w:sz w:val="17"/>
                <w:szCs w:val="17"/>
                <w:color w:val="auto"/>
              </w:rPr>
            </w:pPr>
          </w:p>
        </w:tc>
        <w:tc>
          <w:tcPr>
            <w:tcW w:w="10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420" w:type="dxa"/>
            <w:vAlign w:val="bottom"/>
            <w:tcBorders>
              <w:bottom w:val="single" w:sz="8" w:color="CCECFF"/>
            </w:tcBorders>
            <w:gridSpan w:val="2"/>
            <w:shd w:val="clear" w:color="auto" w:fill="CCECFF"/>
          </w:tcPr>
          <w:p>
            <w:pPr>
              <w:spacing w:after="0" w:line="143" w:lineRule="exact"/>
              <w:rPr>
                <w:sz w:val="20"/>
                <w:szCs w:val="20"/>
                <w:color w:val="auto"/>
              </w:rPr>
            </w:pPr>
            <w:r>
              <w:rPr>
                <w:rFonts w:ascii="Arial" w:cs="Arial" w:eastAsia="Arial" w:hAnsi="Arial"/>
                <w:sz w:val="14"/>
                <w:szCs w:val="14"/>
                <w:color w:val="auto"/>
              </w:rPr>
              <w:t>Long-Term Credit Facility</w:t>
            </w:r>
          </w:p>
        </w:tc>
        <w:tc>
          <w:tcPr>
            <w:tcW w:w="160" w:type="dxa"/>
            <w:vAlign w:val="bottom"/>
            <w:tcBorders>
              <w:bottom w:val="single" w:sz="8" w:color="CCECFF"/>
            </w:tcBorders>
            <w:shd w:val="clear" w:color="auto" w:fill="CCECFF"/>
          </w:tcPr>
          <w:p>
            <w:pPr>
              <w:spacing w:after="0"/>
              <w:rPr>
                <w:sz w:val="12"/>
                <w:szCs w:val="12"/>
                <w:color w:val="auto"/>
              </w:rPr>
            </w:pPr>
          </w:p>
        </w:tc>
        <w:tc>
          <w:tcPr>
            <w:tcW w:w="2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58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146,205,500</w:t>
            </w:r>
          </w:p>
        </w:tc>
        <w:tc>
          <w:tcPr>
            <w:tcW w:w="260" w:type="dxa"/>
            <w:vAlign w:val="bottom"/>
            <w:tcBorders>
              <w:bottom w:val="single" w:sz="8" w:color="CCECFF"/>
            </w:tcBorders>
            <w:shd w:val="clear" w:color="auto" w:fill="CCECFF"/>
          </w:tcPr>
          <w:p>
            <w:pPr>
              <w:spacing w:after="0"/>
              <w:rPr>
                <w:sz w:val="12"/>
                <w:szCs w:val="12"/>
                <w:color w:val="auto"/>
              </w:rPr>
            </w:pPr>
          </w:p>
        </w:tc>
        <w:tc>
          <w:tcPr>
            <w:tcW w:w="196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Arial" w:cs="Arial" w:eastAsia="Arial" w:hAnsi="Arial"/>
                <w:sz w:val="14"/>
                <w:szCs w:val="14"/>
                <w:color w:val="auto"/>
                <w:w w:val="94"/>
              </w:rPr>
              <w:t>Market Comparable</w:t>
            </w:r>
          </w:p>
        </w:tc>
        <w:tc>
          <w:tcPr>
            <w:tcW w:w="196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Arial" w:cs="Arial" w:eastAsia="Arial" w:hAnsi="Arial"/>
                <w:sz w:val="14"/>
                <w:szCs w:val="14"/>
                <w:color w:val="auto"/>
                <w:w w:val="97"/>
              </w:rPr>
              <w:t>Market Yield</w:t>
            </w:r>
          </w:p>
        </w:tc>
        <w:tc>
          <w:tcPr>
            <w:tcW w:w="1700" w:type="dxa"/>
            <w:vAlign w:val="bottom"/>
            <w:tcBorders>
              <w:bottom w:val="single" w:sz="8" w:color="CCECFF"/>
            </w:tcBorders>
            <w:shd w:val="clear" w:color="auto" w:fill="CCECFF"/>
          </w:tcPr>
          <w:p>
            <w:pPr>
              <w:jc w:val="center"/>
              <w:spacing w:after="0" w:line="143" w:lineRule="exact"/>
              <w:rPr>
                <w:sz w:val="20"/>
                <w:szCs w:val="20"/>
                <w:color w:val="auto"/>
              </w:rPr>
            </w:pPr>
            <w:r>
              <w:rPr>
                <w:rFonts w:ascii="Arial" w:cs="Arial" w:eastAsia="Arial" w:hAnsi="Arial"/>
                <w:sz w:val="14"/>
                <w:szCs w:val="14"/>
                <w:color w:val="auto"/>
                <w:w w:val="93"/>
              </w:rPr>
              <w:t>2.3%</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3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80" w:type="dxa"/>
            <w:vAlign w:val="bottom"/>
          </w:tcPr>
          <w:p>
            <w:pPr>
              <w:jc w:val="center"/>
              <w:ind w:right="28"/>
              <w:spacing w:after="0"/>
              <w:rPr>
                <w:sz w:val="20"/>
                <w:szCs w:val="20"/>
                <w:color w:val="auto"/>
              </w:rPr>
            </w:pPr>
            <w:r>
              <w:rPr>
                <w:rFonts w:ascii="Arial" w:cs="Arial" w:eastAsia="Arial" w:hAnsi="Arial"/>
                <w:sz w:val="14"/>
                <w:szCs w:val="14"/>
                <w:b w:val="1"/>
                <w:bCs w:val="1"/>
                <w:color w:val="auto"/>
                <w:w w:val="96"/>
              </w:rPr>
              <w:t>Fair Value at</w:t>
            </w:r>
          </w:p>
        </w:tc>
        <w:tc>
          <w:tcPr>
            <w:tcW w:w="260" w:type="dxa"/>
            <w:vAlign w:val="bottom"/>
          </w:tcPr>
          <w:p>
            <w:pPr>
              <w:spacing w:after="0"/>
              <w:rPr>
                <w:sz w:val="23"/>
                <w:szCs w:val="23"/>
                <w:color w:val="auto"/>
              </w:rPr>
            </w:pP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Valuation Technique</w:t>
            </w: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Unobservable Input</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34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center"/>
              <w:ind w:right="28"/>
              <w:spacing w:after="0"/>
              <w:rPr>
                <w:sz w:val="20"/>
                <w:szCs w:val="20"/>
                <w:color w:val="auto"/>
              </w:rPr>
            </w:pPr>
            <w:r>
              <w:rPr>
                <w:rFonts w:ascii="Arial" w:cs="Arial" w:eastAsia="Arial" w:hAnsi="Arial"/>
                <w:sz w:val="14"/>
                <w:szCs w:val="14"/>
                <w:b w:val="1"/>
                <w:bCs w:val="1"/>
                <w:color w:val="auto"/>
                <w:w w:val="91"/>
              </w:rPr>
              <w:t>September 30, 2020</w:t>
            </w:r>
          </w:p>
        </w:tc>
        <w:tc>
          <w:tcPr>
            <w:tcW w:w="26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 xml:space="preserve">(Weighted Average) </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155"/>
        </w:trPr>
        <w:tc>
          <w:tcPr>
            <w:tcW w:w="3420" w:type="dxa"/>
            <w:vAlign w:val="bottom"/>
            <w:tcBorders>
              <w:top w:val="single" w:sz="8" w:color="auto"/>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80" w:type="dxa"/>
            <w:vAlign w:val="bottom"/>
            <w:tcBorders>
              <w:top w:val="single" w:sz="8" w:color="CCECFF"/>
            </w:tcBorders>
            <w:gridSpan w:val="2"/>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5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114,844,301</w:t>
            </w:r>
          </w:p>
        </w:tc>
        <w:tc>
          <w:tcPr>
            <w:tcW w:w="2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17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rPr>
              <w:t>N/A</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20" w:type="dxa"/>
            <w:vAlign w:val="bottom"/>
            <w:gridSpan w:val="2"/>
          </w:tcPr>
          <w:p>
            <w:pPr>
              <w:spacing w:after="0"/>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848,114,233</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5.4% – 19.5% (8.4%)</w:t>
            </w:r>
          </w:p>
        </w:tc>
        <w:tc>
          <w:tcPr>
            <w:tcW w:w="0" w:type="dxa"/>
            <w:vAlign w:val="bottom"/>
          </w:tcPr>
          <w:p>
            <w:pPr>
              <w:spacing w:after="0"/>
              <w:rPr>
                <w:sz w:val="1"/>
                <w:szCs w:val="1"/>
                <w:color w:val="auto"/>
              </w:rPr>
            </w:pPr>
          </w:p>
        </w:tc>
      </w:tr>
      <w:tr>
        <w:trPr>
          <w:trHeight w:val="162"/>
        </w:trPr>
        <w:tc>
          <w:tcPr>
            <w:tcW w:w="34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Second lien</w:t>
            </w:r>
          </w:p>
        </w:tc>
        <w:tc>
          <w:tcPr>
            <w:tcW w:w="1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23,017,187</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1800" w:type="dxa"/>
            <w:vAlign w:val="bottom"/>
            <w:gridSpan w:val="2"/>
            <w:shd w:val="clear" w:color="auto" w:fill="CCECFF"/>
          </w:tcPr>
          <w:p>
            <w:pPr>
              <w:jc w:val="center"/>
              <w:ind w:right="120"/>
              <w:spacing w:after="0"/>
              <w:rPr>
                <w:sz w:val="20"/>
                <w:szCs w:val="20"/>
                <w:color w:val="auto"/>
              </w:rPr>
            </w:pPr>
            <w:r>
              <w:rPr>
                <w:rFonts w:ascii="Arial" w:cs="Arial" w:eastAsia="Arial" w:hAnsi="Arial"/>
                <w:sz w:val="14"/>
                <w:szCs w:val="14"/>
                <w:color w:val="auto"/>
                <w:w w:val="93"/>
              </w:rPr>
              <w:t>9.3% – 11.0% (9.5%)</w:t>
            </w:r>
          </w:p>
        </w:tc>
        <w:tc>
          <w:tcPr>
            <w:tcW w:w="0" w:type="dxa"/>
            <w:vAlign w:val="bottom"/>
          </w:tcPr>
          <w:p>
            <w:pPr>
              <w:spacing w:after="0"/>
              <w:rPr>
                <w:sz w:val="1"/>
                <w:szCs w:val="1"/>
                <w:color w:val="auto"/>
              </w:rPr>
            </w:pPr>
          </w:p>
        </w:tc>
      </w:tr>
      <w:tr>
        <w:trPr>
          <w:trHeight w:val="162"/>
        </w:trPr>
        <w:tc>
          <w:tcPr>
            <w:tcW w:w="3420" w:type="dxa"/>
            <w:vAlign w:val="bottom"/>
            <w:gridSpan w:val="2"/>
          </w:tcPr>
          <w:p>
            <w:pPr>
              <w:spacing w:after="0"/>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5,657,214</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rPr>
              <w:t>EBITDA multiple</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0.3x</w:t>
            </w:r>
          </w:p>
        </w:tc>
        <w:tc>
          <w:tcPr>
            <w:tcW w:w="0" w:type="dxa"/>
            <w:vAlign w:val="bottom"/>
          </w:tcPr>
          <w:p>
            <w:pPr>
              <w:spacing w:after="0"/>
              <w:rPr>
                <w:sz w:val="1"/>
                <w:szCs w:val="1"/>
                <w:color w:val="auto"/>
              </w:rPr>
            </w:pPr>
          </w:p>
        </w:tc>
      </w:tr>
      <w:tr>
        <w:trPr>
          <w:trHeight w:val="162"/>
        </w:trPr>
        <w:tc>
          <w:tcPr>
            <w:tcW w:w="34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Second lien</w:t>
            </w:r>
          </w:p>
        </w:tc>
        <w:tc>
          <w:tcPr>
            <w:tcW w:w="1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6,893,843</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rPr>
              <w:t>EBITDA multiple</w:t>
            </w:r>
          </w:p>
        </w:tc>
        <w:tc>
          <w:tcPr>
            <w:tcW w:w="1800" w:type="dxa"/>
            <w:vAlign w:val="bottom"/>
            <w:gridSpan w:val="2"/>
            <w:shd w:val="clear" w:color="auto" w:fill="CCECFF"/>
          </w:tcPr>
          <w:p>
            <w:pPr>
              <w:jc w:val="center"/>
              <w:ind w:right="120"/>
              <w:spacing w:after="0"/>
              <w:rPr>
                <w:sz w:val="20"/>
                <w:szCs w:val="20"/>
                <w:color w:val="auto"/>
              </w:rPr>
            </w:pPr>
            <w:r>
              <w:rPr>
                <w:rFonts w:ascii="Arial" w:cs="Arial" w:eastAsia="Arial" w:hAnsi="Arial"/>
                <w:sz w:val="14"/>
                <w:szCs w:val="14"/>
                <w:color w:val="auto"/>
                <w:w w:val="96"/>
              </w:rPr>
              <w:t>0.3x – 8.5x (2.0x)</w:t>
            </w:r>
          </w:p>
        </w:tc>
        <w:tc>
          <w:tcPr>
            <w:tcW w:w="0" w:type="dxa"/>
            <w:vAlign w:val="bottom"/>
          </w:tcPr>
          <w:p>
            <w:pPr>
              <w:spacing w:after="0"/>
              <w:rPr>
                <w:sz w:val="1"/>
                <w:szCs w:val="1"/>
                <w:color w:val="auto"/>
              </w:rPr>
            </w:pPr>
          </w:p>
        </w:tc>
      </w:tr>
      <w:tr>
        <w:trPr>
          <w:trHeight w:val="162"/>
        </w:trPr>
        <w:tc>
          <w:tcPr>
            <w:tcW w:w="342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Equity</w:t>
            </w:r>
          </w:p>
        </w:tc>
        <w:tc>
          <w:tcPr>
            <w:tcW w:w="16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48,491,115</w:t>
            </w:r>
          </w:p>
        </w:tc>
        <w:tc>
          <w:tcPr>
            <w:tcW w:w="260" w:type="dxa"/>
            <w:vAlign w:val="bottom"/>
            <w:tcBorders>
              <w:bottom w:val="single" w:sz="8" w:color="CCECFF"/>
            </w:tcBorders>
          </w:tcPr>
          <w:p>
            <w:pPr>
              <w:spacing w:after="0"/>
              <w:rPr>
                <w:sz w:val="14"/>
                <w:szCs w:val="14"/>
                <w:color w:val="auto"/>
              </w:rPr>
            </w:pPr>
          </w:p>
        </w:tc>
        <w:tc>
          <w:tcPr>
            <w:tcW w:w="196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196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rPr>
              <w:t>EBITDA multiple</w:t>
            </w:r>
          </w:p>
        </w:tc>
        <w:tc>
          <w:tcPr>
            <w:tcW w:w="180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4"/>
                <w:szCs w:val="14"/>
                <w:color w:val="auto"/>
                <w:w w:val="93"/>
              </w:rPr>
              <w:t>0.3x – 15.2x (10.4x)</w:t>
            </w:r>
          </w:p>
        </w:tc>
        <w:tc>
          <w:tcPr>
            <w:tcW w:w="0" w:type="dxa"/>
            <w:vAlign w:val="bottom"/>
          </w:tcPr>
          <w:p>
            <w:pPr>
              <w:spacing w:after="0"/>
              <w:rPr>
                <w:sz w:val="1"/>
                <w:szCs w:val="1"/>
                <w:color w:val="auto"/>
              </w:rPr>
            </w:pPr>
          </w:p>
        </w:tc>
      </w:tr>
      <w:tr>
        <w:trPr>
          <w:trHeight w:val="156"/>
        </w:trPr>
        <w:tc>
          <w:tcPr>
            <w:tcW w:w="3420" w:type="dxa"/>
            <w:vAlign w:val="bottom"/>
            <w:tcBorders>
              <w:bottom w:val="single" w:sz="8" w:color="CCECFF"/>
            </w:tcBorders>
            <w:gridSpan w:val="2"/>
            <w:shd w:val="clear" w:color="auto" w:fill="CCECFF"/>
          </w:tcPr>
          <w:p>
            <w:pPr>
              <w:ind w:left="260"/>
              <w:spacing w:after="0" w:line="155" w:lineRule="exact"/>
              <w:rPr>
                <w:sz w:val="20"/>
                <w:szCs w:val="20"/>
                <w:color w:val="auto"/>
              </w:rPr>
            </w:pPr>
            <w:r>
              <w:rPr>
                <w:rFonts w:ascii="Arial" w:cs="Arial" w:eastAsia="Arial" w:hAnsi="Arial"/>
                <w:sz w:val="14"/>
                <w:szCs w:val="14"/>
                <w:color w:val="auto"/>
              </w:rPr>
              <w:t>Total Level 3 investments</w:t>
            </w:r>
          </w:p>
        </w:tc>
        <w:tc>
          <w:tcPr>
            <w:tcW w:w="180" w:type="dxa"/>
            <w:vAlign w:val="bottom"/>
            <w:tcBorders>
              <w:bottom w:val="single" w:sz="8" w:color="CCECFF"/>
            </w:tcBorders>
            <w:gridSpan w:val="2"/>
            <w:shd w:val="clear" w:color="auto" w:fill="CCECFF"/>
          </w:tcPr>
          <w:p>
            <w:pPr>
              <w:spacing w:after="0"/>
              <w:rPr>
                <w:sz w:val="13"/>
                <w:szCs w:val="13"/>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5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1,047,017,893</w:t>
            </w:r>
          </w:p>
        </w:tc>
        <w:tc>
          <w:tcPr>
            <w:tcW w:w="260" w:type="dxa"/>
            <w:vAlign w:val="bottom"/>
            <w:tcBorders>
              <w:bottom w:val="single" w:sz="8" w:color="CCECFF"/>
            </w:tcBorders>
            <w:shd w:val="clear" w:color="auto" w:fill="CCECFF"/>
          </w:tcPr>
          <w:p>
            <w:pPr>
              <w:spacing w:after="0"/>
              <w:rPr>
                <w:sz w:val="13"/>
                <w:szCs w:val="13"/>
                <w:color w:val="auto"/>
              </w:rPr>
            </w:pPr>
          </w:p>
        </w:tc>
        <w:tc>
          <w:tcPr>
            <w:tcW w:w="180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180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170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26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1700" w:type="dxa"/>
            <w:vAlign w:val="bottom"/>
            <w:vMerge w:val="restart"/>
          </w:tcPr>
          <w:p>
            <w:pPr>
              <w:jc w:val="center"/>
              <w:spacing w:after="0"/>
              <w:rPr>
                <w:sz w:val="20"/>
                <w:szCs w:val="20"/>
                <w:color w:val="auto"/>
              </w:rPr>
            </w:pPr>
            <w:r>
              <w:rPr>
                <w:rFonts w:ascii="Arial" w:cs="Arial" w:eastAsia="Arial" w:hAnsi="Arial"/>
                <w:sz w:val="14"/>
                <w:szCs w:val="14"/>
                <w:color w:val="auto"/>
                <w:w w:val="93"/>
              </w:rPr>
              <w:t>3.4%</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420" w:type="dxa"/>
            <w:vAlign w:val="bottom"/>
            <w:gridSpan w:val="2"/>
            <w:vMerge w:val="continue"/>
          </w:tcPr>
          <w:p>
            <w:pPr>
              <w:spacing w:after="0"/>
              <w:rPr>
                <w:sz w:val="12"/>
                <w:szCs w:val="12"/>
                <w:color w:val="auto"/>
              </w:rPr>
            </w:pPr>
          </w:p>
        </w:tc>
        <w:tc>
          <w:tcPr>
            <w:tcW w:w="180" w:type="dxa"/>
            <w:vAlign w:val="bottom"/>
            <w:gridSpan w:val="2"/>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5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299,047,275</w:t>
            </w:r>
          </w:p>
        </w:tc>
        <w:tc>
          <w:tcPr>
            <w:tcW w:w="26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940" w:type="dxa"/>
            <w:vAlign w:val="bottom"/>
            <w:tcBorders>
              <w:bottom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380" w:hanging="372"/>
        <w:spacing w:after="0" w:line="211" w:lineRule="auto"/>
        <w:tabs>
          <w:tab w:leader="none" w:pos="380" w:val="left"/>
        </w:tabs>
        <w:numPr>
          <w:ilvl w:val="0"/>
          <w:numId w:val="11"/>
        </w:numPr>
        <w:rPr>
          <w:rFonts w:ascii="Arial" w:cs="Arial" w:eastAsia="Arial" w:hAnsi="Arial"/>
          <w:sz w:val="18"/>
          <w:szCs w:val="18"/>
          <w:b w:val="1"/>
          <w:bCs w:val="1"/>
          <w:color w:val="auto"/>
          <w:vertAlign w:val="superscript"/>
        </w:rPr>
      </w:pPr>
      <w:r>
        <w:rPr>
          <w:rFonts w:ascii="Arial" w:cs="Arial" w:eastAsia="Arial" w:hAnsi="Arial"/>
          <w:sz w:val="12"/>
          <w:szCs w:val="12"/>
          <w:color w:val="auto"/>
        </w:rPr>
        <w:t>The weighted averages disclosed in the table above were weighted by their relative fair value.</w:t>
      </w:r>
    </w:p>
    <w:p>
      <w:pPr>
        <w:spacing w:after="0" w:line="11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investments, cash and cash equivalents, Credit Facility, 2023 Notes, 2026 Notes and the 2031 Asset-Backed Debt were categorized as follows in the fair value hierarchy: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6"/>
          </w:tcPr>
          <w:p>
            <w:pPr>
              <w:jc w:val="right"/>
              <w:ind w:right="48"/>
              <w:spacing w:after="0"/>
              <w:rPr>
                <w:sz w:val="20"/>
                <w:szCs w:val="20"/>
                <w:color w:val="auto"/>
              </w:rPr>
            </w:pPr>
            <w:r>
              <w:rPr>
                <w:rFonts w:ascii="Arial" w:cs="Arial" w:eastAsia="Arial" w:hAnsi="Arial"/>
                <w:sz w:val="14"/>
                <w:szCs w:val="14"/>
                <w:b w:val="1"/>
                <w:bCs w:val="1"/>
                <w:color w:val="auto"/>
              </w:rPr>
              <w:t>Fair Value at March 31, 2021</w:t>
            </w: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1"/>
                <w:szCs w:val="11"/>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1"/>
                <w:szCs w:val="11"/>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1"/>
                <w:szCs w:val="11"/>
                <w:color w:val="auto"/>
              </w:rPr>
            </w:pPr>
          </w:p>
        </w:tc>
        <w:tc>
          <w:tcPr>
            <w:tcW w:w="96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1"/>
                <w:szCs w:val="11"/>
                <w:color w:val="auto"/>
              </w:rPr>
            </w:pPr>
          </w:p>
        </w:tc>
        <w:tc>
          <w:tcPr>
            <w:tcW w:w="1100" w:type="dxa"/>
            <w:vAlign w:val="bottom"/>
          </w:tcPr>
          <w:p>
            <w:pPr>
              <w:jc w:val="center"/>
              <w:ind w:right="8"/>
              <w:spacing w:after="0" w:line="133" w:lineRule="exact"/>
              <w:rPr>
                <w:sz w:val="20"/>
                <w:szCs w:val="20"/>
                <w:color w:val="auto"/>
              </w:rPr>
            </w:pPr>
            <w:r>
              <w:rPr>
                <w:rFonts w:ascii="Arial" w:cs="Arial" w:eastAsia="Arial" w:hAnsi="Arial"/>
                <w:sz w:val="14"/>
                <w:szCs w:val="14"/>
                <w:b w:val="1"/>
                <w:bCs w:val="1"/>
                <w:color w:val="auto"/>
                <w:w w:val="94"/>
              </w:rPr>
              <w:t>Measured at Net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 xml:space="preserve">Asset Value </w:t>
            </w:r>
            <w:r>
              <w:rPr>
                <w:rFonts w:ascii="Arial" w:cs="Arial" w:eastAsia="Arial" w:hAnsi="Arial"/>
                <w:sz w:val="12"/>
                <w:szCs w:val="12"/>
                <w:b w:val="1"/>
                <w:bCs w:val="1"/>
                <w:color w:val="auto"/>
                <w:w w:val="89"/>
              </w:rPr>
              <w:t>(1)</w:t>
            </w:r>
          </w:p>
        </w:tc>
        <w:tc>
          <w:tcPr>
            <w:tcW w:w="0" w:type="dxa"/>
            <w:vAlign w:val="bottom"/>
          </w:tcPr>
          <w:p>
            <w:pPr>
              <w:spacing w:after="0"/>
              <w:rPr>
                <w:sz w:val="1"/>
                <w:szCs w:val="1"/>
                <w:color w:val="auto"/>
              </w:rPr>
            </w:pPr>
          </w:p>
        </w:tc>
      </w:tr>
      <w:tr>
        <w:trPr>
          <w:trHeight w:val="156"/>
        </w:trPr>
        <w:tc>
          <w:tcPr>
            <w:tcW w:w="4160" w:type="dxa"/>
            <w:vAlign w:val="bottom"/>
            <w:tcBorders>
              <w:top w:val="single" w:sz="8" w:color="auto"/>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4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915,967,736</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915,967,736</w:t>
            </w:r>
          </w:p>
        </w:tc>
        <w:tc>
          <w:tcPr>
            <w:tcW w:w="24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300" w:type="dxa"/>
            <w:vAlign w:val="bottom"/>
            <w:gridSpan w:val="3"/>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30,167,743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30,167,743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30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Equity</w:t>
            </w:r>
          </w:p>
        </w:tc>
        <w:tc>
          <w:tcPr>
            <w:tcW w:w="16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123,001,662</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77,496,325</w:t>
            </w:r>
          </w:p>
        </w:tc>
        <w:tc>
          <w:tcPr>
            <w:tcW w:w="2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45,505,337</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00" w:type="dxa"/>
            <w:vAlign w:val="bottom"/>
            <w:tcBorders>
              <w:bottom w:val="single" w:sz="8" w:color="CCECFF"/>
            </w:tcBorders>
            <w:gridSpan w:val="3"/>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1,069,137,141</w:t>
            </w:r>
          </w:p>
        </w:tc>
        <w:tc>
          <w:tcPr>
            <w:tcW w:w="2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1,023,631,804</w:t>
            </w:r>
          </w:p>
        </w:tc>
        <w:tc>
          <w:tcPr>
            <w:tcW w:w="240" w:type="dxa"/>
            <w:vAlign w:val="bottom"/>
            <w:tcBorders>
              <w:bottom w:val="single" w:sz="8" w:color="CCEC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45,505,337</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300" w:type="dxa"/>
            <w:vAlign w:val="bottom"/>
            <w:gridSpan w:val="3"/>
            <w:shd w:val="clear" w:color="auto" w:fill="CCECFF"/>
          </w:tcPr>
          <w:p>
            <w:pPr>
              <w:spacing w:after="0" w:line="155" w:lineRule="exact"/>
              <w:rPr>
                <w:sz w:val="20"/>
                <w:szCs w:val="20"/>
                <w:color w:val="auto"/>
              </w:rPr>
            </w:pPr>
            <w:r>
              <w:rPr>
                <w:rFonts w:ascii="Arial" w:cs="Arial" w:eastAsia="Arial" w:hAnsi="Arial"/>
                <w:sz w:val="14"/>
                <w:szCs w:val="14"/>
                <w:color w:val="auto"/>
              </w:rPr>
              <w:t>Cash and cash equivalents</w:t>
            </w:r>
          </w:p>
        </w:tc>
        <w:tc>
          <w:tcPr>
            <w:tcW w:w="16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66,572,811</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66,572,811</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9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3"/>
                <w:szCs w:val="13"/>
                <w:color w:val="auto"/>
              </w:rPr>
            </w:pPr>
          </w:p>
        </w:tc>
        <w:tc>
          <w:tcPr>
            <w:tcW w:w="80" w:type="dxa"/>
            <w:vAlign w:val="bottom"/>
            <w:tcBorders>
              <w:bottom w:val="single" w:sz="8" w:color="auto"/>
            </w:tcBorders>
            <w:shd w:val="clear" w:color="auto" w:fill="CCECFF"/>
          </w:tcPr>
          <w:p>
            <w:pPr>
              <w:spacing w:after="0"/>
              <w:rPr>
                <w:sz w:val="13"/>
                <w:szCs w:val="13"/>
                <w:color w:val="auto"/>
              </w:rPr>
            </w:pPr>
          </w:p>
        </w:tc>
        <w:tc>
          <w:tcPr>
            <w:tcW w:w="11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300" w:type="dxa"/>
            <w:vAlign w:val="bottom"/>
            <w:tcBorders>
              <w:bottom w:val="single" w:sz="8" w:color="CCECFF"/>
            </w:tcBorders>
            <w:gridSpan w:val="3"/>
          </w:tcPr>
          <w:p>
            <w:pPr>
              <w:ind w:left="500"/>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1,135,709,952</w:t>
            </w:r>
          </w:p>
        </w:tc>
        <w:tc>
          <w:tcPr>
            <w:tcW w:w="240" w:type="dxa"/>
            <w:vAlign w:val="bottom"/>
            <w:tcBorders>
              <w:bottom w:val="single" w:sz="8" w:color="CCECFF"/>
            </w:tcBorders>
          </w:tcPr>
          <w:p>
            <w:pPr>
              <w:spacing w:after="0"/>
              <w:rPr>
                <w:sz w:val="17"/>
                <w:szCs w:val="17"/>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66,572,811</w:t>
            </w:r>
          </w:p>
        </w:tc>
        <w:tc>
          <w:tcPr>
            <w:tcW w:w="240" w:type="dxa"/>
            <w:vAlign w:val="bottom"/>
            <w:tcBorders>
              <w:bottom w:val="single" w:sz="8" w:color="CCECFF"/>
            </w:tcBorders>
          </w:tcPr>
          <w:p>
            <w:pPr>
              <w:spacing w:after="0"/>
              <w:rPr>
                <w:sz w:val="17"/>
                <w:szCs w:val="17"/>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tcPr>
          <w:p>
            <w:pPr>
              <w:spacing w:after="0"/>
              <w:rPr>
                <w:sz w:val="17"/>
                <w:szCs w:val="17"/>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1,023,631,804</w:t>
            </w:r>
          </w:p>
        </w:tc>
        <w:tc>
          <w:tcPr>
            <w:tcW w:w="240" w:type="dxa"/>
            <w:vAlign w:val="bottom"/>
            <w:tcBorders>
              <w:bottom w:val="single" w:sz="8" w:color="CCECFF"/>
            </w:tcBorders>
          </w:tcPr>
          <w:p>
            <w:pPr>
              <w:spacing w:after="0"/>
              <w:rPr>
                <w:sz w:val="17"/>
                <w:szCs w:val="17"/>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45,505,337</w:t>
            </w:r>
          </w:p>
        </w:tc>
        <w:tc>
          <w:tcPr>
            <w:tcW w:w="1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300" w:type="dxa"/>
            <w:vAlign w:val="bottom"/>
            <w:gridSpan w:val="3"/>
            <w:shd w:val="clear" w:color="auto" w:fill="CCECFF"/>
          </w:tcPr>
          <w:p>
            <w:pPr>
              <w:spacing w:after="0" w:line="143" w:lineRule="exact"/>
              <w:rPr>
                <w:sz w:val="20"/>
                <w:szCs w:val="20"/>
                <w:color w:val="auto"/>
              </w:rPr>
            </w:pPr>
            <w:r>
              <w:rPr>
                <w:rFonts w:ascii="Arial" w:cs="Arial" w:eastAsia="Arial" w:hAnsi="Arial"/>
                <w:sz w:val="14"/>
                <w:szCs w:val="14"/>
                <w:color w:val="auto"/>
              </w:rPr>
              <w:t>Long-Term Credit Facility</w:t>
            </w:r>
          </w:p>
        </w:tc>
        <w:tc>
          <w:tcPr>
            <w:tcW w:w="160" w:type="dxa"/>
            <w:vAlign w:val="bottom"/>
            <w:shd w:val="clear" w:color="auto" w:fill="CCECFF"/>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146,205,500</w:t>
            </w:r>
          </w:p>
        </w:tc>
        <w:tc>
          <w:tcPr>
            <w:tcW w:w="240" w:type="dxa"/>
            <w:vAlign w:val="bottom"/>
            <w:shd w:val="clear" w:color="auto" w:fill="CCECFF"/>
          </w:tcPr>
          <w:p>
            <w:pPr>
              <w:spacing w:after="0"/>
              <w:rPr>
                <w:sz w:val="12"/>
                <w:szCs w:val="12"/>
                <w:color w:val="auto"/>
              </w:rPr>
            </w:pPr>
          </w:p>
        </w:tc>
        <w:tc>
          <w:tcPr>
            <w:tcW w:w="220" w:type="dxa"/>
            <w:vAlign w:val="bottom"/>
            <w:shd w:val="clear" w:color="auto" w:fill="CCECFF"/>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2"/>
                <w:szCs w:val="12"/>
                <w:color w:val="auto"/>
              </w:rPr>
            </w:pPr>
          </w:p>
        </w:tc>
        <w:tc>
          <w:tcPr>
            <w:tcW w:w="220" w:type="dxa"/>
            <w:vAlign w:val="bottom"/>
            <w:shd w:val="clear" w:color="auto" w:fill="CCECFF"/>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2"/>
                <w:szCs w:val="12"/>
                <w:color w:val="auto"/>
              </w:rPr>
            </w:pPr>
          </w:p>
        </w:tc>
        <w:tc>
          <w:tcPr>
            <w:tcW w:w="200" w:type="dxa"/>
            <w:vAlign w:val="bottom"/>
            <w:shd w:val="clear" w:color="auto" w:fill="CCECFF"/>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146,205,500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110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300" w:type="dxa"/>
            <w:vAlign w:val="bottom"/>
            <w:gridSpan w:val="3"/>
          </w:tcPr>
          <w:p>
            <w:pPr>
              <w:spacing w:after="0"/>
              <w:rPr>
                <w:sz w:val="20"/>
                <w:szCs w:val="20"/>
                <w:color w:val="auto"/>
              </w:rPr>
            </w:pPr>
            <w:r>
              <w:rPr>
                <w:rFonts w:ascii="Arial" w:cs="Arial" w:eastAsia="Arial" w:hAnsi="Arial"/>
                <w:sz w:val="14"/>
                <w:szCs w:val="14"/>
                <w:color w:val="auto"/>
              </w:rPr>
              <w:t>2023 Notes</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114,200,197</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114,200,197</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30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 xml:space="preserve">2026 Notes </w:t>
            </w:r>
            <w:r>
              <w:rPr>
                <w:rFonts w:ascii="Arial" w:cs="Arial" w:eastAsia="Arial" w:hAnsi="Arial"/>
                <w:sz w:val="12"/>
                <w:szCs w:val="12"/>
                <w:color w:val="auto"/>
              </w:rPr>
              <w:t>(2)</w:t>
            </w:r>
          </w:p>
        </w:tc>
        <w:tc>
          <w:tcPr>
            <w:tcW w:w="16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96,856,485</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96,856,485</w:t>
            </w:r>
          </w:p>
        </w:tc>
        <w:tc>
          <w:tcPr>
            <w:tcW w:w="24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300" w:type="dxa"/>
            <w:vAlign w:val="bottom"/>
            <w:gridSpan w:val="3"/>
          </w:tcPr>
          <w:p>
            <w:pPr>
              <w:spacing w:after="0"/>
              <w:rPr>
                <w:sz w:val="20"/>
                <w:szCs w:val="20"/>
                <w:color w:val="auto"/>
              </w:rPr>
            </w:pPr>
            <w:r>
              <w:rPr>
                <w:rFonts w:ascii="Arial" w:cs="Arial" w:eastAsia="Arial" w:hAnsi="Arial"/>
                <w:sz w:val="14"/>
                <w:szCs w:val="14"/>
                <w:color w:val="auto"/>
              </w:rPr>
              <w:t xml:space="preserve">2031 Asset-Backed Debt </w:t>
            </w:r>
            <w:r>
              <w:rPr>
                <w:rFonts w:ascii="Arial" w:cs="Arial" w:eastAsia="Arial" w:hAnsi="Arial"/>
                <w:sz w:val="12"/>
                <w:szCs w:val="12"/>
                <w:color w:val="auto"/>
              </w:rPr>
              <w:t>(2)</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225,181,755</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225,181,755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300" w:type="dxa"/>
            <w:vAlign w:val="bottom"/>
            <w:tcBorders>
              <w:top w:val="single" w:sz="8" w:color="CCECFF"/>
              <w:bottom w:val="single" w:sz="8" w:color="CCECFF"/>
            </w:tcBorders>
            <w:gridSpan w:val="3"/>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debt</w:t>
            </w:r>
          </w:p>
        </w:tc>
        <w:tc>
          <w:tcPr>
            <w:tcW w:w="160" w:type="dxa"/>
            <w:vAlign w:val="bottom"/>
            <w:tcBorders>
              <w:top w:val="single" w:sz="8" w:color="auto"/>
              <w:bottom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582,443,937</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114,200,197</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96,856,485</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371,387,255</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940" w:type="dxa"/>
            <w:vAlign w:val="bottom"/>
            <w:tcBorders>
              <w:bottom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80" w:hanging="372"/>
        <w:spacing w:after="0" w:line="207" w:lineRule="auto"/>
        <w:tabs>
          <w:tab w:leader="none" w:pos="380" w:val="left"/>
        </w:tabs>
        <w:numPr>
          <w:ilvl w:val="0"/>
          <w:numId w:val="12"/>
        </w:numPr>
        <w:rPr>
          <w:rFonts w:ascii="Arial" w:cs="Arial" w:eastAsia="Arial" w:hAnsi="Arial"/>
          <w:sz w:val="17"/>
          <w:szCs w:val="17"/>
          <w:b w:val="1"/>
          <w:bCs w:val="1"/>
          <w:color w:val="auto"/>
          <w:vertAlign w:val="superscript"/>
        </w:rPr>
      </w:pPr>
      <w:r>
        <w:rPr>
          <w:rFonts w:ascii="Arial" w:cs="Arial" w:eastAsia="Arial" w:hAnsi="Arial"/>
          <w:sz w:val="11"/>
          <w:szCs w:val="11"/>
          <w:color w:val="auto"/>
        </w:rPr>
        <w:t>In accordance with ASC 820, our equity investment in PSSL is valued using the net asset value per share (or its equivalent) as a practical expedient for fair value and thus has not been classified in the fair value hierarchy.</w:t>
      </w:r>
    </w:p>
    <w:p>
      <w:pPr>
        <w:spacing w:after="0" w:line="37" w:lineRule="exact"/>
        <w:rPr>
          <w:rFonts w:ascii="Arial" w:cs="Arial" w:eastAsia="Arial" w:hAnsi="Arial"/>
          <w:sz w:val="17"/>
          <w:szCs w:val="17"/>
          <w:b w:val="1"/>
          <w:bCs w:val="1"/>
          <w:color w:val="auto"/>
          <w:vertAlign w:val="superscript"/>
        </w:rPr>
      </w:pPr>
    </w:p>
    <w:p>
      <w:pPr>
        <w:ind w:left="380" w:right="60" w:hanging="372"/>
        <w:spacing w:after="0" w:line="219" w:lineRule="auto"/>
        <w:tabs>
          <w:tab w:leader="none" w:pos="380" w:val="left"/>
        </w:tabs>
        <w:numPr>
          <w:ilvl w:val="0"/>
          <w:numId w:val="12"/>
        </w:numPr>
        <w:rPr>
          <w:rFonts w:ascii="Arial" w:cs="Arial" w:eastAsia="Arial" w:hAnsi="Arial"/>
          <w:sz w:val="16"/>
          <w:szCs w:val="16"/>
          <w:b w:val="1"/>
          <w:bCs w:val="1"/>
          <w:color w:val="auto"/>
          <w:vertAlign w:val="superscript"/>
        </w:rPr>
      </w:pPr>
      <w:r>
        <w:rPr>
          <w:rFonts w:ascii="Arial" w:cs="Arial" w:eastAsia="Arial" w:hAnsi="Arial"/>
          <w:sz w:val="10"/>
          <w:szCs w:val="10"/>
          <w:color w:val="auto"/>
        </w:rPr>
        <w:t>We elected not to apply ASC 825-10 to the 2026 Notes or the 2031 Asset-Backed Debt and thus the balance reported in the Consolidated Statement of Assets and Liabilities represents the carrying value, which approximates the fair value. As of March 31, 2021, the carrying value of the 2026 Notes approximates the fair value. As of March 31, 2021 and September 30, 2020, the carrying value of the 2031 Asset-Backed Debt approximates the fair value.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b w:val="1"/>
                <w:bCs w:val="1"/>
                <w:color w:val="auto"/>
              </w:rPr>
              <w:t>Fair Value at September 30, 2020</w:t>
            </w: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1"/>
                <w:szCs w:val="11"/>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1"/>
                <w:szCs w:val="11"/>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1"/>
                <w:szCs w:val="11"/>
                <w:color w:val="auto"/>
              </w:rPr>
            </w:pPr>
          </w:p>
        </w:tc>
        <w:tc>
          <w:tcPr>
            <w:tcW w:w="9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1"/>
                <w:szCs w:val="11"/>
                <w:color w:val="auto"/>
              </w:rPr>
            </w:pPr>
          </w:p>
        </w:tc>
        <w:tc>
          <w:tcPr>
            <w:tcW w:w="1100" w:type="dxa"/>
            <w:vAlign w:val="bottom"/>
          </w:tcPr>
          <w:p>
            <w:pPr>
              <w:jc w:val="center"/>
              <w:ind w:right="8"/>
              <w:spacing w:after="0" w:line="133" w:lineRule="exact"/>
              <w:rPr>
                <w:sz w:val="20"/>
                <w:szCs w:val="20"/>
                <w:color w:val="auto"/>
              </w:rPr>
            </w:pPr>
            <w:r>
              <w:rPr>
                <w:rFonts w:ascii="Arial" w:cs="Arial" w:eastAsia="Arial" w:hAnsi="Arial"/>
                <w:sz w:val="14"/>
                <w:szCs w:val="14"/>
                <w:b w:val="1"/>
                <w:bCs w:val="1"/>
                <w:color w:val="auto"/>
                <w:w w:val="94"/>
              </w:rPr>
              <w:t>Measured at Net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 xml:space="preserve">Asset Value </w:t>
            </w:r>
            <w:r>
              <w:rPr>
                <w:rFonts w:ascii="Arial" w:cs="Arial" w:eastAsia="Arial" w:hAnsi="Arial"/>
                <w:sz w:val="12"/>
                <w:szCs w:val="12"/>
                <w:b w:val="1"/>
                <w:bCs w:val="1"/>
                <w:color w:val="auto"/>
                <w:w w:val="89"/>
              </w:rPr>
              <w:t>(1)</w:t>
            </w:r>
          </w:p>
        </w:tc>
        <w:tc>
          <w:tcPr>
            <w:tcW w:w="0" w:type="dxa"/>
            <w:vAlign w:val="bottom"/>
          </w:tcPr>
          <w:p>
            <w:pPr>
              <w:spacing w:after="0"/>
              <w:rPr>
                <w:sz w:val="1"/>
                <w:szCs w:val="1"/>
                <w:color w:val="auto"/>
              </w:rPr>
            </w:pPr>
          </w:p>
        </w:tc>
      </w:tr>
      <w:tr>
        <w:trPr>
          <w:trHeight w:val="155"/>
        </w:trPr>
        <w:tc>
          <w:tcPr>
            <w:tcW w:w="4160" w:type="dxa"/>
            <w:vAlign w:val="bottom"/>
            <w:tcBorders>
              <w:top w:val="single" w:sz="8" w:color="auto"/>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4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968,615,748</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CFF"/>
          </w:tcPr>
          <w:p>
            <w:pPr>
              <w:ind w:left="80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968,615,748</w:t>
            </w:r>
          </w:p>
        </w:tc>
        <w:tc>
          <w:tcPr>
            <w:tcW w:w="24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300" w:type="dxa"/>
            <w:vAlign w:val="bottom"/>
            <w:gridSpan w:val="3"/>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29,911,030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60" w:type="dxa"/>
            <w:vAlign w:val="bottom"/>
          </w:tcPr>
          <w:p>
            <w:pPr>
              <w:ind w:left="80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29,911,030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30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Equity</w:t>
            </w:r>
          </w:p>
        </w:tc>
        <w:tc>
          <w:tcPr>
            <w:tcW w:w="16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88,401,689</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960" w:type="dxa"/>
            <w:vAlign w:val="bottom"/>
            <w:shd w:val="clear" w:color="auto" w:fill="CCECFF"/>
          </w:tcPr>
          <w:p>
            <w:pPr>
              <w:ind w:left="80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48,491,115</w:t>
            </w:r>
          </w:p>
        </w:tc>
        <w:tc>
          <w:tcPr>
            <w:tcW w:w="2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39,910,574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300" w:type="dxa"/>
            <w:vAlign w:val="bottom"/>
            <w:tcBorders>
              <w:bottom w:val="single" w:sz="8" w:color="CCECFF"/>
            </w:tcBorders>
            <w:gridSpan w:val="3"/>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1,086,928,467</w:t>
            </w:r>
          </w:p>
        </w:tc>
        <w:tc>
          <w:tcPr>
            <w:tcW w:w="2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ind w:left="80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1,047,017,893</w:t>
            </w:r>
          </w:p>
        </w:tc>
        <w:tc>
          <w:tcPr>
            <w:tcW w:w="240" w:type="dxa"/>
            <w:vAlign w:val="bottom"/>
            <w:tcBorders>
              <w:bottom w:val="single" w:sz="8" w:color="CCEC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39,910,574</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300" w:type="dxa"/>
            <w:vAlign w:val="bottom"/>
            <w:gridSpan w:val="3"/>
            <w:shd w:val="clear" w:color="auto" w:fill="CCECFF"/>
          </w:tcPr>
          <w:p>
            <w:pPr>
              <w:spacing w:after="0" w:line="155" w:lineRule="exact"/>
              <w:rPr>
                <w:sz w:val="20"/>
                <w:szCs w:val="20"/>
                <w:color w:val="auto"/>
              </w:rPr>
            </w:pPr>
            <w:r>
              <w:rPr>
                <w:rFonts w:ascii="Arial" w:cs="Arial" w:eastAsia="Arial" w:hAnsi="Arial"/>
                <w:sz w:val="14"/>
                <w:szCs w:val="14"/>
                <w:color w:val="auto"/>
              </w:rPr>
              <w:t>Cash and cash equivalents</w:t>
            </w:r>
          </w:p>
        </w:tc>
        <w:tc>
          <w:tcPr>
            <w:tcW w:w="16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57,511,928</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57,511,928</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960" w:type="dxa"/>
            <w:vAlign w:val="bottom"/>
            <w:tcBorders>
              <w:bottom w:val="single" w:sz="8" w:color="auto"/>
            </w:tcBorders>
            <w:shd w:val="clear" w:color="auto" w:fill="CCECFF"/>
          </w:tcPr>
          <w:p>
            <w:pPr>
              <w:ind w:left="80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3"/>
                <w:szCs w:val="13"/>
                <w:color w:val="auto"/>
              </w:rPr>
            </w:pPr>
          </w:p>
        </w:tc>
        <w:tc>
          <w:tcPr>
            <w:tcW w:w="80" w:type="dxa"/>
            <w:vAlign w:val="bottom"/>
            <w:tcBorders>
              <w:bottom w:val="single" w:sz="8" w:color="auto"/>
            </w:tcBorders>
            <w:shd w:val="clear" w:color="auto" w:fill="CCECFF"/>
          </w:tcPr>
          <w:p>
            <w:pPr>
              <w:spacing w:after="0"/>
              <w:rPr>
                <w:sz w:val="13"/>
                <w:szCs w:val="13"/>
                <w:color w:val="auto"/>
              </w:rPr>
            </w:pPr>
          </w:p>
        </w:tc>
        <w:tc>
          <w:tcPr>
            <w:tcW w:w="11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300" w:type="dxa"/>
            <w:vAlign w:val="bottom"/>
            <w:tcBorders>
              <w:bottom w:val="single" w:sz="8" w:color="CCECFF"/>
            </w:tcBorders>
            <w:gridSpan w:val="3"/>
          </w:tcPr>
          <w:p>
            <w:pPr>
              <w:ind w:left="500"/>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1,144,440,395</w:t>
            </w:r>
          </w:p>
        </w:tc>
        <w:tc>
          <w:tcPr>
            <w:tcW w:w="240" w:type="dxa"/>
            <w:vAlign w:val="bottom"/>
            <w:tcBorders>
              <w:bottom w:val="single" w:sz="8" w:color="CCECFF"/>
            </w:tcBorders>
          </w:tcPr>
          <w:p>
            <w:pPr>
              <w:spacing w:after="0"/>
              <w:rPr>
                <w:sz w:val="17"/>
                <w:szCs w:val="17"/>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57,511,928</w:t>
            </w:r>
          </w:p>
        </w:tc>
        <w:tc>
          <w:tcPr>
            <w:tcW w:w="240" w:type="dxa"/>
            <w:vAlign w:val="bottom"/>
            <w:tcBorders>
              <w:bottom w:val="single" w:sz="8" w:color="CCECFF"/>
            </w:tcBorders>
          </w:tcPr>
          <w:p>
            <w:pPr>
              <w:spacing w:after="0"/>
              <w:rPr>
                <w:sz w:val="17"/>
                <w:szCs w:val="17"/>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ind w:left="80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CECFF"/>
            </w:tcBorders>
          </w:tcPr>
          <w:p>
            <w:pPr>
              <w:spacing w:after="0"/>
              <w:rPr>
                <w:sz w:val="17"/>
                <w:szCs w:val="17"/>
                <w:color w:val="auto"/>
              </w:rPr>
            </w:pPr>
          </w:p>
        </w:tc>
        <w:tc>
          <w:tcPr>
            <w:tcW w:w="2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1,047,017,893</w:t>
            </w:r>
          </w:p>
        </w:tc>
        <w:tc>
          <w:tcPr>
            <w:tcW w:w="240" w:type="dxa"/>
            <w:vAlign w:val="bottom"/>
            <w:tcBorders>
              <w:bottom w:val="single" w:sz="8" w:color="CCECFF"/>
            </w:tcBorders>
          </w:tcPr>
          <w:p>
            <w:pPr>
              <w:spacing w:after="0"/>
              <w:rPr>
                <w:sz w:val="17"/>
                <w:szCs w:val="17"/>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39,910,574</w:t>
            </w:r>
          </w:p>
        </w:tc>
        <w:tc>
          <w:tcPr>
            <w:tcW w:w="1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300" w:type="dxa"/>
            <w:vAlign w:val="bottom"/>
            <w:gridSpan w:val="3"/>
            <w:shd w:val="clear" w:color="auto" w:fill="CCECFF"/>
          </w:tcPr>
          <w:p>
            <w:pPr>
              <w:spacing w:after="0" w:line="143" w:lineRule="exact"/>
              <w:rPr>
                <w:sz w:val="20"/>
                <w:szCs w:val="20"/>
                <w:color w:val="auto"/>
              </w:rPr>
            </w:pPr>
            <w:r>
              <w:rPr>
                <w:rFonts w:ascii="Arial" w:cs="Arial" w:eastAsia="Arial" w:hAnsi="Arial"/>
                <w:sz w:val="14"/>
                <w:szCs w:val="14"/>
                <w:color w:val="auto"/>
              </w:rPr>
              <w:t>Long-Term Credit Facility</w:t>
            </w:r>
          </w:p>
        </w:tc>
        <w:tc>
          <w:tcPr>
            <w:tcW w:w="160" w:type="dxa"/>
            <w:vAlign w:val="bottom"/>
            <w:shd w:val="clear" w:color="auto" w:fill="CCECFF"/>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299,047,275</w:t>
            </w:r>
          </w:p>
        </w:tc>
        <w:tc>
          <w:tcPr>
            <w:tcW w:w="240" w:type="dxa"/>
            <w:vAlign w:val="bottom"/>
            <w:shd w:val="clear" w:color="auto" w:fill="CCECFF"/>
          </w:tcPr>
          <w:p>
            <w:pPr>
              <w:spacing w:after="0"/>
              <w:rPr>
                <w:sz w:val="12"/>
                <w:szCs w:val="12"/>
                <w:color w:val="auto"/>
              </w:rPr>
            </w:pPr>
          </w:p>
        </w:tc>
        <w:tc>
          <w:tcPr>
            <w:tcW w:w="220" w:type="dxa"/>
            <w:vAlign w:val="bottom"/>
            <w:shd w:val="clear" w:color="auto" w:fill="CCECFF"/>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2"/>
                <w:szCs w:val="12"/>
                <w:color w:val="auto"/>
              </w:rPr>
            </w:pPr>
          </w:p>
        </w:tc>
        <w:tc>
          <w:tcPr>
            <w:tcW w:w="220" w:type="dxa"/>
            <w:vAlign w:val="bottom"/>
            <w:shd w:val="clear" w:color="auto" w:fill="CCECFF"/>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ind w:left="800"/>
              <w:spacing w:after="0" w:line="143"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2"/>
                <w:szCs w:val="12"/>
                <w:color w:val="auto"/>
              </w:rPr>
            </w:pPr>
          </w:p>
        </w:tc>
        <w:tc>
          <w:tcPr>
            <w:tcW w:w="280" w:type="dxa"/>
            <w:vAlign w:val="bottom"/>
            <w:shd w:val="clear" w:color="auto" w:fill="CCECFF"/>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299,047,275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110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300" w:type="dxa"/>
            <w:vAlign w:val="bottom"/>
            <w:gridSpan w:val="3"/>
          </w:tcPr>
          <w:p>
            <w:pPr>
              <w:spacing w:after="0"/>
              <w:rPr>
                <w:sz w:val="20"/>
                <w:szCs w:val="20"/>
                <w:color w:val="auto"/>
              </w:rPr>
            </w:pPr>
            <w:r>
              <w:rPr>
                <w:rFonts w:ascii="Arial" w:cs="Arial" w:eastAsia="Arial" w:hAnsi="Arial"/>
                <w:sz w:val="14"/>
                <w:szCs w:val="14"/>
                <w:color w:val="auto"/>
              </w:rPr>
              <w:t>2023 Notes</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129,295,008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129,295,008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ind w:left="80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30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2031 Asset-Backed Debt</w:t>
            </w:r>
            <w:r>
              <w:rPr>
                <w:rFonts w:ascii="Arial" w:cs="Arial" w:eastAsia="Arial" w:hAnsi="Arial"/>
                <w:sz w:val="12"/>
                <w:szCs w:val="12"/>
                <w:color w:val="auto"/>
              </w:rPr>
              <w:t>(2)</w:t>
            </w:r>
          </w:p>
        </w:tc>
        <w:tc>
          <w:tcPr>
            <w:tcW w:w="16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224,866,334</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960" w:type="dxa"/>
            <w:vAlign w:val="bottom"/>
            <w:shd w:val="clear" w:color="auto" w:fill="CCECFF"/>
          </w:tcPr>
          <w:p>
            <w:pPr>
              <w:ind w:left="80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224,866,334</w:t>
            </w:r>
          </w:p>
        </w:tc>
        <w:tc>
          <w:tcPr>
            <w:tcW w:w="2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300" w:type="dxa"/>
            <w:vAlign w:val="bottom"/>
            <w:gridSpan w:val="3"/>
          </w:tcPr>
          <w:p>
            <w:pPr>
              <w:ind w:left="500"/>
              <w:spacing w:after="0" w:line="155" w:lineRule="exact"/>
              <w:rPr>
                <w:sz w:val="20"/>
                <w:szCs w:val="20"/>
                <w:color w:val="auto"/>
              </w:rPr>
            </w:pPr>
            <w:r>
              <w:rPr>
                <w:rFonts w:ascii="Arial" w:cs="Arial" w:eastAsia="Arial" w:hAnsi="Arial"/>
                <w:sz w:val="14"/>
                <w:szCs w:val="14"/>
                <w:color w:val="auto"/>
              </w:rPr>
              <w:t>Total debt</w:t>
            </w: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653,208,617</w:t>
            </w:r>
          </w:p>
        </w:tc>
        <w:tc>
          <w:tcPr>
            <w:tcW w:w="24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129,295,008</w:t>
            </w:r>
          </w:p>
        </w:tc>
        <w:tc>
          <w:tcPr>
            <w:tcW w:w="24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ind w:left="80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523,913,609</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940" w:type="dxa"/>
            <w:vAlign w:val="bottom"/>
            <w:tcBorders>
              <w:bottom w:val="single" w:sz="8" w:color="auto"/>
            </w:tcBorders>
          </w:tcPr>
          <w:p>
            <w:pPr>
              <w:spacing w:after="0"/>
              <w:rPr>
                <w:sz w:val="3"/>
                <w:szCs w:val="3"/>
                <w:color w:val="auto"/>
              </w:rPr>
            </w:pPr>
          </w:p>
        </w:tc>
        <w:tc>
          <w:tcPr>
            <w:tcW w:w="1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380" w:hanging="372"/>
        <w:spacing w:after="0" w:line="220" w:lineRule="auto"/>
        <w:tabs>
          <w:tab w:leader="none" w:pos="380" w:val="left"/>
        </w:tabs>
        <w:numPr>
          <w:ilvl w:val="0"/>
          <w:numId w:val="13"/>
        </w:numPr>
        <w:rPr>
          <w:rFonts w:ascii="Arial" w:cs="Arial" w:eastAsia="Arial" w:hAnsi="Arial"/>
          <w:sz w:val="17"/>
          <w:szCs w:val="17"/>
          <w:b w:val="1"/>
          <w:bCs w:val="1"/>
          <w:color w:val="auto"/>
          <w:vertAlign w:val="superscript"/>
        </w:rPr>
      </w:pPr>
      <w:r>
        <w:rPr>
          <w:rFonts w:ascii="Arial" w:cs="Arial" w:eastAsia="Arial" w:hAnsi="Arial"/>
          <w:sz w:val="11"/>
          <w:szCs w:val="11"/>
          <w:color w:val="auto"/>
        </w:rPr>
        <w:t>In accordance with ASC 820, our equity investment in PSSL is valued using the net asset value per share (or its equivalent) as a practical expedient for fair value and thus has not been classified in the fair value hierarchy.</w:t>
      </w:r>
    </w:p>
    <w:p>
      <w:pPr>
        <w:ind w:left="380" w:hanging="372"/>
        <w:spacing w:after="0" w:line="180" w:lineRule="auto"/>
        <w:tabs>
          <w:tab w:leader="none" w:pos="380" w:val="left"/>
        </w:tabs>
        <w:numPr>
          <w:ilvl w:val="0"/>
          <w:numId w:val="13"/>
        </w:numPr>
        <w:rPr>
          <w:rFonts w:ascii="Arial" w:cs="Arial" w:eastAsia="Arial" w:hAnsi="Arial"/>
          <w:sz w:val="16"/>
          <w:szCs w:val="16"/>
          <w:color w:val="auto"/>
          <w:vertAlign w:val="superscript"/>
        </w:rPr>
      </w:pPr>
      <w:r>
        <w:rPr>
          <w:rFonts w:ascii="Arial" w:cs="Arial" w:eastAsia="Arial" w:hAnsi="Arial"/>
          <w:sz w:val="11"/>
          <w:szCs w:val="11"/>
          <w:color w:val="auto"/>
        </w:rPr>
        <w:t>We elected not to apply ASC 825-10 to the 2031 Asset-Backed Debt and thus the balance reported in the Consolidated Statement of Assets and Liabilities represents the carrying value, which approximates the fair value.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ind w:left="348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4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ind w:left="5080"/>
        <w:spacing w:after="0" w:line="221" w:lineRule="auto"/>
        <w:rPr>
          <w:sz w:val="20"/>
          <w:szCs w:val="20"/>
          <w:color w:val="auto"/>
        </w:rPr>
      </w:pPr>
      <w:r>
        <w:rPr>
          <w:rFonts w:ascii="Arial" w:cs="Arial" w:eastAsia="Arial" w:hAnsi="Arial"/>
          <w:sz w:val="14"/>
          <w:szCs w:val="14"/>
          <w:b w:val="1"/>
          <w:bCs w:val="1"/>
          <w:color w:val="auto"/>
        </w:rPr>
        <w:t>MARCH 31, 2021</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120" w:type="dxa"/>
            <w:vAlign w:val="bottom"/>
            <w:gridSpan w:val="10"/>
          </w:tcPr>
          <w:p>
            <w:pPr>
              <w:ind w:left="440"/>
              <w:spacing w:after="0"/>
              <w:rPr>
                <w:sz w:val="20"/>
                <w:szCs w:val="20"/>
                <w:color w:val="auto"/>
              </w:rPr>
            </w:pPr>
            <w:r>
              <w:rPr>
                <w:rFonts w:ascii="Arial" w:cs="Arial" w:eastAsia="Arial" w:hAnsi="Arial"/>
                <w:sz w:val="14"/>
                <w:szCs w:val="14"/>
                <w:color w:val="auto"/>
                <w:w w:val="95"/>
              </w:rPr>
              <w:t>The tables below show a reconciliation of the beginning and ending balances for investments measured at fair value using significant unobservable inputs (Level 3):</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7"/>
          </w:tcPr>
          <w:p>
            <w:pPr>
              <w:jc w:val="center"/>
              <w:ind w:left="708"/>
              <w:spacing w:after="0"/>
              <w:rPr>
                <w:sz w:val="20"/>
                <w:szCs w:val="20"/>
                <w:color w:val="auto"/>
              </w:rPr>
            </w:pPr>
            <w:r>
              <w:rPr>
                <w:rFonts w:ascii="Arial" w:cs="Arial" w:eastAsia="Arial" w:hAnsi="Arial"/>
                <w:sz w:val="14"/>
                <w:szCs w:val="14"/>
                <w:b w:val="1"/>
                <w:bCs w:val="1"/>
                <w:color w:val="auto"/>
                <w:w w:val="95"/>
              </w:rPr>
              <w:t>Six Months Ended March 31, 2021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6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9"/>
              </w:rPr>
              <w:t>Second lien,</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subordinated debt</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First Lien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and equity</w:t>
            </w:r>
          </w:p>
        </w:tc>
        <w:tc>
          <w:tcPr>
            <w:tcW w:w="320" w:type="dxa"/>
            <w:vAlign w:val="bottom"/>
          </w:tcPr>
          <w:p>
            <w:pPr>
              <w:spacing w:after="0"/>
              <w:rPr>
                <w:sz w:val="12"/>
                <w:szCs w:val="12"/>
                <w:color w:val="auto"/>
              </w:rPr>
            </w:pPr>
          </w:p>
        </w:tc>
        <w:tc>
          <w:tcPr>
            <w:tcW w:w="11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investments</w:t>
            </w:r>
          </w:p>
        </w:tc>
        <w:tc>
          <w:tcPr>
            <w:tcW w:w="3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968,615,748</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78,402,145</w:t>
            </w:r>
          </w:p>
        </w:tc>
        <w:tc>
          <w:tcPr>
            <w:tcW w:w="24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1,047,017,893</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Net realized loss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(413,201)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(1,026,969)</w:t>
            </w:r>
          </w:p>
        </w:tc>
        <w:tc>
          <w:tcPr>
            <w:tcW w:w="32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(1,440,170)</w:t>
            </w: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change in unrealized appreciation</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10,247,782</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19,336,402</w:t>
            </w:r>
          </w:p>
        </w:tc>
        <w:tc>
          <w:tcPr>
            <w:tcW w:w="24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29,584,184</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217,674,191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12,465,695</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230,139,886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(280,156,784)</w:t>
            </w: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(1,513,205)</w:t>
            </w:r>
          </w:p>
        </w:tc>
        <w:tc>
          <w:tcPr>
            <w:tcW w:w="32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(281,669,989)</w:t>
            </w: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Transfers in and/or out of Level 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52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915,967,736</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107,664,068</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320" w:type="dxa"/>
            <w:vAlign w:val="bottom"/>
            <w:tcBorders>
              <w:top w:val="single" w:sz="8" w:color="auto"/>
              <w:bottom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1,023,631,804</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4"/>
                <w:szCs w:val="14"/>
                <w:color w:val="auto"/>
              </w:rPr>
              <w:t>Net change in unrealized appreciation reported within the net change in unrealized</w:t>
            </w: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520" w:type="dxa"/>
            <w:vAlign w:val="bottom"/>
          </w:tcPr>
          <w:p>
            <w:pPr>
              <w:ind w:left="120"/>
              <w:spacing w:after="0" w:line="149" w:lineRule="exact"/>
              <w:rPr>
                <w:sz w:val="20"/>
                <w:szCs w:val="20"/>
                <w:color w:val="auto"/>
              </w:rPr>
            </w:pPr>
            <w:r>
              <w:rPr>
                <w:rFonts w:ascii="Arial" w:cs="Arial" w:eastAsia="Arial" w:hAnsi="Arial"/>
                <w:sz w:val="14"/>
                <w:szCs w:val="14"/>
                <w:color w:val="auto"/>
              </w:rPr>
              <w:t>appreciation on investments in our Consolidated Statements of Operations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520" w:type="dxa"/>
            <w:vAlign w:val="bottom"/>
          </w:tcPr>
          <w:p>
            <w:pPr>
              <w:ind w:left="120"/>
              <w:spacing w:after="0"/>
              <w:rPr>
                <w:sz w:val="20"/>
                <w:szCs w:val="20"/>
                <w:color w:val="auto"/>
              </w:rPr>
            </w:pPr>
            <w:r>
              <w:rPr>
                <w:rFonts w:ascii="Arial" w:cs="Arial" w:eastAsia="Arial" w:hAnsi="Arial"/>
                <w:sz w:val="14"/>
                <w:szCs w:val="14"/>
                <w:color w:val="auto"/>
              </w:rPr>
              <w:t>attributable to our Level 3 assets still held at the reporting date.</w:t>
            </w:r>
          </w:p>
        </w:tc>
        <w:tc>
          <w:tcPr>
            <w:tcW w:w="140" w:type="dxa"/>
            <w:vAlign w:val="bottom"/>
          </w:tcPr>
          <w:p>
            <w:pPr>
              <w:spacing w:after="0"/>
              <w:rPr>
                <w:sz w:val="14"/>
                <w:szCs w:val="14"/>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8,579,035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19,402,235</w:t>
            </w:r>
          </w:p>
        </w:tc>
        <w:tc>
          <w:tcPr>
            <w:tcW w:w="240" w:type="dxa"/>
            <w:vAlign w:val="bottom"/>
          </w:tcPr>
          <w:p>
            <w:pPr>
              <w:spacing w:after="0"/>
              <w:rPr>
                <w:sz w:val="14"/>
                <w:szCs w:val="14"/>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27,981,270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7"/>
          </w:tcPr>
          <w:p>
            <w:pPr>
              <w:jc w:val="center"/>
              <w:ind w:left="708"/>
              <w:spacing w:after="0"/>
              <w:rPr>
                <w:sz w:val="20"/>
                <w:szCs w:val="20"/>
                <w:color w:val="auto"/>
              </w:rPr>
            </w:pPr>
            <w:r>
              <w:rPr>
                <w:rFonts w:ascii="Arial" w:cs="Arial" w:eastAsia="Arial" w:hAnsi="Arial"/>
                <w:sz w:val="14"/>
                <w:szCs w:val="14"/>
                <w:b w:val="1"/>
                <w:bCs w:val="1"/>
                <w:color w:val="auto"/>
                <w:w w:val="95"/>
              </w:rPr>
              <w:t>Six Months Ended March 31, 2020</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6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9"/>
              </w:rPr>
              <w:t>Second lien,</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subordinated debt</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First Lien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and equity</w:t>
            </w:r>
          </w:p>
        </w:tc>
        <w:tc>
          <w:tcPr>
            <w:tcW w:w="320" w:type="dxa"/>
            <w:vAlign w:val="bottom"/>
          </w:tcPr>
          <w:p>
            <w:pPr>
              <w:spacing w:after="0"/>
              <w:rPr>
                <w:sz w:val="12"/>
                <w:szCs w:val="12"/>
                <w:color w:val="auto"/>
              </w:rPr>
            </w:pPr>
          </w:p>
        </w:tc>
        <w:tc>
          <w:tcPr>
            <w:tcW w:w="11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investments</w:t>
            </w:r>
          </w:p>
        </w:tc>
        <w:tc>
          <w:tcPr>
            <w:tcW w:w="3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944,900,800</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86,836,779</w:t>
            </w:r>
          </w:p>
        </w:tc>
        <w:tc>
          <w:tcPr>
            <w:tcW w:w="24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1,031,737,579</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Net realized (loss) gain</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(619,987)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35,322</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(584,665)</w:t>
            </w: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change in unrealized depreciation</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(33,637,179)</w:t>
            </w: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(19,007,976)</w:t>
            </w:r>
          </w:p>
        </w:tc>
        <w:tc>
          <w:tcPr>
            <w:tcW w:w="32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(52,645,155)</w:t>
            </w: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402,181,468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6,255,958</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408,437,426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(240,787,598)</w:t>
            </w: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(2,319,649)</w:t>
            </w:r>
          </w:p>
        </w:tc>
        <w:tc>
          <w:tcPr>
            <w:tcW w:w="32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(243,107,247)</w:t>
            </w: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Transfers in and/or out of Level 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52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1,072,037,504</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71,800,434</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320" w:type="dxa"/>
            <w:vAlign w:val="bottom"/>
            <w:tcBorders>
              <w:top w:val="single" w:sz="8" w:color="auto"/>
              <w:bottom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1,143,837,938</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4"/>
                <w:szCs w:val="14"/>
                <w:color w:val="auto"/>
              </w:rPr>
              <w:t>Net change in unrealized depreciation reported within the net change in unrealized</w:t>
            </w: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520" w:type="dxa"/>
            <w:vAlign w:val="bottom"/>
          </w:tcPr>
          <w:p>
            <w:pPr>
              <w:ind w:left="120"/>
              <w:spacing w:after="0" w:line="149" w:lineRule="exact"/>
              <w:rPr>
                <w:sz w:val="20"/>
                <w:szCs w:val="20"/>
                <w:color w:val="auto"/>
              </w:rPr>
            </w:pPr>
            <w:r>
              <w:rPr>
                <w:rFonts w:ascii="Arial" w:cs="Arial" w:eastAsia="Arial" w:hAnsi="Arial"/>
                <w:sz w:val="14"/>
                <w:szCs w:val="14"/>
                <w:color w:val="auto"/>
              </w:rPr>
              <w:t>depreciation on investments in our Consolidated Statements of Operations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520" w:type="dxa"/>
            <w:vAlign w:val="bottom"/>
          </w:tcPr>
          <w:p>
            <w:pPr>
              <w:ind w:left="120"/>
              <w:spacing w:after="0"/>
              <w:rPr>
                <w:sz w:val="20"/>
                <w:szCs w:val="20"/>
                <w:color w:val="auto"/>
              </w:rPr>
            </w:pPr>
            <w:r>
              <w:rPr>
                <w:rFonts w:ascii="Arial" w:cs="Arial" w:eastAsia="Arial" w:hAnsi="Arial"/>
                <w:sz w:val="14"/>
                <w:szCs w:val="14"/>
                <w:color w:val="auto"/>
              </w:rPr>
              <w:t>attributable to our Level 3 assets still held at the reporting date.</w:t>
            </w:r>
          </w:p>
        </w:tc>
        <w:tc>
          <w:tcPr>
            <w:tcW w:w="3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(36,700,242)</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(18,960,794)</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(55,661,036)</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table below shows a reconciliation of the beginning and ending balances for liabilities measured at fair value using significant unobservable inputs (Level 3):</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Long-Term Credit Facility</w:t>
            </w:r>
          </w:p>
        </w:tc>
        <w:tc>
          <w:tcPr>
            <w:tcW w:w="360" w:type="dxa"/>
            <w:vAlign w:val="bottom"/>
          </w:tcPr>
          <w:p>
            <w:pPr>
              <w:spacing w:after="0"/>
              <w:rPr>
                <w:sz w:val="14"/>
                <w:szCs w:val="14"/>
                <w:color w:val="auto"/>
              </w:rPr>
            </w:pPr>
          </w:p>
        </w:tc>
        <w:tc>
          <w:tcPr>
            <w:tcW w:w="316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55"/>
        </w:trPr>
        <w:tc>
          <w:tcPr>
            <w:tcW w:w="7720" w:type="dxa"/>
            <w:vAlign w:val="bottom"/>
            <w:gridSpan w:val="2"/>
            <w:vMerge w:val="continue"/>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5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 (cost – $308,598,500 and $265,307,500, respectively)</w:t>
            </w:r>
          </w:p>
        </w:tc>
        <w:tc>
          <w:tcPr>
            <w:tcW w:w="16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299,047,275</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263,988,583</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500"/>
              <w:spacing w:after="0"/>
              <w:rPr>
                <w:sz w:val="20"/>
                <w:szCs w:val="20"/>
                <w:color w:val="auto"/>
              </w:rPr>
            </w:pPr>
            <w:r>
              <w:rPr>
                <w:rFonts w:ascii="Arial" w:cs="Arial" w:eastAsia="Arial" w:hAnsi="Arial"/>
                <w:sz w:val="14"/>
                <w:szCs w:val="14"/>
                <w:color w:val="auto"/>
              </w:rPr>
              <w:t>Net change in unrealized appreciation (depreciation) included in earnings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8,856,725</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(11,396,091)</w:t>
            </w: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Borrowings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113,500,000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245,000,000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500"/>
              <w:spacing w:after="0"/>
              <w:rPr>
                <w:sz w:val="20"/>
                <w:szCs w:val="20"/>
                <w:color w:val="auto"/>
              </w:rPr>
            </w:pPr>
            <w:r>
              <w:rPr>
                <w:rFonts w:ascii="Arial" w:cs="Arial" w:eastAsia="Arial" w:hAnsi="Arial"/>
                <w:sz w:val="14"/>
                <w:szCs w:val="14"/>
                <w:color w:val="auto"/>
              </w:rPr>
              <w:t>Repayments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(275,198,500)</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(97,000,000)</w:t>
            </w: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Transfers in and/or out of Level 3</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772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$146,900,000 and $352,307,500, respectively)</w:t>
            </w: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146,205,500</w:t>
            </w:r>
          </w:p>
        </w:tc>
        <w:tc>
          <w:tcPr>
            <w:tcW w:w="28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400,592,492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 of March 31, 2021, we did not have any outstanding non-U.S. dollar borrowings on the Credit Facility.</w:t>
      </w:r>
    </w:p>
    <w:p>
      <w:pPr>
        <w:spacing w:after="0" w:line="136" w:lineRule="exact"/>
        <w:rPr>
          <w:sz w:val="20"/>
          <w:szCs w:val="20"/>
          <w:color w:val="auto"/>
        </w:rPr>
      </w:pPr>
    </w:p>
    <w:p>
      <w:pPr>
        <w:ind w:right="140" w:firstLine="438"/>
        <w:spacing w:after="0" w:line="253" w:lineRule="auto"/>
        <w:rPr>
          <w:sz w:val="20"/>
          <w:szCs w:val="20"/>
          <w:color w:val="auto"/>
        </w:rPr>
      </w:pPr>
      <w:r>
        <w:rPr>
          <w:rFonts w:ascii="Arial" w:cs="Arial" w:eastAsia="Arial" w:hAnsi="Arial"/>
          <w:sz w:val="14"/>
          <w:szCs w:val="14"/>
          <w:color w:val="auto"/>
        </w:rPr>
        <w:t>As of September 30, 2020, we had outstanding non-U.S. dollar borrowings on the Credit Facility. Net change in fair value from foreign currency translation on outstanding borrowings is listed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6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b w:val="1"/>
                <w:bCs w:val="1"/>
                <w:color w:val="auto"/>
                <w:w w:val="93"/>
              </w:rPr>
              <w:t>Amount Borrowed</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Borrowing Cost</w:t>
            </w:r>
          </w:p>
        </w:tc>
        <w:tc>
          <w:tcPr>
            <w:tcW w:w="160" w:type="dxa"/>
            <w:vAlign w:val="bottom"/>
          </w:tcPr>
          <w:p>
            <w:pPr>
              <w:spacing w:after="0"/>
              <w:rPr>
                <w:sz w:val="14"/>
                <w:szCs w:val="14"/>
                <w:color w:val="auto"/>
              </w:rPr>
            </w:pPr>
          </w:p>
        </w:tc>
        <w:tc>
          <w:tcPr>
            <w:tcW w:w="1520" w:type="dxa"/>
            <w:vAlign w:val="bottom"/>
            <w:gridSpan w:val="2"/>
          </w:tcPr>
          <w:p>
            <w:pPr>
              <w:ind w:left="100"/>
              <w:spacing w:after="0"/>
              <w:rPr>
                <w:sz w:val="20"/>
                <w:szCs w:val="20"/>
                <w:color w:val="auto"/>
              </w:rPr>
            </w:pPr>
            <w:r>
              <w:rPr>
                <w:rFonts w:ascii="Arial" w:cs="Arial" w:eastAsia="Arial" w:hAnsi="Arial"/>
                <w:sz w:val="14"/>
                <w:szCs w:val="14"/>
                <w:b w:val="1"/>
                <w:bCs w:val="1"/>
                <w:color w:val="auto"/>
              </w:rPr>
              <w:t>Current Value</w:t>
            </w:r>
          </w:p>
        </w:tc>
        <w:tc>
          <w:tcPr>
            <w:tcW w:w="1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Reset Date</w:t>
            </w:r>
          </w:p>
        </w:tc>
        <w:tc>
          <w:tcPr>
            <w:tcW w:w="100" w:type="dxa"/>
            <w:vAlign w:val="bottom"/>
          </w:tcPr>
          <w:p>
            <w:pPr>
              <w:spacing w:after="0"/>
              <w:rPr>
                <w:sz w:val="14"/>
                <w:szCs w:val="14"/>
                <w:color w:val="auto"/>
              </w:rPr>
            </w:pPr>
          </w:p>
        </w:tc>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in Fair Value</w:t>
            </w:r>
          </w:p>
        </w:tc>
        <w:tc>
          <w:tcPr>
            <w:tcW w:w="20" w:type="dxa"/>
            <w:vAlign w:val="bottom"/>
          </w:tcPr>
          <w:p>
            <w:pPr>
              <w:spacing w:after="0"/>
              <w:rPr>
                <w:sz w:val="14"/>
                <w:szCs w:val="14"/>
                <w:color w:val="auto"/>
              </w:rPr>
            </w:pPr>
          </w:p>
        </w:tc>
      </w:tr>
      <w:tr>
        <w:trPr>
          <w:trHeight w:val="155"/>
        </w:trPr>
        <w:tc>
          <w:tcPr>
            <w:tcW w:w="25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Canadian Dollar</w:t>
            </w:r>
          </w:p>
        </w:tc>
        <w:tc>
          <w:tcPr>
            <w:tcW w:w="280" w:type="dxa"/>
            <w:vAlign w:val="bottom"/>
            <w:tcBorders>
              <w:top w:val="single" w:sz="8" w:color="CCECFF"/>
            </w:tcBorders>
            <w:shd w:val="clear" w:color="auto" w:fill="CCECFF"/>
          </w:tcPr>
          <w:p>
            <w:pPr>
              <w:ind w:left="180"/>
              <w:spacing w:after="0" w:line="155" w:lineRule="exact"/>
              <w:rPr>
                <w:sz w:val="20"/>
                <w:szCs w:val="20"/>
                <w:color w:val="auto"/>
              </w:rPr>
            </w:pPr>
            <w:r>
              <w:rPr>
                <w:rFonts w:ascii="Arial" w:cs="Arial" w:eastAsia="Arial" w:hAnsi="Arial"/>
                <w:sz w:val="14"/>
                <w:szCs w:val="14"/>
                <w:color w:val="auto"/>
                <w:w w:val="78"/>
              </w:rPr>
              <w:t>C</w:t>
            </w: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16,500,000</w:t>
            </w:r>
          </w:p>
        </w:tc>
        <w:tc>
          <w:tcPr>
            <w:tcW w:w="26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11,698,500</w:t>
            </w:r>
          </w:p>
        </w:tc>
        <w:tc>
          <w:tcPr>
            <w:tcW w:w="26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12,352,610</w:t>
            </w:r>
          </w:p>
        </w:tc>
        <w:tc>
          <w:tcPr>
            <w:tcW w:w="280" w:type="dxa"/>
            <w:vAlign w:val="bottom"/>
            <w:tcBorders>
              <w:top w:val="single" w:sz="8" w:color="CCECFF"/>
            </w:tcBorders>
            <w:shd w:val="clear" w:color="auto" w:fill="CCECFF"/>
          </w:tcPr>
          <w:p>
            <w:pPr>
              <w:spacing w:after="0"/>
              <w:rPr>
                <w:sz w:val="13"/>
                <w:szCs w:val="13"/>
                <w:color w:val="auto"/>
              </w:rPr>
            </w:pPr>
          </w:p>
        </w:tc>
        <w:tc>
          <w:tcPr>
            <w:tcW w:w="15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3"/>
              </w:rPr>
              <w:t>October 1, 2020</w:t>
            </w: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654,110</w:t>
            </w:r>
          </w:p>
        </w:tc>
        <w:tc>
          <w:tcPr>
            <w:tcW w:w="12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528"/>
        </w:trPr>
        <w:tc>
          <w:tcPr>
            <w:tcW w:w="2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28</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25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8" w:name="page29"/>
    <w:bookmarkEnd w:id="28"/>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40" w:firstLine="438"/>
        <w:spacing w:after="0" w:line="226" w:lineRule="auto"/>
        <w:rPr>
          <w:sz w:val="20"/>
          <w:szCs w:val="20"/>
          <w:color w:val="auto"/>
        </w:rPr>
      </w:pPr>
      <w:r>
        <w:rPr>
          <w:rFonts w:ascii="Arial" w:cs="Arial" w:eastAsia="Arial" w:hAnsi="Arial"/>
          <w:sz w:val="14"/>
          <w:szCs w:val="14"/>
          <w:color w:val="auto"/>
        </w:rPr>
        <w:t>Generally, 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the Credit Facility and the 2023 Notes. We elected to use the fair value option for the Credit Facility and the 2023 Notes to align the measurement attributes of both our assets and liabilities while mitigating volatility in earnings from using different measurement attributes. Due to that election and in accordance with GAAP, we did not incur any expenses relating to amendment costs on the Credit Facility during both the three and six months ended March 31, 2021 and 2020.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2023 Notes are reported in our Consolidated Statements of Operations. We elected not to apply ASC 825-10 to any other financial assets or liabilities, including the 2026 Notes and the 2031 Asset-Backed Debt.</w:t>
      </w:r>
    </w:p>
    <w:p>
      <w:pPr>
        <w:spacing w:after="0" w:line="121" w:lineRule="exact"/>
        <w:rPr>
          <w:sz w:val="20"/>
          <w:szCs w:val="20"/>
          <w:color w:val="auto"/>
        </w:rPr>
      </w:pPr>
    </w:p>
    <w:p>
      <w:pPr>
        <w:ind w:right="200" w:firstLine="438"/>
        <w:spacing w:after="0" w:line="231" w:lineRule="auto"/>
        <w:rPr>
          <w:sz w:val="20"/>
          <w:szCs w:val="20"/>
          <w:color w:val="auto"/>
        </w:rPr>
      </w:pPr>
      <w:r>
        <w:rPr>
          <w:rFonts w:ascii="Arial" w:cs="Arial" w:eastAsia="Arial" w:hAnsi="Arial"/>
          <w:sz w:val="14"/>
          <w:szCs w:val="14"/>
          <w:color w:val="auto"/>
        </w:rPr>
        <w:t>For the three and six months ended March 31, 2021, the Credit Facility and the 2023 Notes had a net change in unrealized appreciation of $10.5 million and $14.5 million, respectively. For the three and six months ended March 31, 2020, the Credit Facility and the 2023 Notes had a net change in unrealized depreciation of $33.5 million and $34.9 million, respectively. As of March 31, 2021 and September 30, 2020, the net unrealized depreciation on the Credit Facility and the 2023 Notes totaled $4.3 million and $18.8 million, respectively. We use a nationally recognized independent valuation service to measure the fair value of the Credit Facility in a manner consistent with the valuation process that our board of directors uses to value our investments. Our 2023 Notes trade on the TASE and we use the closing price on the exchange to determine the fair value.</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140" w:lineRule="exact"/>
        <w:rPr>
          <w:sz w:val="20"/>
          <w:szCs w:val="20"/>
          <w:color w:val="auto"/>
        </w:rPr>
      </w:pPr>
    </w:p>
    <w:p>
      <w:pPr>
        <w:ind w:right="420" w:firstLine="438"/>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six months ended March 31, 2021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Fair value at</w:t>
            </w:r>
          </w:p>
        </w:tc>
        <w:tc>
          <w:tcPr>
            <w:tcW w:w="80" w:type="dxa"/>
            <w:vAlign w:val="bottom"/>
          </w:tcPr>
          <w:p>
            <w:pPr>
              <w:spacing w:after="0"/>
              <w:rPr>
                <w:sz w:val="14"/>
                <w:szCs w:val="14"/>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7"/>
              </w:rPr>
              <w:t>Purchases</w:t>
            </w:r>
          </w:p>
        </w:tc>
        <w:tc>
          <w:tcPr>
            <w:tcW w:w="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Sale of /</w:t>
            </w: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Net Change in</w:t>
            </w:r>
          </w:p>
        </w:tc>
        <w:tc>
          <w:tcPr>
            <w:tcW w:w="80" w:type="dxa"/>
            <w:vAlign w:val="bottom"/>
          </w:tcPr>
          <w:p>
            <w:pPr>
              <w:spacing w:after="0"/>
              <w:rPr>
                <w:sz w:val="14"/>
                <w:szCs w:val="14"/>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Fair value at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8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12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Dividend/Other</w:t>
            </w:r>
          </w:p>
        </w:tc>
        <w:tc>
          <w:tcPr>
            <w:tcW w:w="12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Realized</w:t>
            </w:r>
          </w:p>
        </w:tc>
        <w:tc>
          <w:tcPr>
            <w:tcW w:w="0" w:type="dxa"/>
            <w:vAlign w:val="bottom"/>
          </w:tcPr>
          <w:p>
            <w:pPr>
              <w:spacing w:after="0"/>
              <w:rPr>
                <w:sz w:val="1"/>
                <w:szCs w:val="1"/>
                <w:color w:val="auto"/>
              </w:rPr>
            </w:pPr>
          </w:p>
        </w:tc>
      </w:tr>
      <w:tr>
        <w:trPr>
          <w:trHeight w:val="148"/>
        </w:trPr>
        <w:tc>
          <w:tcPr>
            <w:tcW w:w="2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1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of / Advances</w:t>
            </w:r>
          </w:p>
        </w:tc>
        <w:tc>
          <w:tcPr>
            <w:tcW w:w="8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from</w:t>
            </w:r>
          </w:p>
        </w:tc>
        <w:tc>
          <w:tcPr>
            <w:tcW w:w="8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Appreciation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Gains</w:t>
            </w:r>
          </w:p>
        </w:tc>
        <w:tc>
          <w:tcPr>
            <w:tcW w:w="0" w:type="dxa"/>
            <w:vAlign w:val="bottom"/>
          </w:tcPr>
          <w:p>
            <w:pPr>
              <w:spacing w:after="0"/>
              <w:rPr>
                <w:sz w:val="1"/>
                <w:szCs w:val="1"/>
                <w:color w:val="auto"/>
              </w:rPr>
            </w:pPr>
          </w:p>
        </w:tc>
      </w:tr>
      <w:tr>
        <w:trPr>
          <w:trHeight w:val="171"/>
        </w:trPr>
        <w:tc>
          <w:tcPr>
            <w:tcW w:w="2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to Affiliates</w:t>
            </w:r>
          </w:p>
        </w:tc>
        <w:tc>
          <w:tcPr>
            <w:tcW w:w="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Affiliates</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(Depreciation)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4"/>
                <w:szCs w:val="14"/>
                <w:color w:val="auto"/>
              </w:rPr>
            </w:pPr>
          </w:p>
        </w:tc>
        <w:tc>
          <w:tcPr>
            <w:tcW w:w="1040" w:type="dxa"/>
            <w:vAlign w:val="bottom"/>
            <w:gridSpan w:val="3"/>
          </w:tcPr>
          <w:p>
            <w:pPr>
              <w:ind w:left="100"/>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(Losses)</w:t>
            </w:r>
          </w:p>
        </w:tc>
        <w:tc>
          <w:tcPr>
            <w:tcW w:w="0" w:type="dxa"/>
            <w:vAlign w:val="bottom"/>
          </w:tcPr>
          <w:p>
            <w:pPr>
              <w:spacing w:after="0"/>
              <w:rPr>
                <w:sz w:val="1"/>
                <w:szCs w:val="1"/>
                <w:color w:val="auto"/>
              </w:rPr>
            </w:pPr>
          </w:p>
        </w:tc>
      </w:tr>
      <w:tr>
        <w:trPr>
          <w:trHeight w:val="156"/>
        </w:trPr>
        <w:tc>
          <w:tcPr>
            <w:tcW w:w="204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Non-Controlled Affiliates</w:t>
            </w:r>
          </w:p>
        </w:tc>
        <w:tc>
          <w:tcPr>
            <w:tcW w:w="10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90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90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88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92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78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72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74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140" w:type="dxa"/>
            <w:vAlign w:val="bottom"/>
            <w:gridSpan w:val="2"/>
          </w:tcPr>
          <w:p>
            <w:pPr>
              <w:spacing w:after="0" w:line="143" w:lineRule="exact"/>
              <w:rPr>
                <w:sz w:val="20"/>
                <w:szCs w:val="20"/>
                <w:color w:val="auto"/>
              </w:rPr>
            </w:pPr>
            <w:r>
              <w:rPr>
                <w:rFonts w:ascii="Arial" w:cs="Arial" w:eastAsia="Arial" w:hAnsi="Arial"/>
                <w:sz w:val="14"/>
                <w:szCs w:val="14"/>
                <w:color w:val="auto"/>
              </w:rPr>
              <w:t>Country Fresh Holding</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40" w:type="dxa"/>
            <w:vAlign w:val="bottom"/>
            <w:gridSpan w:val="2"/>
          </w:tcPr>
          <w:p>
            <w:pPr>
              <w:ind w:left="120"/>
              <w:spacing w:after="0"/>
              <w:rPr>
                <w:sz w:val="20"/>
                <w:szCs w:val="20"/>
                <w:color w:val="auto"/>
              </w:rPr>
            </w:pPr>
            <w:r>
              <w:rPr>
                <w:rFonts w:ascii="Arial" w:cs="Arial" w:eastAsia="Arial" w:hAnsi="Arial"/>
                <w:sz w:val="14"/>
                <w:szCs w:val="14"/>
                <w:color w:val="auto"/>
              </w:rPr>
              <w:t>Company Inc.</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11,086,834</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4,191,843</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(8,437,217)</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6,841,460</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279,900</w:t>
            </w:r>
          </w:p>
        </w:tc>
        <w:tc>
          <w:tcPr>
            <w:tcW w:w="22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122,570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2140" w:type="dxa"/>
            <w:vAlign w:val="bottom"/>
            <w:tcBorders>
              <w:top w:val="single" w:sz="8" w:color="CCECFF"/>
            </w:tcBorders>
            <w:gridSpan w:val="2"/>
            <w:shd w:val="clear" w:color="auto" w:fill="CCECFF"/>
          </w:tcPr>
          <w:p>
            <w:pPr>
              <w:spacing w:after="0" w:line="137" w:lineRule="exact"/>
              <w:rPr>
                <w:sz w:val="20"/>
                <w:szCs w:val="20"/>
                <w:color w:val="auto"/>
              </w:rPr>
            </w:pPr>
            <w:r>
              <w:rPr>
                <w:rFonts w:ascii="Arial" w:cs="Arial" w:eastAsia="Arial" w:hAnsi="Arial"/>
                <w:sz w:val="14"/>
                <w:szCs w:val="14"/>
                <w:color w:val="auto"/>
              </w:rPr>
              <w:t>Total Non-Controlled</w:t>
            </w:r>
          </w:p>
        </w:tc>
        <w:tc>
          <w:tcPr>
            <w:tcW w:w="80" w:type="dxa"/>
            <w:vAlign w:val="bottom"/>
            <w:tcBorders>
              <w:top w:val="single" w:sz="8" w:color="auto"/>
            </w:tcBorders>
            <w:shd w:val="clear" w:color="auto" w:fill="CCECFF"/>
          </w:tcPr>
          <w:p>
            <w:pPr>
              <w:spacing w:after="0"/>
              <w:rPr>
                <w:sz w:val="11"/>
                <w:szCs w:val="11"/>
                <w:color w:val="auto"/>
              </w:rPr>
            </w:pPr>
          </w:p>
        </w:tc>
        <w:tc>
          <w:tcPr>
            <w:tcW w:w="900" w:type="dxa"/>
            <w:vAlign w:val="bottom"/>
            <w:tcBorders>
              <w:top w:val="single" w:sz="8" w:color="auto"/>
            </w:tcBorders>
            <w:shd w:val="clear" w:color="auto" w:fill="CCECFF"/>
          </w:tcPr>
          <w:p>
            <w:pPr>
              <w:spacing w:after="0"/>
              <w:rPr>
                <w:sz w:val="11"/>
                <w:szCs w:val="11"/>
                <w:color w:val="auto"/>
              </w:rPr>
            </w:pPr>
          </w:p>
        </w:tc>
        <w:tc>
          <w:tcPr>
            <w:tcW w:w="20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90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88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92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780" w:type="dxa"/>
            <w:vAlign w:val="bottom"/>
            <w:tcBorders>
              <w:top w:val="single" w:sz="8" w:color="auto"/>
            </w:tcBorders>
            <w:shd w:val="clear" w:color="auto" w:fill="CCECFF"/>
          </w:tcPr>
          <w:p>
            <w:pPr>
              <w:spacing w:after="0"/>
              <w:rPr>
                <w:sz w:val="11"/>
                <w:szCs w:val="11"/>
                <w:color w:val="auto"/>
              </w:rPr>
            </w:pPr>
          </w:p>
        </w:tc>
        <w:tc>
          <w:tcPr>
            <w:tcW w:w="200" w:type="dxa"/>
            <w:vAlign w:val="bottom"/>
            <w:tcBorders>
              <w:top w:val="single" w:sz="8" w:color="CCECFF"/>
            </w:tcBorders>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72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60" w:type="dxa"/>
            <w:vAlign w:val="bottom"/>
            <w:tcBorders>
              <w:top w:val="single" w:sz="8" w:color="auto"/>
            </w:tcBorders>
            <w:shd w:val="clear" w:color="auto" w:fill="CCECFF"/>
          </w:tcPr>
          <w:p>
            <w:pPr>
              <w:spacing w:after="0"/>
              <w:rPr>
                <w:sz w:val="11"/>
                <w:szCs w:val="11"/>
                <w:color w:val="auto"/>
              </w:rPr>
            </w:pPr>
          </w:p>
        </w:tc>
        <w:tc>
          <w:tcPr>
            <w:tcW w:w="82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7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40" w:type="dxa"/>
            <w:vAlign w:val="bottom"/>
            <w:gridSpan w:val="2"/>
            <w:shd w:val="clear" w:color="auto" w:fill="CCECFF"/>
          </w:tcPr>
          <w:p>
            <w:pPr>
              <w:ind w:left="120"/>
              <w:spacing w:after="0"/>
              <w:rPr>
                <w:sz w:val="20"/>
                <w:szCs w:val="20"/>
                <w:color w:val="auto"/>
              </w:rPr>
            </w:pPr>
            <w:r>
              <w:rPr>
                <w:rFonts w:ascii="Arial" w:cs="Arial" w:eastAsia="Arial" w:hAnsi="Arial"/>
                <w:sz w:val="14"/>
                <w:szCs w:val="14"/>
                <w:color w:val="auto"/>
              </w:rPr>
              <w:t>Affiliates</w:t>
            </w:r>
          </w:p>
        </w:tc>
        <w:tc>
          <w:tcPr>
            <w:tcW w:w="8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11,086,834</w:t>
            </w:r>
          </w:p>
        </w:tc>
        <w:tc>
          <w:tcPr>
            <w:tcW w:w="200" w:type="dxa"/>
            <w:vAlign w:val="bottom"/>
            <w:shd w:val="clear" w:color="auto" w:fill="CCECFF"/>
          </w:tcPr>
          <w:p>
            <w:pPr>
              <w:spacing w:after="0"/>
              <w:rPr>
                <w:sz w:val="14"/>
                <w:szCs w:val="14"/>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4,191,843</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(8,437,217)</w:t>
            </w:r>
          </w:p>
        </w:tc>
        <w:tc>
          <w:tcPr>
            <w:tcW w:w="18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6,841,460</w:t>
            </w:r>
          </w:p>
        </w:tc>
        <w:tc>
          <w:tcPr>
            <w:tcW w:w="34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279,900</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122,570</w:t>
            </w:r>
          </w:p>
        </w:tc>
        <w:tc>
          <w:tcPr>
            <w:tcW w:w="1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140" w:type="dxa"/>
            <w:vAlign w:val="bottom"/>
            <w:tcBorders>
              <w:top w:val="single" w:sz="8" w:color="CCECFF"/>
              <w:bottom w:val="single" w:sz="8" w:color="CCECFF"/>
            </w:tcBorders>
            <w:gridSpan w:val="2"/>
            <w:vMerge w:val="restart"/>
          </w:tcPr>
          <w:p>
            <w:pPr>
              <w:spacing w:after="0"/>
              <w:rPr>
                <w:sz w:val="20"/>
                <w:szCs w:val="20"/>
                <w:color w:val="auto"/>
              </w:rPr>
            </w:pPr>
            <w:r>
              <w:rPr>
                <w:rFonts w:ascii="Arial" w:cs="Arial" w:eastAsia="Arial" w:hAnsi="Arial"/>
                <w:sz w:val="14"/>
                <w:szCs w:val="14"/>
                <w:b w:val="1"/>
                <w:bCs w:val="1"/>
                <w:color w:val="auto"/>
              </w:rPr>
              <w:t>Controlled Affiliates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C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 xml:space="preserve">Marketplace Events, LLC </w:t>
            </w:r>
            <w:r>
              <w:rPr>
                <w:rFonts w:ascii="Arial" w:cs="Arial" w:eastAsia="Arial" w:hAnsi="Arial"/>
                <w:sz w:val="12"/>
                <w:szCs w:val="12"/>
                <w:b w:val="1"/>
                <w:bCs w:val="1"/>
                <w:color w:val="auto"/>
              </w:rPr>
              <w:t>(1)</w:t>
            </w:r>
          </w:p>
        </w:tc>
        <w:tc>
          <w:tcPr>
            <w:tcW w:w="8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16,155,762</w:t>
            </w:r>
          </w:p>
        </w:tc>
        <w:tc>
          <w:tcPr>
            <w:tcW w:w="200" w:type="dxa"/>
            <w:vAlign w:val="bottom"/>
            <w:shd w:val="clear" w:color="auto" w:fill="CCECFF"/>
          </w:tcPr>
          <w:p>
            <w:pPr>
              <w:spacing w:after="0"/>
              <w:rPr>
                <w:sz w:val="14"/>
                <w:szCs w:val="14"/>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5,110,337</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(1,052,048)</w:t>
            </w:r>
          </w:p>
        </w:tc>
        <w:tc>
          <w:tcPr>
            <w:tcW w:w="8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3,233,768</w:t>
            </w:r>
          </w:p>
        </w:tc>
        <w:tc>
          <w:tcPr>
            <w:tcW w:w="120" w:type="dxa"/>
            <w:vAlign w:val="bottom"/>
            <w:shd w:val="clear" w:color="auto" w:fill="CCECFF"/>
          </w:tcPr>
          <w:p>
            <w:pPr>
              <w:spacing w:after="0"/>
              <w:rPr>
                <w:sz w:val="14"/>
                <w:szCs w:val="14"/>
                <w:color w:val="auto"/>
              </w:rPr>
            </w:pPr>
          </w:p>
        </w:tc>
        <w:tc>
          <w:tcPr>
            <w:tcW w:w="18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23,447,819</w:t>
            </w:r>
          </w:p>
        </w:tc>
        <w:tc>
          <w:tcPr>
            <w:tcW w:w="34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77,892</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195,630</w:t>
            </w:r>
          </w:p>
        </w:tc>
        <w:tc>
          <w:tcPr>
            <w:tcW w:w="1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(1,052,048)</w:t>
            </w:r>
          </w:p>
        </w:tc>
        <w:tc>
          <w:tcPr>
            <w:tcW w:w="0" w:type="dxa"/>
            <w:vAlign w:val="bottom"/>
          </w:tcPr>
          <w:p>
            <w:pPr>
              <w:spacing w:after="0"/>
              <w:rPr>
                <w:sz w:val="1"/>
                <w:szCs w:val="1"/>
                <w:color w:val="auto"/>
              </w:rPr>
            </w:pPr>
          </w:p>
        </w:tc>
      </w:tr>
      <w:tr>
        <w:trPr>
          <w:trHeight w:val="157"/>
        </w:trPr>
        <w:tc>
          <w:tcPr>
            <w:tcW w:w="2140" w:type="dxa"/>
            <w:vAlign w:val="bottom"/>
            <w:gridSpan w:val="2"/>
          </w:tcPr>
          <w:p>
            <w:pPr>
              <w:spacing w:after="0" w:line="157" w:lineRule="exact"/>
              <w:rPr>
                <w:sz w:val="20"/>
                <w:szCs w:val="20"/>
                <w:color w:val="auto"/>
              </w:rPr>
            </w:pPr>
            <w:r>
              <w:rPr>
                <w:rFonts w:ascii="Arial" w:cs="Arial" w:eastAsia="Arial" w:hAnsi="Arial"/>
                <w:sz w:val="14"/>
                <w:szCs w:val="14"/>
                <w:color w:val="auto"/>
              </w:rPr>
              <w:t>PennantPark Senior Secured</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140" w:type="dxa"/>
            <w:vAlign w:val="bottom"/>
            <w:gridSpan w:val="2"/>
          </w:tcPr>
          <w:p>
            <w:pPr>
              <w:ind w:left="140"/>
              <w:spacing w:after="0"/>
              <w:rPr>
                <w:sz w:val="20"/>
                <w:szCs w:val="20"/>
                <w:color w:val="auto"/>
              </w:rPr>
            </w:pPr>
            <w:r>
              <w:rPr>
                <w:rFonts w:ascii="Arial" w:cs="Arial" w:eastAsia="Arial" w:hAnsi="Arial"/>
                <w:sz w:val="14"/>
                <w:szCs w:val="14"/>
                <w:color w:val="auto"/>
              </w:rPr>
              <w:t>Loan Fund I LLC *</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165,289,324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1,575,000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5,122,263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w w:val="95"/>
              </w:rPr>
              <w:t>171,986,587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5,244,003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3,850,000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140" w:type="dxa"/>
            <w:vAlign w:val="bottom"/>
            <w:tcBorders>
              <w:top w:val="single" w:sz="8" w:color="CCECFF"/>
              <w:bottom w:val="single" w:sz="8" w:color="CCECFF"/>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Total Controlled Affiliates</w:t>
            </w:r>
          </w:p>
        </w:tc>
        <w:tc>
          <w:tcPr>
            <w:tcW w:w="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181,445,086</w:t>
            </w:r>
          </w:p>
        </w:tc>
        <w:tc>
          <w:tcPr>
            <w:tcW w:w="20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6,685,337</w:t>
            </w:r>
          </w:p>
        </w:tc>
        <w:tc>
          <w:tcPr>
            <w:tcW w:w="22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(1,052,048)</w:t>
            </w:r>
          </w:p>
        </w:tc>
        <w:tc>
          <w:tcPr>
            <w:tcW w:w="22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8,356,031</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95"/>
              </w:rPr>
              <w:t>195,434,406</w:t>
            </w:r>
          </w:p>
        </w:tc>
        <w:tc>
          <w:tcPr>
            <w:tcW w:w="200" w:type="dxa"/>
            <w:vAlign w:val="bottom"/>
            <w:tcBorders>
              <w:top w:val="single" w:sz="8" w:color="CCECFF"/>
              <w:bottom w:val="single" w:sz="8" w:color="CCECFF"/>
            </w:tcBorders>
            <w:shd w:val="clear" w:color="auto" w:fill="CCECFF"/>
          </w:tcPr>
          <w:p>
            <w:pPr>
              <w:spacing w:after="0"/>
              <w:rPr>
                <w:sz w:val="13"/>
                <w:szCs w:val="13"/>
                <w:color w:val="auto"/>
              </w:rPr>
            </w:pPr>
          </w:p>
        </w:tc>
        <w:tc>
          <w:tcPr>
            <w:tcW w:w="1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5,321,895</w:t>
            </w:r>
          </w:p>
        </w:tc>
        <w:tc>
          <w:tcPr>
            <w:tcW w:w="22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4,045,630</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(1,052,048)</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40" w:type="dxa"/>
            <w:vAlign w:val="bottom"/>
            <w:gridSpan w:val="2"/>
            <w:vMerge w:val="restart"/>
          </w:tcPr>
          <w:p>
            <w:pPr>
              <w:spacing w:after="0" w:line="160" w:lineRule="exact"/>
              <w:rPr>
                <w:sz w:val="20"/>
                <w:szCs w:val="20"/>
                <w:color w:val="auto"/>
              </w:rPr>
            </w:pPr>
            <w:r>
              <w:rPr>
                <w:rFonts w:ascii="Arial" w:cs="Arial" w:eastAsia="Arial" w:hAnsi="Arial"/>
                <w:sz w:val="14"/>
                <w:szCs w:val="14"/>
                <w:b w:val="1"/>
                <w:bCs w:val="1"/>
                <w:color w:val="auto"/>
              </w:rPr>
              <w:t>Total Controlled and</w:t>
            </w: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1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40" w:type="dxa"/>
            <w:vAlign w:val="bottom"/>
            <w:gridSpan w:val="2"/>
          </w:tcPr>
          <w:p>
            <w:pPr>
              <w:ind w:left="120"/>
              <w:spacing w:after="0"/>
              <w:rPr>
                <w:sz w:val="20"/>
                <w:szCs w:val="20"/>
                <w:color w:val="auto"/>
              </w:rPr>
            </w:pPr>
            <w:r>
              <w:rPr>
                <w:rFonts w:ascii="Arial" w:cs="Arial" w:eastAsia="Arial" w:hAnsi="Arial"/>
                <w:sz w:val="14"/>
                <w:szCs w:val="14"/>
                <w:b w:val="1"/>
                <w:bCs w:val="1"/>
                <w:color w:val="auto"/>
              </w:rPr>
              <w:t>Non-Controlled Affiliates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192,531,920</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10,877,180</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(1,052,048)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(81,186)</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w w:val="95"/>
              </w:rPr>
              <w:t>202,275,866</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5,601,795</w:t>
            </w:r>
          </w:p>
        </w:tc>
        <w:tc>
          <w:tcPr>
            <w:tcW w:w="22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4,168,200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(1,052,048)</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ind w:left="380" w:right="40" w:hanging="372"/>
        <w:spacing w:after="0" w:line="276" w:lineRule="auto"/>
        <w:tabs>
          <w:tab w:leader="none" w:pos="380" w:val="left"/>
        </w:tabs>
        <w:numPr>
          <w:ilvl w:val="0"/>
          <w:numId w:val="14"/>
        </w:numPr>
        <w:rPr>
          <w:rFonts w:ascii="Arial" w:cs="Arial" w:eastAsia="Arial" w:hAnsi="Arial"/>
          <w:sz w:val="10"/>
          <w:szCs w:val="10"/>
          <w:b w:val="1"/>
          <w:bCs w:val="1"/>
          <w:color w:val="auto"/>
        </w:rPr>
      </w:pPr>
      <w:r>
        <w:rPr>
          <w:rFonts w:ascii="Arial" w:cs="Arial" w:eastAsia="Arial" w:hAnsi="Arial"/>
          <w:sz w:val="11"/>
          <w:szCs w:val="11"/>
          <w:color w:val="auto"/>
        </w:rPr>
        <w:t>We and Kemper are the members of PSSL, a joint venture formed as a Delaware limited liability company that is not consolidated by us for financial reporting purposes. The members of PSSL make investments in PSSL in the form of first lien secured debt and equity interests, and all portfolio and other material decisions regarding PSSL must be submitted to PSSL’s board of directors or investment committee, both of which are comprised of two members appointed by each of us and Kemper. Because management of PSSL is shared equally between us and Kemper, we do not believe we control PSSL for purposes of the 1940 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18599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ind w:left="380" w:hanging="372"/>
        <w:spacing w:after="0"/>
        <w:tabs>
          <w:tab w:leader="none" w:pos="380" w:val="left"/>
        </w:tabs>
        <w:numPr>
          <w:ilvl w:val="0"/>
          <w:numId w:val="15"/>
        </w:numPr>
        <w:rPr>
          <w:rFonts w:ascii="Arial" w:cs="Arial" w:eastAsia="Arial" w:hAnsi="Arial"/>
          <w:sz w:val="9"/>
          <w:szCs w:val="9"/>
          <w:b w:val="1"/>
          <w:bCs w:val="1"/>
          <w:color w:val="auto"/>
        </w:rPr>
      </w:pPr>
      <w:r>
        <w:rPr>
          <w:rFonts w:ascii="Arial" w:cs="Arial" w:eastAsia="Arial" w:hAnsi="Arial"/>
          <w:sz w:val="11"/>
          <w:szCs w:val="11"/>
          <w:color w:val="auto"/>
        </w:rPr>
        <w:t>Marketplace Events, LLC became a controlled affiliate during the quarter ended December 31, 2020.</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FROM OPERATIONS PER COMMON SHARE</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(decrease) in net assets resulting from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Six Months Ended March 31,</w:t>
            </w:r>
          </w:p>
        </w:tc>
      </w:tr>
      <w:tr>
        <w:trPr>
          <w:trHeight w:val="155"/>
        </w:trPr>
        <w:tc>
          <w:tcPr>
            <w:tcW w:w="548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CFF"/>
            </w:tcBorders>
          </w:tcPr>
          <w:p>
            <w:pPr>
              <w:spacing w:after="0"/>
              <w:rPr>
                <w:sz w:val="13"/>
                <w:szCs w:val="13"/>
                <w:color w:val="auto"/>
              </w:rPr>
            </w:pPr>
          </w:p>
        </w:tc>
      </w:tr>
      <w:tr>
        <w:trPr>
          <w:trHeight w:val="155"/>
        </w:trPr>
        <w:tc>
          <w:tcPr>
            <w:tcW w:w="54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Numerator for net increase (decrease) in net assets resulting from operations</w:t>
            </w:r>
          </w:p>
        </w:tc>
        <w:tc>
          <w:tcPr>
            <w:tcW w:w="220" w:type="dxa"/>
            <w:vAlign w:val="bottom"/>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11,673,345</w:t>
            </w:r>
          </w:p>
        </w:tc>
        <w:tc>
          <w:tcPr>
            <w:tcW w:w="240" w:type="dxa"/>
            <w:vAlign w:val="bottom"/>
            <w:shd w:val="clear" w:color="auto" w:fill="CCECFF"/>
          </w:tcPr>
          <w:p>
            <w:pPr>
              <w:spacing w:after="0"/>
              <w:rPr>
                <w:sz w:val="13"/>
                <w:szCs w:val="13"/>
                <w:color w:val="auto"/>
              </w:rPr>
            </w:pPr>
          </w:p>
        </w:tc>
        <w:tc>
          <w:tcPr>
            <w:tcW w:w="280" w:type="dxa"/>
            <w:vAlign w:val="bottom"/>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(21,101,049)</w:t>
            </w: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shd w:val="clear" w:color="auto" w:fill="CCEC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37,803,933</w:t>
            </w:r>
          </w:p>
        </w:tc>
        <w:tc>
          <w:tcPr>
            <w:tcW w:w="240" w:type="dxa"/>
            <w:vAlign w:val="bottom"/>
            <w:shd w:val="clear" w:color="auto" w:fill="CCECFF"/>
          </w:tcPr>
          <w:p>
            <w:pPr>
              <w:spacing w:after="0"/>
              <w:rPr>
                <w:sz w:val="13"/>
                <w:szCs w:val="13"/>
                <w:color w:val="auto"/>
              </w:rPr>
            </w:pPr>
          </w:p>
        </w:tc>
        <w:tc>
          <w:tcPr>
            <w:tcW w:w="280" w:type="dxa"/>
            <w:vAlign w:val="bottom"/>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(11,128,155)</w:t>
            </w:r>
          </w:p>
        </w:tc>
        <w:tc>
          <w:tcPr>
            <w:tcW w:w="100" w:type="dxa"/>
            <w:vAlign w:val="bottom"/>
            <w:shd w:val="clear" w:color="auto" w:fill="CCECFF"/>
          </w:tcPr>
          <w:p>
            <w:pPr>
              <w:spacing w:after="0"/>
              <w:rPr>
                <w:sz w:val="13"/>
                <w:szCs w:val="13"/>
                <w:color w:val="auto"/>
              </w:rPr>
            </w:pPr>
          </w:p>
        </w:tc>
      </w:tr>
      <w:tr>
        <w:trPr>
          <w:trHeight w:val="162"/>
        </w:trPr>
        <w:tc>
          <w:tcPr>
            <w:tcW w:w="5480" w:type="dxa"/>
            <w:vAlign w:val="bottom"/>
          </w:tcPr>
          <w:p>
            <w:pPr>
              <w:spacing w:after="0"/>
              <w:rPr>
                <w:sz w:val="20"/>
                <w:szCs w:val="20"/>
                <w:color w:val="auto"/>
              </w:rPr>
            </w:pPr>
            <w:r>
              <w:rPr>
                <w:rFonts w:ascii="Arial" w:cs="Arial" w:eastAsia="Arial" w:hAnsi="Arial"/>
                <w:sz w:val="14"/>
                <w:szCs w:val="14"/>
                <w:color w:val="auto"/>
              </w:rPr>
              <w:t>Denominator for basic and diluted weighted average shares</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38,772,074</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38,772,074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38,772,074</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38,772,074</w:t>
            </w:r>
          </w:p>
        </w:tc>
        <w:tc>
          <w:tcPr>
            <w:tcW w:w="100" w:type="dxa"/>
            <w:vAlign w:val="bottom"/>
          </w:tcPr>
          <w:p>
            <w:pPr>
              <w:spacing w:after="0"/>
              <w:rPr>
                <w:sz w:val="14"/>
                <w:szCs w:val="14"/>
                <w:color w:val="auto"/>
              </w:rPr>
            </w:pPr>
          </w:p>
        </w:tc>
      </w:tr>
      <w:tr>
        <w:trPr>
          <w:trHeight w:val="162"/>
        </w:trPr>
        <w:tc>
          <w:tcPr>
            <w:tcW w:w="5480" w:type="dxa"/>
            <w:vAlign w:val="bottom"/>
            <w:shd w:val="clear" w:color="auto" w:fill="CCECFF"/>
          </w:tcPr>
          <w:p>
            <w:pPr>
              <w:spacing w:after="0"/>
              <w:rPr>
                <w:sz w:val="20"/>
                <w:szCs w:val="20"/>
                <w:color w:val="auto"/>
              </w:rPr>
            </w:pPr>
            <w:r>
              <w:rPr>
                <w:rFonts w:ascii="Arial" w:cs="Arial" w:eastAsia="Arial" w:hAnsi="Arial"/>
                <w:sz w:val="14"/>
                <w:szCs w:val="14"/>
                <w:color w:val="auto"/>
                <w:w w:val="97"/>
              </w:rPr>
              <w:t>Basic and diluted net increase (decrease) in net assets per share resulting from operations</w:t>
            </w:r>
          </w:p>
        </w:tc>
        <w:tc>
          <w:tcPr>
            <w:tcW w:w="220" w:type="dxa"/>
            <w:vAlign w:val="bottom"/>
            <w:shd w:val="clear" w:color="auto" w:fill="CCECFF"/>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0.30</w:t>
            </w: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(0.54)</w:t>
            </w:r>
          </w:p>
        </w:tc>
        <w:tc>
          <w:tcPr>
            <w:tcW w:w="360" w:type="dxa"/>
            <w:vAlign w:val="bottom"/>
            <w:gridSpan w:val="2"/>
            <w:shd w:val="clear" w:color="auto" w:fill="CCEC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0.98</w:t>
            </w: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(0.29)</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CASH AND CASH EQUIVALENTS</w:t>
      </w:r>
    </w:p>
    <w:p>
      <w:pPr>
        <w:spacing w:after="0" w:line="140" w:lineRule="exact"/>
        <w:rPr>
          <w:sz w:val="20"/>
          <w:szCs w:val="20"/>
          <w:color w:val="auto"/>
        </w:rPr>
      </w:pPr>
    </w:p>
    <w:p>
      <w:pPr>
        <w:ind w:right="100" w:firstLine="438"/>
        <w:spacing w:after="0" w:line="245" w:lineRule="auto"/>
        <w:rPr>
          <w:sz w:val="20"/>
          <w:szCs w:val="20"/>
          <w:color w:val="auto"/>
        </w:rPr>
      </w:pPr>
      <w:r>
        <w:rPr>
          <w:rFonts w:ascii="Arial" w:cs="Arial" w:eastAsia="Arial" w:hAnsi="Arial"/>
          <w:sz w:val="13"/>
          <w:szCs w:val="13"/>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March 31, 2021 and September 30, 2020, cash and cash equivalents consisted of money market funds in the amounts of $66.6 million and $57.5 million at fair value, respectively.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40" w:type="dxa"/>
            <w:vAlign w:val="bottom"/>
          </w:tcPr>
          <w:p>
            <w:pPr>
              <w:spacing w:after="0"/>
              <w:rPr>
                <w:sz w:val="20"/>
                <w:szCs w:val="20"/>
                <w:color w:val="auto"/>
              </w:rPr>
            </w:pPr>
            <w:r>
              <w:rPr>
                <w:rFonts w:ascii="Arial" w:cs="Arial" w:eastAsia="Arial" w:hAnsi="Arial"/>
                <w:sz w:val="14"/>
                <w:szCs w:val="14"/>
                <w:b w:val="1"/>
                <w:bCs w:val="1"/>
                <w:color w:val="auto"/>
              </w:rPr>
              <w:t>9. FINANCIAL HIGHLIGHTS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7640" w:type="dxa"/>
            <w:vAlign w:val="bottom"/>
          </w:tcPr>
          <w:p>
            <w:pPr>
              <w:ind w:left="440"/>
              <w:spacing w:after="0"/>
              <w:rPr>
                <w:sz w:val="20"/>
                <w:szCs w:val="20"/>
                <w:color w:val="auto"/>
              </w:rPr>
            </w:pPr>
            <w:r>
              <w:rPr>
                <w:rFonts w:ascii="Arial" w:cs="Arial" w:eastAsia="Arial" w:hAnsi="Arial"/>
                <w:sz w:val="14"/>
                <w:szCs w:val="14"/>
                <w:color w:val="auto"/>
              </w:rPr>
              <w:t>Below are the financial highlights: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7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4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56"/>
        </w:trPr>
        <w:tc>
          <w:tcPr>
            <w:tcW w:w="764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CFF"/>
            </w:tcBorders>
          </w:tcPr>
          <w:p>
            <w:pPr>
              <w:spacing w:after="0"/>
              <w:rPr>
                <w:sz w:val="13"/>
                <w:szCs w:val="13"/>
                <w:color w:val="auto"/>
              </w:rPr>
            </w:pPr>
          </w:p>
        </w:tc>
        <w:tc>
          <w:tcPr>
            <w:tcW w:w="100" w:type="dxa"/>
            <w:vAlign w:val="bottom"/>
            <w:tcBorders>
              <w:top w:val="single" w:sz="8" w:color="auto"/>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Per Share Data:</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tcPr>
          <w:p>
            <w:pPr>
              <w:spacing w:after="0"/>
              <w:rPr>
                <w:sz w:val="20"/>
                <w:szCs w:val="20"/>
                <w:color w:val="auto"/>
              </w:rPr>
            </w:pPr>
            <w:r>
              <w:rPr>
                <w:rFonts w:ascii="Arial" w:cs="Arial" w:eastAsia="Arial" w:hAnsi="Arial"/>
                <w:sz w:val="14"/>
                <w:szCs w:val="14"/>
                <w:color w:val="auto"/>
              </w:rPr>
              <w:t>Net asset value, beginning of period</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12.31</w:t>
            </w:r>
          </w:p>
        </w:tc>
        <w:tc>
          <w:tcPr>
            <w:tcW w:w="200" w:type="dxa"/>
            <w:vAlign w:val="bottom"/>
          </w:tcPr>
          <w:p>
            <w:pPr>
              <w:spacing w:after="0"/>
              <w:rPr>
                <w:sz w:val="14"/>
                <w:szCs w:val="14"/>
                <w:color w:val="auto"/>
              </w:rPr>
            </w:pPr>
          </w:p>
        </w:tc>
        <w:tc>
          <w:tcPr>
            <w:tcW w:w="4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12.97</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0.52</w:t>
            </w: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0.59</w:t>
            </w:r>
          </w:p>
        </w:tc>
        <w:tc>
          <w:tcPr>
            <w:tcW w:w="1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spacing w:after="0"/>
              <w:rPr>
                <w:sz w:val="20"/>
                <w:szCs w:val="20"/>
                <w:color w:val="auto"/>
              </w:rPr>
            </w:pPr>
            <w:r>
              <w:rPr>
                <w:rFonts w:ascii="Arial" w:cs="Arial" w:eastAsia="Arial" w:hAnsi="Arial"/>
                <w:sz w:val="14"/>
                <w:szCs w:val="14"/>
                <w:color w:val="auto"/>
              </w:rPr>
              <w:t xml:space="preserve">Net change in realized and unrealized gain (loss) </w:t>
            </w:r>
            <w:r>
              <w:rPr>
                <w:rFonts w:ascii="Arial" w:cs="Arial" w:eastAsia="Arial" w:hAnsi="Arial"/>
                <w:sz w:val="12"/>
                <w:szCs w:val="12"/>
                <w:color w:val="auto"/>
              </w:rPr>
              <w:t>(1)</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0.46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(0.88)</w:t>
            </w:r>
          </w:p>
        </w:tc>
        <w:tc>
          <w:tcPr>
            <w:tcW w:w="0" w:type="dxa"/>
            <w:vAlign w:val="bottom"/>
          </w:tcPr>
          <w:p>
            <w:pPr>
              <w:spacing w:after="0"/>
              <w:rPr>
                <w:sz w:val="1"/>
                <w:szCs w:val="1"/>
                <w:color w:val="auto"/>
              </w:rPr>
            </w:pPr>
          </w:p>
        </w:tc>
      </w:tr>
      <w:tr>
        <w:trPr>
          <w:trHeight w:val="156"/>
        </w:trPr>
        <w:tc>
          <w:tcPr>
            <w:tcW w:w="764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 xml:space="preserve">Net increase (decrease) in net assets resulting from operations </w:t>
            </w:r>
            <w:r>
              <w:rPr>
                <w:rFonts w:ascii="Arial" w:cs="Arial" w:eastAsia="Arial" w:hAnsi="Arial"/>
                <w:sz w:val="12"/>
                <w:szCs w:val="12"/>
                <w:color w:val="auto"/>
              </w:rPr>
              <w:t>(1)</w:t>
            </w:r>
          </w:p>
        </w:tc>
        <w:tc>
          <w:tcPr>
            <w:tcW w:w="360" w:type="dxa"/>
            <w:vAlign w:val="bottom"/>
            <w:tcBorders>
              <w:top w:val="single" w:sz="8" w:color="auto"/>
            </w:tcBorders>
            <w:shd w:val="clear" w:color="auto" w:fill="CCECFF"/>
          </w:tcPr>
          <w:p>
            <w:pPr>
              <w:spacing w:after="0"/>
              <w:rPr>
                <w:sz w:val="13"/>
                <w:szCs w:val="13"/>
                <w:color w:val="auto"/>
              </w:rPr>
            </w:pP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0.98</w:t>
            </w:r>
          </w:p>
        </w:tc>
        <w:tc>
          <w:tcPr>
            <w:tcW w:w="2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spacing w:after="0"/>
              <w:rPr>
                <w:sz w:val="13"/>
                <w:szCs w:val="13"/>
                <w:color w:val="auto"/>
              </w:rPr>
            </w:pPr>
          </w:p>
        </w:tc>
        <w:tc>
          <w:tcPr>
            <w:tcW w:w="12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(0.29)</w:t>
            </w:r>
          </w:p>
        </w:tc>
        <w:tc>
          <w:tcPr>
            <w:tcW w:w="18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tcPr>
          <w:p>
            <w:pPr>
              <w:spacing w:after="0"/>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360" w:type="dxa"/>
            <w:vAlign w:val="bottom"/>
          </w:tcPr>
          <w:p>
            <w:pPr>
              <w:spacing w:after="0"/>
              <w:rPr>
                <w:sz w:val="14"/>
                <w:szCs w:val="14"/>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(0.57)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(0.57)</w:t>
            </w:r>
          </w:p>
        </w:tc>
        <w:tc>
          <w:tcPr>
            <w:tcW w:w="0" w:type="dxa"/>
            <w:vAlign w:val="bottom"/>
          </w:tcPr>
          <w:p>
            <w:pPr>
              <w:spacing w:after="0"/>
              <w:rPr>
                <w:sz w:val="1"/>
                <w:szCs w:val="1"/>
                <w:color w:val="auto"/>
              </w:rPr>
            </w:pPr>
          </w:p>
        </w:tc>
      </w:tr>
      <w:tr>
        <w:trPr>
          <w:trHeight w:val="156"/>
        </w:trPr>
        <w:tc>
          <w:tcPr>
            <w:tcW w:w="764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Net asset value, end of period</w:t>
            </w:r>
          </w:p>
        </w:tc>
        <w:tc>
          <w:tcPr>
            <w:tcW w:w="360" w:type="dxa"/>
            <w:vAlign w:val="bottom"/>
            <w:tcBorders>
              <w:top w:val="single" w:sz="8" w:color="auto"/>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12.71</w:t>
            </w:r>
          </w:p>
        </w:tc>
        <w:tc>
          <w:tcPr>
            <w:tcW w:w="20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340" w:type="dxa"/>
            <w:vAlign w:val="bottom"/>
            <w:tcBorders>
              <w:top w:val="single" w:sz="8" w:color="auto"/>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12.12</w:t>
            </w:r>
          </w:p>
        </w:tc>
        <w:tc>
          <w:tcPr>
            <w:tcW w:w="18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Arial" w:cs="Arial" w:eastAsia="Arial" w:hAnsi="Arial"/>
                <w:sz w:val="14"/>
                <w:szCs w:val="14"/>
                <w:color w:val="auto"/>
              </w:rPr>
              <w:t>Per share market value, end of period</w:t>
            </w: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40" w:type="dxa"/>
            <w:vAlign w:val="bottom"/>
            <w:tcBorders>
              <w:bottom w:val="single" w:sz="8" w:color="CCECFF"/>
            </w:tcBorders>
            <w:vMerge w:val="continue"/>
          </w:tcPr>
          <w:p>
            <w:pPr>
              <w:spacing w:after="0"/>
              <w:rPr>
                <w:sz w:val="15"/>
                <w:szCs w:val="15"/>
                <w:color w:val="auto"/>
              </w:rPr>
            </w:pPr>
          </w:p>
        </w:tc>
        <w:tc>
          <w:tcPr>
            <w:tcW w:w="360" w:type="dxa"/>
            <w:vAlign w:val="bottom"/>
            <w:tcBorders>
              <w:top w:val="single" w:sz="8" w:color="auto"/>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11.88</w:t>
            </w:r>
          </w:p>
        </w:tc>
        <w:tc>
          <w:tcPr>
            <w:tcW w:w="200" w:type="dxa"/>
            <w:vAlign w:val="bottom"/>
            <w:tcBorders>
              <w:bottom w:val="single" w:sz="8" w:color="CCECFF"/>
            </w:tcBorders>
          </w:tcPr>
          <w:p>
            <w:pPr>
              <w:spacing w:after="0"/>
              <w:rPr>
                <w:sz w:val="15"/>
                <w:szCs w:val="15"/>
                <w:color w:val="auto"/>
              </w:rPr>
            </w:pPr>
          </w:p>
        </w:tc>
        <w:tc>
          <w:tcPr>
            <w:tcW w:w="100" w:type="dxa"/>
            <w:vAlign w:val="bottom"/>
            <w:tcBorders>
              <w:bottom w:val="single" w:sz="8" w:color="CCECFF"/>
            </w:tcBorders>
          </w:tcPr>
          <w:p>
            <w:pPr>
              <w:spacing w:after="0"/>
              <w:rPr>
                <w:sz w:val="15"/>
                <w:szCs w:val="15"/>
                <w:color w:val="auto"/>
              </w:rPr>
            </w:pPr>
          </w:p>
        </w:tc>
        <w:tc>
          <w:tcPr>
            <w:tcW w:w="340" w:type="dxa"/>
            <w:vAlign w:val="bottom"/>
            <w:tcBorders>
              <w:top w:val="single" w:sz="8" w:color="auto"/>
              <w:bottom w:val="single" w:sz="8" w:color="auto"/>
            </w:tcBorders>
          </w:tcPr>
          <w:p>
            <w:pPr>
              <w:jc w:val="right"/>
              <w:ind w:right="188"/>
              <w:spacing w:after="0" w:line="143"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4.86</w:t>
            </w:r>
          </w:p>
        </w:tc>
        <w:tc>
          <w:tcPr>
            <w:tcW w:w="18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640" w:type="dxa"/>
            <w:vAlign w:val="bottom"/>
            <w:shd w:val="clear" w:color="auto" w:fill="CCECFF"/>
          </w:tcPr>
          <w:p>
            <w:pPr>
              <w:spacing w:after="0" w:line="143" w:lineRule="exact"/>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360" w:type="dxa"/>
            <w:vAlign w:val="bottom"/>
            <w:shd w:val="clear" w:color="auto" w:fill="CCECFF"/>
          </w:tcPr>
          <w:p>
            <w:pPr>
              <w:spacing w:after="0"/>
              <w:rPr>
                <w:sz w:val="12"/>
                <w:szCs w:val="12"/>
                <w:color w:val="auto"/>
              </w:rPr>
            </w:pPr>
          </w:p>
        </w:tc>
        <w:tc>
          <w:tcPr>
            <w:tcW w:w="1400" w:type="dxa"/>
            <w:vAlign w:val="bottom"/>
            <w:gridSpan w:val="2"/>
            <w:shd w:val="clear" w:color="auto" w:fill="CCECFF"/>
          </w:tcPr>
          <w:p>
            <w:pPr>
              <w:jc w:val="right"/>
              <w:ind w:right="80"/>
              <w:spacing w:after="0" w:line="143" w:lineRule="exact"/>
              <w:rPr>
                <w:sz w:val="20"/>
                <w:szCs w:val="20"/>
                <w:color w:val="auto"/>
              </w:rPr>
            </w:pPr>
            <w:r>
              <w:rPr>
                <w:rFonts w:ascii="Arial" w:cs="Arial" w:eastAsia="Arial" w:hAnsi="Arial"/>
                <w:sz w:val="14"/>
                <w:szCs w:val="14"/>
                <w:color w:val="auto"/>
              </w:rPr>
              <w:t>47.92%</w:t>
            </w:r>
          </w:p>
        </w:tc>
        <w:tc>
          <w:tcPr>
            <w:tcW w:w="10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1400" w:type="dxa"/>
            <w:vAlign w:val="bottom"/>
            <w:gridSpan w:val="2"/>
            <w:shd w:val="clear" w:color="auto" w:fill="CCECFF"/>
          </w:tcPr>
          <w:p>
            <w:pPr>
              <w:jc w:val="right"/>
              <w:ind w:right="20"/>
              <w:spacing w:after="0" w:line="143" w:lineRule="exact"/>
              <w:rPr>
                <w:sz w:val="20"/>
                <w:szCs w:val="20"/>
                <w:color w:val="auto"/>
              </w:rPr>
            </w:pPr>
            <w:r>
              <w:rPr>
                <w:rFonts w:ascii="Arial" w:cs="Arial" w:eastAsia="Arial" w:hAnsi="Arial"/>
                <w:sz w:val="14"/>
                <w:szCs w:val="14"/>
                <w:color w:val="auto"/>
              </w:rPr>
              <w:t>(56.05)%</w:t>
            </w:r>
          </w:p>
        </w:tc>
        <w:tc>
          <w:tcPr>
            <w:tcW w:w="0" w:type="dxa"/>
            <w:vAlign w:val="bottom"/>
          </w:tcPr>
          <w:p>
            <w:pPr>
              <w:spacing w:after="0"/>
              <w:rPr>
                <w:sz w:val="1"/>
                <w:szCs w:val="1"/>
                <w:color w:val="auto"/>
              </w:rPr>
            </w:pPr>
          </w:p>
        </w:tc>
      </w:tr>
      <w:tr>
        <w:trPr>
          <w:trHeight w:val="202"/>
        </w:trPr>
        <w:tc>
          <w:tcPr>
            <w:tcW w:w="764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Shares outstanding at end of period</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38,772,074</w:t>
            </w:r>
          </w:p>
        </w:tc>
        <w:tc>
          <w:tcPr>
            <w:tcW w:w="200" w:type="dxa"/>
            <w:vAlign w:val="bottom"/>
            <w:tcBorders>
              <w:bottom w:val="single" w:sz="8" w:color="CCECFF"/>
            </w:tcBorders>
          </w:tcPr>
          <w:p>
            <w:pPr>
              <w:spacing w:after="0"/>
              <w:rPr>
                <w:sz w:val="17"/>
                <w:szCs w:val="17"/>
                <w:color w:val="auto"/>
              </w:rPr>
            </w:pPr>
          </w:p>
        </w:tc>
        <w:tc>
          <w:tcPr>
            <w:tcW w:w="100" w:type="dxa"/>
            <w:vAlign w:val="bottom"/>
            <w:tcBorders>
              <w:bottom w:val="single" w:sz="8" w:color="CCEC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38,772,074</w:t>
            </w:r>
          </w:p>
        </w:tc>
        <w:tc>
          <w:tcPr>
            <w:tcW w:w="18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640" w:type="dxa"/>
            <w:vAlign w:val="bottom"/>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Ratios** / Supplemental Data:</w:t>
            </w: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1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40" w:type="dxa"/>
            <w:vAlign w:val="bottom"/>
          </w:tcPr>
          <w:p>
            <w:pPr>
              <w:spacing w:after="0"/>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w:t>
            </w:r>
          </w:p>
        </w:tc>
        <w:tc>
          <w:tcPr>
            <w:tcW w:w="360" w:type="dxa"/>
            <w:vAlign w:val="bottom"/>
          </w:tcPr>
          <w:p>
            <w:pPr>
              <w:spacing w:after="0"/>
              <w:rPr>
                <w:sz w:val="14"/>
                <w:szCs w:val="14"/>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162"/>
        </w:trPr>
        <w:tc>
          <w:tcPr>
            <w:tcW w:w="764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Ratio of debt related expenses to average net assets </w:t>
            </w:r>
            <w:r>
              <w:rPr>
                <w:rFonts w:ascii="Arial" w:cs="Arial" w:eastAsia="Arial" w:hAnsi="Arial"/>
                <w:sz w:val="12"/>
                <w:szCs w:val="12"/>
                <w:color w:val="auto"/>
              </w:rPr>
              <w:t>(5)</w:t>
            </w:r>
          </w:p>
        </w:tc>
        <w:tc>
          <w:tcPr>
            <w:tcW w:w="360" w:type="dxa"/>
            <w:vAlign w:val="bottom"/>
            <w:shd w:val="clear" w:color="auto" w:fill="CCECFF"/>
          </w:tcPr>
          <w:p>
            <w:pPr>
              <w:spacing w:after="0"/>
              <w:rPr>
                <w:sz w:val="14"/>
                <w:szCs w:val="14"/>
                <w:color w:val="auto"/>
              </w:rPr>
            </w:pPr>
          </w:p>
        </w:tc>
        <w:tc>
          <w:tcPr>
            <w:tcW w:w="140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4.16%</w:t>
            </w: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40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6.01%</w:t>
            </w: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2"/>
                <w:szCs w:val="12"/>
                <w:color w:val="auto"/>
              </w:rPr>
              <w:t>(5)</w:t>
            </w: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8.28%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11.31%</w:t>
            </w:r>
          </w:p>
        </w:tc>
        <w:tc>
          <w:tcPr>
            <w:tcW w:w="0" w:type="dxa"/>
            <w:vAlign w:val="bottom"/>
          </w:tcPr>
          <w:p>
            <w:pPr>
              <w:spacing w:after="0"/>
              <w:rPr>
                <w:sz w:val="1"/>
                <w:szCs w:val="1"/>
                <w:color w:val="auto"/>
              </w:rPr>
            </w:pPr>
          </w:p>
        </w:tc>
      </w:tr>
      <w:tr>
        <w:trPr>
          <w:trHeight w:val="162"/>
        </w:trPr>
        <w:tc>
          <w:tcPr>
            <w:tcW w:w="764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Ratio of net investment income to average net assets </w:t>
            </w:r>
            <w:r>
              <w:rPr>
                <w:rFonts w:ascii="Arial" w:cs="Arial" w:eastAsia="Arial" w:hAnsi="Arial"/>
                <w:sz w:val="12"/>
                <w:szCs w:val="12"/>
                <w:color w:val="auto"/>
              </w:rPr>
              <w:t>(5)</w:t>
            </w:r>
          </w:p>
        </w:tc>
        <w:tc>
          <w:tcPr>
            <w:tcW w:w="360" w:type="dxa"/>
            <w:vAlign w:val="bottom"/>
            <w:shd w:val="clear" w:color="auto" w:fill="CCECFF"/>
          </w:tcPr>
          <w:p>
            <w:pPr>
              <w:spacing w:after="0"/>
              <w:rPr>
                <w:sz w:val="14"/>
                <w:szCs w:val="14"/>
                <w:color w:val="auto"/>
              </w:rPr>
            </w:pPr>
          </w:p>
        </w:tc>
        <w:tc>
          <w:tcPr>
            <w:tcW w:w="140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8.24%</w:t>
            </w: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40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9.20%</w:t>
            </w:r>
          </w:p>
        </w:tc>
        <w:tc>
          <w:tcPr>
            <w:tcW w:w="0" w:type="dxa"/>
            <w:vAlign w:val="bottom"/>
          </w:tcPr>
          <w:p>
            <w:pPr>
              <w:spacing w:after="0"/>
              <w:rPr>
                <w:sz w:val="1"/>
                <w:szCs w:val="1"/>
                <w:color w:val="auto"/>
              </w:rPr>
            </w:pPr>
          </w:p>
        </w:tc>
      </w:tr>
      <w:tr>
        <w:trPr>
          <w:trHeight w:val="162"/>
        </w:trPr>
        <w:tc>
          <w:tcPr>
            <w:tcW w:w="7640" w:type="dxa"/>
            <w:vAlign w:val="bottom"/>
          </w:tcPr>
          <w:p>
            <w:pPr>
              <w:spacing w:after="0"/>
              <w:rPr>
                <w:sz w:val="20"/>
                <w:szCs w:val="20"/>
                <w:color w:val="auto"/>
              </w:rPr>
            </w:pPr>
            <w:r>
              <w:rPr>
                <w:rFonts w:ascii="Arial" w:cs="Arial" w:eastAsia="Arial" w:hAnsi="Arial"/>
                <w:sz w:val="14"/>
                <w:szCs w:val="14"/>
                <w:color w:val="auto"/>
              </w:rPr>
              <w:t>Net assets at end of period</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492,974,243</w:t>
            </w:r>
          </w:p>
        </w:tc>
        <w:tc>
          <w:tcPr>
            <w:tcW w:w="200" w:type="dxa"/>
            <w:vAlign w:val="bottom"/>
          </w:tcPr>
          <w:p>
            <w:pPr>
              <w:spacing w:after="0"/>
              <w:rPr>
                <w:sz w:val="14"/>
                <w:szCs w:val="14"/>
                <w:color w:val="auto"/>
              </w:rPr>
            </w:pPr>
          </w:p>
        </w:tc>
        <w:tc>
          <w:tcPr>
            <w:tcW w:w="4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469,829,274</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64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Weighted average debt outstanding</w:t>
            </w:r>
          </w:p>
        </w:tc>
        <w:tc>
          <w:tcPr>
            <w:tcW w:w="360" w:type="dxa"/>
            <w:vAlign w:val="bottom"/>
            <w:tcBorders>
              <w:top w:val="single" w:sz="8" w:color="auto"/>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600,760,472</w:t>
            </w:r>
          </w:p>
        </w:tc>
        <w:tc>
          <w:tcPr>
            <w:tcW w:w="2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720,417,458</w:t>
            </w:r>
          </w:p>
        </w:tc>
        <w:tc>
          <w:tcPr>
            <w:tcW w:w="18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40" w:type="dxa"/>
            <w:vAlign w:val="bottom"/>
          </w:tcPr>
          <w:p>
            <w:pPr>
              <w:spacing w:after="0" w:line="155"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w:t>
            </w:r>
          </w:p>
        </w:tc>
        <w:tc>
          <w:tcPr>
            <w:tcW w:w="360" w:type="dxa"/>
            <w:vAlign w:val="bottom"/>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15.49</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18.58</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(6)</w:t>
            </w:r>
          </w:p>
        </w:tc>
        <w:tc>
          <w:tcPr>
            <w:tcW w:w="360" w:type="dxa"/>
            <w:vAlign w:val="bottom"/>
            <w:shd w:val="clear" w:color="auto" w:fill="CCEC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1,825</w:t>
            </w:r>
          </w:p>
        </w:tc>
        <w:tc>
          <w:tcPr>
            <w:tcW w:w="200" w:type="dxa"/>
            <w:vAlign w:val="bottom"/>
            <w:shd w:val="clear" w:color="auto" w:fill="CCECFF"/>
          </w:tcPr>
          <w:p>
            <w:pPr>
              <w:spacing w:after="0"/>
              <w:rPr>
                <w:sz w:val="14"/>
                <w:szCs w:val="14"/>
                <w:color w:val="auto"/>
              </w:rPr>
            </w:pPr>
          </w:p>
        </w:tc>
        <w:tc>
          <w:tcPr>
            <w:tcW w:w="440" w:type="dxa"/>
            <w:vAlign w:val="bottom"/>
            <w:gridSpan w:val="2"/>
            <w:shd w:val="clear" w:color="auto" w:fill="CCEC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1,552</w:t>
            </w:r>
          </w:p>
        </w:tc>
        <w:tc>
          <w:tcPr>
            <w:tcW w:w="1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640" w:type="dxa"/>
            <w:vAlign w:val="bottom"/>
          </w:tcPr>
          <w:p>
            <w:pPr>
              <w:spacing w:after="0"/>
              <w:rPr>
                <w:sz w:val="20"/>
                <w:szCs w:val="20"/>
                <w:color w:val="auto"/>
              </w:rPr>
            </w:pPr>
            <w:r>
              <w:rPr>
                <w:rFonts w:ascii="Arial" w:cs="Arial" w:eastAsia="Arial" w:hAnsi="Arial"/>
                <w:sz w:val="14"/>
                <w:szCs w:val="14"/>
                <w:color w:val="auto"/>
              </w:rPr>
              <w:t>Portfolio turnover ratio</w:t>
            </w:r>
          </w:p>
        </w:tc>
        <w:tc>
          <w:tcPr>
            <w:tcW w:w="360" w:type="dxa"/>
            <w:vAlign w:val="bottom"/>
          </w:tcPr>
          <w:p>
            <w:pPr>
              <w:spacing w:after="0"/>
              <w:rPr>
                <w:sz w:val="15"/>
                <w:szCs w:val="15"/>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44.13%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4"/>
                <w:szCs w:val="14"/>
                <w:color w:val="auto"/>
              </w:rPr>
              <w:t>42.35%</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11"/>
          <w:szCs w:val="11"/>
          <w:b w:val="1"/>
          <w:bCs w:val="1"/>
          <w:color w:val="auto"/>
        </w:rPr>
      </w:pPr>
      <w:r>
        <w:rPr>
          <w:rFonts w:ascii="Arial" w:cs="Arial" w:eastAsia="Arial" w:hAnsi="Arial"/>
          <w:sz w:val="11"/>
          <w:szCs w:val="11"/>
          <w:color w:val="auto"/>
        </w:rPr>
        <w:t>Not annualized for periods less than one year.</w:t>
      </w:r>
    </w:p>
    <w:p>
      <w:pPr>
        <w:spacing w:after="0" w:line="3" w:lineRule="exact"/>
        <w:rPr>
          <w:rFonts w:ascii="Arial" w:cs="Arial" w:eastAsia="Arial" w:hAnsi="Arial"/>
          <w:sz w:val="11"/>
          <w:szCs w:val="11"/>
          <w:b w:val="1"/>
          <w:bCs w:val="1"/>
          <w:color w:val="auto"/>
        </w:rPr>
      </w:pPr>
    </w:p>
    <w:p>
      <w:pPr>
        <w:spacing w:after="0"/>
        <w:rPr>
          <w:rFonts w:ascii="Arial" w:cs="Arial" w:eastAsia="Arial" w:hAnsi="Arial"/>
          <w:sz w:val="11"/>
          <w:szCs w:val="11"/>
          <w:b w:val="1"/>
          <w:bCs w:val="1"/>
          <w:color w:val="auto"/>
        </w:rPr>
      </w:pPr>
      <w:r>
        <w:rPr>
          <w:rFonts w:ascii="Arial" w:cs="Arial" w:eastAsia="Arial" w:hAnsi="Arial"/>
          <w:sz w:val="11"/>
          <w:szCs w:val="11"/>
          <w:b w:val="1"/>
          <w:bCs w:val="1"/>
          <w:color w:val="auto"/>
        </w:rPr>
        <w:t>**</w:t>
      </w:r>
      <w:r>
        <w:rPr>
          <w:rFonts w:ascii="Arial" w:cs="Arial" w:eastAsia="Arial" w:hAnsi="Arial"/>
          <w:sz w:val="9"/>
          <w:szCs w:val="9"/>
          <w:color w:val="auto"/>
        </w:rPr>
        <w:t>Annualized for periods less than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18599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ind w:left="380" w:hanging="372"/>
        <w:spacing w:after="0" w:line="231" w:lineRule="auto"/>
        <w:tabs>
          <w:tab w:leader="none" w:pos="380" w:val="left"/>
        </w:tabs>
        <w:numPr>
          <w:ilvl w:val="0"/>
          <w:numId w:val="17"/>
        </w:numPr>
        <w:rPr>
          <w:rFonts w:ascii="Arial" w:cs="Arial" w:eastAsia="Arial" w:hAnsi="Arial"/>
          <w:sz w:val="9"/>
          <w:szCs w:val="9"/>
          <w:b w:val="1"/>
          <w:bCs w:val="1"/>
          <w:color w:val="auto"/>
        </w:rPr>
      </w:pPr>
      <w:r>
        <w:rPr>
          <w:rFonts w:ascii="Arial" w:cs="Arial" w:eastAsia="Arial" w:hAnsi="Arial"/>
          <w:sz w:val="11"/>
          <w:szCs w:val="11"/>
          <w:color w:val="auto"/>
        </w:rPr>
        <w:t>Based on the weighted average shares outstanding for the respective periods.</w:t>
      </w:r>
    </w:p>
    <w:p>
      <w:pPr>
        <w:ind w:left="380" w:hanging="372"/>
        <w:spacing w:after="0" w:line="230" w:lineRule="auto"/>
        <w:tabs>
          <w:tab w:leader="none" w:pos="380" w:val="left"/>
        </w:tabs>
        <w:numPr>
          <w:ilvl w:val="0"/>
          <w:numId w:val="17"/>
        </w:numPr>
        <w:rPr>
          <w:rFonts w:ascii="Arial" w:cs="Arial" w:eastAsia="Arial" w:hAnsi="Arial"/>
          <w:sz w:val="9"/>
          <w:szCs w:val="9"/>
          <w:b w:val="1"/>
          <w:bCs w:val="1"/>
          <w:color w:val="auto"/>
        </w:rPr>
      </w:pPr>
      <w:r>
        <w:rPr>
          <w:rFonts w:ascii="Arial" w:cs="Arial" w:eastAsia="Arial" w:hAnsi="Arial"/>
          <w:sz w:val="11"/>
          <w:szCs w:val="11"/>
          <w:color w:val="auto"/>
        </w:rPr>
        <w:t>The tax status of distributions is calculated in accordance with income tax regulations, which may differ from amounts determined under GAAP, and reported on Form 1099-DIV each calendar year.</w:t>
      </w:r>
    </w:p>
    <w:p>
      <w:pPr>
        <w:ind w:left="380" w:hanging="372"/>
        <w:spacing w:after="0" w:line="230" w:lineRule="auto"/>
        <w:tabs>
          <w:tab w:leader="none" w:pos="380" w:val="left"/>
        </w:tabs>
        <w:numPr>
          <w:ilvl w:val="0"/>
          <w:numId w:val="17"/>
        </w:numPr>
        <w:rPr>
          <w:rFonts w:ascii="Arial" w:cs="Arial" w:eastAsia="Arial" w:hAnsi="Arial"/>
          <w:sz w:val="9"/>
          <w:szCs w:val="9"/>
          <w:b w:val="1"/>
          <w:bCs w:val="1"/>
          <w:color w:val="auto"/>
        </w:rPr>
      </w:pPr>
      <w:r>
        <w:rPr>
          <w:rFonts w:ascii="Arial" w:cs="Arial" w:eastAsia="Arial" w:hAnsi="Arial"/>
          <w:sz w:val="11"/>
          <w:szCs w:val="11"/>
          <w:color w:val="auto"/>
        </w:rPr>
        <w:t>Based on the change in market price per share during the periods and assumes distributions, if any, are reinvested.</w:t>
      </w:r>
    </w:p>
    <w:p>
      <w:pPr>
        <w:ind w:left="380" w:hanging="372"/>
        <w:spacing w:after="0" w:line="230" w:lineRule="auto"/>
        <w:tabs>
          <w:tab w:leader="none" w:pos="380" w:val="left"/>
        </w:tabs>
        <w:numPr>
          <w:ilvl w:val="0"/>
          <w:numId w:val="17"/>
        </w:numPr>
        <w:rPr>
          <w:rFonts w:ascii="Arial" w:cs="Arial" w:eastAsia="Arial" w:hAnsi="Arial"/>
          <w:sz w:val="9"/>
          <w:szCs w:val="9"/>
          <w:b w:val="1"/>
          <w:bCs w:val="1"/>
          <w:color w:val="auto"/>
        </w:rPr>
      </w:pPr>
      <w:r>
        <w:rPr>
          <w:rFonts w:ascii="Arial" w:cs="Arial" w:eastAsia="Arial" w:hAnsi="Arial"/>
          <w:sz w:val="11"/>
          <w:szCs w:val="11"/>
          <w:color w:val="auto"/>
        </w:rPr>
        <w:t>Excludes debt related costs.</w:t>
      </w:r>
    </w:p>
    <w:p>
      <w:pPr>
        <w:ind w:left="380" w:hanging="372"/>
        <w:spacing w:after="0" w:line="230" w:lineRule="auto"/>
        <w:tabs>
          <w:tab w:leader="none" w:pos="380" w:val="left"/>
        </w:tabs>
        <w:numPr>
          <w:ilvl w:val="0"/>
          <w:numId w:val="17"/>
        </w:numPr>
        <w:rPr>
          <w:rFonts w:ascii="Arial" w:cs="Arial" w:eastAsia="Arial" w:hAnsi="Arial"/>
          <w:sz w:val="9"/>
          <w:szCs w:val="9"/>
          <w:b w:val="1"/>
          <w:bCs w:val="1"/>
          <w:color w:val="auto"/>
        </w:rPr>
      </w:pPr>
      <w:r>
        <w:rPr>
          <w:rFonts w:ascii="Arial" w:cs="Arial" w:eastAsia="Arial" w:hAnsi="Arial"/>
          <w:sz w:val="11"/>
          <w:szCs w:val="11"/>
          <w:color w:val="auto"/>
        </w:rPr>
        <w:t>Includes interest and expenses on debt (annualized) as well as Credit Facility amendment and debt issuance costs, if any, (not annualized).</w:t>
      </w:r>
    </w:p>
    <w:p>
      <w:pPr>
        <w:ind w:left="380" w:right="380" w:hanging="372"/>
        <w:spacing w:after="0" w:line="236" w:lineRule="auto"/>
        <w:tabs>
          <w:tab w:leader="none" w:pos="380" w:val="left"/>
        </w:tabs>
        <w:numPr>
          <w:ilvl w:val="0"/>
          <w:numId w:val="17"/>
        </w:numPr>
        <w:rPr>
          <w:rFonts w:ascii="Arial" w:cs="Arial" w:eastAsia="Arial" w:hAnsi="Arial"/>
          <w:sz w:val="9"/>
          <w:szCs w:val="9"/>
          <w:b w:val="1"/>
          <w:bCs w:val="1"/>
          <w:color w:val="auto"/>
        </w:rPr>
      </w:pPr>
      <w:r>
        <w:rPr>
          <w:rFonts w:ascii="Arial" w:cs="Arial" w:eastAsia="Arial" w:hAnsi="Arial"/>
          <w:sz w:val="11"/>
          <w:szCs w:val="11"/>
          <w:color w:val="auto"/>
        </w:rPr>
        <w:t>The asset coverage ratio for a class of senior securities representing indebtedness is calculated as our consolidated total assets, less all liabilities and indebtedness not represented by senior securities, divided by the senior securities representing indebtedness at par (changed from fair value). This asset coverage ratio is multiplied by $1,000 to determine the asset coverage per unit.</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DEBT</w:t>
      </w:r>
    </w:p>
    <w:p>
      <w:pPr>
        <w:spacing w:after="0" w:line="140" w:lineRule="exact"/>
        <w:rPr>
          <w:sz w:val="20"/>
          <w:szCs w:val="20"/>
          <w:color w:val="auto"/>
        </w:rPr>
      </w:pPr>
    </w:p>
    <w:p>
      <w:pPr>
        <w:ind w:right="120" w:firstLine="438"/>
        <w:spacing w:after="0" w:line="238" w:lineRule="auto"/>
        <w:rPr>
          <w:sz w:val="20"/>
          <w:szCs w:val="20"/>
          <w:color w:val="auto"/>
        </w:rPr>
      </w:pPr>
      <w:r>
        <w:rPr>
          <w:rFonts w:ascii="Arial" w:cs="Arial" w:eastAsia="Arial" w:hAnsi="Arial"/>
          <w:sz w:val="14"/>
          <w:szCs w:val="14"/>
          <w:color w:val="auto"/>
        </w:rPr>
        <w:t>The annualized weighted average cost of debt for the six months ended March 31, 2021 and 2020, inclusive of the fee on the undrawn commitment on the Credit Facility, amendment costs and debt issuance costs, was 3.4% and 4.1%, respectively. As of March 31, 2021, in accordance with the 1940 Act, with certain limited exceptions, we are only allowed to borrow amounts such that we are in compliance with a 150% asset coverage ratio requirement after such borrowing.</w:t>
      </w:r>
    </w:p>
    <w:p>
      <w:pPr>
        <w:spacing w:after="0" w:line="115" w:lineRule="exact"/>
        <w:rPr>
          <w:sz w:val="20"/>
          <w:szCs w:val="20"/>
          <w:color w:val="auto"/>
        </w:rPr>
      </w:pPr>
    </w:p>
    <w:p>
      <w:pPr>
        <w:ind w:right="120" w:firstLine="438"/>
        <w:spacing w:after="0" w:line="255" w:lineRule="auto"/>
        <w:rPr>
          <w:sz w:val="20"/>
          <w:szCs w:val="20"/>
          <w:color w:val="auto"/>
        </w:rPr>
      </w:pPr>
      <w:r>
        <w:rPr>
          <w:rFonts w:ascii="Arial" w:cs="Arial" w:eastAsia="Arial" w:hAnsi="Arial"/>
          <w:sz w:val="13"/>
          <w:szCs w:val="13"/>
          <w:color w:val="auto"/>
        </w:rPr>
        <w:t>On April 5, 2018, our board of directors approved the application of the modified asset coverage requirements set forth in Section 61(a)(2) of the 1940 Act, as amended by the Consolidated Appropriations Act of 2018 (which includes the SBCAA). As a result, the asset coverage requirement applicable to us for senior securities was reduced from 200% (i.e., $1 of debt outstanding for each $1 of equity) to 150% (i.e., $2 of debt outstanding for each $1 of equity), effective as of April 5, 2019, subject to compliance with certain disclosure requirements. As of March 31, 2021 and September 30, 2020, our asset coverage ratio, as computed in accordance with the 1940 Act, was 182% and 168%,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Facility</w:t>
      </w:r>
    </w:p>
    <w:p>
      <w:pPr>
        <w:spacing w:after="0" w:line="136" w:lineRule="exact"/>
        <w:rPr>
          <w:sz w:val="20"/>
          <w:szCs w:val="20"/>
          <w:color w:val="auto"/>
        </w:rPr>
      </w:pPr>
    </w:p>
    <w:p>
      <w:pPr>
        <w:ind w:right="140" w:firstLine="438"/>
        <w:spacing w:after="0" w:line="248" w:lineRule="auto"/>
        <w:rPr>
          <w:sz w:val="20"/>
          <w:szCs w:val="20"/>
          <w:color w:val="auto"/>
        </w:rPr>
      </w:pPr>
      <w:r>
        <w:rPr>
          <w:rFonts w:ascii="Arial" w:cs="Arial" w:eastAsia="Arial" w:hAnsi="Arial"/>
          <w:sz w:val="13"/>
          <w:szCs w:val="13"/>
          <w:color w:val="auto"/>
        </w:rPr>
        <w:t>Funding I’s multi-currency Credit Facility with affiliates of Truist Bank (formerly SunTrust Bank), or the Lenders, was $400 million (reduced from $520 million on January 19, 2021) as of March 31, 2021, subject to satisfaction of certain conditions and regulatory restrictions that the 1940 Act imposes on us as a BDC, has an interest rate spread above LIBOR (or an alternative risk-free floating interest rate index) of 200 basis points, a maturity date of October 2023 and a revolving period that ends in October 2021. As of March 31, 2021 and September 30, 2020, Funding I had $146.9 million and $308.6 million of outstanding borrowings under the Credit Facility, respectively. The Credit Facility had a weighted average interest rate of 2.2% and 2.2%, exclusive of the fee on undrawn commitments as of March 31, 2021 and September 30, 2020, respectively. As of March 31, 2021 and September 30, 2020, we had $253.1 million and $211.4 million of unused borrowing capacity under the Credit Facility, respectively, subject to leverage and borrowing base restrictions.</w:t>
      </w:r>
    </w:p>
    <w:p>
      <w:pPr>
        <w:spacing w:after="0" w:line="113"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During the revolving period, the Credit Facility bears interest at LIBOR (or an alternative risk-free floating interest rate index) plus 200 basis points and, after the revolving period, the rate will reset to LIBOR (or an alternative risk-free floating interest rate index) plus 425 basis points for the remaining two years, maturing in October 2023.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MARCH 31, 2021</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38"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The Credit Facility compliance reporting is prepared on a basis of accounting other than GAAP. As of March 31, 2021, we were in compliance with the covenants relating to the Credit Facility.</w:t>
      </w:r>
    </w:p>
    <w:p>
      <w:pPr>
        <w:spacing w:after="0" w:line="117" w:lineRule="exact"/>
        <w:rPr>
          <w:sz w:val="20"/>
          <w:szCs w:val="20"/>
          <w:color w:val="auto"/>
        </w:rPr>
      </w:pPr>
    </w:p>
    <w:p>
      <w:pPr>
        <w:ind w:right="360" w:firstLine="438"/>
        <w:spacing w:after="0" w:line="253"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Our Investment Adviser serves as collateral manager to Funding I under the Credit Facility.</w:t>
      </w:r>
    </w:p>
    <w:p>
      <w:pPr>
        <w:spacing w:after="0" w:line="106"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 to the Lenders, (2)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any management fee owed with respect to such services is to be paid to us so long as the Investment Adviser remains the collateral manager.</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2023 Notes</w:t>
      </w:r>
    </w:p>
    <w:p>
      <w:pPr>
        <w:spacing w:after="0" w:line="136" w:lineRule="exact"/>
        <w:rPr>
          <w:sz w:val="20"/>
          <w:szCs w:val="20"/>
          <w:color w:val="auto"/>
        </w:rPr>
      </w:pPr>
    </w:p>
    <w:p>
      <w:pPr>
        <w:ind w:right="100" w:firstLine="438"/>
        <w:spacing w:after="0" w:line="253" w:lineRule="auto"/>
        <w:rPr>
          <w:sz w:val="20"/>
          <w:szCs w:val="20"/>
          <w:color w:val="auto"/>
        </w:rPr>
      </w:pPr>
      <w:r>
        <w:rPr>
          <w:rFonts w:ascii="Arial" w:cs="Arial" w:eastAsia="Arial" w:hAnsi="Arial"/>
          <w:sz w:val="14"/>
          <w:szCs w:val="14"/>
          <w:color w:val="auto"/>
        </w:rPr>
        <w:t>In November 2017, we issued $138.6 million of our 2023 Notes pursuant to a deed of trust between the Company and Mishmeret Trust Company, Ltd., as trustee of which $117.8 million and $138.6 million was outstanding as of March 31, 2021 and September 30, 2020, respectively.</w:t>
      </w:r>
    </w:p>
    <w:p>
      <w:pPr>
        <w:spacing w:after="0" w:line="106" w:lineRule="exact"/>
        <w:rPr>
          <w:sz w:val="20"/>
          <w:szCs w:val="20"/>
          <w:color w:val="auto"/>
        </w:rPr>
      </w:pPr>
    </w:p>
    <w:p>
      <w:pPr>
        <w:jc w:val="both"/>
        <w:ind w:right="260" w:firstLine="438"/>
        <w:spacing w:after="0" w:line="264" w:lineRule="auto"/>
        <w:rPr>
          <w:sz w:val="20"/>
          <w:szCs w:val="20"/>
          <w:color w:val="auto"/>
        </w:rPr>
      </w:pPr>
      <w:r>
        <w:rPr>
          <w:rFonts w:ascii="Arial" w:cs="Arial" w:eastAsia="Arial" w:hAnsi="Arial"/>
          <w:sz w:val="13"/>
          <w:szCs w:val="13"/>
          <w:color w:val="auto"/>
        </w:rPr>
        <w:t>The 2023 Notes pay interest at a rate of 4.3% per year. Interest on the 2023 Notes is payable semi-annually in arrears on June 15 and December 15 of each year, commencing June 15, 2018. The principal on the 2023 Notes is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01"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The 2023 Notes are general, unsecured obligations, rank equal in right of payment with all of our existing and future senior unsecured indebtedness and are generally redeemable at our option. The deed of trust governing the 2023 Notes includes certain customary covenants, including minimum equity requirements, and events of default. Please refer to the deed of trust filed as Exhibit (d)(8) to the post-effective amendment to our registration statement filed on December 13, 2017 for more information. The 2023 Notes are rated ilA- by S&amp;P Global Ratings Maalot Ltd. and are listed on the TASE. In connection with this offering, we have dual listed our common stock on the TASE.</w:t>
      </w:r>
    </w:p>
    <w:p>
      <w:pPr>
        <w:spacing w:after="0" w:line="117" w:lineRule="exact"/>
        <w:rPr>
          <w:sz w:val="20"/>
          <w:szCs w:val="20"/>
          <w:color w:val="auto"/>
        </w:rPr>
      </w:pPr>
    </w:p>
    <w:p>
      <w:pPr>
        <w:ind w:right="240" w:firstLine="438"/>
        <w:spacing w:after="0" w:line="253" w:lineRule="auto"/>
        <w:rPr>
          <w:sz w:val="20"/>
          <w:szCs w:val="20"/>
          <w:color w:val="auto"/>
        </w:rPr>
      </w:pPr>
      <w:r>
        <w:rPr>
          <w:rFonts w:ascii="Arial" w:cs="Arial" w:eastAsia="Arial" w:hAnsi="Arial"/>
          <w:sz w:val="14"/>
          <w:szCs w:val="14"/>
          <w:color w:val="auto"/>
        </w:rPr>
        <w:t>The 2023 Notes have not been and will not be registered under the Securities Act of 1933, as amended, or the Securities Act, and may not be offered or sold in the United States absent registration under the Securities Act or in transactions exempt from, or not subject to, such registration requirements.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2026 Notes</w:t>
      </w:r>
    </w:p>
    <w:p>
      <w:pPr>
        <w:spacing w:after="0" w:line="136" w:lineRule="exact"/>
        <w:rPr>
          <w:sz w:val="20"/>
          <w:szCs w:val="20"/>
          <w:color w:val="auto"/>
        </w:rPr>
      </w:pPr>
    </w:p>
    <w:p>
      <w:pPr>
        <w:ind w:right="40" w:firstLine="438"/>
        <w:spacing w:after="0" w:line="229" w:lineRule="auto"/>
        <w:rPr>
          <w:sz w:val="20"/>
          <w:szCs w:val="20"/>
          <w:color w:val="auto"/>
        </w:rPr>
      </w:pPr>
      <w:r>
        <w:rPr>
          <w:rFonts w:ascii="Arial" w:cs="Arial" w:eastAsia="Arial" w:hAnsi="Arial"/>
          <w:sz w:val="14"/>
          <w:szCs w:val="14"/>
          <w:color w:val="auto"/>
        </w:rPr>
        <w:t>In March 2021, we issued $100.0 million in aggregate principal amount of 2026 Notes at a public offering price per note of 99.4%. Interest on the 2026 Notes is paid semi-annually on April 1 and October 1 of each year, at a rate of 4.25% per year, commencing October 1, 2021. The 2026 Notes mature on April 1, 2026 and may be redeemed in whole or in part at our option subject to a make-whole premium if redeemed more than three months prior to maturity. The 2026 Notes are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2031 Asset-Backed Debt</w:t>
      </w:r>
    </w:p>
    <w:p>
      <w:pPr>
        <w:spacing w:after="0" w:line="136" w:lineRule="exact"/>
        <w:rPr>
          <w:sz w:val="20"/>
          <w:szCs w:val="20"/>
          <w:color w:val="auto"/>
        </w:rPr>
      </w:pPr>
    </w:p>
    <w:p>
      <w:pPr>
        <w:ind w:right="120" w:firstLine="474"/>
        <w:spacing w:after="0" w:line="152" w:lineRule="exact"/>
        <w:rPr>
          <w:sz w:val="20"/>
          <w:szCs w:val="20"/>
          <w:color w:val="auto"/>
        </w:rPr>
      </w:pPr>
      <w:r>
        <w:rPr>
          <w:rFonts w:ascii="Arial" w:cs="Arial" w:eastAsia="Arial" w:hAnsi="Arial"/>
          <w:sz w:val="13"/>
          <w:szCs w:val="13"/>
          <w:color w:val="auto"/>
        </w:rPr>
        <w:t>In September 2019, the Company completed the $301.4 million term debt securitization. Term debt securitizations, also known as CLOs, are a form of secured financing incurred by the Company, which is consolidated by the Company and subject to the Company’s asset coverage requirements. The 2031 Asset-Backed Debt was issued by the Securitization Issuer. The 2031 Asset-Backed Debt is secured by the middle market loans, participation interests in middle market loans and other assets of the Securitization Issuer. The Debt Securitization was executed through (A) a private placement of: (i) $78.5 million Class A-1 Senior Secured Floating Rate Notes due 2031, which bear interest at the three-month LIBOR plus 1.80%, (ii) $15.0 million Class A-2 Senior Secured Fixed Rate Notes due 2031, which bear interest at 3.66%, (iii) $14.0 million Class B-1 Senior Secured Floating Rate Notes due 2031, which bear interest at the three-month LIBOR plus 2.90%, (iv) $16.0 million Class B-2 Senior Secured Fixed Rate Notes due 2031, which bear interest at 4.266%, (v) $19.0 million Class C</w:t>
      </w:r>
      <w:r>
        <w:rPr>
          <w:rFonts w:ascii="MS PGothic" w:cs="MS PGothic" w:eastAsia="MS PGothic" w:hAnsi="MS PGothic"/>
          <w:sz w:val="13"/>
          <w:szCs w:val="13"/>
          <w:color w:val="auto"/>
        </w:rPr>
        <w:t>‑</w:t>
      </w:r>
      <w:r>
        <w:rPr>
          <w:rFonts w:ascii="Arial" w:cs="Arial" w:eastAsia="Arial" w:hAnsi="Arial"/>
          <w:sz w:val="13"/>
          <w:szCs w:val="13"/>
          <w:color w:val="auto"/>
        </w:rPr>
        <w:t>1 Secured Deferrable Floating Rate Notes due 2031, which bear interest at the three-month LIBOR plus 4.00%, (vi) $8.0 million Class C-2 Secured Deferrable Fixed Rate Notes due 2031, which bear interest at 5.379%, and (vii) $18.0 million Class D Secured Deferrable Floating Rate Notes due 2031, which bear interest at the three-month LIBOR plus 4.75% and (B) the borrowing of $77.5 million Class A</w:t>
      </w:r>
      <w:r>
        <w:rPr>
          <w:rFonts w:ascii="MS PGothic" w:cs="MS PGothic" w:eastAsia="MS PGothic" w:hAnsi="MS PGothic"/>
          <w:sz w:val="13"/>
          <w:szCs w:val="13"/>
          <w:color w:val="auto"/>
        </w:rPr>
        <w:t>‑</w:t>
      </w:r>
      <w:r>
        <w:rPr>
          <w:rFonts w:ascii="Arial" w:cs="Arial" w:eastAsia="Arial" w:hAnsi="Arial"/>
          <w:sz w:val="13"/>
          <w:szCs w:val="13"/>
          <w:color w:val="auto"/>
        </w:rPr>
        <w:t>1 Senior Secured Floating Rate Loans due 2031, which bear interest at the three-month LIBOR plus 1.80%, under a credit agreement by and among the Securitization Issuers, as borrowers, various financial institutions, as lenders, and U.S. Bank National Association, as collateral agent and as loan agent. The annualized interest on the 2031 Asset-Backed Debt will be paid, to the extent of funds available. The reinvestment period of the Debt Securitization ends on October 15, 2023 and the 2031 Asset-Backed Debt is scheduled to mature on October 15, 2031.</w:t>
      </w:r>
    </w:p>
    <w:p>
      <w:pPr>
        <w:spacing w:after="0" w:line="117"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On the closing date of the Debt Securitization, in consideration of our transfer to the Securitization Issuer of the initial closing date loan portfolio, which included loans distributed to us by certain of our wholly owned subsidiaries,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The Preferred Shares of the Securitization Issuer do not bear interest and had a stated value of approximately $55.4 million at the closing of the Debt Securitization.</w:t>
      </w:r>
    </w:p>
    <w:p>
      <w:pPr>
        <w:spacing w:after="0" w:line="117"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The 2031 Asset-Backed Debt is included in the Consolidated Statement of Assets and Liabilities as debt of the Company and the Class D Secured Deferrable Floating Rate Notes and the Preferred Shares of the Securitization Issuer were eliminated in consolidation. As of both March 31, 2021 and September 30, 2020, the Company had $228.0 million of 2031 Asset-Backed Debt outstanding with a weighted average interest rate of 2.7%. As of March 31, 2021 and September 30, 2020, the unamortized fees on the 2031 Asset-Backed Debt were $2.8 million and $3.1, respectively.</w:t>
      </w:r>
    </w:p>
    <w:p>
      <w:pPr>
        <w:spacing w:after="0" w:line="117" w:lineRule="exact"/>
        <w:rPr>
          <w:sz w:val="20"/>
          <w:szCs w:val="20"/>
          <w:color w:val="auto"/>
        </w:rPr>
      </w:pPr>
    </w:p>
    <w:p>
      <w:pPr>
        <w:ind w:right="400" w:firstLine="438"/>
        <w:spacing w:after="0" w:line="253" w:lineRule="auto"/>
        <w:rPr>
          <w:sz w:val="20"/>
          <w:szCs w:val="20"/>
          <w:color w:val="auto"/>
        </w:rPr>
      </w:pPr>
      <w:r>
        <w:rPr>
          <w:rFonts w:ascii="Arial" w:cs="Arial" w:eastAsia="Arial" w:hAnsi="Arial"/>
          <w:sz w:val="14"/>
          <w:szCs w:val="14"/>
          <w:color w:val="auto"/>
        </w:rPr>
        <w:t>Our Investment Adviser serves as collateral manager to the Securitization Issuer pursuant to the Collateral Management Agreement. For so long as our Investment Adviser serves as collateral manager, it will elect to irrevocably waive any collateral management fee to which it may be entitled under the Collateral Management Agreement.</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140" w:lineRule="exact"/>
        <w:rPr>
          <w:sz w:val="20"/>
          <w:szCs w:val="20"/>
          <w:color w:val="auto"/>
        </w:rPr>
      </w:pPr>
    </w:p>
    <w:p>
      <w:pPr>
        <w:ind w:firstLine="438"/>
        <w:spacing w:after="0" w:line="228"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Under these arrangements, we may be required to supply a letter of credit to a third party if the portfolio company were to request a letter of credit. As of March 31, 2021 and September 30, 2020, we had $93.6 million and $73.3 million, respectively, in commitments to fund investments. Additionally, as described in Note 4, the Company had unfunded commitments of up to $20.6 million and $22.1 million to PSSL as of March 31, 2021 and September 30, 2020, respectively, that may be contributed primarily for the purpose of funding new investments approved by the PSSL board of directors or investment committee.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346" w:right="419" w:bottom="1440" w:gutter="0" w:footer="0" w:header="0"/>
        </w:sectPr>
      </w:pPr>
    </w:p>
    <w:bookmarkStart w:id="32" w:name="page33"/>
    <w:bookmarkEnd w:id="32"/>
    <w:p>
      <w:pPr>
        <w:ind w:left="3820"/>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Board of Directors of PennantPark Floating Rate Capital Ltd. and its Subsidiaries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Review of Interim Financial Statements</w:t>
      </w:r>
    </w:p>
    <w:p>
      <w:pPr>
        <w:spacing w:after="0" w:line="140" w:lineRule="exact"/>
        <w:rPr>
          <w:sz w:val="20"/>
          <w:szCs w:val="20"/>
          <w:color w:val="auto"/>
        </w:rPr>
      </w:pPr>
    </w:p>
    <w:p>
      <w:pPr>
        <w:ind w:right="40"/>
        <w:spacing w:after="0" w:line="231" w:lineRule="auto"/>
        <w:rPr>
          <w:sz w:val="20"/>
          <w:szCs w:val="20"/>
          <w:color w:val="auto"/>
        </w:rPr>
      </w:pPr>
      <w:r>
        <w:rPr>
          <w:rFonts w:ascii="Arial" w:cs="Arial" w:eastAsia="Arial" w:hAnsi="Arial"/>
          <w:sz w:val="14"/>
          <w:szCs w:val="14"/>
          <w:color w:val="auto"/>
        </w:rPr>
        <w:t>We have reviewed the accompanying consolidated statement of assets and liabilities of PennantPark Floating Rate Capital Ltd. and its Subsidiaries (collectively referred to as the Company), including the consolidated schedule of investments, as of March 31, 2021, and the related consolidated statements of operations and changes in net assets for the three-month and six-month periods ended March 31, 2021 and 2020, and cash flows for the six-month periods ended March 31, 2021 and 2020, and the related notes to the consolidated financial statements (collectively, the interim financial information or financial statements). Based on our reviews, we are not aware of any material modifications that should be made to the accompanying interim financial information referred to above for them to be in conformity with accounting principles generally accepted in the United States of America.</w:t>
      </w:r>
    </w:p>
    <w:p>
      <w:pPr>
        <w:spacing w:after="0" w:line="116"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We have previously audited, in accordance with the standards of the Public Company Accounting Oversight Board (United States) (PCAOB), the consolidated statement of assets and liabilities of the Company, including the consolidated schedule of investments, as of September 30, 2020, and the related consolidated statements of operations, changes in net assets, and cash flows for the year then ended (not presented herein); and in our report dated November 18, 2020, we expressed an unqualified opinion on those consolidated financial statements. In our opinion, the information set forth in the accompanying consolidated statement of assets and liabilities as of September 30, 2020, is fairly stated, in all material respects, in relation to the consolidated statement of assets and liabilities from which it has been derived.</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Review Results</w:t>
      </w:r>
    </w:p>
    <w:p>
      <w:pPr>
        <w:spacing w:after="0" w:line="140" w:lineRule="exact"/>
        <w:rPr>
          <w:sz w:val="20"/>
          <w:szCs w:val="20"/>
          <w:color w:val="auto"/>
        </w:rPr>
      </w:pPr>
    </w:p>
    <w:p>
      <w:pPr>
        <w:ind w:right="40"/>
        <w:spacing w:after="0" w:line="231" w:lineRule="auto"/>
        <w:rPr>
          <w:sz w:val="20"/>
          <w:szCs w:val="20"/>
          <w:color w:val="auto"/>
        </w:rPr>
      </w:pPr>
      <w:r>
        <w:rPr>
          <w:rFonts w:ascii="Arial" w:cs="Arial" w:eastAsia="Arial" w:hAnsi="Arial"/>
          <w:sz w:val="14"/>
          <w:szCs w:val="14"/>
          <w:color w:val="auto"/>
        </w:rPr>
        <w:t>These interim financial statements are the responsibility of the Company’s management. 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May 5, 2021</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33" w:name="page34"/>
    <w:bookmarkEnd w:id="33"/>
    <w:p>
      <w:pPr>
        <w:spacing w:after="0"/>
        <w:tabs>
          <w:tab w:leader="none" w:pos="74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40"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17" w:lineRule="exact"/>
        <w:rPr>
          <w:sz w:val="20"/>
          <w:szCs w:val="20"/>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our business prospects and the prospects of our prospective portfolio companies, including as a result of the current pandemic caused by COVID-19 or any worsening thereof;</w:t>
      </w:r>
    </w:p>
    <w:p>
      <w:pPr>
        <w:spacing w:after="0" w:line="215" w:lineRule="exact"/>
        <w:rPr>
          <w:rFonts w:ascii="Arial" w:cs="Arial" w:eastAsia="Arial" w:hAnsi="Arial"/>
          <w:sz w:val="13"/>
          <w:szCs w:val="13"/>
          <w:color w:val="auto"/>
        </w:rPr>
      </w:pPr>
    </w:p>
    <w:p>
      <w:pPr>
        <w:ind w:left="800" w:right="40" w:hanging="360"/>
        <w:spacing w:after="0" w:line="253" w:lineRule="auto"/>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changes in political, economic or industry conditions, the interest rate environment or conditions affecting the financial and capital markets that could result in changes to the value of our assets, including changes from the impact of the current COVID-19 pandemic or any worsening thereof;</w:t>
      </w:r>
    </w:p>
    <w:p>
      <w:pPr>
        <w:spacing w:after="0" w:line="106"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ability to continue to effectively manage our business due to the significant disruptions caused by the current COVID-19 pandemic or any worsening thereof;</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impact of fluctuations in interest rates and foreign exchange rates on our business and our portfolio companies;</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expected financings and investments and ability to fund capital commitments to PSSL;</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impact of the United Kingdom’s withdrawal from the European Union (commonly known as “Brexit”) and other world economic and political issues.</w:t>
      </w:r>
    </w:p>
    <w:p>
      <w:pPr>
        <w:spacing w:after="0" w:line="204" w:lineRule="exact"/>
        <w:rPr>
          <w:sz w:val="20"/>
          <w:szCs w:val="20"/>
          <w:color w:val="auto"/>
        </w:rPr>
      </w:pPr>
    </w:p>
    <w:p>
      <w:pPr>
        <w:ind w:right="100" w:firstLine="438"/>
        <w:spacing w:after="0" w:line="238"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spacing w:after="0" w:line="115" w:lineRule="exact"/>
        <w:rPr>
          <w:sz w:val="20"/>
          <w:szCs w:val="20"/>
          <w:color w:val="auto"/>
        </w:rPr>
      </w:pPr>
    </w:p>
    <w:p>
      <w:pPr>
        <w:jc w:val="both"/>
        <w:ind w:firstLine="438"/>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17"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17" w:lineRule="exact"/>
        <w:rPr>
          <w:sz w:val="20"/>
          <w:szCs w:val="20"/>
          <w:color w:val="auto"/>
        </w:rPr>
      </w:pPr>
    </w:p>
    <w:p>
      <w:pPr>
        <w:ind w:right="480" w:firstLine="438"/>
        <w:spacing w:after="0" w:line="253" w:lineRule="auto"/>
        <w:rPr>
          <w:sz w:val="20"/>
          <w:szCs w:val="20"/>
          <w:color w:val="auto"/>
        </w:rPr>
      </w:pPr>
      <w:r>
        <w:rPr>
          <w:rFonts w:ascii="Arial" w:cs="Arial" w:eastAsia="Arial" w:hAnsi="Arial"/>
          <w:sz w:val="14"/>
          <w:szCs w:val="14"/>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106" w:lineRule="exact"/>
        <w:rPr>
          <w:sz w:val="20"/>
          <w:szCs w:val="20"/>
          <w:color w:val="auto"/>
        </w:rPr>
      </w:pPr>
    </w:p>
    <w:p>
      <w:pPr>
        <w:ind w:right="520" w:firstLine="438"/>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136" w:lineRule="exact"/>
        <w:rPr>
          <w:sz w:val="20"/>
          <w:szCs w:val="20"/>
          <w:color w:val="auto"/>
        </w:rPr>
      </w:pPr>
    </w:p>
    <w:p>
      <w:pPr>
        <w:ind w:right="20" w:firstLine="438"/>
        <w:spacing w:after="0" w:line="253" w:lineRule="auto"/>
        <w:rPr>
          <w:sz w:val="20"/>
          <w:szCs w:val="20"/>
          <w:color w:val="auto"/>
        </w:rPr>
      </w:pPr>
      <w:r>
        <w:rPr>
          <w:rFonts w:ascii="Arial" w:cs="Arial" w:eastAsia="Arial" w:hAnsi="Arial"/>
          <w:sz w:val="14"/>
          <w:szCs w:val="14"/>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106"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We believe that Floating Rate Loans to U.S. middle-market companies offer attractive risk-reward to investors due to a limited amount of capital available for such companies. We use the term “middle-market” to refer to companies with annual revenues between $50 million and $1 billion. Our investments are typically rated below investment grade. Securities rated below investment grade are often referred to as “leveraged loans,”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495" w:right="399" w:bottom="1440" w:gutter="0" w:footer="0" w:header="0"/>
        </w:sectPr>
      </w:pPr>
    </w:p>
    <w:bookmarkStart w:id="34" w:name="page35"/>
    <w:bookmarkEnd w:id="34"/>
    <w:p>
      <w:pPr>
        <w:ind w:right="60"/>
        <w:spacing w:after="0" w:line="253" w:lineRule="auto"/>
        <w:rPr>
          <w:sz w:val="20"/>
          <w:szCs w:val="20"/>
          <w:color w:val="auto"/>
        </w:rPr>
      </w:pPr>
      <w:r>
        <w:rPr>
          <w:rFonts w:ascii="Arial" w:cs="Arial" w:eastAsia="Arial" w:hAnsi="Arial"/>
          <w:sz w:val="14"/>
          <w:szCs w:val="14"/>
          <w:color w:val="auto"/>
        </w:rPr>
        <w:t>maturity from three to ten years and are made to U.S. and, to a limited extent, non-U.S. corporations, partnerships and other business entities which operate in various industries and geographical regions.</w:t>
      </w:r>
    </w:p>
    <w:p>
      <w:pPr>
        <w:spacing w:after="0" w:line="106" w:lineRule="exact"/>
        <w:rPr>
          <w:sz w:val="20"/>
          <w:szCs w:val="20"/>
          <w:color w:val="auto"/>
        </w:rPr>
      </w:pPr>
    </w:p>
    <w:p>
      <w:pPr>
        <w:ind w:right="180" w:firstLine="438"/>
        <w:spacing w:after="0" w:line="255" w:lineRule="auto"/>
        <w:rPr>
          <w:sz w:val="20"/>
          <w:szCs w:val="20"/>
          <w:color w:val="auto"/>
        </w:rPr>
      </w:pPr>
      <w:r>
        <w:rPr>
          <w:rFonts w:ascii="Arial" w:cs="Arial" w:eastAsia="Arial" w:hAnsi="Arial"/>
          <w:sz w:val="13"/>
          <w:szCs w:val="13"/>
          <w:color w:val="auto"/>
        </w:rPr>
        <w:t>Under normal market conditions, we generally expect that at least 80% of the value of our Managed Assets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07" w:lineRule="exact"/>
        <w:rPr>
          <w:sz w:val="20"/>
          <w:szCs w:val="20"/>
          <w:color w:val="auto"/>
        </w:rPr>
      </w:pPr>
    </w:p>
    <w:p>
      <w:pPr>
        <w:ind w:right="200" w:firstLine="438"/>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Floating Rate Capital Ltd.</w:t>
      </w:r>
    </w:p>
    <w:p>
      <w:pPr>
        <w:spacing w:after="0" w:line="136" w:lineRule="exact"/>
        <w:rPr>
          <w:sz w:val="20"/>
          <w:szCs w:val="20"/>
          <w:color w:val="auto"/>
        </w:rPr>
      </w:pPr>
    </w:p>
    <w:p>
      <w:pPr>
        <w:ind w:right="140" w:firstLine="438"/>
        <w:spacing w:after="0" w:line="290" w:lineRule="auto"/>
        <w:rPr>
          <w:sz w:val="20"/>
          <w:szCs w:val="20"/>
          <w:color w:val="auto"/>
        </w:rPr>
      </w:pPr>
      <w:r>
        <w:rPr>
          <w:rFonts w:ascii="Arial" w:cs="Arial" w:eastAsia="Arial" w:hAnsi="Arial"/>
          <w:sz w:val="13"/>
          <w:szCs w:val="13"/>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84" w:lineRule="exact"/>
        <w:rPr>
          <w:sz w:val="20"/>
          <w:szCs w:val="20"/>
          <w:color w:val="auto"/>
        </w:rPr>
      </w:pPr>
    </w:p>
    <w:p>
      <w:pPr>
        <w:ind w:right="220" w:firstLine="438"/>
        <w:spacing w:after="0" w:line="229"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COVID-19 Developments</w:t>
      </w:r>
    </w:p>
    <w:p>
      <w:pPr>
        <w:spacing w:after="0" w:line="136" w:lineRule="exact"/>
        <w:rPr>
          <w:sz w:val="20"/>
          <w:szCs w:val="20"/>
          <w:color w:val="auto"/>
        </w:rPr>
      </w:pPr>
    </w:p>
    <w:p>
      <w:pPr>
        <w:ind w:right="40" w:firstLine="438"/>
        <w:spacing w:after="0" w:line="281" w:lineRule="auto"/>
        <w:rPr>
          <w:sz w:val="20"/>
          <w:szCs w:val="20"/>
          <w:color w:val="auto"/>
        </w:rPr>
      </w:pPr>
      <w:r>
        <w:rPr>
          <w:rFonts w:ascii="Arial" w:cs="Arial" w:eastAsia="Arial" w:hAnsi="Arial"/>
          <w:sz w:val="12"/>
          <w:szCs w:val="12"/>
          <w:color w:val="auto"/>
        </w:rPr>
        <w:t>COVID-19 was first detected in December 2019 and has since been identified as a global pandemic by the World Health Organization. The effect of the ongoing COVID-19 pandemic or any worsening thereof, uncertainty relating to more contagious strains of the virus, the length of economic recovery in the U.S. and globally and the speed and efficiency of the vaccination process may continue to create stress on the market and could continue to or in the future may affect our portfolio companies. We cannot predict with any level of certainty the full impact of the COVID-19</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pandemic, including any worsening thereof or its duration in the United States and globally and any ongoing impact to our business operations or the business operations of our portfolio companies</w:t>
      </w:r>
    </w:p>
    <w:p>
      <w:pPr>
        <w:spacing w:after="0" w:line="44" w:lineRule="exact"/>
        <w:rPr>
          <w:sz w:val="20"/>
          <w:szCs w:val="20"/>
          <w:color w:val="auto"/>
        </w:rPr>
      </w:pPr>
    </w:p>
    <w:p>
      <w:pPr>
        <w:ind w:right="420"/>
        <w:spacing w:after="0" w:line="323" w:lineRule="auto"/>
        <w:rPr>
          <w:sz w:val="20"/>
          <w:szCs w:val="20"/>
          <w:color w:val="auto"/>
        </w:rPr>
      </w:pPr>
      <w:r>
        <w:rPr>
          <w:rFonts w:ascii="Arial" w:cs="Arial" w:eastAsia="Arial" w:hAnsi="Arial"/>
          <w:sz w:val="12"/>
          <w:szCs w:val="12"/>
          <w:color w:val="auto"/>
        </w:rPr>
        <w:t>Depending on the length and magnitude of the disruption to the operations of our portfolio companies, we expect that certain portfolio companies could experience financial distress and possibly default on their financial obligations to us and their other capital providers in the future. These developments could continue to impact the value of our investments in such portfolio companies.</w:t>
      </w:r>
    </w:p>
    <w:p>
      <w:pPr>
        <w:spacing w:after="0" w:line="67" w:lineRule="exact"/>
        <w:rPr>
          <w:sz w:val="20"/>
          <w:szCs w:val="20"/>
          <w:color w:val="auto"/>
        </w:rPr>
      </w:pPr>
    </w:p>
    <w:p>
      <w:pPr>
        <w:ind w:right="140" w:firstLine="438"/>
        <w:spacing w:after="0" w:line="233" w:lineRule="auto"/>
        <w:rPr>
          <w:sz w:val="20"/>
          <w:szCs w:val="20"/>
          <w:color w:val="auto"/>
        </w:rPr>
      </w:pPr>
      <w:r>
        <w:rPr>
          <w:rFonts w:ascii="Arial" w:cs="Arial" w:eastAsia="Arial" w:hAnsi="Arial"/>
          <w:sz w:val="14"/>
          <w:szCs w:val="14"/>
          <w:color w:val="auto"/>
        </w:rPr>
        <w:t>The COVID-19 pandemic, including any worsening thereof, may continue to have an adverse impact on the global economy and result in a period, however long, of global economic slowdown. Particularly, COVID-19 presents material uncertainty and risk with respect to our future performance and financial results as well as the future performance and financial results of our portfolio companies. While we are unable to predict the ultimate adverse effect of COVID-19, or any worsening thereof, on our results of operation, we have identified certain factors that are likely to affect market, economic and geopolitical conditions, and thereby may adversely affect our business, including:</w:t>
      </w:r>
    </w:p>
    <w:p>
      <w:pPr>
        <w:spacing w:after="0" w:line="117" w:lineRule="exact"/>
        <w:rPr>
          <w:sz w:val="20"/>
          <w:szCs w:val="20"/>
          <w:color w:val="auto"/>
        </w:rPr>
      </w:pPr>
    </w:p>
    <w:p>
      <w:pPr>
        <w:ind w:left="800" w:hanging="360"/>
        <w:spacing w:after="0"/>
        <w:tabs>
          <w:tab w:leader="none" w:pos="8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U.S. and global economic slowdowns;</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changes in interest rates, including LIBOR;</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limited availability of credit, both in the United States and internationally;</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disruptions to supply-chains and price volatility;</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changes to existing laws and regulations, or the imposition of new laws and regulations; and</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uncertainty regarding future governmental and regulatory policies.</w:t>
      </w:r>
    </w:p>
    <w:p>
      <w:pPr>
        <w:spacing w:after="0" w:line="204" w:lineRule="exact"/>
        <w:rPr>
          <w:sz w:val="20"/>
          <w:szCs w:val="20"/>
          <w:color w:val="auto"/>
        </w:rPr>
      </w:pPr>
    </w:p>
    <w:p>
      <w:pPr>
        <w:ind w:right="60" w:firstLine="438"/>
        <w:spacing w:after="0" w:line="228" w:lineRule="auto"/>
        <w:rPr>
          <w:sz w:val="20"/>
          <w:szCs w:val="20"/>
          <w:color w:val="auto"/>
        </w:rPr>
      </w:pPr>
      <w:r>
        <w:rPr>
          <w:rFonts w:ascii="Arial" w:cs="Arial" w:eastAsia="Arial" w:hAnsi="Arial"/>
          <w:sz w:val="14"/>
          <w:szCs w:val="14"/>
          <w:color w:val="auto"/>
        </w:rPr>
        <w:t>The business disruption and financial harm resulting from COVID-19 experienced by our portfolio companies may reduce, over time, the amount of interest and dividend income that we receive from such investments and may require us to provide an increase of capital to such companies in the form of follow on investments. In connection with the adverse effects of the COVID-19 pandemic, we may also need to restructure the capitalization of some of our portfolio companies, which could result in reduced interest payments, an increase in the amount of PIK interest we receive or a permanent reduction in the value of our investments. If our net investment income decreases, the percentage of our cash flows dedicated to debt servicing and distribution payments to stockholders would subsequently increase. If such cash flows cannot be sustained, we may be required to reduce the amount of our future distributions to stockholders. As of March 31, 2021, we had two portfolio companies on non-accrual status, and the continuing impact of the COVID-19 pandemic, or any worsening thereof, may result in additional portfolio investments being placed on non-accrual status in the future.</w:t>
      </w:r>
    </w:p>
    <w:p>
      <w:pPr>
        <w:spacing w:after="0" w:line="117"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Additionally, as of March 31, 2021 and September 30, 2020, our asset coverage ratio, as computed in accordance with the 1940 Act, was 182% and 168%, respectively. Our Credit Facility includes standard covenants and events of default provisions. If we fail to make the required payments or breach the covenants therein, it could result in a default under the Credit Facility. Failure to cure such default or obtain a waiver from the appropriate party would result in an event of default, and the lenders may accelerate the repayment of our indebtedness under the Credit Facility, such that all amounts owed are due immediately at the time of default. Such an action would negatively affect our liquidity, business, financial condition, results of operations, cash flows and ability to pay distributions to our stockholders.</w:t>
      </w:r>
    </w:p>
    <w:p>
      <w:pPr>
        <w:spacing w:after="0" w:line="116" w:lineRule="exact"/>
        <w:rPr>
          <w:sz w:val="20"/>
          <w:szCs w:val="20"/>
          <w:color w:val="auto"/>
        </w:rPr>
      </w:pPr>
    </w:p>
    <w:p>
      <w:pPr>
        <w:ind w:right="80" w:firstLine="438"/>
        <w:spacing w:after="0" w:line="227" w:lineRule="auto"/>
        <w:rPr>
          <w:sz w:val="20"/>
          <w:szCs w:val="20"/>
          <w:color w:val="auto"/>
        </w:rPr>
      </w:pPr>
      <w:r>
        <w:rPr>
          <w:rFonts w:ascii="Arial" w:cs="Arial" w:eastAsia="Arial" w:hAnsi="Arial"/>
          <w:sz w:val="14"/>
          <w:szCs w:val="14"/>
          <w:color w:val="auto"/>
        </w:rPr>
        <w:t>We are also subject to financial risks, including changes in market interest rates. As of March 31, 2021, our debt portfolio consisted of 98% variable-rate investments. The variable-rate loans are usually based on a floating interest rate index such as LIBOR and typically have durations of three months after which they reset to current market interest rates. Variable-rate investments subject to a floor generally reset by reference to the current market index after one to nine months only if the index exceeds the floor. In addition, the Credit Facility currently bears interest at LIBOR (or an alternative risk-free floating interest rate index) plus 200 basis points and, after the revolving period ends in October 2021, the rate will reset to LIBOR (or an alternative risk-free floating interest rate index) plus 425 basis points. In connection with the COVID-19 pandemic, the U.S. Federal Reserve and other central banks have reduced interest rates, which has caused LIBOR to decrease. Due to such rates, our gross investment income has decreased, which could result in a decrease in our net investment income if such decreases in LIBOR are not offset by, among other things, a corresponding increase in the spread over LIBOR that we earn on such loans or a decrease in the interest rate of our floating interest rate liabilities tied to LIBOR. See “Item 3. Quantitative and Qualitative Disclosures About Market Risk” below.</w:t>
      </w:r>
    </w:p>
    <w:p>
      <w:pPr>
        <w:spacing w:after="0" w:line="118" w:lineRule="exact"/>
        <w:rPr>
          <w:sz w:val="20"/>
          <w:szCs w:val="20"/>
          <w:color w:val="auto"/>
        </w:rPr>
      </w:pPr>
    </w:p>
    <w:p>
      <w:pPr>
        <w:ind w:right="140" w:firstLine="496"/>
        <w:spacing w:after="0" w:line="238" w:lineRule="auto"/>
        <w:rPr>
          <w:sz w:val="20"/>
          <w:szCs w:val="20"/>
          <w:color w:val="auto"/>
        </w:rPr>
      </w:pPr>
      <w:r>
        <w:rPr>
          <w:rFonts w:ascii="Arial" w:cs="Arial" w:eastAsia="Arial" w:hAnsi="Arial"/>
          <w:sz w:val="14"/>
          <w:szCs w:val="14"/>
          <w:color w:val="auto"/>
        </w:rPr>
        <w:t>In addition, we have continued to implement our business continuity planning strategy. Our priority has been to safeguard the health of our employees and to ensure continuity of business operations on behalf of our investors. As a result of our business continuity planning strategy, nearly all of our employees continue to work remotely. Our systems and infrastructure have continued to support our business operations. We implemented a heightened level of communication across senior management, our investment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5" w:name="page36"/>
    <w:bookmarkEnd w:id="35"/>
    <w:p>
      <w:pPr>
        <w:ind w:right="1800"/>
        <w:spacing w:after="0" w:line="442" w:lineRule="auto"/>
        <w:rPr>
          <w:sz w:val="20"/>
          <w:szCs w:val="20"/>
          <w:color w:val="auto"/>
        </w:rPr>
      </w:pPr>
      <w:r>
        <w:rPr>
          <w:rFonts w:ascii="Arial" w:cs="Arial" w:eastAsia="Arial" w:hAnsi="Arial"/>
          <w:sz w:val="14"/>
          <w:szCs w:val="14"/>
          <w:color w:val="auto"/>
        </w:rPr>
        <w:t xml:space="preserve">team and our board of directors, and we have proactively engaged with our vendors on a regular basis to ensure they continue to meet our criteria for business continuity. </w:t>
      </w:r>
      <w:r>
        <w:rPr>
          <w:rFonts w:ascii="Arial" w:cs="Arial" w:eastAsia="Arial" w:hAnsi="Arial"/>
          <w:sz w:val="14"/>
          <w:szCs w:val="14"/>
          <w:b w:val="1"/>
          <w:bCs w:val="1"/>
          <w:i w:val="1"/>
          <w:iCs w:val="1"/>
          <w:color w:val="auto"/>
        </w:rPr>
        <w:t>Revenues</w:t>
      </w:r>
    </w:p>
    <w:p>
      <w:pPr>
        <w:spacing w:after="0" w:line="1" w:lineRule="exact"/>
        <w:rPr>
          <w:sz w:val="20"/>
          <w:szCs w:val="20"/>
          <w:color w:val="auto"/>
        </w:rPr>
      </w:pPr>
    </w:p>
    <w:p>
      <w:pPr>
        <w:ind w:right="100" w:firstLine="438"/>
        <w:spacing w:after="0" w:line="226" w:lineRule="auto"/>
        <w:rPr>
          <w:sz w:val="20"/>
          <w:szCs w:val="20"/>
          <w:color w:val="auto"/>
        </w:rPr>
      </w:pPr>
      <w:r>
        <w:rPr>
          <w:rFonts w:ascii="Arial" w:cs="Arial" w:eastAsia="Arial" w:hAnsi="Arial"/>
          <w:sz w:val="14"/>
          <w:szCs w:val="14"/>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floating or fixed rate. Interest on debt securities is generally payable quarterly. In some cases,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450-30.</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117" w:lineRule="exact"/>
        <w:rPr>
          <w:sz w:val="20"/>
          <w:szCs w:val="20"/>
          <w:color w:val="auto"/>
        </w:rPr>
      </w:pPr>
    </w:p>
    <w:p>
      <w:pPr>
        <w:ind w:left="800" w:hanging="360"/>
        <w:spacing w:after="0"/>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203" w:lineRule="exact"/>
        <w:rPr>
          <w:rFonts w:ascii="Arial" w:cs="Arial" w:eastAsia="Arial" w:hAnsi="Arial"/>
          <w:sz w:val="14"/>
          <w:szCs w:val="14"/>
          <w:color w:val="auto"/>
        </w:rPr>
      </w:pPr>
    </w:p>
    <w:p>
      <w:pPr>
        <w:ind w:left="800" w:right="220" w:hanging="360"/>
        <w:spacing w:after="0" w:line="253" w:lineRule="auto"/>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106" w:lineRule="exact"/>
        <w:rPr>
          <w:rFonts w:ascii="Arial" w:cs="Arial" w:eastAsia="Arial" w:hAnsi="Arial"/>
          <w:sz w:val="14"/>
          <w:szCs w:val="14"/>
          <w:color w:val="auto"/>
        </w:rPr>
      </w:pPr>
    </w:p>
    <w:p>
      <w:pPr>
        <w:ind w:left="800" w:hanging="360"/>
        <w:spacing w:after="0"/>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federal and state registration fees and any exchange listing fees;</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federal, state, local and foreign taxes;</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and applicable federal and state securities laws; and</w:t>
      </w:r>
    </w:p>
    <w:p>
      <w:pPr>
        <w:spacing w:after="0" w:line="203" w:lineRule="exact"/>
        <w:rPr>
          <w:rFonts w:ascii="Arial" w:cs="Arial" w:eastAsia="Arial" w:hAnsi="Arial"/>
          <w:sz w:val="14"/>
          <w:szCs w:val="14"/>
          <w:color w:val="auto"/>
        </w:rPr>
      </w:pPr>
    </w:p>
    <w:p>
      <w:pPr>
        <w:jc w:val="both"/>
        <w:ind w:left="800" w:right="180" w:hanging="360"/>
        <w:spacing w:after="0" w:line="264" w:lineRule="auto"/>
        <w:tabs>
          <w:tab w:leader="none" w:pos="8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01" w:lineRule="exact"/>
        <w:rPr>
          <w:sz w:val="20"/>
          <w:szCs w:val="20"/>
          <w:color w:val="auto"/>
        </w:rPr>
      </w:pPr>
    </w:p>
    <w:p>
      <w:pPr>
        <w:ind w:right="40" w:firstLine="438"/>
        <w:spacing w:after="0" w:line="253" w:lineRule="auto"/>
        <w:rPr>
          <w:sz w:val="20"/>
          <w:szCs w:val="20"/>
          <w:color w:val="auto"/>
        </w:rPr>
      </w:pPr>
      <w:r>
        <w:rPr>
          <w:rFonts w:ascii="Arial" w:cs="Arial" w:eastAsia="Arial" w:hAnsi="Arial"/>
          <w:sz w:val="14"/>
          <w:szCs w:val="14"/>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40"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As of March 31, 2021, our portfolio totaled $1,069.1 million and consisted of $916.0 million of first lien secured debt (including $126.5 million in PSSL), $30.2 million of second lien secured debt and $123.0 million of preferred and common equity (including $45.5 million in PSSL). Our debt portfolio consisted of 98% variable-rate investments. As of March 31, 2021, we had two portfolio companies on non-accrual, representing 3.1% and 2.3% of our overall portfolio on a cost and fair value basis, respectively. Overall, the portfolio had net unrealized appreciation of $4.7 million. Our overall portfolio consisted of 100 companies with an average investment size of $10.7 million, had a weighted average yield on debt investments of 7.6%, and was invested 86% in first lien secured debt (including 12% in PSSL), 3% in second lien secured debt and 11% in preferred and common equity (including 4% in PSSL). As of March 31, 2021, 97% of the investments held by PSSL were first lien secured debt.</w:t>
      </w:r>
    </w:p>
    <w:p>
      <w:pPr>
        <w:spacing w:after="0" w:line="104" w:lineRule="exact"/>
        <w:rPr>
          <w:sz w:val="20"/>
          <w:szCs w:val="20"/>
          <w:color w:val="auto"/>
        </w:rPr>
      </w:pPr>
    </w:p>
    <w:p>
      <w:pPr>
        <w:ind w:right="40" w:firstLine="438"/>
        <w:spacing w:after="0" w:line="229" w:lineRule="auto"/>
        <w:rPr>
          <w:sz w:val="20"/>
          <w:szCs w:val="20"/>
          <w:color w:val="auto"/>
        </w:rPr>
      </w:pPr>
      <w:r>
        <w:rPr>
          <w:rFonts w:ascii="Arial" w:cs="Arial" w:eastAsia="Arial" w:hAnsi="Arial"/>
          <w:sz w:val="14"/>
          <w:szCs w:val="14"/>
          <w:color w:val="auto"/>
        </w:rPr>
        <w:t>As of September 30, 2020, our portfolio totaled $1,086.9 million, which consisted of $968.6 million of first lien secured debt (including $125.4 million in PSSL), $29.9 million of second lien secured debt and $88.4 million of preferred and common equity (including $39.9 million in PSSL). Our debt portfolio consisted of 99% variable-rate investments. As of September 30, 2020, we had three portfolio companies on non-accrual, representing 2.1% and 1.8% of our overall portfolio on a cost and fair value basis, respectively. Overall, the portfolio had net unrealized depreciation of $29.9 million. Our overall portfolio consisted of 102 companies with an average investment size of $10.7 million, had a weighted average yield on debt investments of 7.3%, and was invested 89% in first lien secured debt (including 12% in PSSL), 3% in second lien secured debt and 8% in preferred and common equity (including 4% in PSSL). As of September 30, 2020, 97% of the investments held by PSSL were first lien secured debt.</w:t>
      </w:r>
    </w:p>
    <w:p>
      <w:pPr>
        <w:spacing w:after="0" w:line="118" w:lineRule="exact"/>
        <w:rPr>
          <w:sz w:val="20"/>
          <w:szCs w:val="20"/>
          <w:color w:val="auto"/>
        </w:rPr>
      </w:pPr>
    </w:p>
    <w:p>
      <w:pPr>
        <w:ind w:right="20" w:firstLine="438"/>
        <w:spacing w:after="0" w:line="253" w:lineRule="auto"/>
        <w:rPr>
          <w:sz w:val="20"/>
          <w:szCs w:val="20"/>
          <w:color w:val="auto"/>
        </w:rPr>
      </w:pPr>
      <w:r>
        <w:rPr>
          <w:rFonts w:ascii="Arial" w:cs="Arial" w:eastAsia="Arial" w:hAnsi="Arial"/>
          <w:sz w:val="14"/>
          <w:szCs w:val="14"/>
          <w:color w:val="auto"/>
        </w:rPr>
        <w:t>For the three months ended March 31, 2021, we invested $160.2 million in four new and 17 existing portfolio companies with a weighted average yield on debt investments of 7.4%. Sales and repayments of investments for the three months ended March 31, 2021 totaled $172.1 million. For the six months ended March 31, 2021, we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6" w:name="page37"/>
    <w:bookmarkEnd w:id="36"/>
    <w:p>
      <w:pPr>
        <w:ind w:right="340"/>
        <w:spacing w:after="0" w:line="253" w:lineRule="auto"/>
        <w:rPr>
          <w:sz w:val="20"/>
          <w:szCs w:val="20"/>
          <w:color w:val="auto"/>
        </w:rPr>
      </w:pPr>
      <w:r>
        <w:rPr>
          <w:rFonts w:ascii="Arial" w:cs="Arial" w:eastAsia="Arial" w:hAnsi="Arial"/>
          <w:sz w:val="14"/>
          <w:szCs w:val="14"/>
          <w:color w:val="auto"/>
        </w:rPr>
        <w:t>invested $227.2 million in nine new and 34 existing portfolio companies with a weighted average yield on debt investments of 7.4%. Sales and repayments of investments for the six months ended March 31, 2021 totaled $281.7 million.</w:t>
      </w:r>
    </w:p>
    <w:p>
      <w:pPr>
        <w:spacing w:after="0" w:line="106" w:lineRule="exact"/>
        <w:rPr>
          <w:sz w:val="20"/>
          <w:szCs w:val="20"/>
          <w:color w:val="auto"/>
        </w:rPr>
      </w:pPr>
    </w:p>
    <w:p>
      <w:pPr>
        <w:jc w:val="both"/>
        <w:ind w:right="200" w:firstLine="438"/>
        <w:spacing w:after="0" w:line="264" w:lineRule="auto"/>
        <w:rPr>
          <w:sz w:val="20"/>
          <w:szCs w:val="20"/>
          <w:color w:val="auto"/>
        </w:rPr>
      </w:pPr>
      <w:r>
        <w:rPr>
          <w:rFonts w:ascii="Arial" w:cs="Arial" w:eastAsia="Arial" w:hAnsi="Arial"/>
          <w:sz w:val="13"/>
          <w:szCs w:val="13"/>
          <w:color w:val="auto"/>
        </w:rPr>
        <w:t>For the three months ended March 31, 2020, we invested $167.5 million in seven new and 37 existing portfolio companies with a weighted average yield on debt investments of 7.5%. Sales and repayments of investments for the three months ended March 31, 2020 totaled $99.4 million. For the six months ended March 31, 2020, we invested $407.0 million in 17 new and 68 existing portfolio companies with a weighted average yield on debt investments of 8.0%. Sales and repayments of investments for the six months ended March 31, 2020 totaled $243.1 million.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40" w:lineRule="exact"/>
        <w:rPr>
          <w:sz w:val="20"/>
          <w:szCs w:val="20"/>
          <w:color w:val="auto"/>
        </w:rPr>
      </w:pPr>
    </w:p>
    <w:p>
      <w:pPr>
        <w:ind w:right="140" w:firstLine="438"/>
        <w:spacing w:after="0" w:line="238" w:lineRule="auto"/>
        <w:rPr>
          <w:sz w:val="20"/>
          <w:szCs w:val="20"/>
          <w:color w:val="auto"/>
        </w:rPr>
      </w:pPr>
      <w:r>
        <w:rPr>
          <w:rFonts w:ascii="Arial" w:cs="Arial" w:eastAsia="Arial" w:hAnsi="Arial"/>
          <w:sz w:val="14"/>
          <w:szCs w:val="14"/>
          <w:color w:val="auto"/>
        </w:rPr>
        <w:t>As of March 31, 2021, PSSL’s portfolio totaled $485.1 million, consisted of 64 companies with an average investment size of $7.6 million and had a weighted average yield on debt investments of 7.2%. As of September 30, 2020, PSSL’s portfolio totaled $393.0 million, consisted of 45 companies with an average investment size of $8.7 million and had a weighted average yield on debt investments of 6.8%.</w:t>
      </w:r>
    </w:p>
    <w:p>
      <w:pPr>
        <w:spacing w:after="0" w:line="115" w:lineRule="exact"/>
        <w:rPr>
          <w:sz w:val="20"/>
          <w:szCs w:val="20"/>
          <w:color w:val="auto"/>
        </w:rPr>
      </w:pPr>
    </w:p>
    <w:p>
      <w:pPr>
        <w:jc w:val="both"/>
        <w:ind w:right="40" w:firstLine="438"/>
        <w:spacing w:after="0" w:line="233" w:lineRule="auto"/>
        <w:rPr>
          <w:sz w:val="20"/>
          <w:szCs w:val="20"/>
          <w:color w:val="auto"/>
        </w:rPr>
      </w:pPr>
      <w:r>
        <w:rPr>
          <w:rFonts w:ascii="Arial" w:cs="Arial" w:eastAsia="Arial" w:hAnsi="Arial"/>
          <w:sz w:val="14"/>
          <w:szCs w:val="14"/>
          <w:color w:val="auto"/>
        </w:rPr>
        <w:t>For the three months ended March 31, 2021, PSSL invested $128.7 million (including $125.2 million purchased from the Company) in 24 new and six existing portfolio companies with a weighted average yield on debt investments of 7.3%. Sales and repayments of investments for the three months ended March 31, 2021 totaled $29.6 million. For the six months ended March 31, 2021, PSSL invested $144.1 million (including $125.2 million purchased from the Company) in 24 new and 11 existing portfolio companies with a weighted average yield on debt investments of 7.4%. Sales and repayments of investments for the six months ended March 31, 2021 totaled $60.2 million.</w:t>
      </w:r>
    </w:p>
    <w:p>
      <w:pPr>
        <w:spacing w:after="0" w:line="117"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For the three months ended March 31, 2020, PSSL invested $17.9 million (including $17.8 million purchased from the Company) in three new and one existing portfolio companies with a weighted average yield on debt investments of 7.4%. Sales and repayments of investments for the three months ended March 31, 2020 totaled $7.9 million. For the six months ended March 31, 2020, PSSL invested $87.1 million (including $86.7 million purchased from the Company) in 11 new and two existing portfolio companies with a weighted average yield on debt investments of 7.4%. Sales and repayments of investments for the six months ended March 31, 2020 totaled $74.3 million.</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40" w:lineRule="exact"/>
        <w:rPr>
          <w:sz w:val="20"/>
          <w:szCs w:val="20"/>
          <w:color w:val="auto"/>
        </w:rPr>
      </w:pPr>
    </w:p>
    <w:p>
      <w:pPr>
        <w:ind w:right="20" w:firstLine="438"/>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including the credit worthiness of our portfolio companies and the global outbreak of COVID-19.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Valuations</w:t>
      </w:r>
    </w:p>
    <w:p>
      <w:pPr>
        <w:spacing w:after="0" w:line="136" w:lineRule="exact"/>
        <w:rPr>
          <w:sz w:val="20"/>
          <w:szCs w:val="20"/>
          <w:color w:val="auto"/>
        </w:rPr>
      </w:pPr>
    </w:p>
    <w:p>
      <w:pPr>
        <w:ind w:right="20" w:firstLine="438"/>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11" w:lineRule="exact"/>
        <w:rPr>
          <w:sz w:val="20"/>
          <w:szCs w:val="20"/>
          <w:color w:val="auto"/>
        </w:rPr>
      </w:pPr>
    </w:p>
    <w:p>
      <w:pPr>
        <w:ind w:right="380" w:firstLine="438"/>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4" w:lineRule="exact"/>
        <w:rPr>
          <w:sz w:val="20"/>
          <w:szCs w:val="20"/>
          <w:color w:val="auto"/>
        </w:rPr>
      </w:pPr>
    </w:p>
    <w:p>
      <w:pPr>
        <w:ind w:left="800" w:right="400" w:hanging="360"/>
        <w:spacing w:after="0" w:line="253" w:lineRule="auto"/>
        <w:tabs>
          <w:tab w:leader="none" w:pos="8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06" w:lineRule="exact"/>
        <w:rPr>
          <w:rFonts w:ascii="Arial" w:cs="Arial" w:eastAsia="Arial" w:hAnsi="Arial"/>
          <w:sz w:val="14"/>
          <w:szCs w:val="14"/>
          <w:color w:val="auto"/>
        </w:rPr>
      </w:pPr>
    </w:p>
    <w:p>
      <w:pPr>
        <w:ind w:left="800" w:hanging="360"/>
        <w:spacing w:after="0"/>
        <w:tabs>
          <w:tab w:leader="none" w:pos="8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36" w:lineRule="exact"/>
        <w:rPr>
          <w:rFonts w:ascii="Arial" w:cs="Arial" w:eastAsia="Arial" w:hAnsi="Arial"/>
          <w:sz w:val="14"/>
          <w:szCs w:val="14"/>
          <w:color w:val="auto"/>
        </w:rPr>
      </w:pPr>
    </w:p>
    <w:p>
      <w:pPr>
        <w:jc w:val="both"/>
        <w:ind w:left="800" w:right="180" w:hanging="360"/>
        <w:spacing w:after="0" w:line="264" w:lineRule="auto"/>
        <w:tabs>
          <w:tab w:leader="none" w:pos="8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800" w:right="60" w:hanging="360"/>
        <w:spacing w:after="0" w:line="238" w:lineRule="auto"/>
        <w:tabs>
          <w:tab w:leader="none" w:pos="8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800" w:right="200" w:hanging="360"/>
        <w:spacing w:after="0" w:line="253" w:lineRule="auto"/>
        <w:tabs>
          <w:tab w:leader="none" w:pos="8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07" w:lineRule="exact"/>
        <w:rPr>
          <w:sz w:val="20"/>
          <w:szCs w:val="20"/>
          <w:color w:val="auto"/>
        </w:rPr>
      </w:pPr>
    </w:p>
    <w:p>
      <w:pPr>
        <w:ind w:right="300" w:firstLine="438"/>
        <w:spacing w:after="0" w:line="233" w:lineRule="auto"/>
        <w:rPr>
          <w:sz w:val="20"/>
          <w:szCs w:val="20"/>
          <w:color w:val="auto"/>
        </w:rPr>
      </w:pPr>
      <w:r>
        <w:rPr>
          <w:rFonts w:ascii="Arial" w:cs="Arial" w:eastAsia="Arial" w:hAnsi="Arial"/>
          <w:sz w:val="14"/>
          <w:szCs w:val="14"/>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7" w:name="page38"/>
    <w:bookmarkEnd w:id="37"/>
    <w:p>
      <w:pPr>
        <w:ind w:right="20"/>
        <w:spacing w:after="0" w:line="253" w:lineRule="auto"/>
        <w:rPr>
          <w:sz w:val="20"/>
          <w:szCs w:val="20"/>
          <w:color w:val="auto"/>
        </w:rPr>
      </w:pPr>
      <w:r>
        <w:rPr>
          <w:rFonts w:ascii="Arial" w:cs="Arial" w:eastAsia="Arial" w:hAnsi="Arial"/>
          <w:sz w:val="14"/>
          <w:szCs w:val="14"/>
          <w:color w:val="auto"/>
        </w:rPr>
        <w:t>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440"/>
        <w:spacing w:after="0"/>
        <w:tabs>
          <w:tab w:leader="none" w:pos="12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260" w:right="20" w:hanging="809"/>
        <w:spacing w:after="0" w:line="290" w:lineRule="auto"/>
        <w:tabs>
          <w:tab w:leader="none" w:pos="12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4" w:lineRule="exact"/>
        <w:rPr>
          <w:sz w:val="20"/>
          <w:szCs w:val="20"/>
          <w:color w:val="auto"/>
        </w:rPr>
      </w:pPr>
    </w:p>
    <w:p>
      <w:pPr>
        <w:ind w:left="440"/>
        <w:spacing w:after="0"/>
        <w:tabs>
          <w:tab w:leader="none" w:pos="12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our 2026 Notes, our 2031 Asset-Backed Debt and our Credit Facility are classified as Level 3. Our 2023 Notes are classified as Level 1, as they were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7" w:lineRule="exact"/>
        <w:rPr>
          <w:sz w:val="20"/>
          <w:szCs w:val="20"/>
          <w:color w:val="auto"/>
        </w:rPr>
      </w:pPr>
    </w:p>
    <w:p>
      <w:pPr>
        <w:ind w:right="220" w:firstLine="438"/>
        <w:spacing w:after="0" w:line="238" w:lineRule="auto"/>
        <w:rPr>
          <w:sz w:val="20"/>
          <w:szCs w:val="20"/>
          <w:color w:val="auto"/>
        </w:rPr>
      </w:pPr>
      <w:r>
        <w:rPr>
          <w:rFonts w:ascii="Arial" w:cs="Arial" w:eastAsia="Arial" w:hAnsi="Arial"/>
          <w:sz w:val="14"/>
          <w:szCs w:val="14"/>
          <w:color w:val="auto"/>
        </w:rPr>
        <w:t>In addition to using the above inputs to value cash equivalents, investments, our 2023 Notes, our 2026 Notes, our 2031 Asset-Backed Debt and our Credit Facility,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15" w:lineRule="exact"/>
        <w:rPr>
          <w:sz w:val="20"/>
          <w:szCs w:val="20"/>
          <w:color w:val="auto"/>
        </w:rPr>
      </w:pPr>
    </w:p>
    <w:p>
      <w:pPr>
        <w:ind w:right="40" w:firstLine="438"/>
        <w:spacing w:after="0" w:line="226" w:lineRule="auto"/>
        <w:rPr>
          <w:sz w:val="20"/>
          <w:szCs w:val="20"/>
          <w:color w:val="auto"/>
        </w:rPr>
      </w:pPr>
      <w:r>
        <w:rPr>
          <w:rFonts w:ascii="Arial" w:cs="Arial" w:eastAsia="Arial" w:hAnsi="Arial"/>
          <w:sz w:val="14"/>
          <w:szCs w:val="14"/>
          <w:color w:val="auto"/>
        </w:rPr>
        <w:t>Generally, 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the Credit Facility and the 2023 Notes. We elected to use the fair value option for the Credit Facility and the 2023 Notes to align the measurement attributes of both our assets and liabilities while mitigating volatility in earnings from using different measurement attributes. Due to that election and in accordance with GAAP, we did not incur any expenses relating to amendment costs on the Credit Facility during the three and six months ended March 31, 2021 and 2020.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2023 Notes are reported in our Consolidated Statements of Operations. We elected not to apply ASC 825-10 to any other financial assets or liabilities, including the 2026 Notes and the 2031 Asset-Backed Debt.</w:t>
      </w:r>
    </w:p>
    <w:p>
      <w:pPr>
        <w:spacing w:after="0" w:line="121" w:lineRule="exact"/>
        <w:rPr>
          <w:sz w:val="20"/>
          <w:szCs w:val="20"/>
          <w:color w:val="auto"/>
        </w:rPr>
      </w:pPr>
    </w:p>
    <w:p>
      <w:pPr>
        <w:ind w:right="200" w:firstLine="438"/>
        <w:spacing w:after="0" w:line="231" w:lineRule="auto"/>
        <w:rPr>
          <w:sz w:val="20"/>
          <w:szCs w:val="20"/>
          <w:color w:val="auto"/>
        </w:rPr>
      </w:pPr>
      <w:r>
        <w:rPr>
          <w:rFonts w:ascii="Arial" w:cs="Arial" w:eastAsia="Arial" w:hAnsi="Arial"/>
          <w:sz w:val="14"/>
          <w:szCs w:val="14"/>
          <w:color w:val="auto"/>
        </w:rPr>
        <w:t>For the three and six months ended March 31, 2021, the Credit Facility and the 2023 Notes had a net change in unrealized appreciation of $10.5 million and $14.5 million, respectively. For the three and six months ended March 31, 2020, the Credit Facility and the 2023 Notes had a net change in unrealized depreciation of $33.5 million and $34.9 million, respectively. As of March 31, 2021 and September 30, 2020, the net unrealized depreciation on the Credit Facility and the 2023 Notes totaled $4.3 million and $18.8 million, respectively. We use a nationally recognized independent valuation service to measure the fair value of the Credit Facility in a manner consistent with the valuation process that our board of directors uses to value our investments. Our 2023 Notes trade on the TASE and we use the closing price on the exchange to determine the fair value.</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36" w:lineRule="exact"/>
        <w:rPr>
          <w:sz w:val="20"/>
          <w:szCs w:val="20"/>
          <w:color w:val="auto"/>
        </w:rPr>
      </w:pPr>
    </w:p>
    <w:p>
      <w:pPr>
        <w:ind w:right="40" w:firstLine="438"/>
        <w:spacing w:after="0" w:line="247"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136"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fair values of our portfolio investments, our Credit Facility and the 2023 Notes during the reporting period, including any reversal of previously recorded unrealized appreciation or depreciation, when gains or losses are realized.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sz w:val="20"/>
          <w:szCs w:val="20"/>
          <w:color w:val="auto"/>
        </w:rPr>
      </w:pPr>
    </w:p>
    <w:p>
      <w:pPr>
        <w:ind w:left="800" w:hanging="360"/>
        <w:spacing w:after="0"/>
        <w:tabs>
          <w:tab w:leader="none" w:pos="8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204" w:lineRule="exact"/>
        <w:rPr>
          <w:sz w:val="20"/>
          <w:szCs w:val="20"/>
          <w:color w:val="auto"/>
        </w:rPr>
      </w:pPr>
    </w:p>
    <w:p>
      <w:pPr>
        <w:jc w:val="both"/>
        <w:ind w:right="40" w:firstLine="438"/>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i w:val="1"/>
          <w:iCs w:val="1"/>
          <w:color w:val="auto"/>
        </w:rPr>
        <w:t>PIK Interest</w:t>
      </w:r>
    </w:p>
    <w:p>
      <w:pPr>
        <w:spacing w:after="0" w:line="136" w:lineRule="exact"/>
        <w:rPr>
          <w:sz w:val="20"/>
          <w:szCs w:val="20"/>
          <w:color w:val="auto"/>
        </w:rPr>
      </w:pPr>
    </w:p>
    <w:p>
      <w:pPr>
        <w:jc w:val="both"/>
        <w:ind w:right="140" w:firstLine="438"/>
        <w:spacing w:after="0" w:line="238" w:lineRule="auto"/>
        <w:rPr>
          <w:sz w:val="20"/>
          <w:szCs w:val="20"/>
          <w:color w:val="auto"/>
        </w:rPr>
      </w:pPr>
      <w:r>
        <w:rPr>
          <w:rFonts w:ascii="Arial" w:cs="Arial" w:eastAsia="Arial" w:hAnsi="Arial"/>
          <w:sz w:val="14"/>
          <w:szCs w:val="14"/>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may not have collected any cash with respect to interest on PIK securities.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136" w:lineRule="exact"/>
        <w:rPr>
          <w:sz w:val="20"/>
          <w:szCs w:val="20"/>
          <w:color w:val="auto"/>
        </w:rPr>
      </w:pPr>
    </w:p>
    <w:p>
      <w:pPr>
        <w:ind w:firstLine="438"/>
        <w:spacing w:after="0" w:line="255" w:lineRule="auto"/>
        <w:rPr>
          <w:sz w:val="20"/>
          <w:szCs w:val="20"/>
          <w:color w:val="auto"/>
        </w:rPr>
      </w:pPr>
      <w:r>
        <w:rPr>
          <w:rFonts w:ascii="Arial" w:cs="Arial" w:eastAsia="Arial" w:hAnsi="Arial"/>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07"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Although not required for us to maintain our RIC tax status, in order to preclude the imposition of a 4% nondeductible U.S.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U.S. federal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111" w:lineRule="exact"/>
        <w:rPr>
          <w:sz w:val="20"/>
          <w:szCs w:val="20"/>
          <w:color w:val="auto"/>
        </w:rPr>
      </w:pPr>
    </w:p>
    <w:p>
      <w:pPr>
        <w:ind w:right="80" w:firstLine="438"/>
        <w:spacing w:after="0" w:line="264" w:lineRule="auto"/>
        <w:rPr>
          <w:sz w:val="20"/>
          <w:szCs w:val="20"/>
          <w:color w:val="auto"/>
        </w:rPr>
      </w:pPr>
      <w:r>
        <w:rPr>
          <w:rFonts w:ascii="Arial" w:cs="Arial" w:eastAsia="Arial" w:hAnsi="Arial"/>
          <w:sz w:val="13"/>
          <w:szCs w:val="13"/>
          <w:color w:val="auto"/>
        </w:rPr>
        <w:t>Because U.S. federal income tax regulations differ from GAAP, distributions characterized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01" w:lineRule="exact"/>
        <w:rPr>
          <w:sz w:val="20"/>
          <w:szCs w:val="20"/>
          <w:color w:val="auto"/>
        </w:rPr>
      </w:pPr>
    </w:p>
    <w:p>
      <w:pPr>
        <w:ind w:right="40" w:firstLine="438"/>
        <w:spacing w:after="0" w:line="290" w:lineRule="auto"/>
        <w:rPr>
          <w:sz w:val="20"/>
          <w:szCs w:val="20"/>
          <w:color w:val="auto"/>
        </w:rPr>
      </w:pPr>
      <w:r>
        <w:rPr>
          <w:rFonts w:ascii="Arial" w:cs="Arial" w:eastAsia="Arial" w:hAnsi="Arial"/>
          <w:sz w:val="13"/>
          <w:szCs w:val="13"/>
          <w:color w:val="auto"/>
        </w:rPr>
        <w:t>We have formed and expect to continue to form certain taxable subsidiaries, including the Taxable Subsidiary,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Set forth below are the results of operations for the three and six months ended March 31, 2021 and 2020.</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136" w:lineRule="exact"/>
        <w:rPr>
          <w:sz w:val="20"/>
          <w:szCs w:val="20"/>
          <w:color w:val="auto"/>
        </w:rPr>
      </w:pPr>
    </w:p>
    <w:p>
      <w:pPr>
        <w:ind w:right="140" w:firstLine="438"/>
        <w:spacing w:after="0" w:line="255" w:lineRule="auto"/>
        <w:rPr>
          <w:sz w:val="20"/>
          <w:szCs w:val="20"/>
          <w:color w:val="auto"/>
        </w:rPr>
      </w:pPr>
      <w:r>
        <w:rPr>
          <w:rFonts w:ascii="Arial" w:cs="Arial" w:eastAsia="Arial" w:hAnsi="Arial"/>
          <w:sz w:val="13"/>
          <w:szCs w:val="13"/>
          <w:color w:val="auto"/>
        </w:rPr>
        <w:t>Investment income for the three and six months ended March 31, 2021 was $19.4 million and $40.2 million, respectively, which was attributable to $16.6 million and $35.3 million from first lien secured debt and $2.9 million and $4.9 million from other investments, respectively. This compares to investment income for the three and six months ended March 31, 2020, which was $26.3 million and $51.0 million, respectively, and was attributable to $24.1 million and $46.5 million from first lien secured debt and $2.2 million and $4.5 million from other investments, respectively. The decrease in investment income compared to the same periods in the prior year was primarily due to a decrease in the size of our portfolio and LIBOR.</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3"/>
          <w:szCs w:val="13"/>
          <w:color w:val="auto"/>
        </w:rPr>
        <w:t>Expenses for the three and six months ended March 31, 2021 totaled $9.5 million and $20.1 million, respectively. Base management fee for the same periods totaled $2.6 million and $5.3</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million, incentive fee totaled $1.3 million and $3.1 million, debt related interest and expenses totaled $4.8 million and $10.1 million and general and administrative expenses totaled $0.7 million and</w:t>
      </w:r>
    </w:p>
    <w:p>
      <w:pPr>
        <w:spacing w:after="0"/>
        <w:rPr>
          <w:sz w:val="20"/>
          <w:szCs w:val="20"/>
          <w:color w:val="auto"/>
        </w:rPr>
      </w:pPr>
      <w:r>
        <w:rPr>
          <w:rFonts w:ascii="Arial" w:cs="Arial" w:eastAsia="Arial" w:hAnsi="Arial"/>
          <w:sz w:val="12"/>
          <w:szCs w:val="12"/>
          <w:color w:val="auto"/>
        </w:rPr>
        <w:t>$1.4 million, respectively. This compares to expenses for the three and six months ended March 31, 2020 which totaled $14.6 million and $28.1 million, respectively. Base management fee for the same</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periods totaled $2.9 million and $5.8 million, incentive fee totaled $2.9 million and $5.3 million, debt related interest and expenses totaled $7.6 million and $14.9 million and general and administrative</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expenses totaled $1.0 million and $1.9 million, respectively. The decrease in expenses for the three and six months ended March 31, 2021 compared to the same periods in the prior year was primarily</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due to a decrease in Management Fees and debt related interest and expenses.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136" w:lineRule="exact"/>
        <w:rPr>
          <w:sz w:val="20"/>
          <w:szCs w:val="20"/>
          <w:color w:val="auto"/>
        </w:rPr>
      </w:pPr>
    </w:p>
    <w:p>
      <w:pPr>
        <w:ind w:right="260" w:firstLine="438"/>
        <w:spacing w:after="0" w:line="253" w:lineRule="auto"/>
        <w:rPr>
          <w:sz w:val="20"/>
          <w:szCs w:val="20"/>
          <w:color w:val="auto"/>
        </w:rPr>
      </w:pPr>
      <w:r>
        <w:rPr>
          <w:rFonts w:ascii="Arial" w:cs="Arial" w:eastAsia="Arial" w:hAnsi="Arial"/>
          <w:sz w:val="14"/>
          <w:szCs w:val="14"/>
          <w:color w:val="auto"/>
        </w:rPr>
        <w:t>Net investment income totaled $9.9 million and $20.0 million, or $0.26 and $0.52 per share, for the three and six months ended March 31, 2021, respectively. Net investment income totaled $11.7 million and $22.9 million, or $0.30 and $0.59 per share, for the three and six months ended March 31, 2020, respectively.</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136"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Sales and repayments of investments for the three and six months ended March 31, 2021 totaled $172.1 million and $281.7 million, respectively, and net realized gains (losses) totaled $0.5 million and ($2.3) million, respectively. Sales and repayments of investments for the three and six months ended March 31, 2020 totaled $99.4 million and $243.1 million, respectively, and net realized losses totaled $1.6 million and $0.6 million, respectively. The change in realized gains/losses was primarily due to changes in the market conditions of our investments and the values at which they were realized.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the Credit Facility and the 2023 Notes</w:t>
      </w:r>
    </w:p>
    <w:p>
      <w:pPr>
        <w:spacing w:after="0" w:line="136" w:lineRule="exact"/>
        <w:rPr>
          <w:sz w:val="20"/>
          <w:szCs w:val="20"/>
          <w:color w:val="auto"/>
        </w:rPr>
      </w:pPr>
    </w:p>
    <w:p>
      <w:pPr>
        <w:ind w:right="160" w:firstLine="438"/>
        <w:spacing w:after="0" w:line="255" w:lineRule="auto"/>
        <w:rPr>
          <w:sz w:val="20"/>
          <w:szCs w:val="20"/>
          <w:color w:val="auto"/>
        </w:rPr>
      </w:pPr>
      <w:r>
        <w:rPr>
          <w:rFonts w:ascii="Arial" w:cs="Arial" w:eastAsia="Arial" w:hAnsi="Arial"/>
          <w:sz w:val="13"/>
          <w:szCs w:val="13"/>
          <w:color w:val="auto"/>
        </w:rPr>
        <w:t>For the three and six months ended March 31, 2021, we reported net change in unrealized appreciation on investments of $11.8 million and $34.6 million, respectively. For the three and six months ended March 31, 2020, we reported net change in unrealized depreciation on investments of $64.8 million and $68.3 million, respectively. As of March 31, 2021 and September 30, 2020, our net unrealized depreciation on investments totaled $4.7 million and $29.9 million, respectively. The net change in unrealized appreciation on our investments compared to the same period in the prior year was primarily due to unrealized gains in our equity co-investment program, including ITC Rumba, LLC (Cano Health, LLC).</w:t>
      </w:r>
    </w:p>
    <w:p>
      <w:pPr>
        <w:spacing w:after="0" w:line="107"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For the three and six months ended March 31, 2021, the Credit Facility and the 2023 Notes had a net change in unrealized appreciation of $10.5 million and $14.5 million, respectively. For the three and six months ended March 31, 2020, the Credit Facility and the 2023 Notes had a net change in unrealized depreciation of $33.5 million and $34.9 million, respectively. As of March 31, 2021 and September 30, 2020, the net unrealized depreciation on the Credit Facility and the 2023 Notes totaled $4.3 million and $18.8 million, respectively. The net change in net unrealized depreciation compared to the same period in the prior year was primarily due to changes in the capital markets.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136"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Net increase in net assets resulting from operations totaled $11.7 million and $37.8 million, or $0.30 and $0.98 per share, respectively, for the three and six months ended March 31, 2021. This compares to a net decrease in net assets resulting from operations of $21.1 million and $11.1 million, or $0.54 and $0.29 per share, respectively, for the three and six months ended March 31, 2020. The increase in the net change in net assets from operations for the three and six months ended March 31, 2021 compared to the same periods in the prior year was primarily due to unrealized gains in our equity co-investment program, including ITC Rumba, LLC (Cano Health, LLC).</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40" w:lineRule="exact"/>
        <w:rPr>
          <w:sz w:val="20"/>
          <w:szCs w:val="20"/>
          <w:color w:val="auto"/>
        </w:rPr>
      </w:pPr>
    </w:p>
    <w:p>
      <w:pPr>
        <w:ind w:firstLine="438"/>
        <w:spacing w:after="0" w:line="254" w:lineRule="auto"/>
        <w:rPr>
          <w:sz w:val="20"/>
          <w:szCs w:val="20"/>
          <w:color w:val="auto"/>
        </w:rPr>
      </w:pPr>
      <w:r>
        <w:rPr>
          <w:rFonts w:ascii="Arial" w:cs="Arial" w:eastAsia="Arial" w:hAnsi="Arial"/>
          <w:sz w:val="13"/>
          <w:szCs w:val="13"/>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As of March 31, 2021, in accordance with the 1940 Act, with certain limited exceptions, we are only allowed to borrow amounts such that we are in compliance with a 150% asset coverage ratio requirement after</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such borrowing. This “Liquidity and Capital Resources” section should be read in conjunction with the “COVID-19 Developments” section above.</w:t>
      </w:r>
    </w:p>
    <w:p>
      <w:pPr>
        <w:spacing w:after="0" w:line="163" w:lineRule="exact"/>
        <w:rPr>
          <w:sz w:val="20"/>
          <w:szCs w:val="20"/>
          <w:color w:val="auto"/>
        </w:rPr>
      </w:pPr>
    </w:p>
    <w:p>
      <w:pPr>
        <w:ind w:right="120" w:firstLine="438"/>
        <w:spacing w:after="0" w:line="255" w:lineRule="auto"/>
        <w:rPr>
          <w:sz w:val="20"/>
          <w:szCs w:val="20"/>
          <w:color w:val="auto"/>
        </w:rPr>
      </w:pPr>
      <w:r>
        <w:rPr>
          <w:rFonts w:ascii="Arial" w:cs="Arial" w:eastAsia="Arial" w:hAnsi="Arial"/>
          <w:sz w:val="13"/>
          <w:szCs w:val="13"/>
          <w:color w:val="auto"/>
        </w:rPr>
        <w:t>On April 5, 2018, our board of directors approved the application of the modified asset coverage requirements set forth in Section 61(a)(2) of the 1940 Act, as amended by the Consolidated Appropriations Act of 2018 (which includes the SBCAA). As a result, the asset coverage requirement applicable to us for senior securities was reduced from 200% (i.e., $1 of debt outstanding for each $1 of equity) to 150% (i.e., $2 of debt outstanding for each $1 of equity), effective as of April 5, 2019, subject to compliance with certain disclosure requirements. As of March 31, 2021 and September 30, 2020, our asset coverage ratio, as computed in accordance with the 1940 Act, was 182% and 168%, respectively.</w:t>
      </w:r>
    </w:p>
    <w:p>
      <w:pPr>
        <w:spacing w:after="0" w:line="107"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The annualized weighted average cost of debt for the six months ended March 31, 2021 and 2020, inclusive of the fee on the undrawn commitment on the Credit Facility, amendment costs and debt issuance costs, was 3.4% and 4.1%, respectively. As of March 31, 2021 and September 30, 2020, we had $253.1 million and $211.4 million of unused borrowing capacity under the Credit Facility, respectively, subject to leverage and borrowing base restrictions.</w:t>
      </w:r>
    </w:p>
    <w:p>
      <w:pPr>
        <w:spacing w:after="0" w:line="115" w:lineRule="exact"/>
        <w:rPr>
          <w:sz w:val="20"/>
          <w:szCs w:val="20"/>
          <w:color w:val="auto"/>
        </w:rPr>
      </w:pPr>
    </w:p>
    <w:p>
      <w:pPr>
        <w:ind w:right="100" w:firstLine="438"/>
        <w:spacing w:after="0" w:line="231" w:lineRule="auto"/>
        <w:rPr>
          <w:sz w:val="20"/>
          <w:szCs w:val="20"/>
          <w:color w:val="auto"/>
        </w:rPr>
      </w:pPr>
      <w:r>
        <w:rPr>
          <w:rFonts w:ascii="Arial" w:cs="Arial" w:eastAsia="Arial" w:hAnsi="Arial"/>
          <w:sz w:val="14"/>
          <w:szCs w:val="14"/>
          <w:color w:val="auto"/>
        </w:rPr>
        <w:t>Funding I’s multi-currency Credit Facility with the Lenders was $400 million (reduced from $520 million on January 19, 2021) as of March 31, 2021, subject to satisfaction of certain conditions and regulatory restrictions that the 1940 Act imposes on us as a BDC, has an interest rate spread above LIBOR (or an alternative risk-free floating interest rate index) of 200 basis points, a maturity date of October 2023 and a revolving period that ends in October 2021. As of March 31, 2021 and September 30, 2020, Funding I borrowed $146.9 million and $308.6 million under the Credit Facility, respectively. The Credit Facility had a weighted average interest rate of 2.2% and 2.2%, exclusive of the fee on undrawn commitments as of March 31, 2021 and September 30, 2020, respectively.</w:t>
      </w:r>
    </w:p>
    <w:p>
      <w:pPr>
        <w:spacing w:after="0" w:line="116" w:lineRule="exact"/>
        <w:rPr>
          <w:sz w:val="20"/>
          <w:szCs w:val="20"/>
          <w:color w:val="auto"/>
        </w:rPr>
      </w:pPr>
    </w:p>
    <w:p>
      <w:pPr>
        <w:jc w:val="both"/>
        <w:ind w:firstLine="438"/>
        <w:spacing w:after="0" w:line="233" w:lineRule="auto"/>
        <w:rPr>
          <w:sz w:val="20"/>
          <w:szCs w:val="20"/>
          <w:color w:val="auto"/>
        </w:rPr>
      </w:pPr>
      <w:r>
        <w:rPr>
          <w:rFonts w:ascii="Arial" w:cs="Arial" w:eastAsia="Arial" w:hAnsi="Arial"/>
          <w:sz w:val="14"/>
          <w:szCs w:val="14"/>
          <w:color w:val="auto"/>
        </w:rPr>
        <w:t>During the revolving period, the Credit Facility bears interest at LIBOR (or an alternative risk-free floating interest rate index) plus 200 basis points and, after the revolving period, the rate will reset to LIBOR (or an alternative risk-free floating interest rate index) plus 425 basis points for the remaining two years, maturing in October 2023.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17"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The Credit Facility contains covenants, including but not limited to, restrictions of loan size, currency types and amounts,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The Credit Facility compliance reporting is prepared on a basis of accounting other than GAAP. As of March 31, 2021, we were in compliance with the covenants relating to the Credit Facility.</w:t>
      </w:r>
    </w:p>
    <w:p>
      <w:pPr>
        <w:spacing w:after="0" w:line="117" w:lineRule="exact"/>
        <w:rPr>
          <w:sz w:val="20"/>
          <w:szCs w:val="20"/>
          <w:color w:val="auto"/>
        </w:rPr>
      </w:pPr>
    </w:p>
    <w:p>
      <w:pPr>
        <w:ind w:right="360" w:firstLine="438"/>
        <w:spacing w:after="0" w:line="253"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Our Investment Adviser serves as collateral manager to Funding I under the Credit Facility.</w:t>
      </w:r>
    </w:p>
    <w:p>
      <w:pPr>
        <w:spacing w:after="0" w:line="106"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 to the Lenders, (2)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any management fee owed with respect to such services is to be paid to us so long as the Investment Adviser remains the collateral manager.</w:t>
      </w:r>
    </w:p>
    <w:p>
      <w:pPr>
        <w:spacing w:after="0" w:line="116" w:lineRule="exact"/>
        <w:rPr>
          <w:sz w:val="20"/>
          <w:szCs w:val="20"/>
          <w:color w:val="auto"/>
        </w:rPr>
      </w:pPr>
    </w:p>
    <w:p>
      <w:pPr>
        <w:ind w:right="60" w:firstLine="438"/>
        <w:spacing w:after="0" w:line="253" w:lineRule="auto"/>
        <w:rPr>
          <w:sz w:val="20"/>
          <w:szCs w:val="20"/>
          <w:color w:val="auto"/>
        </w:rPr>
      </w:pPr>
      <w:r>
        <w:rPr>
          <w:rFonts w:ascii="Arial" w:cs="Arial" w:eastAsia="Arial" w:hAnsi="Arial"/>
          <w:sz w:val="14"/>
          <w:szCs w:val="14"/>
          <w:color w:val="auto"/>
        </w:rPr>
        <w:t>In November 2017, we issued $138.6 million of our 2023 Notes pursuant to a deed of trust between the Company and Mishmeret Trust Company, Ltd., as trustee, of which $117.8 million and $138.6 million was outstanding as of March 31, 2021 and September 30, 2020, respectively.</w:t>
      </w:r>
    </w:p>
    <w:p>
      <w:pPr>
        <w:spacing w:after="0" w:line="106" w:lineRule="exact"/>
        <w:rPr>
          <w:sz w:val="20"/>
          <w:szCs w:val="20"/>
          <w:color w:val="auto"/>
        </w:rPr>
      </w:pPr>
    </w:p>
    <w:p>
      <w:pPr>
        <w:ind w:right="240" w:firstLine="438"/>
        <w:spacing w:after="0" w:line="264" w:lineRule="auto"/>
        <w:rPr>
          <w:sz w:val="20"/>
          <w:szCs w:val="20"/>
          <w:color w:val="auto"/>
        </w:rPr>
      </w:pPr>
      <w:r>
        <w:rPr>
          <w:rFonts w:ascii="Arial" w:cs="Arial" w:eastAsia="Arial" w:hAnsi="Arial"/>
          <w:sz w:val="13"/>
          <w:szCs w:val="13"/>
          <w:color w:val="auto"/>
        </w:rPr>
        <w:t>The 2023 Notes currently pay interest at a rate of 4.3% per year. Interest on the 2023 Notes is payable semi-annually in arrears on June 15 and December 15 of each year, commencing June 15, 2018. The principal on the 2023 Notes is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01"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The 2023 Notes are general, unsecured obligations, rank equal in right of payment with all of our existing and future senior unsecured indebtedness and are generally redeemable at our option. The deed of trust governing the 2023 Notes includes certain customary covenants, including minimum equity requirements, and events of default. Please refer to the deed of trust filed as Exhibit (d)(8) to the post-effective amendment to our registration statement filed on December 13, 2017 for more information. The 2023 Notes are rated ilA- by S&amp;P Global Ratings Maalot Ltd. and are listed on the TASE. In connection with this offering, we have dual listed our common stock on the TASE.</w:t>
      </w:r>
    </w:p>
    <w:p>
      <w:pPr>
        <w:spacing w:after="0" w:line="117" w:lineRule="exact"/>
        <w:rPr>
          <w:sz w:val="20"/>
          <w:szCs w:val="20"/>
          <w:color w:val="auto"/>
        </w:rPr>
      </w:pPr>
    </w:p>
    <w:p>
      <w:pPr>
        <w:ind w:right="340" w:firstLine="438"/>
        <w:spacing w:after="0" w:line="253" w:lineRule="auto"/>
        <w:rPr>
          <w:sz w:val="20"/>
          <w:szCs w:val="20"/>
          <w:color w:val="auto"/>
        </w:rPr>
      </w:pPr>
      <w:r>
        <w:rPr>
          <w:rFonts w:ascii="Arial" w:cs="Arial" w:eastAsia="Arial" w:hAnsi="Arial"/>
          <w:sz w:val="14"/>
          <w:szCs w:val="14"/>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106" w:lineRule="exact"/>
        <w:rPr>
          <w:sz w:val="20"/>
          <w:szCs w:val="20"/>
          <w:color w:val="auto"/>
        </w:rPr>
      </w:pPr>
    </w:p>
    <w:p>
      <w:pPr>
        <w:ind w:right="40" w:firstLine="438"/>
        <w:spacing w:after="0" w:line="229" w:lineRule="auto"/>
        <w:rPr>
          <w:sz w:val="20"/>
          <w:szCs w:val="20"/>
          <w:color w:val="auto"/>
        </w:rPr>
      </w:pPr>
      <w:r>
        <w:rPr>
          <w:rFonts w:ascii="Arial" w:cs="Arial" w:eastAsia="Arial" w:hAnsi="Arial"/>
          <w:sz w:val="14"/>
          <w:szCs w:val="14"/>
          <w:color w:val="auto"/>
        </w:rPr>
        <w:t>In March 2021, we issued $100.0 million in aggregate principal amount of 2026 Notes at a public offering price per note of 99.4%. Interest on the 2026 Notes is paid semi-annually on April 1 and October 1 of each year, at a rate of 4.25% per year, commencing October 1, 2021. The 2026 Notes mature on April 1, 2026 and may be redeemed in whole or in part at our option subject to a make-whole premium if redeemed more than three months prior to maturity. The 2026 Notes are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18" w:lineRule="exact"/>
        <w:rPr>
          <w:sz w:val="20"/>
          <w:szCs w:val="20"/>
          <w:color w:val="auto"/>
        </w:rPr>
      </w:pPr>
    </w:p>
    <w:p>
      <w:pPr>
        <w:jc w:val="both"/>
        <w:ind w:right="300" w:firstLine="438"/>
        <w:spacing w:after="0" w:line="238" w:lineRule="auto"/>
        <w:rPr>
          <w:sz w:val="20"/>
          <w:szCs w:val="20"/>
          <w:color w:val="auto"/>
        </w:rPr>
      </w:pPr>
      <w:r>
        <w:rPr>
          <w:rFonts w:ascii="Arial" w:cs="Arial" w:eastAsia="Arial" w:hAnsi="Arial"/>
          <w:sz w:val="14"/>
          <w:szCs w:val="14"/>
          <w:color w:val="auto"/>
        </w:rPr>
        <w:t>In September 2019, the Securitization Issuers completed the Debt Securitization. The 2031 Asset-Backed Debt is secured by the middle market loans, participation interests in middle market loans and other assets of the Securitization Issuer. The Debt Securitization was executed through (A) a private placement of: (i) $78.5 million Class A-1 Senior Secured Floating Rate Notes due 2031, which bear interest at the three-month LIBOR plus 1.8%, (ii) $15.0 million Class A-2 Senior Secured Fixed Rate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0" w:name="page41"/>
    <w:bookmarkEnd w:id="40"/>
    <w:p>
      <w:pPr>
        <w:ind w:right="200"/>
        <w:spacing w:after="0" w:line="154" w:lineRule="exact"/>
        <w:rPr>
          <w:sz w:val="20"/>
          <w:szCs w:val="20"/>
          <w:color w:val="auto"/>
        </w:rPr>
      </w:pPr>
      <w:r>
        <w:rPr>
          <w:rFonts w:ascii="Arial" w:cs="Arial" w:eastAsia="Arial" w:hAnsi="Arial"/>
          <w:sz w:val="13"/>
          <w:szCs w:val="13"/>
          <w:color w:val="auto"/>
        </w:rPr>
        <w:t>Notes due 2031, which bear interest at 3.7%, (iii) $14.0 million Class B-1 Senior Secured Floating Rate Notes due 2031, which bear interest at the three-month LIBOR plus 2.9%, (iv) $16.0 million Class B-2 Senior Secured Fixed Rate Notes due 2031, which bear interest at 4.3%, (v) $19.0 million Class C</w:t>
      </w:r>
      <w:r>
        <w:rPr>
          <w:rFonts w:ascii="MS PGothic" w:cs="MS PGothic" w:eastAsia="MS PGothic" w:hAnsi="MS PGothic"/>
          <w:sz w:val="13"/>
          <w:szCs w:val="13"/>
          <w:color w:val="auto"/>
        </w:rPr>
        <w:t>‑</w:t>
      </w:r>
      <w:r>
        <w:rPr>
          <w:rFonts w:ascii="Arial" w:cs="Arial" w:eastAsia="Arial" w:hAnsi="Arial"/>
          <w:sz w:val="13"/>
          <w:szCs w:val="13"/>
          <w:color w:val="auto"/>
        </w:rPr>
        <w:t>1 Secured Deferrable Floating Rate Notes due 2031, which bear interest at the three-month LIBOR plus 4.0%, (vi) $8.0 million Class C-2 Secured Deferrable Fixed Rate Notes due 2031, which bear interest at 5.4%, and (vii) $18.0 million Class D Secured Deferrable Floating Rate Notes due 2031, which bear interest at the three-month LIBOR plus 4.8% and (B) the borrowing of $77.5 million Class A</w:t>
      </w:r>
      <w:r>
        <w:rPr>
          <w:rFonts w:ascii="MS PGothic" w:cs="MS PGothic" w:eastAsia="MS PGothic" w:hAnsi="MS PGothic"/>
          <w:sz w:val="13"/>
          <w:szCs w:val="13"/>
          <w:color w:val="auto"/>
        </w:rPr>
        <w:t>‑</w:t>
      </w:r>
      <w:r>
        <w:rPr>
          <w:rFonts w:ascii="Arial" w:cs="Arial" w:eastAsia="Arial" w:hAnsi="Arial"/>
          <w:sz w:val="13"/>
          <w:szCs w:val="13"/>
          <w:color w:val="auto"/>
        </w:rPr>
        <w:t>1 Senior Secured Floating Rate Loans due 2031, which bear interest at the three-month LIBOR plus 1.8%, under a credit agreement by and among the Securitization Issuers, as borrowers, various financial institutions, as lenders, and U.S. Bank National Association, as collateral agent and as loan agent. The 2031 Asset-Backed Debt is scheduled to mature on October 15, 2031. As of March 31, 2021 and September 30, 2020, the Company had $228.0 million of 2031 Asset-Backed Debt outstanding, respectively, with a weighted average interest rate of 2.7% and 2.7%.</w:t>
      </w:r>
    </w:p>
    <w:p>
      <w:pPr>
        <w:spacing w:after="0" w:line="115"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On the closing date of the Debt Securitization, in consideration of our transfer to the Securitization Issuer of the initial closing date loan portfolio, which included loans distributed to us by our wholly owned subsidiary,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The Preferred Shares of the Securitization Issuer do not bear interest and had a stated value of $55.4 million at the closing of the Debt Securitization.</w:t>
      </w:r>
    </w:p>
    <w:p>
      <w:pPr>
        <w:spacing w:after="0" w:line="117" w:lineRule="exact"/>
        <w:rPr>
          <w:sz w:val="20"/>
          <w:szCs w:val="20"/>
          <w:color w:val="auto"/>
        </w:rPr>
      </w:pPr>
    </w:p>
    <w:p>
      <w:pPr>
        <w:jc w:val="both"/>
        <w:ind w:right="240" w:firstLine="438"/>
        <w:spacing w:after="0" w:line="238" w:lineRule="auto"/>
        <w:rPr>
          <w:sz w:val="20"/>
          <w:szCs w:val="20"/>
          <w:color w:val="auto"/>
        </w:rPr>
      </w:pPr>
      <w:r>
        <w:rPr>
          <w:rFonts w:ascii="Arial" w:cs="Arial" w:eastAsia="Arial" w:hAnsi="Arial"/>
          <w:sz w:val="14"/>
          <w:szCs w:val="14"/>
          <w:color w:val="auto"/>
        </w:rPr>
        <w:t>The 2031 Asset-Backed Debt constitutes secured obligations of the Securitization Issuers, and the indenture governing the 2031 Asset-Backed Debt includes customary covenants and events of default. The 2031 Asset-Backed Debt has not been, and will not be, registered under the Securities Act or any state securities or “blue sky” laws and may not be offered or sold in the United States absent registration with the SEC or an applicable exemption from registration.</w:t>
      </w:r>
    </w:p>
    <w:p>
      <w:pPr>
        <w:spacing w:after="0" w:line="115" w:lineRule="exact"/>
        <w:rPr>
          <w:sz w:val="20"/>
          <w:szCs w:val="20"/>
          <w:color w:val="auto"/>
        </w:rPr>
      </w:pPr>
    </w:p>
    <w:p>
      <w:pPr>
        <w:ind w:right="140" w:firstLine="438"/>
        <w:spacing w:after="0" w:line="238" w:lineRule="auto"/>
        <w:rPr>
          <w:sz w:val="20"/>
          <w:szCs w:val="20"/>
          <w:color w:val="auto"/>
        </w:rPr>
      </w:pPr>
      <w:r>
        <w:rPr>
          <w:rFonts w:ascii="Arial" w:cs="Arial" w:eastAsia="Arial" w:hAnsi="Arial"/>
          <w:sz w:val="14"/>
          <w:szCs w:val="14"/>
          <w:color w:val="auto"/>
        </w:rPr>
        <w:t>Our Investment Adviser serves as collateral manager to the Securitization Issuer pursuant to a collateral management agreement between our Investment Adviser and the Securitization Issuer, or the Collateral Management Agreement. For so long as our Investment Adviser serves as collateral manager, it will elect to irrevocably waive any collateral management fee to which it may be entitled under the Collateral Management Agreement.</w:t>
      </w:r>
    </w:p>
    <w:p>
      <w:pPr>
        <w:spacing w:after="0" w:line="115"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We may raise equity or debt capital through both registered offerings off our shelf registration statement and private offerings of securities, securitizing a portion of our investments among other considerations or mergers and acquisitions. Furthermore, the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 For both the six months ended March 31, 2021 and 2020, we did not issue any shares.</w:t>
      </w:r>
    </w:p>
    <w:p>
      <w:pPr>
        <w:spacing w:after="0" w:line="117" w:lineRule="exact"/>
        <w:rPr>
          <w:sz w:val="20"/>
          <w:szCs w:val="20"/>
          <w:color w:val="auto"/>
        </w:rPr>
      </w:pPr>
    </w:p>
    <w:p>
      <w:pPr>
        <w:ind w:right="420" w:firstLine="438"/>
        <w:spacing w:after="0" w:line="253" w:lineRule="auto"/>
        <w:rPr>
          <w:sz w:val="20"/>
          <w:szCs w:val="20"/>
          <w:color w:val="auto"/>
        </w:rPr>
      </w:pPr>
      <w:r>
        <w:rPr>
          <w:rFonts w:ascii="Arial" w:cs="Arial" w:eastAsia="Arial" w:hAnsi="Arial"/>
          <w:sz w:val="14"/>
          <w:szCs w:val="14"/>
          <w:color w:val="auto"/>
        </w:rPr>
        <w:t>As of March 31, 2021 and September 30, 2020, we had cash equivalents of $66.6 million and $57.5 million, respectively, available for investing and general corporate purposes. We believe our liquidity and capital resources are sufficient to take advantage of market opportunities.</w:t>
      </w:r>
    </w:p>
    <w:p>
      <w:pPr>
        <w:spacing w:after="0" w:line="106" w:lineRule="exact"/>
        <w:rPr>
          <w:sz w:val="20"/>
          <w:szCs w:val="20"/>
          <w:color w:val="auto"/>
        </w:rPr>
      </w:pPr>
    </w:p>
    <w:p>
      <w:pPr>
        <w:ind w:right="380" w:firstLine="438"/>
        <w:spacing w:after="0" w:line="238" w:lineRule="auto"/>
        <w:rPr>
          <w:sz w:val="20"/>
          <w:szCs w:val="20"/>
          <w:color w:val="auto"/>
        </w:rPr>
      </w:pPr>
      <w:r>
        <w:rPr>
          <w:rFonts w:ascii="Arial" w:cs="Arial" w:eastAsia="Arial" w:hAnsi="Arial"/>
          <w:sz w:val="14"/>
          <w:szCs w:val="14"/>
          <w:color w:val="auto"/>
        </w:rPr>
        <w:t>Our operating activities provided cash of $117.8 million for the six months ended March 31, 2021, and our financing activities used cash of $107.7 million for the same period. Our operating activities provided cash primarily from our investment activities and our financing activities used cash primarily to pay down our Credit Facility, partially offset by the 2026 Notes issuance.</w:t>
      </w:r>
    </w:p>
    <w:p>
      <w:pPr>
        <w:spacing w:after="0" w:line="115"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Our operating activities used cash of $158.9 million for the six months ended March 31, 2020, and our financing activities provided cash of $125.9 million for the same period. Our operating activities used cash primarily for our investment activities and our financing activities provided cash primarily from draws on our Credit Facility, partially offset by distributions paid to stockholders.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13" w:lineRule="exact"/>
        <w:rPr>
          <w:sz w:val="20"/>
          <w:szCs w:val="20"/>
          <w:color w:val="auto"/>
        </w:rPr>
      </w:pPr>
    </w:p>
    <w:p>
      <w:pPr>
        <w:ind w:right="60" w:firstLine="438"/>
        <w:spacing w:after="0" w:line="248" w:lineRule="auto"/>
        <w:rPr>
          <w:sz w:val="20"/>
          <w:szCs w:val="20"/>
          <w:color w:val="auto"/>
        </w:rPr>
      </w:pPr>
      <w:r>
        <w:rPr>
          <w:rFonts w:ascii="Arial" w:cs="Arial" w:eastAsia="Arial" w:hAnsi="Arial"/>
          <w:sz w:val="13"/>
          <w:szCs w:val="13"/>
          <w:color w:val="auto"/>
        </w:rPr>
        <w:t>In May 2017, we and Kemper formed PSSL, an unconsolidated joint venture. PSSL invests primarily in middle-market and other corporate debt securities consistent with our strategy. PSSL was formed as a Delaware limited liability company. As of March 31, 2021 and September 30, 2020, PSSL had total assets of $532.2 million and $406.4 million, respectively. As of March 31, 2021, PSSL had $36.0 million of unused borrowing capacity under the PSSL Credit Facility (as defined point below), subject to leverage and borrowing base restrictions, and cash and cash equivalents of $43.7 million. As of September 30, 2020, PSSL had $107.5 million of unused borrowing capacity under the PSSL Credit Facility, subject to leverage and borrowing base restrictions, and cash and cash equivalents of $11.1 million. As of March 31, 2021 and September 30, 2020, we and Kemper had remaining commitments to fund first lien secured debt and equity interests in PSSL in an aggregate amount of $23.5 million and $25.3 million, respectively. PSSL invests in portfolio companies in the same industries in which we may directly invest.</w:t>
      </w:r>
    </w:p>
    <w:p>
      <w:pPr>
        <w:spacing w:after="0" w:line="86" w:lineRule="exact"/>
        <w:rPr>
          <w:sz w:val="20"/>
          <w:szCs w:val="20"/>
          <w:color w:val="auto"/>
        </w:rPr>
      </w:pPr>
    </w:p>
    <w:p>
      <w:pPr>
        <w:ind w:right="160" w:firstLine="438"/>
        <w:spacing w:after="0" w:line="233" w:lineRule="auto"/>
        <w:rPr>
          <w:sz w:val="20"/>
          <w:szCs w:val="20"/>
          <w:color w:val="auto"/>
        </w:rPr>
      </w:pPr>
      <w:r>
        <w:rPr>
          <w:rFonts w:ascii="Arial" w:cs="Arial" w:eastAsia="Arial" w:hAnsi="Arial"/>
          <w:sz w:val="14"/>
          <w:szCs w:val="14"/>
          <w:color w:val="auto"/>
        </w:rPr>
        <w:t>We provide capital to PSSL in the form of first lien secured debt and equity interests. As of March 31, 2021 and September 30, 2020, we and Kemper owned 87.5% and 12.5%, respectively, of each of the outstanding first lien secured debt and equity interests. As of the same dates, our investment in PSSL consisted of first lien secured debt of $126.5 million (additional $14.4 million unfunded) and $125.4 million (additional $15.5 million unfunded), respectively, and equity interests of $54.2 million (additional $6.2 million unfunded) and $53.7 million (additional $6.6 million unfunded), respectively.</w:t>
      </w:r>
    </w:p>
    <w:p>
      <w:pPr>
        <w:spacing w:after="0" w:line="117" w:lineRule="exact"/>
        <w:rPr>
          <w:sz w:val="20"/>
          <w:szCs w:val="20"/>
          <w:color w:val="auto"/>
        </w:rPr>
      </w:pPr>
    </w:p>
    <w:p>
      <w:pPr>
        <w:ind w:right="140" w:firstLine="438"/>
        <w:spacing w:after="0" w:line="229" w:lineRule="auto"/>
        <w:rPr>
          <w:sz w:val="20"/>
          <w:szCs w:val="20"/>
          <w:color w:val="auto"/>
        </w:rPr>
      </w:pPr>
      <w:r>
        <w:rPr>
          <w:rFonts w:ascii="Arial" w:cs="Arial" w:eastAsia="Arial" w:hAnsi="Arial"/>
          <w:sz w:val="14"/>
          <w:szCs w:val="14"/>
          <w:color w:val="auto"/>
        </w:rPr>
        <w:t>We and Kemper each appointed two members to PSSL’s four-person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or (iii) the presence of four members of the board of directors or investment committee, provided that two individuals are present that were elected, designated or appointed by each member.</w:t>
      </w:r>
    </w:p>
    <w:p>
      <w:pPr>
        <w:spacing w:after="0" w:line="118" w:lineRule="exact"/>
        <w:rPr>
          <w:sz w:val="20"/>
          <w:szCs w:val="20"/>
          <w:color w:val="auto"/>
        </w:rPr>
      </w:pPr>
    </w:p>
    <w:p>
      <w:pPr>
        <w:ind w:right="100" w:firstLine="438"/>
        <w:spacing w:after="0" w:line="253" w:lineRule="auto"/>
        <w:rPr>
          <w:sz w:val="20"/>
          <w:szCs w:val="20"/>
          <w:color w:val="auto"/>
        </w:rPr>
      </w:pPr>
      <w:r>
        <w:rPr>
          <w:rFonts w:ascii="Arial" w:cs="Arial" w:eastAsia="Arial" w:hAnsi="Arial"/>
          <w:sz w:val="14"/>
          <w:szCs w:val="14"/>
          <w:color w:val="auto"/>
        </w:rPr>
        <w:t>PSSL has entered into a $125.0 million senior secured revolving credit facility which bears interest at LIBOR (or an alternative risk-free floating interest rate index) plus 225 basis points, or the PSSL Credit Facility, with Ally Bank through a wholly-owned subsidiary, subject to leverage and borrowing base restrictions.</w:t>
      </w:r>
    </w:p>
    <w:p>
      <w:pPr>
        <w:spacing w:after="0" w:line="106"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In January 2021, PSSL completed a $300.7 million debt securitization in the form of a collateralized loan obligation, or the “2032 Asset-Backed Debt”. The 2032 Asset-Backed Debt is secured by a diversified portfolio of PennantPark CLO II, Ltd., a wholly-owned and consolidated subsidiary of PSSL, consisting primarily of middle market loans and participation interests in middle market loans. The 2032 Asset-Backed Debt is scheduled to mature in January 2032. On the closing date of the transaction, in consideration of PSSL’s transfer to PennantPark CLO II, Ltd. of the initial closing date loan portfolio, which included loans distributed to PSSL by certain of its wholly owned subsidiaries and us, PennantPark CLO II, Ltd. transferred to PSSL 100% of the Preferred Shares of PennantPark CLO II, Ltd. and 100% of the Class E Notes issued by PennantPark CLO II, Ltd.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40" w:type="dxa"/>
            <w:vAlign w:val="bottom"/>
          </w:tcPr>
          <w:p>
            <w:pPr>
              <w:ind w:left="440"/>
              <w:spacing w:after="0"/>
              <w:rPr>
                <w:sz w:val="20"/>
                <w:szCs w:val="20"/>
                <w:color w:val="auto"/>
              </w:rPr>
            </w:pPr>
            <w:r>
              <w:rPr>
                <w:rFonts w:ascii="Arial" w:cs="Arial" w:eastAsia="Arial" w:hAnsi="Arial"/>
                <w:sz w:val="14"/>
                <w:szCs w:val="14"/>
                <w:color w:val="auto"/>
              </w:rPr>
              <w:t>Below is a summary of PSSL’s portfolio at fair value:</w:t>
            </w:r>
          </w:p>
        </w:tc>
        <w:tc>
          <w:tcPr>
            <w:tcW w:w="2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5"/>
        </w:trPr>
        <w:tc>
          <w:tcPr>
            <w:tcW w:w="454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September 30, 2020</w:t>
            </w:r>
          </w:p>
        </w:tc>
        <w:tc>
          <w:tcPr>
            <w:tcW w:w="20" w:type="dxa"/>
            <w:vAlign w:val="bottom"/>
          </w:tcPr>
          <w:p>
            <w:pPr>
              <w:spacing w:after="0"/>
              <w:rPr>
                <w:sz w:val="22"/>
                <w:szCs w:val="22"/>
                <w:color w:val="auto"/>
              </w:rPr>
            </w:pPr>
          </w:p>
        </w:tc>
      </w:tr>
      <w:tr>
        <w:trPr>
          <w:trHeight w:val="155"/>
        </w:trPr>
        <w:tc>
          <w:tcPr>
            <w:tcW w:w="454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26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485,117,492</w:t>
            </w: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392,986,090</w:t>
            </w:r>
          </w:p>
        </w:tc>
        <w:tc>
          <w:tcPr>
            <w:tcW w:w="14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4540" w:type="dxa"/>
            <w:vAlign w:val="bottom"/>
          </w:tcPr>
          <w:p>
            <w:pPr>
              <w:spacing w:after="0"/>
              <w:rPr>
                <w:sz w:val="20"/>
                <w:szCs w:val="20"/>
                <w:color w:val="auto"/>
              </w:rPr>
            </w:pPr>
            <w:r>
              <w:rPr>
                <w:rFonts w:ascii="Arial" w:cs="Arial" w:eastAsia="Arial" w:hAnsi="Arial"/>
                <w:sz w:val="14"/>
                <w:szCs w:val="14"/>
                <w:color w:val="auto"/>
              </w:rPr>
              <w:t>Weighted average yield on debt investments</w:t>
            </w:r>
          </w:p>
        </w:tc>
        <w:tc>
          <w:tcPr>
            <w:tcW w:w="2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4"/>
                <w:szCs w:val="14"/>
                <w:color w:val="auto"/>
              </w:rPr>
              <w:t>6.8%</w:t>
            </w:r>
          </w:p>
        </w:tc>
        <w:tc>
          <w:tcPr>
            <w:tcW w:w="20" w:type="dxa"/>
            <w:vAlign w:val="bottom"/>
          </w:tcPr>
          <w:p>
            <w:pPr>
              <w:spacing w:after="0"/>
              <w:rPr>
                <w:sz w:val="14"/>
                <w:szCs w:val="14"/>
                <w:color w:val="auto"/>
              </w:rPr>
            </w:pPr>
          </w:p>
        </w:tc>
      </w:tr>
      <w:tr>
        <w:trPr>
          <w:trHeight w:val="162"/>
        </w:trPr>
        <w:tc>
          <w:tcPr>
            <w:tcW w:w="4540" w:type="dxa"/>
            <w:vAlign w:val="bottom"/>
            <w:shd w:val="clear" w:color="auto" w:fill="CCECFF"/>
          </w:tcPr>
          <w:p>
            <w:pPr>
              <w:spacing w:after="0"/>
              <w:rPr>
                <w:sz w:val="20"/>
                <w:szCs w:val="20"/>
                <w:color w:val="auto"/>
              </w:rPr>
            </w:pPr>
            <w:r>
              <w:rPr>
                <w:rFonts w:ascii="Arial" w:cs="Arial" w:eastAsia="Arial" w:hAnsi="Arial"/>
                <w:sz w:val="14"/>
                <w:szCs w:val="14"/>
                <w:color w:val="auto"/>
              </w:rPr>
              <w:t>Number of portfolio companies in PSSL</w:t>
            </w:r>
          </w:p>
        </w:tc>
        <w:tc>
          <w:tcPr>
            <w:tcW w:w="26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64</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40" w:type="dxa"/>
            <w:vAlign w:val="bottom"/>
          </w:tcPr>
          <w:p>
            <w:pPr>
              <w:spacing w:after="0"/>
              <w:rPr>
                <w:sz w:val="20"/>
                <w:szCs w:val="20"/>
                <w:color w:val="auto"/>
              </w:rPr>
            </w:pPr>
            <w:r>
              <w:rPr>
                <w:rFonts w:ascii="Arial" w:cs="Arial" w:eastAsia="Arial" w:hAnsi="Arial"/>
                <w:sz w:val="14"/>
                <w:szCs w:val="14"/>
                <w:color w:val="auto"/>
              </w:rPr>
              <w:t>Largest portfolio company investment</w:t>
            </w:r>
          </w:p>
        </w:tc>
        <w:tc>
          <w:tcPr>
            <w:tcW w:w="288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21,747,486</w:t>
            </w:r>
          </w:p>
        </w:tc>
        <w:tc>
          <w:tcPr>
            <w:tcW w:w="220" w:type="dxa"/>
            <w:vAlign w:val="bottom"/>
          </w:tcPr>
          <w:p>
            <w:pPr>
              <w:spacing w:after="0"/>
              <w:rPr>
                <w:sz w:val="14"/>
                <w:szCs w:val="14"/>
                <w:color w:val="auto"/>
              </w:rPr>
            </w:pP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20,614,860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40" w:type="dxa"/>
            <w:vAlign w:val="bottom"/>
            <w:shd w:val="clear" w:color="auto" w:fill="CCECFF"/>
          </w:tcPr>
          <w:p>
            <w:pPr>
              <w:spacing w:after="0"/>
              <w:rPr>
                <w:sz w:val="20"/>
                <w:szCs w:val="20"/>
                <w:color w:val="auto"/>
              </w:rPr>
            </w:pPr>
            <w:r>
              <w:rPr>
                <w:rFonts w:ascii="Arial" w:cs="Arial" w:eastAsia="Arial" w:hAnsi="Arial"/>
                <w:sz w:val="14"/>
                <w:szCs w:val="14"/>
                <w:color w:val="auto"/>
              </w:rPr>
              <w:t>Total of five largest portfolio company investments</w:t>
            </w:r>
          </w:p>
        </w:tc>
        <w:tc>
          <w:tcPr>
            <w:tcW w:w="2880" w:type="dxa"/>
            <w:vAlign w:val="bottom"/>
            <w:gridSpan w:val="2"/>
            <w:shd w:val="clear" w:color="auto" w:fill="CCECFF"/>
          </w:tcPr>
          <w:p>
            <w:pPr>
              <w:jc w:val="right"/>
              <w:ind w:right="129"/>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88,027,443</w:t>
            </w:r>
          </w:p>
        </w:tc>
        <w:tc>
          <w:tcPr>
            <w:tcW w:w="220" w:type="dxa"/>
            <w:vAlign w:val="bottom"/>
            <w:shd w:val="clear" w:color="auto" w:fill="CCECFF"/>
          </w:tcPr>
          <w:p>
            <w:pPr>
              <w:spacing w:after="0"/>
              <w:rPr>
                <w:sz w:val="14"/>
                <w:szCs w:val="14"/>
                <w:color w:val="auto"/>
              </w:rPr>
            </w:pPr>
          </w:p>
        </w:tc>
        <w:tc>
          <w:tcPr>
            <w:tcW w:w="300" w:type="dxa"/>
            <w:vAlign w:val="bottom"/>
            <w:gridSpan w:val="2"/>
            <w:shd w:val="clear" w:color="auto" w:fill="CCECFF"/>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93,320,993</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542"/>
        </w:trPr>
        <w:tc>
          <w:tcPr>
            <w:tcW w:w="4540" w:type="dxa"/>
            <w:vAlign w:val="bottom"/>
          </w:tcPr>
          <w:p>
            <w:pPr>
              <w:spacing w:after="0"/>
              <w:rPr>
                <w:sz w:val="24"/>
                <w:szCs w:val="24"/>
                <w:color w:val="auto"/>
              </w:rPr>
            </w:pPr>
          </w:p>
        </w:tc>
        <w:tc>
          <w:tcPr>
            <w:tcW w:w="2640" w:type="dxa"/>
            <w:vAlign w:val="bottom"/>
          </w:tcPr>
          <w:p>
            <w:pPr>
              <w:jc w:val="right"/>
              <w:ind w:right="1408"/>
              <w:spacing w:after="0"/>
              <w:rPr>
                <w:sz w:val="20"/>
                <w:szCs w:val="20"/>
                <w:color w:val="auto"/>
              </w:rPr>
            </w:pPr>
            <w:r>
              <w:rPr>
                <w:rFonts w:ascii="Arial" w:cs="Arial" w:eastAsia="Arial" w:hAnsi="Arial"/>
                <w:sz w:val="14"/>
                <w:szCs w:val="14"/>
                <w:color w:val="auto"/>
              </w:rPr>
              <w:t>41</w:t>
            </w: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4540" w:type="dxa"/>
            <w:vAlign w:val="bottom"/>
            <w:tcBorders>
              <w:bottom w:val="single" w:sz="8" w:color="9A9A9A"/>
            </w:tcBorders>
          </w:tcPr>
          <w:p>
            <w:pPr>
              <w:spacing w:after="0"/>
              <w:rPr>
                <w:sz w:val="8"/>
                <w:szCs w:val="8"/>
                <w:color w:val="auto"/>
              </w:rPr>
            </w:pPr>
          </w:p>
        </w:tc>
        <w:tc>
          <w:tcPr>
            <w:tcW w:w="26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69" w:right="319" w:bottom="1440" w:gutter="0" w:footer="0" w:header="0"/>
        </w:sectPr>
      </w:pPr>
    </w:p>
    <w:bookmarkStart w:id="41" w:name="page42"/>
    <w:bookmarkEnd w:id="41"/>
    <w:p>
      <w:pPr>
        <w:ind w:left="440"/>
        <w:spacing w:after="0"/>
        <w:rPr>
          <w:sz w:val="20"/>
          <w:szCs w:val="20"/>
          <w:color w:val="auto"/>
        </w:rPr>
      </w:pPr>
      <w:r>
        <w:rPr>
          <w:rFonts w:ascii="Arial" w:cs="Arial" w:eastAsia="Arial" w:hAnsi="Arial"/>
          <w:sz w:val="14"/>
          <w:szCs w:val="14"/>
          <w:color w:val="auto"/>
        </w:rPr>
        <w:t>Below is a listing of PSSL’s individual investments as of March 31, 2021: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4"/>
          </w:tcPr>
          <w:p>
            <w:pPr>
              <w:jc w:val="center"/>
              <w:ind w:right="260"/>
              <w:spacing w:after="0"/>
              <w:rPr>
                <w:sz w:val="20"/>
                <w:szCs w:val="20"/>
                <w:color w:val="auto"/>
              </w:rPr>
            </w:pPr>
            <w:r>
              <w:rPr>
                <w:rFonts w:ascii="Arial" w:cs="Arial" w:eastAsia="Arial" w:hAnsi="Arial"/>
                <w:sz w:val="11"/>
                <w:szCs w:val="11"/>
                <w:b w:val="1"/>
                <w:bCs w:val="1"/>
                <w:color w:val="auto"/>
                <w:w w:val="86"/>
              </w:rPr>
              <w:t>Basis Point</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300"/>
              <w:spacing w:after="0" w:line="122" w:lineRule="exact"/>
              <w:rPr>
                <w:sz w:val="20"/>
                <w:szCs w:val="20"/>
                <w:color w:val="auto"/>
              </w:rPr>
            </w:pPr>
            <w:r>
              <w:rPr>
                <w:rFonts w:ascii="Arial" w:cs="Arial" w:eastAsia="Arial" w:hAnsi="Arial"/>
                <w:sz w:val="11"/>
                <w:szCs w:val="11"/>
                <w:b w:val="1"/>
                <w:bCs w:val="1"/>
                <w:color w:val="auto"/>
              </w:rPr>
              <w:t>Current</w:t>
            </w:r>
          </w:p>
        </w:tc>
        <w:tc>
          <w:tcPr>
            <w:tcW w:w="140" w:type="dxa"/>
            <w:vAlign w:val="bottom"/>
          </w:tcPr>
          <w:p>
            <w:pPr>
              <w:spacing w:after="0"/>
              <w:rPr>
                <w:sz w:val="10"/>
                <w:szCs w:val="10"/>
                <w:color w:val="auto"/>
              </w:rPr>
            </w:pPr>
          </w:p>
        </w:tc>
        <w:tc>
          <w:tcPr>
            <w:tcW w:w="1060" w:type="dxa"/>
            <w:vAlign w:val="bottom"/>
            <w:gridSpan w:val="4"/>
          </w:tcPr>
          <w:p>
            <w:pPr>
              <w:jc w:val="center"/>
              <w:ind w:right="280"/>
              <w:spacing w:after="0" w:line="122" w:lineRule="exact"/>
              <w:rPr>
                <w:sz w:val="20"/>
                <w:szCs w:val="20"/>
                <w:color w:val="auto"/>
              </w:rPr>
            </w:pPr>
            <w:r>
              <w:rPr>
                <w:rFonts w:ascii="Arial" w:cs="Arial" w:eastAsia="Arial" w:hAnsi="Arial"/>
                <w:sz w:val="11"/>
                <w:szCs w:val="11"/>
                <w:b w:val="1"/>
                <w:bCs w:val="1"/>
                <w:color w:val="auto"/>
                <w:w w:val="89"/>
              </w:rPr>
              <w:t>Spread Above</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Maturity</w:t>
            </w: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Industry</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Coupon</w:t>
            </w:r>
          </w:p>
        </w:tc>
        <w:tc>
          <w:tcPr>
            <w:tcW w:w="140" w:type="dxa"/>
            <w:vAlign w:val="bottom"/>
          </w:tcPr>
          <w:p>
            <w:pPr>
              <w:spacing w:after="0"/>
              <w:rPr>
                <w:sz w:val="11"/>
                <w:szCs w:val="11"/>
                <w:color w:val="auto"/>
              </w:rPr>
            </w:pPr>
          </w:p>
        </w:tc>
        <w:tc>
          <w:tcPr>
            <w:tcW w:w="1060" w:type="dxa"/>
            <w:vAlign w:val="bottom"/>
            <w:gridSpan w:val="4"/>
          </w:tcPr>
          <w:p>
            <w:pPr>
              <w:jc w:val="center"/>
              <w:ind w:right="26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560" w:type="dxa"/>
            <w:vAlign w:val="bottom"/>
          </w:tcPr>
          <w:p>
            <w:pPr>
              <w:jc w:val="right"/>
              <w:ind w:right="206"/>
              <w:spacing w:after="0"/>
              <w:rPr>
                <w:sz w:val="20"/>
                <w:szCs w:val="20"/>
                <w:color w:val="auto"/>
              </w:rPr>
            </w:pPr>
            <w:r>
              <w:rPr>
                <w:rFonts w:ascii="Arial" w:cs="Arial" w:eastAsia="Arial" w:hAnsi="Arial"/>
                <w:sz w:val="11"/>
                <w:szCs w:val="11"/>
                <w:b w:val="1"/>
                <w:bCs w:val="1"/>
                <w:color w:val="auto"/>
              </w:rPr>
              <w:t>Par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Cost</w:t>
            </w:r>
          </w:p>
        </w:tc>
        <w:tc>
          <w:tcPr>
            <w:tcW w:w="840" w:type="dxa"/>
            <w:vAlign w:val="bottom"/>
            <w:gridSpan w:val="3"/>
          </w:tcPr>
          <w:p>
            <w:pPr>
              <w:ind w:left="40"/>
              <w:spacing w:after="0"/>
              <w:rPr>
                <w:sz w:val="20"/>
                <w:szCs w:val="20"/>
                <w:color w:val="auto"/>
              </w:rPr>
            </w:pPr>
            <w:r>
              <w:rPr>
                <w:rFonts w:ascii="Arial" w:cs="Arial" w:eastAsia="Arial" w:hAnsi="Arial"/>
                <w:sz w:val="11"/>
                <w:szCs w:val="11"/>
                <w:b w:val="1"/>
                <w:bCs w:val="1"/>
                <w:color w:val="auto"/>
              </w:rPr>
              <w:t xml:space="preserve">Fair Value </w:t>
            </w:r>
            <w:r>
              <w:rPr>
                <w:rFonts w:ascii="Arial" w:cs="Arial" w:eastAsia="Arial" w:hAnsi="Arial"/>
                <w:sz w:val="9"/>
                <w:szCs w:val="9"/>
                <w:b w:val="1"/>
                <w:bCs w:val="1"/>
                <w:color w:val="auto"/>
              </w:rPr>
              <w:t>(2)</w:t>
            </w:r>
          </w:p>
        </w:tc>
      </w:tr>
      <w:tr>
        <w:trPr>
          <w:trHeight w:val="128"/>
        </w:trPr>
        <w:tc>
          <w:tcPr>
            <w:tcW w:w="308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First Lien Secured Debt—907.4%</w:t>
            </w: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Altamira Technologies,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07/24/2025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8.00%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L+700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5,675,031</w:t>
            </w:r>
          </w:p>
        </w:tc>
        <w:tc>
          <w:tcPr>
            <w:tcW w:w="3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5,506,409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5,462,217</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American Auto Auction Group,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01/02/2024</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Transportation: Consumer</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5.75%</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L+475</w:t>
            </w:r>
          </w:p>
        </w:tc>
        <w:tc>
          <w:tcPr>
            <w:tcW w:w="560" w:type="dxa"/>
            <w:vAlign w:val="bottom"/>
          </w:tcPr>
          <w:p>
            <w:pPr>
              <w:jc w:val="right"/>
              <w:spacing w:after="0"/>
              <w:rPr>
                <w:sz w:val="20"/>
                <w:szCs w:val="20"/>
                <w:color w:val="auto"/>
              </w:rPr>
            </w:pPr>
            <w:r>
              <w:rPr>
                <w:rFonts w:ascii="Arial" w:cs="Arial" w:eastAsia="Arial" w:hAnsi="Arial"/>
                <w:sz w:val="11"/>
                <w:szCs w:val="11"/>
                <w:color w:val="auto"/>
              </w:rPr>
              <w:t>7,093,665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6,946,622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6,880,855</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American Insulated Glass,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12/21/2023</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Building Products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L+550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5,750,000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5,669,071</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5,692,500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Apex Service Partners,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07/31/2025</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L+525</w:t>
            </w:r>
          </w:p>
        </w:tc>
        <w:tc>
          <w:tcPr>
            <w:tcW w:w="560" w:type="dxa"/>
            <w:vAlign w:val="bottom"/>
          </w:tcPr>
          <w:p>
            <w:pPr>
              <w:jc w:val="right"/>
              <w:spacing w:after="0"/>
              <w:rPr>
                <w:sz w:val="20"/>
                <w:szCs w:val="20"/>
                <w:color w:val="auto"/>
              </w:rPr>
            </w:pPr>
            <w:r>
              <w:rPr>
                <w:rFonts w:ascii="Arial" w:cs="Arial" w:eastAsia="Arial" w:hAnsi="Arial"/>
                <w:sz w:val="11"/>
                <w:szCs w:val="11"/>
                <w:color w:val="auto"/>
              </w:rPr>
              <w:t>1,028,431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1,028,431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1,028,431</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Apex Service Partners, LLC Term Loan B</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07/31/2025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L+550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2,232,458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2,232,458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2,232,458</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Applied Technical Services,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12/29/2026</w:t>
            </w:r>
          </w:p>
        </w:tc>
        <w:tc>
          <w:tcPr>
            <w:tcW w:w="1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Commercial Services &amp; Supplies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L+575</w:t>
            </w:r>
          </w:p>
        </w:tc>
        <w:tc>
          <w:tcPr>
            <w:tcW w:w="560" w:type="dxa"/>
            <w:vAlign w:val="bottom"/>
          </w:tcPr>
          <w:p>
            <w:pPr>
              <w:jc w:val="right"/>
              <w:spacing w:after="0"/>
              <w:rPr>
                <w:sz w:val="20"/>
                <w:szCs w:val="20"/>
                <w:color w:val="auto"/>
              </w:rPr>
            </w:pPr>
            <w:r>
              <w:rPr>
                <w:rFonts w:ascii="Arial" w:cs="Arial" w:eastAsia="Arial" w:hAnsi="Arial"/>
                <w:sz w:val="11"/>
                <w:szCs w:val="11"/>
                <w:color w:val="auto"/>
              </w:rPr>
              <w:t>4,534,091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4,435,119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4,466,080</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BEI Precision Systems &amp; Space Company,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04/28/2023</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L+550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5,116,838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5,093,710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5,116,838</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By Light Professional IT Services,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05/16/2022</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7.25%</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L+625</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13,225,375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13,205,260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13,225,375</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Cadence Aerospace, LLC</w:t>
            </w:r>
          </w:p>
        </w:tc>
        <w:tc>
          <w:tcPr>
            <w:tcW w:w="78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11/14/2023</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9.50%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L+850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12,117,407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12,059,250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11,741,768</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(PIK 9.50%)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Cardenas Markets LLC</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11/29/2023</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L+575</w:t>
            </w:r>
          </w:p>
        </w:tc>
        <w:tc>
          <w:tcPr>
            <w:tcW w:w="560" w:type="dxa"/>
            <w:vAlign w:val="bottom"/>
          </w:tcPr>
          <w:p>
            <w:pPr>
              <w:jc w:val="right"/>
              <w:spacing w:after="0"/>
              <w:rPr>
                <w:sz w:val="20"/>
                <w:szCs w:val="20"/>
                <w:color w:val="auto"/>
              </w:rPr>
            </w:pPr>
            <w:r>
              <w:rPr>
                <w:rFonts w:ascii="Arial" w:cs="Arial" w:eastAsia="Arial" w:hAnsi="Arial"/>
                <w:sz w:val="11"/>
                <w:szCs w:val="11"/>
                <w:color w:val="auto"/>
              </w:rPr>
              <w:t>7,235,516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7,203,969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7,199,339</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CHA Holdings,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04/10/2025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Construction and Engineering</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L+450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5,647,742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5,539,609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5,534,787</w:t>
            </w:r>
          </w:p>
        </w:tc>
        <w:tc>
          <w:tcPr>
            <w:tcW w:w="120" w:type="dxa"/>
            <w:vAlign w:val="bottom"/>
            <w:shd w:val="clear" w:color="auto" w:fill="CCECFF"/>
          </w:tcPr>
          <w:p>
            <w:pPr>
              <w:spacing w:after="0"/>
              <w:rPr>
                <w:sz w:val="11"/>
                <w:szCs w:val="11"/>
                <w:color w:val="auto"/>
              </w:rPr>
            </w:pPr>
          </w:p>
        </w:tc>
      </w:tr>
      <w:tr>
        <w:trPr>
          <w:trHeight w:val="139"/>
        </w:trPr>
        <w:tc>
          <w:tcPr>
            <w:tcW w:w="3080" w:type="dxa"/>
            <w:vAlign w:val="bottom"/>
          </w:tcPr>
          <w:p>
            <w:pPr>
              <w:spacing w:after="0"/>
              <w:rPr>
                <w:sz w:val="20"/>
                <w:szCs w:val="20"/>
                <w:color w:val="auto"/>
              </w:rPr>
            </w:pPr>
            <w:r>
              <w:rPr>
                <w:rFonts w:ascii="Arial" w:cs="Arial" w:eastAsia="Arial" w:hAnsi="Arial"/>
                <w:sz w:val="11"/>
                <w:szCs w:val="11"/>
                <w:color w:val="auto"/>
              </w:rPr>
              <w:t>Challenger Performance Optimization,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08/31/2023</w:t>
            </w:r>
          </w:p>
        </w:tc>
        <w:tc>
          <w:tcPr>
            <w:tcW w:w="120" w:type="dxa"/>
            <w:vAlign w:val="bottom"/>
          </w:tcPr>
          <w:p>
            <w:pPr>
              <w:spacing w:after="0"/>
              <w:rPr>
                <w:sz w:val="12"/>
                <w:szCs w:val="12"/>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8.00%</w:t>
            </w:r>
          </w:p>
        </w:tc>
        <w:tc>
          <w:tcPr>
            <w:tcW w:w="140" w:type="dxa"/>
            <w:vAlign w:val="bottom"/>
          </w:tcPr>
          <w:p>
            <w:pPr>
              <w:spacing w:after="0"/>
              <w:rPr>
                <w:sz w:val="12"/>
                <w:szCs w:val="12"/>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L+675</w:t>
            </w:r>
          </w:p>
        </w:tc>
        <w:tc>
          <w:tcPr>
            <w:tcW w:w="560" w:type="dxa"/>
            <w:vAlign w:val="bottom"/>
          </w:tcPr>
          <w:p>
            <w:pPr>
              <w:jc w:val="right"/>
              <w:spacing w:after="0"/>
              <w:rPr>
                <w:sz w:val="20"/>
                <w:szCs w:val="20"/>
                <w:color w:val="auto"/>
              </w:rPr>
            </w:pPr>
            <w:r>
              <w:rPr>
                <w:rFonts w:ascii="Arial" w:cs="Arial" w:eastAsia="Arial" w:hAnsi="Arial"/>
                <w:sz w:val="11"/>
                <w:szCs w:val="11"/>
                <w:color w:val="auto"/>
              </w:rPr>
              <w:t>9,516,938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9,460,520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9,088,675</w:t>
            </w:r>
          </w:p>
        </w:tc>
        <w:tc>
          <w:tcPr>
            <w:tcW w:w="120" w:type="dxa"/>
            <w:vAlign w:val="bottom"/>
          </w:tcPr>
          <w:p>
            <w:pPr>
              <w:spacing w:after="0"/>
              <w:rPr>
                <w:sz w:val="12"/>
                <w:szCs w:val="12"/>
                <w:color w:val="auto"/>
              </w:rPr>
            </w:pPr>
          </w:p>
        </w:tc>
      </w:tr>
      <w:tr>
        <w:trPr>
          <w:trHeight w:val="131"/>
        </w:trPr>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(PIK 1.00%)</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Country Fresh Holdings,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05/01/2023</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0.00%</w:t>
            </w:r>
          </w:p>
        </w:tc>
        <w:tc>
          <w:tcPr>
            <w:tcW w:w="140" w:type="dxa"/>
            <w:vAlign w:val="bottom"/>
            <w:shd w:val="clear" w:color="auto" w:fill="CCECFF"/>
          </w:tcPr>
          <w:p>
            <w:pPr>
              <w:jc w:val="right"/>
              <w:spacing w:after="0"/>
              <w:rPr>
                <w:sz w:val="20"/>
                <w:szCs w:val="20"/>
                <w:color w:val="auto"/>
              </w:rPr>
            </w:pPr>
            <w:r>
              <w:rPr>
                <w:rFonts w:ascii="Arial" w:cs="Arial" w:eastAsia="Arial" w:hAnsi="Arial"/>
                <w:sz w:val="9"/>
                <w:szCs w:val="9"/>
                <w:color w:val="auto"/>
                <w:w w:val="90"/>
              </w:rPr>
              <w:t>(5)</w:t>
            </w:r>
          </w:p>
        </w:tc>
        <w:tc>
          <w:tcPr>
            <w:tcW w:w="480" w:type="dxa"/>
            <w:vAlign w:val="bottom"/>
            <w:shd w:val="clear" w:color="auto" w:fill="CCECFF"/>
          </w:tcPr>
          <w:p>
            <w:pPr>
              <w:spacing w:after="0"/>
              <w:rPr>
                <w:sz w:val="11"/>
                <w:szCs w:val="11"/>
                <w:color w:val="auto"/>
              </w:rPr>
            </w:pP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182,403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180,417</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59,463</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Country Fresh Holdings, LLC (Revolver)</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05/01/2023</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0.00%</w:t>
            </w:r>
          </w:p>
        </w:tc>
        <w:tc>
          <w:tcPr>
            <w:tcW w:w="140" w:type="dxa"/>
            <w:vAlign w:val="bottom"/>
          </w:tcPr>
          <w:p>
            <w:pPr>
              <w:jc w:val="right"/>
              <w:spacing w:after="0"/>
              <w:rPr>
                <w:sz w:val="20"/>
                <w:szCs w:val="20"/>
                <w:color w:val="auto"/>
              </w:rPr>
            </w:pPr>
            <w:r>
              <w:rPr>
                <w:rFonts w:ascii="Arial" w:cs="Arial" w:eastAsia="Arial" w:hAnsi="Arial"/>
                <w:sz w:val="9"/>
                <w:szCs w:val="9"/>
                <w:color w:val="auto"/>
                <w:w w:val="90"/>
              </w:rPr>
              <w:t>(5)</w:t>
            </w:r>
          </w:p>
        </w:tc>
        <w:tc>
          <w:tcPr>
            <w:tcW w:w="480" w:type="dxa"/>
            <w:vAlign w:val="bottom"/>
          </w:tcPr>
          <w:p>
            <w:pPr>
              <w:spacing w:after="0"/>
              <w:rPr>
                <w:sz w:val="11"/>
                <w:szCs w:val="11"/>
                <w:color w:val="auto"/>
              </w:rPr>
            </w:pP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450,110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450,111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146,736</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Datalot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01/24/2025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IT Services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L+525</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5,735,516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5,735,516</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5,735,516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Digital Room Holdings,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05/22/2026</w:t>
            </w:r>
          </w:p>
        </w:tc>
        <w:tc>
          <w:tcPr>
            <w:tcW w:w="1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Commercial Services &amp; Supplies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5.20%</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L+500</w:t>
            </w:r>
          </w:p>
        </w:tc>
        <w:tc>
          <w:tcPr>
            <w:tcW w:w="560" w:type="dxa"/>
            <w:vAlign w:val="bottom"/>
          </w:tcPr>
          <w:p>
            <w:pPr>
              <w:jc w:val="right"/>
              <w:spacing w:after="0"/>
              <w:rPr>
                <w:sz w:val="20"/>
                <w:szCs w:val="20"/>
                <w:color w:val="auto"/>
              </w:rPr>
            </w:pPr>
            <w:r>
              <w:rPr>
                <w:rFonts w:ascii="Arial" w:cs="Arial" w:eastAsia="Arial" w:hAnsi="Arial"/>
                <w:sz w:val="11"/>
                <w:szCs w:val="11"/>
                <w:color w:val="auto"/>
              </w:rPr>
              <w:t>3,244,513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3,116,172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3,174,204</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Douglas Products and Packaging Company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10/19/2022</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L+575</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8,791,367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8,719,166</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8,703,453</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Douglas Sewer Intermediate,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10/19/2022</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L+575</w:t>
            </w:r>
          </w:p>
        </w:tc>
        <w:tc>
          <w:tcPr>
            <w:tcW w:w="560" w:type="dxa"/>
            <w:vAlign w:val="bottom"/>
          </w:tcPr>
          <w:p>
            <w:pPr>
              <w:jc w:val="right"/>
              <w:spacing w:after="0"/>
              <w:rPr>
                <w:sz w:val="20"/>
                <w:szCs w:val="20"/>
                <w:color w:val="auto"/>
              </w:rPr>
            </w:pPr>
            <w:r>
              <w:rPr>
                <w:rFonts w:ascii="Arial" w:cs="Arial" w:eastAsia="Arial" w:hAnsi="Arial"/>
                <w:sz w:val="11"/>
                <w:szCs w:val="11"/>
                <w:color w:val="auto"/>
              </w:rPr>
              <w:t>7,365,508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7,299,919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7,291,852</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DRS Holdings III, Inc.</w:t>
            </w:r>
          </w:p>
        </w:tc>
        <w:tc>
          <w:tcPr>
            <w:tcW w:w="78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11/03/2025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Consumer Goods: Durable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L+575</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7,981,736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7,961,854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8,061,553</w:t>
            </w:r>
          </w:p>
        </w:tc>
        <w:tc>
          <w:tcPr>
            <w:tcW w:w="120" w:type="dxa"/>
            <w:vAlign w:val="bottom"/>
            <w:shd w:val="clear" w:color="auto" w:fill="CCECFF"/>
          </w:tcPr>
          <w:p>
            <w:pPr>
              <w:spacing w:after="0"/>
              <w:rPr>
                <w:sz w:val="11"/>
                <w:szCs w:val="11"/>
                <w:color w:val="auto"/>
              </w:rPr>
            </w:pPr>
          </w:p>
        </w:tc>
      </w:tr>
      <w:tr>
        <w:trPr>
          <w:trHeight w:val="139"/>
        </w:trPr>
        <w:tc>
          <w:tcPr>
            <w:tcW w:w="3080" w:type="dxa"/>
            <w:vAlign w:val="bottom"/>
          </w:tcPr>
          <w:p>
            <w:pPr>
              <w:spacing w:after="0"/>
              <w:rPr>
                <w:sz w:val="20"/>
                <w:szCs w:val="20"/>
                <w:color w:val="auto"/>
              </w:rPr>
            </w:pPr>
            <w:r>
              <w:rPr>
                <w:rFonts w:ascii="Arial" w:cs="Arial" w:eastAsia="Arial" w:hAnsi="Arial"/>
                <w:sz w:val="11"/>
                <w:szCs w:val="11"/>
                <w:color w:val="auto"/>
              </w:rPr>
              <w:t>East Valley Tourist Development Authority</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03/07/2022</w:t>
            </w:r>
          </w:p>
        </w:tc>
        <w:tc>
          <w:tcPr>
            <w:tcW w:w="120" w:type="dxa"/>
            <w:vAlign w:val="bottom"/>
          </w:tcPr>
          <w:p>
            <w:pPr>
              <w:spacing w:after="0"/>
              <w:rPr>
                <w:sz w:val="12"/>
                <w:szCs w:val="12"/>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Hotels, Restaurants and Leisure</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9.00%</w:t>
            </w:r>
          </w:p>
        </w:tc>
        <w:tc>
          <w:tcPr>
            <w:tcW w:w="140" w:type="dxa"/>
            <w:vAlign w:val="bottom"/>
          </w:tcPr>
          <w:p>
            <w:pPr>
              <w:spacing w:after="0"/>
              <w:rPr>
                <w:sz w:val="12"/>
                <w:szCs w:val="12"/>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L+800</w:t>
            </w:r>
          </w:p>
        </w:tc>
        <w:tc>
          <w:tcPr>
            <w:tcW w:w="560" w:type="dxa"/>
            <w:vAlign w:val="bottom"/>
          </w:tcPr>
          <w:p>
            <w:pPr>
              <w:jc w:val="right"/>
              <w:spacing w:after="0"/>
              <w:rPr>
                <w:sz w:val="20"/>
                <w:szCs w:val="20"/>
                <w:color w:val="auto"/>
              </w:rPr>
            </w:pPr>
            <w:r>
              <w:rPr>
                <w:rFonts w:ascii="Arial" w:cs="Arial" w:eastAsia="Arial" w:hAnsi="Arial"/>
                <w:sz w:val="11"/>
                <w:szCs w:val="11"/>
                <w:color w:val="auto"/>
              </w:rPr>
              <w:t>5,750,000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5,554,582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5,663,750</w:t>
            </w:r>
          </w:p>
        </w:tc>
        <w:tc>
          <w:tcPr>
            <w:tcW w:w="120" w:type="dxa"/>
            <w:vAlign w:val="bottom"/>
          </w:tcPr>
          <w:p>
            <w:pPr>
              <w:spacing w:after="0"/>
              <w:rPr>
                <w:sz w:val="12"/>
                <w:szCs w:val="12"/>
                <w:color w:val="auto"/>
              </w:rPr>
            </w:pPr>
          </w:p>
        </w:tc>
      </w:tr>
      <w:tr>
        <w:trPr>
          <w:trHeight w:val="131"/>
        </w:trPr>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(PIK 3.50%)</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ECL Entertainment,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04/01/2028</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Hotels, Restaurants and Leisure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8.25%</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L+750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2,653,846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2,627,308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2,653,846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ECM Industries,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12/23/2025</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Electronic Equipment, Instruments, and Components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L+450</w:t>
            </w:r>
          </w:p>
        </w:tc>
        <w:tc>
          <w:tcPr>
            <w:tcW w:w="560" w:type="dxa"/>
            <w:vAlign w:val="bottom"/>
          </w:tcPr>
          <w:p>
            <w:pPr>
              <w:jc w:val="right"/>
              <w:spacing w:after="0"/>
              <w:rPr>
                <w:sz w:val="20"/>
                <w:szCs w:val="20"/>
                <w:color w:val="auto"/>
              </w:rPr>
            </w:pPr>
            <w:r>
              <w:rPr>
                <w:rFonts w:ascii="Arial" w:cs="Arial" w:eastAsia="Arial" w:hAnsi="Arial"/>
                <w:sz w:val="11"/>
                <w:szCs w:val="11"/>
                <w:color w:val="auto"/>
              </w:rPr>
              <w:t>4,994,355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4,994,355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4,969,383</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Findex Group Limited </w:t>
            </w:r>
            <w:r>
              <w:rPr>
                <w:rFonts w:ascii="Arial" w:cs="Arial" w:eastAsia="Arial" w:hAnsi="Arial"/>
                <w:sz w:val="9"/>
                <w:szCs w:val="9"/>
                <w:color w:val="auto"/>
              </w:rPr>
              <w:t>(3), (4)</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05/31/2024</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Banking, Finance, Insurance and Real Estate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5.07%</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shd w:val="clear" w:color="auto" w:fill="CCECFF"/>
          </w:tcPr>
          <w:p>
            <w:pPr>
              <w:ind w:left="20"/>
              <w:spacing w:after="0"/>
              <w:rPr>
                <w:sz w:val="20"/>
                <w:szCs w:val="20"/>
                <w:color w:val="auto"/>
              </w:rPr>
            </w:pPr>
            <w:r>
              <w:rPr>
                <w:rFonts w:ascii="Arial" w:cs="Arial" w:eastAsia="Arial" w:hAnsi="Arial"/>
                <w:sz w:val="11"/>
                <w:szCs w:val="11"/>
                <w:color w:val="auto"/>
              </w:rPr>
              <w:t>L+500A $</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10,000,000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7,393,107</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7,311,840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FlexPrint,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01/02/2024</w:t>
            </w:r>
          </w:p>
        </w:tc>
        <w:tc>
          <w:tcPr>
            <w:tcW w:w="1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Commercial Services &amp; Supplies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6.30%</w:t>
            </w:r>
          </w:p>
        </w:tc>
        <w:tc>
          <w:tcPr>
            <w:tcW w:w="140" w:type="dxa"/>
            <w:vAlign w:val="bottom"/>
          </w:tcPr>
          <w:p>
            <w:pPr>
              <w:spacing w:after="0"/>
              <w:rPr>
                <w:sz w:val="11"/>
                <w:szCs w:val="11"/>
                <w:color w:val="auto"/>
              </w:rPr>
            </w:pPr>
          </w:p>
        </w:tc>
        <w:tc>
          <w:tcPr>
            <w:tcW w:w="1060" w:type="dxa"/>
            <w:vAlign w:val="bottom"/>
            <w:gridSpan w:val="4"/>
          </w:tcPr>
          <w:p>
            <w:pPr>
              <w:jc w:val="right"/>
              <w:ind w:right="280"/>
              <w:spacing w:after="0"/>
              <w:rPr>
                <w:sz w:val="20"/>
                <w:szCs w:val="20"/>
                <w:color w:val="auto"/>
              </w:rPr>
            </w:pPr>
            <w:r>
              <w:rPr>
                <w:rFonts w:ascii="Arial" w:cs="Arial" w:eastAsia="Arial" w:hAnsi="Arial"/>
                <w:sz w:val="11"/>
                <w:szCs w:val="11"/>
                <w:color w:val="auto"/>
              </w:rPr>
              <w:t>1M L+611</w:t>
            </w:r>
          </w:p>
        </w:tc>
        <w:tc>
          <w:tcPr>
            <w:tcW w:w="560" w:type="dxa"/>
            <w:vAlign w:val="bottom"/>
          </w:tcPr>
          <w:p>
            <w:pPr>
              <w:jc w:val="right"/>
              <w:spacing w:after="0"/>
              <w:rPr>
                <w:sz w:val="20"/>
                <w:szCs w:val="20"/>
                <w:color w:val="auto"/>
              </w:rPr>
            </w:pPr>
            <w:r>
              <w:rPr>
                <w:rFonts w:ascii="Arial" w:cs="Arial" w:eastAsia="Arial" w:hAnsi="Arial"/>
                <w:sz w:val="11"/>
                <w:szCs w:val="11"/>
                <w:color w:val="auto"/>
              </w:rPr>
              <w:t>4,769,595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4,726,098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4,733,824</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GCOM Software LLC</w:t>
            </w:r>
          </w:p>
        </w:tc>
        <w:tc>
          <w:tcPr>
            <w:tcW w:w="78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11/14/2022</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7.75%</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L+625</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16,355,634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16,349,515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16,355,634</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Good2Grow LLC</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11/18/2024</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Beverages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5.25%</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L+425</w:t>
            </w:r>
          </w:p>
        </w:tc>
        <w:tc>
          <w:tcPr>
            <w:tcW w:w="560" w:type="dxa"/>
            <w:vAlign w:val="bottom"/>
          </w:tcPr>
          <w:p>
            <w:pPr>
              <w:jc w:val="right"/>
              <w:spacing w:after="0"/>
              <w:rPr>
                <w:sz w:val="20"/>
                <w:szCs w:val="20"/>
                <w:color w:val="auto"/>
              </w:rPr>
            </w:pPr>
            <w:r>
              <w:rPr>
                <w:rFonts w:ascii="Arial" w:cs="Arial" w:eastAsia="Arial" w:hAnsi="Arial"/>
                <w:sz w:val="11"/>
                <w:szCs w:val="11"/>
                <w:color w:val="auto"/>
              </w:rPr>
              <w:t>9,499,183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9,480,078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9,499,183</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Hancock Roofing and Construction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12/31/2026</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Insurance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L+525</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2,493,750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2,433,228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2,431,406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Holdco Sands Intermediate,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12/19/2025</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7.50%</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L+600</w:t>
            </w:r>
          </w:p>
        </w:tc>
        <w:tc>
          <w:tcPr>
            <w:tcW w:w="560" w:type="dxa"/>
            <w:vAlign w:val="bottom"/>
          </w:tcPr>
          <w:p>
            <w:pPr>
              <w:jc w:val="right"/>
              <w:spacing w:after="0"/>
              <w:rPr>
                <w:sz w:val="20"/>
                <w:szCs w:val="20"/>
                <w:color w:val="auto"/>
              </w:rPr>
            </w:pPr>
            <w:r>
              <w:rPr>
                <w:rFonts w:ascii="Arial" w:cs="Arial" w:eastAsia="Arial" w:hAnsi="Arial"/>
                <w:sz w:val="11"/>
                <w:szCs w:val="11"/>
                <w:color w:val="auto"/>
              </w:rPr>
              <w:t>1,995,000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1,956,503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1,965,075</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IMIA Holdings,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10/26/2025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L+600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12,082,850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12,030,983</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12,082,850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Impact Group,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06/27/2023</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Wholesale</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8.37%</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L+737</w:t>
            </w:r>
          </w:p>
        </w:tc>
        <w:tc>
          <w:tcPr>
            <w:tcW w:w="560" w:type="dxa"/>
            <w:vAlign w:val="bottom"/>
          </w:tcPr>
          <w:p>
            <w:pPr>
              <w:jc w:val="right"/>
              <w:spacing w:after="0"/>
              <w:rPr>
                <w:sz w:val="20"/>
                <w:szCs w:val="20"/>
                <w:color w:val="auto"/>
              </w:rPr>
            </w:pPr>
            <w:r>
              <w:rPr>
                <w:rFonts w:ascii="Arial" w:cs="Arial" w:eastAsia="Arial" w:hAnsi="Arial"/>
                <w:sz w:val="11"/>
                <w:szCs w:val="11"/>
                <w:color w:val="auto"/>
              </w:rPr>
              <w:t>9,190,185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9,228,510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9,282,087</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Integrative Nutrition,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09/29/2023</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5.75%</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L+475</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8,537,355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8,485,632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8,537,355</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K2 Pure Solutions NoCal, L.P.</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12/20/2023</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8.00%</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L+700</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19,550,000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19,246,779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19,133,584</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Kentucky Downs,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03/07/25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Hotels, Restaurants and Leisure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10.00%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L+900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5,528,183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5,460,714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5,873,695</w:t>
            </w:r>
          </w:p>
        </w:tc>
        <w:tc>
          <w:tcPr>
            <w:tcW w:w="120" w:type="dxa"/>
            <w:vAlign w:val="bottom"/>
            <w:shd w:val="clear" w:color="auto" w:fill="CCECFF"/>
          </w:tcPr>
          <w:p>
            <w:pPr>
              <w:spacing w:after="0"/>
              <w:rPr>
                <w:sz w:val="11"/>
                <w:szCs w:val="11"/>
                <w:color w:val="auto"/>
              </w:rPr>
            </w:pPr>
          </w:p>
        </w:tc>
      </w:tr>
      <w:tr>
        <w:trPr>
          <w:trHeight w:val="139"/>
        </w:trPr>
        <w:tc>
          <w:tcPr>
            <w:tcW w:w="3080" w:type="dxa"/>
            <w:vAlign w:val="bottom"/>
          </w:tcPr>
          <w:p>
            <w:pPr>
              <w:spacing w:after="0"/>
              <w:rPr>
                <w:sz w:val="20"/>
                <w:szCs w:val="20"/>
                <w:color w:val="auto"/>
              </w:rPr>
            </w:pPr>
            <w:r>
              <w:rPr>
                <w:rFonts w:ascii="Arial" w:cs="Arial" w:eastAsia="Arial" w:hAnsi="Arial"/>
                <w:sz w:val="11"/>
                <w:szCs w:val="11"/>
                <w:color w:val="auto"/>
              </w:rPr>
              <w:t>LAV Gear Holdings,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10/31/2024</w:t>
            </w:r>
          </w:p>
        </w:tc>
        <w:tc>
          <w:tcPr>
            <w:tcW w:w="120" w:type="dxa"/>
            <w:vAlign w:val="bottom"/>
          </w:tcPr>
          <w:p>
            <w:pPr>
              <w:spacing w:after="0"/>
              <w:rPr>
                <w:sz w:val="12"/>
                <w:szCs w:val="12"/>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8.50%</w:t>
            </w:r>
          </w:p>
        </w:tc>
        <w:tc>
          <w:tcPr>
            <w:tcW w:w="140" w:type="dxa"/>
            <w:vAlign w:val="bottom"/>
          </w:tcPr>
          <w:p>
            <w:pPr>
              <w:spacing w:after="0"/>
              <w:rPr>
                <w:sz w:val="12"/>
                <w:szCs w:val="12"/>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L+750</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10,229,622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10,166,770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9,480,813</w:t>
            </w:r>
          </w:p>
        </w:tc>
        <w:tc>
          <w:tcPr>
            <w:tcW w:w="120" w:type="dxa"/>
            <w:vAlign w:val="bottom"/>
          </w:tcPr>
          <w:p>
            <w:pPr>
              <w:spacing w:after="0"/>
              <w:rPr>
                <w:sz w:val="12"/>
                <w:szCs w:val="12"/>
                <w:color w:val="auto"/>
              </w:rPr>
            </w:pPr>
          </w:p>
        </w:tc>
      </w:tr>
      <w:tr>
        <w:trPr>
          <w:trHeight w:val="131"/>
        </w:trPr>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(PIK 1.00%)</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Lightspeed Buyer Inc.</w:t>
            </w:r>
          </w:p>
        </w:tc>
        <w:tc>
          <w:tcPr>
            <w:tcW w:w="78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9"/>
              </w:rPr>
              <w:t>02/3/2026</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Healthcare Providers and Services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L+550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5,735,516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5,624,157</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5,649,484</w:t>
            </w:r>
          </w:p>
        </w:tc>
        <w:tc>
          <w:tcPr>
            <w:tcW w:w="120" w:type="dxa"/>
            <w:vAlign w:val="bottom"/>
            <w:shd w:val="clear" w:color="auto" w:fill="CCECFF"/>
          </w:tcPr>
          <w:p>
            <w:pPr>
              <w:spacing w:after="0"/>
              <w:rPr>
                <w:sz w:val="11"/>
                <w:szCs w:val="11"/>
                <w:color w:val="auto"/>
              </w:rPr>
            </w:pPr>
          </w:p>
        </w:tc>
      </w:tr>
      <w:tr>
        <w:trPr>
          <w:trHeight w:val="139"/>
        </w:trPr>
        <w:tc>
          <w:tcPr>
            <w:tcW w:w="3080" w:type="dxa"/>
            <w:vAlign w:val="bottom"/>
          </w:tcPr>
          <w:p>
            <w:pPr>
              <w:spacing w:after="0"/>
              <w:rPr>
                <w:sz w:val="20"/>
                <w:szCs w:val="20"/>
                <w:color w:val="auto"/>
              </w:rPr>
            </w:pPr>
            <w:r>
              <w:rPr>
                <w:rFonts w:ascii="Arial" w:cs="Arial" w:eastAsia="Arial" w:hAnsi="Arial"/>
                <w:sz w:val="11"/>
                <w:szCs w:val="11"/>
                <w:color w:val="auto"/>
              </w:rPr>
              <w:t>Marketplace Events, LLC - Super Priority First Lien Term Loan</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09/30/2025</w:t>
            </w:r>
          </w:p>
        </w:tc>
        <w:tc>
          <w:tcPr>
            <w:tcW w:w="120" w:type="dxa"/>
            <w:vAlign w:val="bottom"/>
          </w:tcPr>
          <w:p>
            <w:pPr>
              <w:spacing w:after="0"/>
              <w:rPr>
                <w:sz w:val="12"/>
                <w:szCs w:val="12"/>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Media: Diversified and Production</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tcPr>
          <w:p>
            <w:pPr>
              <w:spacing w:after="0"/>
              <w:rPr>
                <w:sz w:val="12"/>
                <w:szCs w:val="12"/>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L+525</w:t>
            </w:r>
          </w:p>
        </w:tc>
        <w:tc>
          <w:tcPr>
            <w:tcW w:w="560" w:type="dxa"/>
            <w:vAlign w:val="bottom"/>
          </w:tcPr>
          <w:p>
            <w:pPr>
              <w:jc w:val="right"/>
              <w:spacing w:after="0"/>
              <w:rPr>
                <w:sz w:val="20"/>
                <w:szCs w:val="20"/>
                <w:color w:val="auto"/>
              </w:rPr>
            </w:pPr>
            <w:r>
              <w:rPr>
                <w:rFonts w:ascii="Arial" w:cs="Arial" w:eastAsia="Arial" w:hAnsi="Arial"/>
                <w:sz w:val="11"/>
                <w:szCs w:val="11"/>
                <w:color w:val="auto"/>
              </w:rPr>
              <w:t>598,532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598,532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598,532</w:t>
            </w:r>
          </w:p>
        </w:tc>
        <w:tc>
          <w:tcPr>
            <w:tcW w:w="120" w:type="dxa"/>
            <w:vAlign w:val="bottom"/>
          </w:tcPr>
          <w:p>
            <w:pPr>
              <w:spacing w:after="0"/>
              <w:rPr>
                <w:sz w:val="12"/>
                <w:szCs w:val="12"/>
                <w:color w:val="auto"/>
              </w:rPr>
            </w:pPr>
          </w:p>
        </w:tc>
      </w:tr>
      <w:tr>
        <w:trPr>
          <w:trHeight w:val="131"/>
        </w:trPr>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(PIK 6.25%)</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w w:val="96"/>
              </w:rPr>
              <w:t xml:space="preserve">Marketplace Events, LLC - Super Priority First Lien Term Loan </w:t>
            </w:r>
            <w:r>
              <w:rPr>
                <w:rFonts w:ascii="Arial" w:cs="Arial" w:eastAsia="Arial" w:hAnsi="Arial"/>
                <w:sz w:val="9"/>
                <w:szCs w:val="9"/>
                <w:color w:val="auto"/>
                <w:w w:val="96"/>
              </w:rPr>
              <w:t>(6)</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09/30/2025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Media: Diversified and Production</w:t>
            </w: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589,122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Marketplace Events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09/30/2026</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Media: Diversified and Production</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0.00%</w:t>
            </w:r>
          </w:p>
        </w:tc>
        <w:tc>
          <w:tcPr>
            <w:tcW w:w="140" w:type="dxa"/>
            <w:vAlign w:val="bottom"/>
          </w:tcPr>
          <w:p>
            <w:pPr>
              <w:jc w:val="right"/>
              <w:spacing w:after="0"/>
              <w:rPr>
                <w:sz w:val="20"/>
                <w:szCs w:val="20"/>
                <w:color w:val="auto"/>
              </w:rPr>
            </w:pPr>
            <w:r>
              <w:rPr>
                <w:rFonts w:ascii="Arial" w:cs="Arial" w:eastAsia="Arial" w:hAnsi="Arial"/>
                <w:sz w:val="9"/>
                <w:szCs w:val="9"/>
                <w:color w:val="auto"/>
                <w:w w:val="90"/>
              </w:rPr>
              <w:t>(5)</w:t>
            </w:r>
          </w:p>
        </w:tc>
        <w:tc>
          <w:tcPr>
            <w:tcW w:w="480" w:type="dxa"/>
            <w:vAlign w:val="bottom"/>
          </w:tcPr>
          <w:p>
            <w:pPr>
              <w:spacing w:after="0"/>
              <w:rPr>
                <w:sz w:val="11"/>
                <w:szCs w:val="11"/>
                <w:color w:val="auto"/>
              </w:rPr>
            </w:pP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4,473,302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3,441,474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3,638,124</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MeritDirect,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05/23/2024</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2"/>
              </w:rPr>
              <w:t>Media: Advertising, Printing &amp; Publishing</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L+550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5,677,285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5,535,512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5,549,546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Mission Critical Electronics,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09/28/2022</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6.00%</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L+500</w:t>
            </w:r>
          </w:p>
        </w:tc>
        <w:tc>
          <w:tcPr>
            <w:tcW w:w="560" w:type="dxa"/>
            <w:vAlign w:val="bottom"/>
          </w:tcPr>
          <w:p>
            <w:pPr>
              <w:jc w:val="right"/>
              <w:spacing w:after="0"/>
              <w:rPr>
                <w:sz w:val="20"/>
                <w:szCs w:val="20"/>
                <w:color w:val="auto"/>
              </w:rPr>
            </w:pPr>
            <w:r>
              <w:rPr>
                <w:rFonts w:ascii="Arial" w:cs="Arial" w:eastAsia="Arial" w:hAnsi="Arial"/>
                <w:sz w:val="11"/>
                <w:szCs w:val="11"/>
                <w:color w:val="auto"/>
              </w:rPr>
              <w:t>5,919,606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5,901,714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5,919,606</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New Milani Group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06/06/2024</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L+550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14,587,500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14,506,823</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12,982,875</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Output Services Group,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03/27/2024</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L+450</w:t>
            </w:r>
          </w:p>
        </w:tc>
        <w:tc>
          <w:tcPr>
            <w:tcW w:w="560" w:type="dxa"/>
            <w:vAlign w:val="bottom"/>
          </w:tcPr>
          <w:p>
            <w:pPr>
              <w:jc w:val="right"/>
              <w:spacing w:after="0"/>
              <w:rPr>
                <w:sz w:val="20"/>
                <w:szCs w:val="20"/>
                <w:color w:val="auto"/>
              </w:rPr>
            </w:pPr>
            <w:r>
              <w:rPr>
                <w:rFonts w:ascii="Arial" w:cs="Arial" w:eastAsia="Arial" w:hAnsi="Arial"/>
                <w:sz w:val="11"/>
                <w:szCs w:val="11"/>
                <w:color w:val="auto"/>
              </w:rPr>
              <w:t>7,783,419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7,780,546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7,199,662</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Ox Two,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02/27/2023</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Construction Materials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7.25%</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L+625</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5,720,680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5,720,680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5,720,680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PH Beauty Holdings III,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09/29/2025</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Wholesale</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5.23%</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L+500</w:t>
            </w:r>
          </w:p>
        </w:tc>
        <w:tc>
          <w:tcPr>
            <w:tcW w:w="560" w:type="dxa"/>
            <w:vAlign w:val="bottom"/>
          </w:tcPr>
          <w:p>
            <w:pPr>
              <w:jc w:val="right"/>
              <w:spacing w:after="0"/>
              <w:rPr>
                <w:sz w:val="20"/>
                <w:szCs w:val="20"/>
                <w:color w:val="auto"/>
              </w:rPr>
            </w:pPr>
            <w:r>
              <w:rPr>
                <w:rFonts w:ascii="Arial" w:cs="Arial" w:eastAsia="Arial" w:hAnsi="Arial"/>
                <w:sz w:val="11"/>
                <w:szCs w:val="11"/>
                <w:color w:val="auto"/>
              </w:rPr>
              <w:t>9,752,907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9,556,261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9,248,975</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Plant Health Intermediate,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10/19/2022</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L+575</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1,585,918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1,571,787</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1,570,059</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PlayPower, Inc.</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05/8/2026</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Leisure Products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5.74%</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L+550</w:t>
            </w:r>
          </w:p>
        </w:tc>
        <w:tc>
          <w:tcPr>
            <w:tcW w:w="560" w:type="dxa"/>
            <w:vAlign w:val="bottom"/>
          </w:tcPr>
          <w:p>
            <w:pPr>
              <w:jc w:val="right"/>
              <w:spacing w:after="0"/>
              <w:rPr>
                <w:sz w:val="20"/>
                <w:szCs w:val="20"/>
                <w:color w:val="auto"/>
              </w:rPr>
            </w:pPr>
            <w:r>
              <w:rPr>
                <w:rFonts w:ascii="Arial" w:cs="Arial" w:eastAsia="Arial" w:hAnsi="Arial"/>
                <w:sz w:val="11"/>
                <w:szCs w:val="11"/>
                <w:color w:val="auto"/>
              </w:rPr>
              <w:t>4,004,520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3,906,458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3,949,458</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Recteq,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01/29/2026</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Leisure Products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L+600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4,903,516</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4,900,000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w w:val="94"/>
              </w:rPr>
              <w:t>Research Now Group, Inc. and Survey Sampling International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12/20/2024</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L+550</w:t>
            </w:r>
          </w:p>
        </w:tc>
        <w:tc>
          <w:tcPr>
            <w:tcW w:w="560" w:type="dxa"/>
            <w:vAlign w:val="bottom"/>
          </w:tcPr>
          <w:p>
            <w:pPr>
              <w:jc w:val="right"/>
              <w:spacing w:after="0"/>
              <w:rPr>
                <w:sz w:val="20"/>
                <w:szCs w:val="20"/>
                <w:color w:val="auto"/>
              </w:rPr>
            </w:pPr>
            <w:r>
              <w:rPr>
                <w:rFonts w:ascii="Arial" w:cs="Arial" w:eastAsia="Arial" w:hAnsi="Arial"/>
                <w:sz w:val="11"/>
                <w:szCs w:val="11"/>
                <w:color w:val="auto"/>
              </w:rPr>
              <w:t>5,735,180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5,728,272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5,667,792</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Sales Benchmark Index LLC</w:t>
            </w:r>
          </w:p>
        </w:tc>
        <w:tc>
          <w:tcPr>
            <w:tcW w:w="78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9"/>
              </w:rPr>
              <w:t>01/3/2025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Professional Services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7.75%</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L+600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5,735,516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5,639,881</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5,348,369</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Sargent &amp; Greenleaf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12/20/2024</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Wholesale</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L+550</w:t>
            </w:r>
          </w:p>
        </w:tc>
        <w:tc>
          <w:tcPr>
            <w:tcW w:w="560" w:type="dxa"/>
            <w:vAlign w:val="bottom"/>
          </w:tcPr>
          <w:p>
            <w:pPr>
              <w:jc w:val="right"/>
              <w:spacing w:after="0"/>
              <w:rPr>
                <w:sz w:val="20"/>
                <w:szCs w:val="20"/>
                <w:color w:val="auto"/>
              </w:rPr>
            </w:pPr>
            <w:r>
              <w:rPr>
                <w:rFonts w:ascii="Arial" w:cs="Arial" w:eastAsia="Arial" w:hAnsi="Arial"/>
                <w:sz w:val="11"/>
                <w:szCs w:val="11"/>
                <w:color w:val="auto"/>
              </w:rPr>
              <w:t>5,705,995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5,638,785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5,705,995</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Schlesinger Global,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07/14/2025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L+600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11,869,257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11,862,413</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10,919,716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Smile Brands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10/14/2024</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5.42%</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L+450</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11,119,063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10,982,271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11,174,658</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Snak Club,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07/19/2021</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L+550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4,475,195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4,447,964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4,452,819</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Solutionreach,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01/17/2024</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L+575</w:t>
            </w:r>
          </w:p>
        </w:tc>
        <w:tc>
          <w:tcPr>
            <w:tcW w:w="560" w:type="dxa"/>
            <w:vAlign w:val="bottom"/>
          </w:tcPr>
          <w:p>
            <w:pPr>
              <w:jc w:val="right"/>
              <w:spacing w:after="0"/>
              <w:rPr>
                <w:sz w:val="20"/>
                <w:szCs w:val="20"/>
                <w:color w:val="auto"/>
              </w:rPr>
            </w:pPr>
            <w:r>
              <w:rPr>
                <w:rFonts w:ascii="Arial" w:cs="Arial" w:eastAsia="Arial" w:hAnsi="Arial"/>
                <w:sz w:val="11"/>
                <w:szCs w:val="11"/>
                <w:color w:val="auto"/>
              </w:rPr>
              <w:t>6,181,277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6,133,171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6,181,277</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Spectacle Gary Holdings,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12/23/2025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Hotels, Restaurants and Leisure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11.06%</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L+900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4,400,000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4,528,969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4,796,000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STV Group Incorporated</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12/11/2026</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Construction and Building</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5.36%</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L+525</w:t>
            </w:r>
          </w:p>
        </w:tc>
        <w:tc>
          <w:tcPr>
            <w:tcW w:w="560" w:type="dxa"/>
            <w:vAlign w:val="bottom"/>
          </w:tcPr>
          <w:p>
            <w:pPr>
              <w:jc w:val="right"/>
              <w:spacing w:after="0"/>
              <w:rPr>
                <w:sz w:val="20"/>
                <w:szCs w:val="20"/>
                <w:color w:val="auto"/>
              </w:rPr>
            </w:pPr>
            <w:r>
              <w:rPr>
                <w:rFonts w:ascii="Arial" w:cs="Arial" w:eastAsia="Arial" w:hAnsi="Arial"/>
                <w:sz w:val="11"/>
                <w:szCs w:val="11"/>
                <w:color w:val="auto"/>
              </w:rPr>
              <w:t>7,643,027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7,618,395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7,299,091</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TAC LifePort Purchaser,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03/01/2026</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L+600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4,902,105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4,919,898</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TeleGuam Holdings, LLC</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11/20/2025</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Telecommunications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L+450</w:t>
            </w:r>
          </w:p>
        </w:tc>
        <w:tc>
          <w:tcPr>
            <w:tcW w:w="560" w:type="dxa"/>
            <w:vAlign w:val="bottom"/>
          </w:tcPr>
          <w:p>
            <w:pPr>
              <w:jc w:val="right"/>
              <w:spacing w:after="0"/>
              <w:rPr>
                <w:sz w:val="20"/>
                <w:szCs w:val="20"/>
                <w:color w:val="auto"/>
              </w:rPr>
            </w:pPr>
            <w:r>
              <w:rPr>
                <w:rFonts w:ascii="Arial" w:cs="Arial" w:eastAsia="Arial" w:hAnsi="Arial"/>
                <w:sz w:val="11"/>
                <w:szCs w:val="11"/>
                <w:color w:val="auto"/>
              </w:rPr>
              <w:t>7,977,748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7,916,462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7,897,970</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Teneo Holdings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07/18/2025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L+525</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5,735,443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5,652,325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5,719,671</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The Aegis Technologies Group,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10/31/2025</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L+550</w:t>
            </w:r>
          </w:p>
        </w:tc>
        <w:tc>
          <w:tcPr>
            <w:tcW w:w="560" w:type="dxa"/>
            <w:vAlign w:val="bottom"/>
          </w:tcPr>
          <w:p>
            <w:pPr>
              <w:jc w:val="right"/>
              <w:spacing w:after="0"/>
              <w:rPr>
                <w:sz w:val="20"/>
                <w:szCs w:val="20"/>
                <w:color w:val="auto"/>
              </w:rPr>
            </w:pPr>
            <w:r>
              <w:rPr>
                <w:rFonts w:ascii="Arial" w:cs="Arial" w:eastAsia="Arial" w:hAnsi="Arial"/>
                <w:sz w:val="11"/>
                <w:szCs w:val="11"/>
                <w:color w:val="auto"/>
              </w:rPr>
              <w:t>5,735,625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5,652,172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5,678,269</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The Infosoft Group,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09/16/2024</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Media: Broadcasting and Subscription</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6M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L+575</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9,331,350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9,323,057</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9,331,350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The Original Cakerie, Co.</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07/20/22</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Food Products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6.00%</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2M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L+500</w:t>
            </w:r>
          </w:p>
        </w:tc>
        <w:tc>
          <w:tcPr>
            <w:tcW w:w="560" w:type="dxa"/>
            <w:vAlign w:val="bottom"/>
          </w:tcPr>
          <w:p>
            <w:pPr>
              <w:jc w:val="right"/>
              <w:spacing w:after="0"/>
              <w:rPr>
                <w:sz w:val="20"/>
                <w:szCs w:val="20"/>
                <w:color w:val="auto"/>
              </w:rPr>
            </w:pPr>
            <w:r>
              <w:rPr>
                <w:rFonts w:ascii="Arial" w:cs="Arial" w:eastAsia="Arial" w:hAnsi="Arial"/>
                <w:sz w:val="11"/>
                <w:szCs w:val="11"/>
                <w:color w:val="auto"/>
              </w:rPr>
              <w:t>5,735,219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5,709,621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5,735,219</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TPC Canada Parent, Inc. and TPC US Parent, LLC</w:t>
            </w:r>
          </w:p>
        </w:tc>
        <w:tc>
          <w:tcPr>
            <w:tcW w:w="78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11/24/2025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L+525</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8,879,066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8,680,367</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8,612,694</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TVC Enterprises,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01/18/2024</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L+575</w:t>
            </w:r>
          </w:p>
        </w:tc>
        <w:tc>
          <w:tcPr>
            <w:tcW w:w="560" w:type="dxa"/>
            <w:vAlign w:val="bottom"/>
          </w:tcPr>
          <w:p>
            <w:pPr>
              <w:jc w:val="right"/>
              <w:spacing w:after="0"/>
              <w:rPr>
                <w:sz w:val="20"/>
                <w:szCs w:val="20"/>
                <w:color w:val="auto"/>
              </w:rPr>
            </w:pPr>
            <w:r>
              <w:rPr>
                <w:rFonts w:ascii="Arial" w:cs="Arial" w:eastAsia="Arial" w:hAnsi="Arial"/>
                <w:sz w:val="11"/>
                <w:szCs w:val="11"/>
                <w:color w:val="auto"/>
              </w:rPr>
              <w:t>8,601,287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8,643,688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8,515,274</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TWS Acquisition Corporation</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06/16/2025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7.25%</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L+625</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6,636,062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6,594,117</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6,636,062</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Tyto Athene,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08/27/2024</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IT Services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L+525</w:t>
            </w:r>
          </w:p>
        </w:tc>
        <w:tc>
          <w:tcPr>
            <w:tcW w:w="560" w:type="dxa"/>
            <w:vAlign w:val="bottom"/>
          </w:tcPr>
          <w:p>
            <w:pPr>
              <w:jc w:val="right"/>
              <w:spacing w:after="0"/>
              <w:rPr>
                <w:sz w:val="20"/>
                <w:szCs w:val="20"/>
                <w:color w:val="auto"/>
              </w:rPr>
            </w:pPr>
            <w:r>
              <w:rPr>
                <w:rFonts w:ascii="Arial" w:cs="Arial" w:eastAsia="Arial" w:hAnsi="Arial"/>
                <w:sz w:val="11"/>
                <w:szCs w:val="11"/>
                <w:color w:val="auto"/>
              </w:rPr>
              <w:t>5,750,000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5,750,000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5,750,000</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UBEO,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04/03/2024</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L+450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21,911,825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21,750,856</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21,747,486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Urology Management Associates,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08/30/2024</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6.00%</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L+500</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11,405,118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11,189,157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11,262,554</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Whitney, Bradley &amp; Brown,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10/18/2022</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8.50%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8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w w:val="90"/>
              </w:rPr>
              <w:t>L+750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5,049,742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5,026,778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5,100,240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Wildcat Buyerco, Inc.</w:t>
            </w:r>
          </w:p>
        </w:tc>
        <w:tc>
          <w:tcPr>
            <w:tcW w:w="780" w:type="dxa"/>
            <w:vAlign w:val="bottom"/>
            <w:tcBorders>
              <w:bottom w:val="single" w:sz="8" w:color="CCECFF"/>
            </w:tcBorders>
            <w:gridSpan w:val="2"/>
          </w:tcPr>
          <w:p>
            <w:pPr>
              <w:jc w:val="center"/>
              <w:ind w:left="66"/>
              <w:spacing w:after="0"/>
              <w:rPr>
                <w:sz w:val="20"/>
                <w:szCs w:val="20"/>
                <w:color w:val="auto"/>
              </w:rPr>
            </w:pPr>
            <w:r>
              <w:rPr>
                <w:rFonts w:ascii="Arial" w:cs="Arial" w:eastAsia="Arial" w:hAnsi="Arial"/>
                <w:sz w:val="11"/>
                <w:szCs w:val="11"/>
                <w:color w:val="auto"/>
                <w:w w:val="90"/>
              </w:rPr>
              <w:t>02/27/2026</w:t>
            </w:r>
          </w:p>
        </w:tc>
        <w:tc>
          <w:tcPr>
            <w:tcW w:w="120" w:type="dxa"/>
            <w:vAlign w:val="bottom"/>
            <w:tcBorders>
              <w:bottom w:val="single" w:sz="8" w:color="CCECFF"/>
            </w:tcBorders>
          </w:tcPr>
          <w:p>
            <w:pPr>
              <w:spacing w:after="0"/>
              <w:rPr>
                <w:sz w:val="11"/>
                <w:szCs w:val="11"/>
                <w:color w:val="auto"/>
              </w:rPr>
            </w:pPr>
          </w:p>
        </w:tc>
        <w:tc>
          <w:tcPr>
            <w:tcW w:w="268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89"/>
              </w:rPr>
              <w:t>Electronic Equipment, Instruments, and Components</w:t>
            </w:r>
          </w:p>
        </w:tc>
        <w:tc>
          <w:tcPr>
            <w:tcW w:w="820" w:type="dxa"/>
            <w:vAlign w:val="bottom"/>
            <w:tcBorders>
              <w:bottom w:val="single" w:sz="8" w:color="CCECFF"/>
            </w:tcBorders>
            <w:gridSpan w:val="2"/>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tcBorders>
              <w:bottom w:val="single" w:sz="8" w:color="CCECFF"/>
            </w:tcBorders>
          </w:tcPr>
          <w:p>
            <w:pPr>
              <w:spacing w:after="0"/>
              <w:rPr>
                <w:sz w:val="11"/>
                <w:szCs w:val="11"/>
                <w:color w:val="auto"/>
              </w:rPr>
            </w:pPr>
          </w:p>
        </w:tc>
        <w:tc>
          <w:tcPr>
            <w:tcW w:w="480" w:type="dxa"/>
            <w:vAlign w:val="bottom"/>
            <w:tcBorders>
              <w:bottom w:val="single" w:sz="8" w:color="CCECFF"/>
            </w:tcBorders>
          </w:tcPr>
          <w:p>
            <w:pPr>
              <w:jc w:val="center"/>
              <w:ind w:left="246"/>
              <w:spacing w:after="0"/>
              <w:rPr>
                <w:sz w:val="20"/>
                <w:szCs w:val="20"/>
                <w:color w:val="auto"/>
              </w:rPr>
            </w:pPr>
            <w:r>
              <w:rPr>
                <w:rFonts w:ascii="Arial" w:cs="Arial" w:eastAsia="Arial" w:hAnsi="Arial"/>
                <w:sz w:val="11"/>
                <w:szCs w:val="11"/>
                <w:color w:val="auto"/>
                <w:w w:val="91"/>
              </w:rPr>
              <w:t>3M</w:t>
            </w:r>
          </w:p>
        </w:tc>
        <w:tc>
          <w:tcPr>
            <w:tcW w:w="580" w:type="dxa"/>
            <w:vAlign w:val="bottom"/>
            <w:tcBorders>
              <w:bottom w:val="single" w:sz="8" w:color="CCECFF"/>
            </w:tcBorders>
            <w:gridSpan w:val="3"/>
          </w:tcPr>
          <w:p>
            <w:pPr>
              <w:jc w:val="right"/>
              <w:ind w:right="280"/>
              <w:spacing w:after="0"/>
              <w:rPr>
                <w:sz w:val="20"/>
                <w:szCs w:val="20"/>
                <w:color w:val="auto"/>
              </w:rPr>
            </w:pPr>
            <w:r>
              <w:rPr>
                <w:rFonts w:ascii="Arial" w:cs="Arial" w:eastAsia="Arial" w:hAnsi="Arial"/>
                <w:sz w:val="11"/>
                <w:szCs w:val="11"/>
                <w:color w:val="auto"/>
                <w:w w:val="90"/>
              </w:rPr>
              <w:t>L+525</w:t>
            </w:r>
          </w:p>
        </w:tc>
        <w:tc>
          <w:tcPr>
            <w:tcW w:w="56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5,735,516</w:t>
            </w: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5,680,359</w:t>
            </w: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5,706,837</w:t>
            </w:r>
          </w:p>
        </w:tc>
        <w:tc>
          <w:tcPr>
            <w:tcW w:w="120" w:type="dxa"/>
            <w:vAlign w:val="bottom"/>
            <w:tcBorders>
              <w:bottom w:val="single" w:sz="8" w:color="CCECFF"/>
            </w:tcBorders>
          </w:tcPr>
          <w:p>
            <w:pPr>
              <w:spacing w:after="0"/>
              <w:rPr>
                <w:sz w:val="11"/>
                <w:szCs w:val="11"/>
                <w:color w:val="auto"/>
              </w:rPr>
            </w:pPr>
          </w:p>
        </w:tc>
      </w:tr>
      <w:tr>
        <w:trPr>
          <w:trHeight w:val="129"/>
        </w:trPr>
        <w:tc>
          <w:tcPr>
            <w:tcW w:w="308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First Lien Secured Debt</w:t>
            </w: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1"/>
              </w:rPr>
              <w:t>476,076,390</w:t>
            </w:r>
          </w:p>
        </w:tc>
        <w:tc>
          <w:tcPr>
            <w:tcW w:w="220" w:type="dxa"/>
            <w:vAlign w:val="bottom"/>
            <w:shd w:val="clear" w:color="auto" w:fill="CCECFF"/>
          </w:tcPr>
          <w:p>
            <w:pPr>
              <w:spacing w:after="0"/>
              <w:rPr>
                <w:sz w:val="11"/>
                <w:szCs w:val="11"/>
                <w:color w:val="auto"/>
              </w:rPr>
            </w:pPr>
          </w:p>
        </w:tc>
        <w:tc>
          <w:tcPr>
            <w:tcW w:w="12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1"/>
              </w:rPr>
              <w:t>471,902,667</w:t>
            </w:r>
          </w:p>
        </w:tc>
        <w:tc>
          <w:tcPr>
            <w:tcW w:w="120" w:type="dxa"/>
            <w:vAlign w:val="bottom"/>
            <w:shd w:val="clear" w:color="auto" w:fill="CCECFF"/>
          </w:tcPr>
          <w:p>
            <w:pPr>
              <w:spacing w:after="0"/>
              <w:rPr>
                <w:sz w:val="11"/>
                <w:szCs w:val="11"/>
                <w:color w:val="auto"/>
              </w:rPr>
            </w:pPr>
          </w:p>
        </w:tc>
      </w:tr>
    </w:tbl>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35"/>
        </w:trPr>
        <w:tc>
          <w:tcPr>
            <w:tcW w:w="2120" w:type="dxa"/>
            <w:vAlign w:val="bottom"/>
            <w:tcBorders>
              <w:top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Basis Point</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1"/>
              </w:rPr>
              <w:t>Spread</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9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Above</w:t>
            </w: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rPr>
              <w:t>Par /</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00" w:type="dxa"/>
            <w:vAlign w:val="bottom"/>
            <w:gridSpan w:val="3"/>
          </w:tcPr>
          <w:p>
            <w:pPr>
              <w:spacing w:after="0"/>
              <w:rPr>
                <w:sz w:val="20"/>
                <w:szCs w:val="20"/>
                <w:color w:val="auto"/>
              </w:rPr>
            </w:pPr>
            <w:r>
              <w:rPr>
                <w:rFonts w:ascii="Arial" w:cs="Arial" w:eastAsia="Arial" w:hAnsi="Arial"/>
                <w:sz w:val="11"/>
                <w:szCs w:val="11"/>
                <w:b w:val="1"/>
                <w:bCs w:val="1"/>
                <w:color w:val="auto"/>
              </w:rPr>
              <w:t>Issuer Name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Maturity</w:t>
            </w: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Industry</w:t>
            </w:r>
          </w:p>
        </w:tc>
        <w:tc>
          <w:tcPr>
            <w:tcW w:w="96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Coupon</w:t>
            </w:r>
          </w:p>
        </w:tc>
        <w:tc>
          <w:tcPr>
            <w:tcW w:w="9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9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7"/>
              </w:rPr>
              <w:t>Shares</w:t>
            </w:r>
          </w:p>
        </w:tc>
        <w:tc>
          <w:tcPr>
            <w:tcW w:w="100" w:type="dxa"/>
            <w:vAlign w:val="bottom"/>
          </w:tcPr>
          <w:p>
            <w:pPr>
              <w:spacing w:after="0"/>
              <w:rPr>
                <w:sz w:val="11"/>
                <w:szCs w:val="11"/>
                <w:color w:val="auto"/>
              </w:rPr>
            </w:pPr>
          </w:p>
        </w:tc>
        <w:tc>
          <w:tcPr>
            <w:tcW w:w="600" w:type="dxa"/>
            <w:vAlign w:val="bottom"/>
          </w:tcPr>
          <w:p>
            <w:pPr>
              <w:jc w:val="right"/>
              <w:ind w:right="20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11"/>
                <w:szCs w:val="11"/>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w w:val="98"/>
              </w:rPr>
              <w:t xml:space="preserve">Fair Value </w:t>
            </w:r>
            <w:r>
              <w:rPr>
                <w:rFonts w:ascii="Arial" w:cs="Arial" w:eastAsia="Arial" w:hAnsi="Arial"/>
                <w:sz w:val="9"/>
                <w:szCs w:val="9"/>
                <w:b w:val="1"/>
                <w:bCs w:val="1"/>
                <w:color w:val="auto"/>
                <w:w w:val="98"/>
              </w:rPr>
              <w:t>(2)</w:t>
            </w:r>
          </w:p>
        </w:tc>
        <w:tc>
          <w:tcPr>
            <w:tcW w:w="0" w:type="dxa"/>
            <w:vAlign w:val="bottom"/>
          </w:tcPr>
          <w:p>
            <w:pPr>
              <w:spacing w:after="0"/>
              <w:rPr>
                <w:sz w:val="1"/>
                <w:szCs w:val="1"/>
                <w:color w:val="auto"/>
              </w:rPr>
            </w:pPr>
          </w:p>
        </w:tc>
      </w:tr>
      <w:tr>
        <w:trPr>
          <w:trHeight w:val="128"/>
        </w:trPr>
        <w:tc>
          <w:tcPr>
            <w:tcW w:w="3080" w:type="dxa"/>
            <w:vAlign w:val="bottom"/>
            <w:tcBorders>
              <w:top w:val="single" w:sz="8" w:color="auto"/>
            </w:tcBorders>
            <w:gridSpan w:val="2"/>
          </w:tcPr>
          <w:p>
            <w:pPr>
              <w:spacing w:after="0"/>
              <w:rPr>
                <w:sz w:val="20"/>
                <w:szCs w:val="20"/>
                <w:color w:val="auto"/>
              </w:rPr>
            </w:pPr>
            <w:r>
              <w:rPr>
                <w:rFonts w:ascii="Arial" w:cs="Arial" w:eastAsia="Arial" w:hAnsi="Arial"/>
                <w:sz w:val="11"/>
                <w:szCs w:val="11"/>
                <w:b w:val="1"/>
                <w:bCs w:val="1"/>
                <w:color w:val="auto"/>
              </w:rPr>
              <w:t>Second Lien Secured Debt—16.7%</w:t>
            </w:r>
          </w:p>
        </w:tc>
        <w:tc>
          <w:tcPr>
            <w:tcW w:w="1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Country Fresh Holdings, LLC</w:t>
            </w:r>
          </w:p>
        </w:tc>
        <w:tc>
          <w:tcPr>
            <w:tcW w:w="540" w:type="dxa"/>
            <w:vAlign w:val="bottom"/>
            <w:shd w:val="clear" w:color="auto" w:fill="CCECFF"/>
          </w:tcPr>
          <w:p>
            <w:pPr>
              <w:ind w:left="20"/>
              <w:spacing w:after="0"/>
              <w:rPr>
                <w:sz w:val="20"/>
                <w:szCs w:val="20"/>
                <w:color w:val="auto"/>
              </w:rPr>
            </w:pPr>
            <w:r>
              <w:rPr>
                <w:rFonts w:ascii="Arial" w:cs="Arial" w:eastAsia="Arial" w:hAnsi="Arial"/>
                <w:sz w:val="11"/>
                <w:szCs w:val="11"/>
                <w:color w:val="auto"/>
                <w:w w:val="90"/>
              </w:rPr>
              <w:t>04/29/2024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5"/>
              </w:rPr>
              <w:t>Beverage, Food and Tobacco</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 xml:space="preserve">0.00% </w:t>
            </w:r>
            <w:r>
              <w:rPr>
                <w:rFonts w:ascii="Arial" w:cs="Arial" w:eastAsia="Arial" w:hAnsi="Arial"/>
                <w:sz w:val="9"/>
                <w:szCs w:val="9"/>
                <w:color w:val="auto"/>
              </w:rPr>
              <w:t>(5)</w:t>
            </w:r>
          </w:p>
        </w:tc>
        <w:tc>
          <w:tcPr>
            <w:tcW w:w="940" w:type="dxa"/>
            <w:vAlign w:val="bottom"/>
            <w:gridSpan w:val="2"/>
            <w:shd w:val="clear" w:color="auto" w:fill="CCECFF"/>
          </w:tcPr>
          <w:p>
            <w:pPr>
              <w:ind w:left="58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1,013,316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977,408</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3200" w:type="dxa"/>
            <w:vAlign w:val="bottom"/>
            <w:gridSpan w:val="3"/>
          </w:tcPr>
          <w:p>
            <w:pPr>
              <w:spacing w:after="0"/>
              <w:rPr>
                <w:sz w:val="20"/>
                <w:szCs w:val="20"/>
                <w:color w:val="auto"/>
              </w:rPr>
            </w:pPr>
            <w:r>
              <w:rPr>
                <w:rFonts w:ascii="Arial" w:cs="Arial" w:eastAsia="Arial" w:hAnsi="Arial"/>
                <w:sz w:val="11"/>
                <w:szCs w:val="11"/>
                <w:color w:val="auto"/>
              </w:rPr>
              <w:t>DBI Holding, LLC, Term Loan B</w:t>
            </w:r>
          </w:p>
        </w:tc>
        <w:tc>
          <w:tcPr>
            <w:tcW w:w="540" w:type="dxa"/>
            <w:vAlign w:val="bottom"/>
          </w:tcPr>
          <w:p>
            <w:pPr>
              <w:ind w:left="20"/>
              <w:spacing w:after="0"/>
              <w:rPr>
                <w:sz w:val="20"/>
                <w:szCs w:val="20"/>
                <w:color w:val="auto"/>
              </w:rPr>
            </w:pPr>
            <w:r>
              <w:rPr>
                <w:rFonts w:ascii="Arial" w:cs="Arial" w:eastAsia="Arial" w:hAnsi="Arial"/>
                <w:sz w:val="11"/>
                <w:szCs w:val="11"/>
                <w:color w:val="auto"/>
                <w:w w:val="90"/>
              </w:rPr>
              <w:t>03/26/2021</w:t>
            </w:r>
          </w:p>
        </w:tc>
        <w:tc>
          <w:tcPr>
            <w:tcW w:w="220" w:type="dxa"/>
            <w:vAlign w:val="bottom"/>
          </w:tcPr>
          <w:p>
            <w:pPr>
              <w:spacing w:after="0"/>
              <w:rPr>
                <w:sz w:val="12"/>
                <w:szCs w:val="12"/>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9.00%</w:t>
            </w:r>
          </w:p>
        </w:tc>
        <w:tc>
          <w:tcPr>
            <w:tcW w:w="94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8,672,665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8,672,664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8,672,665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120" w:type="dxa"/>
            <w:vAlign w:val="bottom"/>
            <w:tcBorders>
              <w:bottom w:val="single" w:sz="8" w:color="CCECFF"/>
            </w:tcBorders>
          </w:tcPr>
          <w:p>
            <w:pPr>
              <w:spacing w:after="0"/>
              <w:rPr>
                <w:sz w:val="11"/>
                <w:szCs w:val="11"/>
                <w:color w:val="auto"/>
              </w:rPr>
            </w:pPr>
          </w:p>
        </w:tc>
        <w:tc>
          <w:tcPr>
            <w:tcW w:w="9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5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96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1"/>
                <w:szCs w:val="11"/>
                <w:color w:val="auto"/>
              </w:rPr>
              <w:t>(PIK 9.00%)</w:t>
            </w:r>
          </w:p>
        </w:tc>
        <w:tc>
          <w:tcPr>
            <w:tcW w:w="7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Total Second Lien Secured Debt</w:t>
            </w: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9,650,072</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8,672,665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00" w:type="dxa"/>
            <w:vAlign w:val="bottom"/>
            <w:gridSpan w:val="3"/>
          </w:tcPr>
          <w:p>
            <w:pPr>
              <w:spacing w:after="0"/>
              <w:rPr>
                <w:sz w:val="20"/>
                <w:szCs w:val="20"/>
                <w:color w:val="auto"/>
              </w:rPr>
            </w:pPr>
            <w:r>
              <w:rPr>
                <w:rFonts w:ascii="Arial" w:cs="Arial" w:eastAsia="Arial" w:hAnsi="Arial"/>
                <w:sz w:val="11"/>
                <w:szCs w:val="11"/>
                <w:b w:val="1"/>
                <w:bCs w:val="1"/>
                <w:color w:val="auto"/>
              </w:rPr>
              <w:t>Equity Securities—8.7%</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Country Fresh Holding Company Inc.</w:t>
            </w: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5"/>
              </w:rPr>
              <w:t>Beverage, Food and Tobacco</w:t>
            </w:r>
          </w:p>
        </w:tc>
        <w:tc>
          <w:tcPr>
            <w:tcW w:w="7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5,034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5,034,310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4,542,160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tcPr>
          <w:p>
            <w:pPr>
              <w:spacing w:after="0"/>
              <w:rPr>
                <w:sz w:val="20"/>
                <w:szCs w:val="20"/>
                <w:color w:val="auto"/>
              </w:rPr>
            </w:pPr>
            <w:r>
              <w:rPr>
                <w:rFonts w:ascii="Arial" w:cs="Arial" w:eastAsia="Arial" w:hAnsi="Arial"/>
                <w:sz w:val="11"/>
                <w:szCs w:val="11"/>
                <w:color w:val="auto"/>
              </w:rPr>
              <w:t>DBI Holding, LLC, Series A-1</w:t>
            </w: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13.00%</w:t>
            </w:r>
          </w:p>
        </w:tc>
        <w:tc>
          <w:tcPr>
            <w:tcW w:w="94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1,317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1,713,106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20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DBI Holding, LLC, Series B</w:t>
            </w: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CFF"/>
          </w:tcPr>
          <w:p>
            <w:pPr>
              <w:ind w:left="58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1,065,021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236,521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200" w:type="dxa"/>
            <w:vAlign w:val="bottom"/>
            <w:gridSpan w:val="3"/>
          </w:tcPr>
          <w:p>
            <w:pPr>
              <w:spacing w:after="0"/>
              <w:rPr>
                <w:sz w:val="20"/>
                <w:szCs w:val="20"/>
                <w:color w:val="auto"/>
              </w:rPr>
            </w:pPr>
            <w:r>
              <w:rPr>
                <w:rFonts w:ascii="Arial" w:cs="Arial" w:eastAsia="Arial" w:hAnsi="Arial"/>
                <w:sz w:val="11"/>
                <w:szCs w:val="11"/>
                <w:color w:val="auto"/>
              </w:rPr>
              <w:t>New MPE Holdings, LLC</w:t>
            </w: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92"/>
              </w:rPr>
              <w:t>Media: Diversified and Production</w:t>
            </w: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4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47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3200" w:type="dxa"/>
            <w:vAlign w:val="bottom"/>
            <w:tcBorders>
              <w:top w:val="single" w:sz="8" w:color="CCECFF"/>
            </w:tcBorders>
            <w:gridSpan w:val="3"/>
            <w:shd w:val="clear" w:color="auto" w:fill="CCECFF"/>
          </w:tcPr>
          <w:p>
            <w:pPr>
              <w:spacing w:after="0"/>
              <w:rPr>
                <w:sz w:val="20"/>
                <w:szCs w:val="20"/>
                <w:color w:val="auto"/>
              </w:rPr>
            </w:pPr>
            <w:r>
              <w:rPr>
                <w:rFonts w:ascii="Arial" w:cs="Arial" w:eastAsia="Arial" w:hAnsi="Arial"/>
                <w:sz w:val="11"/>
                <w:szCs w:val="11"/>
                <w:b w:val="1"/>
                <w:bCs w:val="1"/>
                <w:color w:val="auto"/>
              </w:rPr>
              <w:t>Total Equity Securities</w:t>
            </w:r>
          </w:p>
        </w:tc>
        <w:tc>
          <w:tcPr>
            <w:tcW w:w="54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256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70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70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bottom w:val="single" w:sz="8" w:color="auto"/>
            </w:tcBorders>
            <w:shd w:val="clear" w:color="auto" w:fill="CCECFF"/>
          </w:tcPr>
          <w:p>
            <w:pPr>
              <w:spacing w:after="0"/>
              <w:rPr>
                <w:sz w:val="11"/>
                <w:szCs w:val="11"/>
                <w:color w:val="auto"/>
              </w:rPr>
            </w:pPr>
          </w:p>
        </w:tc>
        <w:tc>
          <w:tcPr>
            <w:tcW w:w="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6,983,937</w:t>
            </w: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bottom w:val="single" w:sz="8" w:color="auto"/>
            </w:tcBorders>
            <w:shd w:val="clear" w:color="auto" w:fill="CCECFF"/>
          </w:tcPr>
          <w:p>
            <w:pPr>
              <w:spacing w:after="0"/>
              <w:rPr>
                <w:sz w:val="11"/>
                <w:szCs w:val="11"/>
                <w:color w:val="auto"/>
              </w:rPr>
            </w:pPr>
          </w:p>
        </w:tc>
        <w:tc>
          <w:tcPr>
            <w:tcW w:w="6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4,542,160</w:t>
            </w:r>
          </w:p>
        </w:tc>
        <w:tc>
          <w:tcPr>
            <w:tcW w:w="12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b w:val="1"/>
                <w:bCs w:val="1"/>
                <w:color w:val="auto"/>
              </w:rPr>
              <w:t>Total Investments—932.2.8%</w:t>
            </w: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5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1"/>
              </w:rPr>
              <w:t>492,710,399</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8"/>
              </w:rPr>
              <w:t>485,117,492</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Cash and Cash Equivalents—84.1%</w:t>
            </w: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tcPr>
          <w:p>
            <w:pPr>
              <w:spacing w:after="0"/>
              <w:rPr>
                <w:sz w:val="20"/>
                <w:szCs w:val="20"/>
                <w:color w:val="auto"/>
              </w:rPr>
            </w:pPr>
            <w:r>
              <w:rPr>
                <w:rFonts w:ascii="Arial" w:cs="Arial" w:eastAsia="Arial" w:hAnsi="Arial"/>
                <w:sz w:val="11"/>
                <w:szCs w:val="11"/>
                <w:color w:val="auto"/>
              </w:rPr>
              <w:t>BlackRock Federal FD Institutional 30</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17,622,205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17,622,205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US Bank Cash</w:t>
            </w: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26,110,389</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26,108,972</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b w:val="1"/>
                <w:bCs w:val="1"/>
                <w:color w:val="auto"/>
              </w:rPr>
              <w:t>Total Cash and Cash Equivalents</w:t>
            </w: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5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43,732,594</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43,731,177</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00" w:type="dxa"/>
            <w:vAlign w:val="bottom"/>
            <w:tcBorders>
              <w:bottom w:val="single" w:sz="8" w:color="CCECFF"/>
            </w:tcBorders>
            <w:gridSpan w:val="3"/>
            <w:shd w:val="clear" w:color="auto" w:fill="CCECFF"/>
          </w:tcPr>
          <w:p>
            <w:pPr>
              <w:spacing w:after="0"/>
              <w:rPr>
                <w:sz w:val="20"/>
                <w:szCs w:val="20"/>
                <w:color w:val="auto"/>
              </w:rPr>
            </w:pPr>
            <w:r>
              <w:rPr>
                <w:rFonts w:ascii="Arial" w:cs="Arial" w:eastAsia="Arial" w:hAnsi="Arial"/>
                <w:sz w:val="11"/>
                <w:szCs w:val="11"/>
                <w:b w:val="1"/>
                <w:bCs w:val="1"/>
                <w:color w:val="auto"/>
              </w:rPr>
              <w:t>Total Investments and Cash Equivalents—1,016.9%</w:t>
            </w:r>
          </w:p>
        </w:tc>
        <w:tc>
          <w:tcPr>
            <w:tcW w:w="5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25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1"/>
              </w:rPr>
              <w:t>536,442,993</w:t>
            </w:r>
          </w:p>
        </w:tc>
        <w:tc>
          <w:tcPr>
            <w:tcW w:w="22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8"/>
              </w:rPr>
              <w:t>528,848,669</w:t>
            </w:r>
          </w:p>
        </w:tc>
        <w:tc>
          <w:tcPr>
            <w:tcW w:w="12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Liabilities in Excess of Other Assets—(916.9)%</w:t>
            </w: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200" w:type="dxa"/>
            <w:vAlign w:val="bottom"/>
            <w:gridSpan w:val="3"/>
            <w:vMerge w:val="continue"/>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80"/>
              <w:spacing w:after="0" w:line="116" w:lineRule="exact"/>
              <w:rPr>
                <w:sz w:val="20"/>
                <w:szCs w:val="20"/>
                <w:color w:val="auto"/>
              </w:rPr>
            </w:pPr>
            <w:r>
              <w:rPr>
                <w:rFonts w:ascii="Arial" w:cs="Arial" w:eastAsia="Arial" w:hAnsi="Arial"/>
                <w:sz w:val="11"/>
                <w:szCs w:val="11"/>
                <w:color w:val="auto"/>
                <w:w w:val="96"/>
              </w:rPr>
              <w:t>(476,842,569)</w:t>
            </w:r>
          </w:p>
        </w:tc>
        <w:tc>
          <w:tcPr>
            <w:tcW w:w="0" w:type="dxa"/>
            <w:vAlign w:val="bottom"/>
          </w:tcPr>
          <w:p>
            <w:pPr>
              <w:spacing w:after="0"/>
              <w:rPr>
                <w:sz w:val="1"/>
                <w:szCs w:val="1"/>
                <w:color w:val="auto"/>
              </w:rPr>
            </w:pPr>
          </w:p>
        </w:tc>
      </w:tr>
      <w:tr>
        <w:trPr>
          <w:trHeight w:val="128"/>
        </w:trPr>
        <w:tc>
          <w:tcPr>
            <w:tcW w:w="3200" w:type="dxa"/>
            <w:vAlign w:val="bottom"/>
            <w:tcBorders>
              <w:top w:val="single" w:sz="8" w:color="CCECFF"/>
              <w:bottom w:val="single" w:sz="8" w:color="CCECFF"/>
            </w:tcBorders>
            <w:gridSpan w:val="3"/>
            <w:shd w:val="clear" w:color="auto" w:fill="CCECFF"/>
          </w:tcPr>
          <w:p>
            <w:pPr>
              <w:spacing w:after="0"/>
              <w:rPr>
                <w:sz w:val="20"/>
                <w:szCs w:val="20"/>
                <w:color w:val="auto"/>
              </w:rPr>
            </w:pPr>
            <w:r>
              <w:rPr>
                <w:rFonts w:ascii="Arial" w:cs="Arial" w:eastAsia="Arial" w:hAnsi="Arial"/>
                <w:sz w:val="11"/>
                <w:szCs w:val="11"/>
                <w:b w:val="1"/>
                <w:bCs w:val="1"/>
                <w:color w:val="auto"/>
              </w:rPr>
              <w:t>Members' Equity—100.0%</w:t>
            </w:r>
          </w:p>
        </w:tc>
        <w:tc>
          <w:tcPr>
            <w:tcW w:w="540" w:type="dxa"/>
            <w:vAlign w:val="bottom"/>
            <w:tcBorders>
              <w:top w:val="single" w:sz="8" w:color="CCECFF"/>
              <w:bottom w:val="single" w:sz="8" w:color="CCECFF"/>
            </w:tcBorders>
            <w:shd w:val="clear" w:color="auto" w:fill="CCECFF"/>
          </w:tcPr>
          <w:p>
            <w:pPr>
              <w:spacing w:after="0"/>
              <w:rPr>
                <w:sz w:val="11"/>
                <w:szCs w:val="11"/>
                <w:color w:val="auto"/>
              </w:rPr>
            </w:pPr>
          </w:p>
        </w:tc>
        <w:tc>
          <w:tcPr>
            <w:tcW w:w="220" w:type="dxa"/>
            <w:vAlign w:val="bottom"/>
            <w:tcBorders>
              <w:top w:val="single" w:sz="8" w:color="CCECFF"/>
              <w:bottom w:val="single" w:sz="8" w:color="CCECFF"/>
            </w:tcBorders>
            <w:shd w:val="clear" w:color="auto" w:fill="CCECFF"/>
          </w:tcPr>
          <w:p>
            <w:pPr>
              <w:spacing w:after="0"/>
              <w:rPr>
                <w:sz w:val="11"/>
                <w:szCs w:val="11"/>
                <w:color w:val="auto"/>
              </w:rPr>
            </w:pPr>
          </w:p>
        </w:tc>
        <w:tc>
          <w:tcPr>
            <w:tcW w:w="2560" w:type="dxa"/>
            <w:vAlign w:val="bottom"/>
            <w:tcBorders>
              <w:top w:val="single" w:sz="8" w:color="CCECFF"/>
              <w:bottom w:val="single" w:sz="8" w:color="CCECFF"/>
            </w:tcBorders>
            <w:shd w:val="clear" w:color="auto" w:fill="CCECFF"/>
          </w:tcPr>
          <w:p>
            <w:pPr>
              <w:spacing w:after="0"/>
              <w:rPr>
                <w:sz w:val="11"/>
                <w:szCs w:val="11"/>
                <w:color w:val="auto"/>
              </w:rPr>
            </w:pPr>
          </w:p>
        </w:tc>
        <w:tc>
          <w:tcPr>
            <w:tcW w:w="120" w:type="dxa"/>
            <w:vAlign w:val="bottom"/>
            <w:tcBorders>
              <w:top w:val="single" w:sz="8" w:color="CCECFF"/>
              <w:bottom w:val="single" w:sz="8" w:color="CCECFF"/>
            </w:tcBorders>
            <w:shd w:val="clear" w:color="auto" w:fill="CCECFF"/>
          </w:tcPr>
          <w:p>
            <w:pPr>
              <w:spacing w:after="0"/>
              <w:rPr>
                <w:sz w:val="11"/>
                <w:szCs w:val="11"/>
                <w:color w:val="auto"/>
              </w:rPr>
            </w:pPr>
          </w:p>
        </w:tc>
        <w:tc>
          <w:tcPr>
            <w:tcW w:w="700" w:type="dxa"/>
            <w:vAlign w:val="bottom"/>
            <w:tcBorders>
              <w:top w:val="single" w:sz="8" w:color="CCECFF"/>
              <w:bottom w:val="single" w:sz="8" w:color="CCECFF"/>
            </w:tcBorders>
            <w:shd w:val="clear" w:color="auto" w:fill="CCECFF"/>
          </w:tcPr>
          <w:p>
            <w:pPr>
              <w:spacing w:after="0"/>
              <w:rPr>
                <w:sz w:val="11"/>
                <w:szCs w:val="11"/>
                <w:color w:val="auto"/>
              </w:rPr>
            </w:pPr>
          </w:p>
        </w:tc>
        <w:tc>
          <w:tcPr>
            <w:tcW w:w="260" w:type="dxa"/>
            <w:vAlign w:val="bottom"/>
            <w:tcBorders>
              <w:top w:val="single" w:sz="8" w:color="CCECFF"/>
              <w:bottom w:val="single" w:sz="8" w:color="CCECFF"/>
            </w:tcBorders>
            <w:shd w:val="clear" w:color="auto" w:fill="CCECFF"/>
          </w:tcPr>
          <w:p>
            <w:pPr>
              <w:spacing w:after="0"/>
              <w:rPr>
                <w:sz w:val="11"/>
                <w:szCs w:val="11"/>
                <w:color w:val="auto"/>
              </w:rPr>
            </w:pPr>
          </w:p>
        </w:tc>
        <w:tc>
          <w:tcPr>
            <w:tcW w:w="700" w:type="dxa"/>
            <w:vAlign w:val="bottom"/>
            <w:tcBorders>
              <w:top w:val="single" w:sz="8" w:color="CCECFF"/>
              <w:bottom w:val="single" w:sz="8" w:color="CCECFF"/>
            </w:tcBorders>
            <w:shd w:val="clear" w:color="auto" w:fill="CCECFF"/>
          </w:tcPr>
          <w:p>
            <w:pPr>
              <w:spacing w:after="0"/>
              <w:rPr>
                <w:sz w:val="11"/>
                <w:szCs w:val="11"/>
                <w:color w:val="auto"/>
              </w:rPr>
            </w:pPr>
          </w:p>
        </w:tc>
        <w:tc>
          <w:tcPr>
            <w:tcW w:w="240" w:type="dxa"/>
            <w:vAlign w:val="bottom"/>
            <w:tcBorders>
              <w:top w:val="single" w:sz="8" w:color="CCECFF"/>
              <w:bottom w:val="single" w:sz="8" w:color="CCECFF"/>
            </w:tcBorders>
            <w:shd w:val="clear" w:color="auto" w:fill="CCECFF"/>
          </w:tcPr>
          <w:p>
            <w:pPr>
              <w:spacing w:after="0"/>
              <w:rPr>
                <w:sz w:val="11"/>
                <w:szCs w:val="11"/>
                <w:color w:val="auto"/>
              </w:rPr>
            </w:pPr>
          </w:p>
        </w:tc>
        <w:tc>
          <w:tcPr>
            <w:tcW w:w="680" w:type="dxa"/>
            <w:vAlign w:val="bottom"/>
            <w:tcBorders>
              <w:top w:val="single" w:sz="8" w:color="CCECFF"/>
              <w:bottom w:val="single" w:sz="8" w:color="CCECFF"/>
            </w:tcBorders>
            <w:shd w:val="clear" w:color="auto" w:fill="CCECFF"/>
          </w:tcPr>
          <w:p>
            <w:pPr>
              <w:spacing w:after="0"/>
              <w:rPr>
                <w:sz w:val="11"/>
                <w:szCs w:val="11"/>
                <w:color w:val="auto"/>
              </w:rPr>
            </w:pPr>
          </w:p>
        </w:tc>
        <w:tc>
          <w:tcPr>
            <w:tcW w:w="240" w:type="dxa"/>
            <w:vAlign w:val="bottom"/>
            <w:tcBorders>
              <w:top w:val="single" w:sz="8" w:color="CCECFF"/>
              <w:bottom w:val="single" w:sz="8" w:color="CCECFF"/>
            </w:tcBorders>
            <w:shd w:val="clear" w:color="auto" w:fill="CCECFF"/>
          </w:tcPr>
          <w:p>
            <w:pPr>
              <w:spacing w:after="0"/>
              <w:rPr>
                <w:sz w:val="11"/>
                <w:szCs w:val="11"/>
                <w:color w:val="auto"/>
              </w:rPr>
            </w:pPr>
          </w:p>
        </w:tc>
        <w:tc>
          <w:tcPr>
            <w:tcW w:w="100" w:type="dxa"/>
            <w:vAlign w:val="bottom"/>
            <w:tcBorders>
              <w:top w:val="single" w:sz="8" w:color="CCECFF"/>
              <w:bottom w:val="single" w:sz="8" w:color="CCECFF"/>
            </w:tcBorders>
            <w:shd w:val="clear" w:color="auto" w:fill="CCECFF"/>
          </w:tcPr>
          <w:p>
            <w:pPr>
              <w:spacing w:after="0"/>
              <w:rPr>
                <w:sz w:val="11"/>
                <w:szCs w:val="11"/>
                <w:color w:val="auto"/>
              </w:rPr>
            </w:pPr>
          </w:p>
        </w:tc>
        <w:tc>
          <w:tcPr>
            <w:tcW w:w="600" w:type="dxa"/>
            <w:vAlign w:val="bottom"/>
            <w:tcBorders>
              <w:top w:val="single" w:sz="8" w:color="CCECFF"/>
              <w:bottom w:val="single" w:sz="8" w:color="CCECFF"/>
            </w:tcBorders>
            <w:shd w:val="clear" w:color="auto" w:fill="CCECFF"/>
          </w:tcPr>
          <w:p>
            <w:pPr>
              <w:spacing w:after="0"/>
              <w:rPr>
                <w:sz w:val="11"/>
                <w:szCs w:val="11"/>
                <w:color w:val="auto"/>
              </w:rPr>
            </w:pPr>
          </w:p>
        </w:tc>
        <w:tc>
          <w:tcPr>
            <w:tcW w:w="220" w:type="dxa"/>
            <w:vAlign w:val="bottom"/>
            <w:tcBorders>
              <w:top w:val="single" w:sz="8" w:color="CCECFF"/>
              <w:bottom w:val="single" w:sz="8" w:color="CCECFF"/>
            </w:tcBorders>
            <w:shd w:val="clear" w:color="auto" w:fill="CCECFF"/>
          </w:tcPr>
          <w:p>
            <w:pPr>
              <w:spacing w:after="0"/>
              <w:rPr>
                <w:sz w:val="11"/>
                <w:szCs w:val="11"/>
                <w:color w:val="auto"/>
              </w:rPr>
            </w:pP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52,006,100</w:t>
            </w:r>
          </w:p>
        </w:tc>
        <w:tc>
          <w:tcPr>
            <w:tcW w:w="120" w:type="dxa"/>
            <w:vAlign w:val="bottom"/>
            <w:tcBorders>
              <w:top w:val="single" w:sz="8" w:color="CCECFF"/>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1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380" w:right="40" w:hanging="372"/>
        <w:spacing w:after="0" w:line="235" w:lineRule="auto"/>
        <w:tabs>
          <w:tab w:leader="none" w:pos="380" w:val="left"/>
        </w:tabs>
        <w:numPr>
          <w:ilvl w:val="0"/>
          <w:numId w:val="23"/>
        </w:numPr>
        <w:rPr>
          <w:rFonts w:ascii="Arial" w:cs="Arial" w:eastAsia="Arial" w:hAnsi="Arial"/>
          <w:sz w:val="9"/>
          <w:szCs w:val="9"/>
          <w:b w:val="1"/>
          <w:bCs w:val="1"/>
          <w:color w:val="auto"/>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ind w:left="380" w:hanging="372"/>
        <w:spacing w:after="0" w:line="230" w:lineRule="auto"/>
        <w:tabs>
          <w:tab w:leader="none" w:pos="380" w:val="left"/>
        </w:tabs>
        <w:numPr>
          <w:ilvl w:val="0"/>
          <w:numId w:val="23"/>
        </w:numPr>
        <w:rPr>
          <w:rFonts w:ascii="Arial" w:cs="Arial" w:eastAsia="Arial" w:hAnsi="Arial"/>
          <w:sz w:val="9"/>
          <w:szCs w:val="9"/>
          <w:b w:val="1"/>
          <w:bCs w:val="1"/>
          <w:color w:val="auto"/>
        </w:rPr>
      </w:pPr>
      <w:r>
        <w:rPr>
          <w:rFonts w:ascii="Arial" w:cs="Arial" w:eastAsia="Arial" w:hAnsi="Arial"/>
          <w:sz w:val="11"/>
          <w:szCs w:val="11"/>
          <w:color w:val="auto"/>
        </w:rPr>
        <w:t>Valued based on PSSL’s accounting policy.</w:t>
      </w:r>
    </w:p>
    <w:p>
      <w:pPr>
        <w:ind w:left="380" w:hanging="372"/>
        <w:spacing w:after="0" w:line="230" w:lineRule="auto"/>
        <w:tabs>
          <w:tab w:leader="none" w:pos="380" w:val="left"/>
        </w:tabs>
        <w:numPr>
          <w:ilvl w:val="0"/>
          <w:numId w:val="23"/>
        </w:numPr>
        <w:rPr>
          <w:rFonts w:ascii="Arial" w:cs="Arial" w:eastAsia="Arial" w:hAnsi="Arial"/>
          <w:sz w:val="9"/>
          <w:szCs w:val="9"/>
          <w:b w:val="1"/>
          <w:bCs w:val="1"/>
          <w:color w:val="auto"/>
        </w:rPr>
      </w:pPr>
      <w:r>
        <w:rPr>
          <w:rFonts w:ascii="Arial" w:cs="Arial" w:eastAsia="Arial" w:hAnsi="Arial"/>
          <w:sz w:val="11"/>
          <w:szCs w:val="11"/>
          <w:color w:val="auto"/>
        </w:rPr>
        <w:t>Non-U.S. company or principal place of business outside the United States.</w:t>
      </w:r>
    </w:p>
    <w:p>
      <w:pPr>
        <w:ind w:left="380" w:hanging="372"/>
        <w:spacing w:after="0" w:line="230" w:lineRule="auto"/>
        <w:tabs>
          <w:tab w:leader="none" w:pos="380" w:val="left"/>
        </w:tabs>
        <w:numPr>
          <w:ilvl w:val="0"/>
          <w:numId w:val="23"/>
        </w:numPr>
        <w:rPr>
          <w:rFonts w:ascii="Arial" w:cs="Arial" w:eastAsia="Arial" w:hAnsi="Arial"/>
          <w:sz w:val="9"/>
          <w:szCs w:val="9"/>
          <w:b w:val="1"/>
          <w:bCs w:val="1"/>
          <w:color w:val="auto"/>
        </w:rPr>
      </w:pPr>
      <w:r>
        <w:rPr>
          <w:rFonts w:ascii="Arial" w:cs="Arial" w:eastAsia="Arial" w:hAnsi="Arial"/>
          <w:sz w:val="11"/>
          <w:szCs w:val="11"/>
          <w:color w:val="auto"/>
        </w:rPr>
        <w:t>Par amount is denominated in Australian Dollars (A$) as denoted.</w:t>
      </w:r>
    </w:p>
    <w:p>
      <w:pPr>
        <w:ind w:left="380" w:hanging="372"/>
        <w:spacing w:after="0" w:line="230" w:lineRule="auto"/>
        <w:tabs>
          <w:tab w:leader="none" w:pos="380" w:val="left"/>
        </w:tabs>
        <w:numPr>
          <w:ilvl w:val="0"/>
          <w:numId w:val="23"/>
        </w:numPr>
        <w:rPr>
          <w:rFonts w:ascii="Arial" w:cs="Arial" w:eastAsia="Arial" w:hAnsi="Arial"/>
          <w:sz w:val="9"/>
          <w:szCs w:val="9"/>
          <w:b w:val="1"/>
          <w:bCs w:val="1"/>
          <w:color w:val="auto"/>
        </w:rPr>
      </w:pPr>
      <w:r>
        <w:rPr>
          <w:rFonts w:ascii="Arial" w:cs="Arial" w:eastAsia="Arial" w:hAnsi="Arial"/>
          <w:sz w:val="11"/>
          <w:szCs w:val="11"/>
          <w:color w:val="auto"/>
        </w:rPr>
        <w:t>Non-income producing security.</w:t>
      </w:r>
    </w:p>
    <w:p>
      <w:pPr>
        <w:ind w:left="380" w:hanging="372"/>
        <w:spacing w:after="0"/>
        <w:tabs>
          <w:tab w:leader="none" w:pos="380" w:val="left"/>
        </w:tabs>
        <w:numPr>
          <w:ilvl w:val="0"/>
          <w:numId w:val="23"/>
        </w:numPr>
        <w:rPr>
          <w:rFonts w:ascii="Arial" w:cs="Arial" w:eastAsia="Arial" w:hAnsi="Arial"/>
          <w:sz w:val="9"/>
          <w:szCs w:val="9"/>
          <w:b w:val="1"/>
          <w:bCs w:val="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43" w:name="page44"/>
    <w:bookmarkEnd w:id="43"/>
    <w:p>
      <w:pPr>
        <w:ind w:left="440"/>
        <w:spacing w:after="0"/>
        <w:rPr>
          <w:sz w:val="20"/>
          <w:szCs w:val="20"/>
          <w:color w:val="auto"/>
        </w:rPr>
      </w:pPr>
      <w:r>
        <w:rPr>
          <w:rFonts w:ascii="Arial" w:cs="Arial" w:eastAsia="Arial" w:hAnsi="Arial"/>
          <w:sz w:val="14"/>
          <w:szCs w:val="14"/>
          <w:color w:val="auto"/>
        </w:rPr>
        <w:t>Below is a listing of PSSL’s individual investments as of September 30,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86"/>
              </w:rPr>
              <w:t>Basis Point</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right"/>
              <w:ind w:right="300"/>
              <w:spacing w:after="0" w:line="122" w:lineRule="exact"/>
              <w:rPr>
                <w:sz w:val="20"/>
                <w:szCs w:val="20"/>
                <w:color w:val="auto"/>
              </w:rPr>
            </w:pPr>
            <w:r>
              <w:rPr>
                <w:rFonts w:ascii="Arial" w:cs="Arial" w:eastAsia="Arial" w:hAnsi="Arial"/>
                <w:sz w:val="11"/>
                <w:szCs w:val="11"/>
                <w:b w:val="1"/>
                <w:bCs w:val="1"/>
                <w:color w:val="auto"/>
              </w:rPr>
              <w:t>Current</w:t>
            </w:r>
          </w:p>
        </w:tc>
        <w:tc>
          <w:tcPr>
            <w:tcW w:w="120" w:type="dxa"/>
            <w:vAlign w:val="bottom"/>
          </w:tcPr>
          <w:p>
            <w:pPr>
              <w:spacing w:after="0"/>
              <w:rPr>
                <w:sz w:val="10"/>
                <w:szCs w:val="10"/>
                <w:color w:val="auto"/>
              </w:rPr>
            </w:pPr>
          </w:p>
        </w:tc>
        <w:tc>
          <w:tcPr>
            <w:tcW w:w="940" w:type="dxa"/>
            <w:vAlign w:val="bottom"/>
            <w:gridSpan w:val="3"/>
          </w:tcPr>
          <w:p>
            <w:pPr>
              <w:jc w:val="center"/>
              <w:ind w:right="140"/>
              <w:spacing w:after="0" w:line="122" w:lineRule="exact"/>
              <w:rPr>
                <w:sz w:val="20"/>
                <w:szCs w:val="20"/>
                <w:color w:val="auto"/>
              </w:rPr>
            </w:pPr>
            <w:r>
              <w:rPr>
                <w:rFonts w:ascii="Arial" w:cs="Arial" w:eastAsia="Arial" w:hAnsi="Arial"/>
                <w:sz w:val="11"/>
                <w:szCs w:val="11"/>
                <w:b w:val="1"/>
                <w:bCs w:val="1"/>
                <w:color w:val="auto"/>
                <w:w w:val="86"/>
              </w:rPr>
              <w:t>Spread Above</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1"/>
                <w:szCs w:val="11"/>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Maturity</w:t>
            </w: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Industry</w:t>
            </w:r>
          </w:p>
        </w:tc>
        <w:tc>
          <w:tcPr>
            <w:tcW w:w="84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Coupon</w:t>
            </w:r>
          </w:p>
        </w:tc>
        <w:tc>
          <w:tcPr>
            <w:tcW w:w="120" w:type="dxa"/>
            <w:vAlign w:val="bottom"/>
          </w:tcPr>
          <w:p>
            <w:pPr>
              <w:spacing w:after="0"/>
              <w:rPr>
                <w:sz w:val="11"/>
                <w:szCs w:val="11"/>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120" w:type="dxa"/>
            <w:vAlign w:val="bottom"/>
          </w:tcPr>
          <w:p>
            <w:pPr>
              <w:spacing w:after="0"/>
              <w:rPr>
                <w:sz w:val="11"/>
                <w:szCs w:val="11"/>
                <w:color w:val="auto"/>
              </w:rPr>
            </w:pPr>
          </w:p>
        </w:tc>
        <w:tc>
          <w:tcPr>
            <w:tcW w:w="800" w:type="dxa"/>
            <w:vAlign w:val="bottom"/>
            <w:gridSpan w:val="2"/>
          </w:tcPr>
          <w:p>
            <w:pPr>
              <w:ind w:left="140"/>
              <w:spacing w:after="0"/>
              <w:rPr>
                <w:sz w:val="20"/>
                <w:szCs w:val="20"/>
                <w:color w:val="auto"/>
              </w:rPr>
            </w:pPr>
            <w:r>
              <w:rPr>
                <w:rFonts w:ascii="Arial" w:cs="Arial" w:eastAsia="Arial" w:hAnsi="Arial"/>
                <w:sz w:val="11"/>
                <w:szCs w:val="11"/>
                <w:b w:val="1"/>
                <w:bCs w:val="1"/>
                <w:color w:val="auto"/>
              </w:rPr>
              <w:t>Par</w:t>
            </w:r>
          </w:p>
        </w:tc>
        <w:tc>
          <w:tcPr>
            <w:tcW w:w="100" w:type="dxa"/>
            <w:vAlign w:val="bottom"/>
          </w:tcPr>
          <w:p>
            <w:pPr>
              <w:spacing w:after="0"/>
              <w:rPr>
                <w:sz w:val="11"/>
                <w:szCs w:val="11"/>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Cost</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w w:val="98"/>
              </w:rPr>
              <w:t xml:space="preserve">Fair Value </w:t>
            </w:r>
            <w:r>
              <w:rPr>
                <w:rFonts w:ascii="Arial" w:cs="Arial" w:eastAsia="Arial" w:hAnsi="Arial"/>
                <w:sz w:val="9"/>
                <w:szCs w:val="9"/>
                <w:b w:val="1"/>
                <w:bCs w:val="1"/>
                <w:color w:val="auto"/>
                <w:w w:val="98"/>
              </w:rPr>
              <w:t>(2)</w:t>
            </w:r>
          </w:p>
        </w:tc>
      </w:tr>
      <w:tr>
        <w:trPr>
          <w:trHeight w:val="128"/>
        </w:trPr>
        <w:tc>
          <w:tcPr>
            <w:tcW w:w="3080" w:type="dxa"/>
            <w:vAlign w:val="bottom"/>
            <w:tcBorders>
              <w:top w:val="single" w:sz="8" w:color="auto"/>
            </w:tcBorders>
            <w:gridSpan w:val="2"/>
          </w:tcPr>
          <w:p>
            <w:pPr>
              <w:spacing w:after="0"/>
              <w:rPr>
                <w:sz w:val="20"/>
                <w:szCs w:val="20"/>
                <w:color w:val="auto"/>
              </w:rPr>
            </w:pPr>
            <w:r>
              <w:rPr>
                <w:rFonts w:ascii="Arial" w:cs="Arial" w:eastAsia="Arial" w:hAnsi="Arial"/>
                <w:sz w:val="11"/>
                <w:szCs w:val="11"/>
                <w:b w:val="1"/>
                <w:bCs w:val="1"/>
                <w:color w:val="auto"/>
              </w:rPr>
              <w:t>First Lien Secured Debt—838.2%</w:t>
            </w:r>
          </w:p>
        </w:tc>
        <w:tc>
          <w:tcPr>
            <w:tcW w:w="1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Altamira Technologies, LLC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07/24/2025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High Tech Industries</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7.00%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L+600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4,856,155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4,795,251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4,686,189</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American Auto Auction Group,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01/02/2024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Transportation: Consumer</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6.00%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L+500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7,670,399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7,596,860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7,440,287</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By Light Professional IT Services, LLC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05/16/2022</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High Tech Industries</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7.25%</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L+625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10,901,843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10,774,172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10,792,825</w:t>
            </w:r>
          </w:p>
        </w:tc>
        <w:tc>
          <w:tcPr>
            <w:tcW w:w="120" w:type="dxa"/>
            <w:vAlign w:val="bottom"/>
            <w:shd w:val="clear" w:color="auto" w:fill="CCECFF"/>
          </w:tcPr>
          <w:p>
            <w:pPr>
              <w:spacing w:after="0"/>
              <w:rPr>
                <w:sz w:val="11"/>
                <w:szCs w:val="11"/>
                <w:color w:val="auto"/>
              </w:rPr>
            </w:pPr>
          </w:p>
        </w:tc>
      </w:tr>
      <w:tr>
        <w:trPr>
          <w:trHeight w:val="139"/>
        </w:trPr>
        <w:tc>
          <w:tcPr>
            <w:tcW w:w="3080" w:type="dxa"/>
            <w:vAlign w:val="bottom"/>
            <w:gridSpan w:val="2"/>
          </w:tcPr>
          <w:p>
            <w:pPr>
              <w:spacing w:after="0"/>
              <w:rPr>
                <w:sz w:val="20"/>
                <w:szCs w:val="20"/>
                <w:color w:val="auto"/>
              </w:rPr>
            </w:pPr>
            <w:r>
              <w:rPr>
                <w:rFonts w:ascii="Arial" w:cs="Arial" w:eastAsia="Arial" w:hAnsi="Arial"/>
                <w:sz w:val="11"/>
                <w:szCs w:val="11"/>
                <w:color w:val="auto"/>
              </w:rPr>
              <w:t>Cadence Aerospace,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11/14/2023</w:t>
            </w:r>
          </w:p>
        </w:tc>
        <w:tc>
          <w:tcPr>
            <w:tcW w:w="220" w:type="dxa"/>
            <w:vAlign w:val="bottom"/>
          </w:tcPr>
          <w:p>
            <w:pPr>
              <w:spacing w:after="0"/>
              <w:rPr>
                <w:sz w:val="12"/>
                <w:szCs w:val="12"/>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9.50%</w:t>
            </w:r>
          </w:p>
        </w:tc>
        <w:tc>
          <w:tcPr>
            <w:tcW w:w="120" w:type="dxa"/>
            <w:vAlign w:val="bottom"/>
          </w:tcPr>
          <w:p>
            <w:pPr>
              <w:spacing w:after="0"/>
              <w:rPr>
                <w:sz w:val="12"/>
                <w:szCs w:val="12"/>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L+850</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11,802,082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11,730,187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11,322,915</w:t>
            </w:r>
          </w:p>
        </w:tc>
        <w:tc>
          <w:tcPr>
            <w:tcW w:w="120" w:type="dxa"/>
            <w:vAlign w:val="bottom"/>
          </w:tcPr>
          <w:p>
            <w:pPr>
              <w:spacing w:after="0"/>
              <w:rPr>
                <w:sz w:val="12"/>
                <w:szCs w:val="12"/>
                <w:color w:val="auto"/>
              </w:rPr>
            </w:pPr>
          </w:p>
        </w:tc>
      </w:tr>
      <w:tr>
        <w:trPr>
          <w:trHeight w:val="131"/>
        </w:trPr>
        <w:tc>
          <w:tcPr>
            <w:tcW w:w="2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1"/>
                <w:szCs w:val="11"/>
                <w:color w:val="auto"/>
              </w:rPr>
              <w:t>(PIK 9.50%)</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Cardenas Markets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11/29/2023</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5"/>
              </w:rPr>
              <w:t>Beverage, Food and Tobacco</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6.75%</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L+575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4,779,776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4,759,527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4,779,776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Centauri Group Holdings,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02/12/2024</w:t>
            </w:r>
          </w:p>
        </w:tc>
        <w:tc>
          <w:tcPr>
            <w:tcW w:w="2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6.25%</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L+525</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5,330,847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5,330,847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5,304,193</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Challenger Performance Optimization, Inc.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08/31/2023</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7.00%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L+575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9,663,392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9,595,826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8,986,954</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Country Fresh Holdings,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05/01/2023</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5"/>
              </w:rPr>
              <w:t>Beverage, Food and Tobacco</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6.00%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L+500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182,403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179,976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182,403</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Country Fresh Holdings, LLC (Revolver)</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05/01/2023</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5"/>
              </w:rPr>
              <w:t>Beverage, Food and Tobacco</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6.00%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L+500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450,110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450,111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450,110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Douglas Products and Packaging Company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10/19/2022</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Chemicals, Plastics and Rubber</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6.75%</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L+575</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8,836,683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8,756,358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8,704,133</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Douglas Sewer Intermediate, LLC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10/19/2022</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Chemicals, Plastics and Rubber</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6.75%</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L+575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7,403,183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7,370,405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7,292,135</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DRS Holdings III, Inc.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11/03/2025</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Consumer Goods: Durable</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6.75%</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L+575</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8,022,149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7,950,609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7,875,344</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Findex Group Limited </w:t>
            </w:r>
            <w:r>
              <w:rPr>
                <w:rFonts w:ascii="Arial" w:cs="Arial" w:eastAsia="Arial" w:hAnsi="Arial"/>
                <w:sz w:val="9"/>
                <w:szCs w:val="9"/>
                <w:color w:val="auto"/>
              </w:rPr>
              <w:t>(3), (4)</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05/31/2024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Banking, Finance, Insurance and Real Estate</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5.46%</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L+525A</w:t>
            </w:r>
          </w:p>
        </w:tc>
        <w:tc>
          <w:tcPr>
            <w:tcW w:w="120" w:type="dxa"/>
            <w:vAlign w:val="bottom"/>
            <w:shd w:val="clear" w:color="auto" w:fill="CCEC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10,000,000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7,411,600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6,809,125</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GCOM Software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11/14/2022</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High Tech Industries</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7.75%</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L+625</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16,646,228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16,562,972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16,646,228</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Good2Grow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11/18/2024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3"/>
              </w:rPr>
              <w:t>Beverages</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5.25%</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L+425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9,499,183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9,429,133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9,427,938</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GSM Holdings, Inc.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06/03/2024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Consumer Goods: Durable</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5.50%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L+450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19,470,523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19,354,235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19,275,817</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IMIA Holdings, Inc.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10/26/2025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5.50%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L+450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12,143,568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12,097,717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12,022,132</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Impact Group,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06/27/2023</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5"/>
              </w:rPr>
              <w:t>Wholesale</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8.37%</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L+737</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9,290,185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9,216,206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9,336,636</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Integrative Nutrition, LLC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09/29/2023</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Diversified Consumer Services</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5.75%</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L+475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8,587,606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8,587,606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8,458,792</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K2 Pure Solutions NoCal, L.P.</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12/20/2023</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Chemicals, Plastics and Rubber</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8.00%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L+700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19,650,000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19,436,214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19,217,700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LAV Gear Holdings, Inc.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10/31/2024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Capital Equipment</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8.50%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L+750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9,975,861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9,902,990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9,188,766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LSF9 Atlantis Holdings,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05/01/2023</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5"/>
              </w:rPr>
              <w:t>Retail</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7.00%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L+600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6,843,750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6,872,048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6,631,320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Manna Pro Products, LLC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12/08/2023</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7.00%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L+600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4,313,910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4,273,019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4,197,866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 xml:space="preserve">Marketplace Events LLC </w:t>
            </w:r>
            <w:r>
              <w:rPr>
                <w:rFonts w:ascii="Arial" w:cs="Arial" w:eastAsia="Arial" w:hAnsi="Arial"/>
                <w:sz w:val="9"/>
                <w:szCs w:val="9"/>
                <w:color w:val="auto"/>
              </w:rPr>
              <w:t>(4)</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01/27/2023</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92"/>
              </w:rPr>
              <w:t>Media: Diversified and Production</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0.00%</w:t>
            </w:r>
          </w:p>
        </w:tc>
        <w:tc>
          <w:tcPr>
            <w:tcW w:w="120" w:type="dxa"/>
            <w:vAlign w:val="bottom"/>
          </w:tcPr>
          <w:p>
            <w:pPr>
              <w:jc w:val="right"/>
              <w:spacing w:after="0"/>
              <w:rPr>
                <w:sz w:val="20"/>
                <w:szCs w:val="20"/>
                <w:color w:val="auto"/>
              </w:rPr>
            </w:pPr>
            <w:r>
              <w:rPr>
                <w:rFonts w:ascii="Arial" w:cs="Arial" w:eastAsia="Arial" w:hAnsi="Arial"/>
                <w:sz w:val="9"/>
                <w:szCs w:val="9"/>
                <w:color w:val="auto"/>
                <w:w w:val="90"/>
              </w:rPr>
              <w:t>(5)</w:t>
            </w:r>
          </w:p>
        </w:tc>
        <w:tc>
          <w:tcPr>
            <w:tcW w:w="480" w:type="dxa"/>
            <w:vAlign w:val="bottom"/>
          </w:tcPr>
          <w:p>
            <w:pPr>
              <w:spacing w:after="0"/>
              <w:rPr>
                <w:sz w:val="11"/>
                <w:szCs w:val="11"/>
                <w:color w:val="auto"/>
              </w:rPr>
            </w:pPr>
          </w:p>
        </w:tc>
        <w:tc>
          <w:tcPr>
            <w:tcW w:w="460" w:type="dxa"/>
            <w:vAlign w:val="bottom"/>
            <w:gridSpan w:val="2"/>
          </w:tcPr>
          <w:p>
            <w:pPr>
              <w:ind w:left="200"/>
              <w:spacing w:after="0"/>
              <w:rPr>
                <w:sz w:val="20"/>
                <w:szCs w:val="20"/>
                <w:color w:val="auto"/>
              </w:rPr>
            </w:pPr>
            <w:r>
              <w:rPr>
                <w:rFonts w:ascii="Arial" w:cs="Arial" w:eastAsia="Arial" w:hAnsi="Arial"/>
                <w:sz w:val="11"/>
                <w:szCs w:val="11"/>
                <w:color w:val="auto"/>
              </w:rPr>
              <w:t>— C</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5,730,254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4,449,786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3,623,691</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MeritDirect, LLC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05/23/2024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2"/>
              </w:rPr>
              <w:t>Media: Advertising, Printing &amp; Publishing</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6.50%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L+550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4,812,500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4,771,073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4,583,906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Mission Critical Electronics, Inc.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09/28/2022</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Capital Equipment</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6.00%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L+500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5,949,731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5,927,114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5,877,737</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New Milani Group LLC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06/06/2024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6.50%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L+550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14,662,500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14,568,019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13,379,531</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Output Services Group, Inc.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03/27/2024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5.50%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L+450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7,803,419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7,825,029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7,101,111</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PH Beauty Holdings III, Inc.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09/29/2025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5"/>
              </w:rPr>
              <w:t>Wholesale</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5.19%</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L+500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9,792,594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9,717,936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9,156,076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Plant Health Intermediate, Inc.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10/19/2022</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Chemicals, Plastics and Rubber</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6.75%</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L+575</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1,594,030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1,579,915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1,570,120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PlayPower, Inc.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9"/>
              </w:rPr>
              <w:t>05/8/2026</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Leisure Products</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5.72%</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L+550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4,025,520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3,990,707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3,824,244</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Sargent &amp; Greenleaf Inc.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12/20/2024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5"/>
              </w:rPr>
              <w:t>Wholesale</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7.00%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L+550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4,925,000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4,860,858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4,836,350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Schlesinger Global, Inc.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07/14/2025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7.00%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L+600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11,904,617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11,904,617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11,041,532</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Smile Brands Inc.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10/14/2024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Healthcare and Pharmaceuticals</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4.93%</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L+450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11,175,938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11,090,654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10,840,659</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Snak Club, LLC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07/19/2021</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5"/>
              </w:rPr>
              <w:t>Beverage, Food and Tobacco</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6.50%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L+550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4,561,971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4,561,971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4,493,542</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Solutionreach, Inc.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01/17/2024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Healthcare and Pharmaceuticals</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6.75%</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L+575</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6,214,305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6,149,172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6,145,948</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STV Group Incorporated</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12/11/2026</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2"/>
              </w:rPr>
              <w:t>Construction and Building</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5.40%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L+525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7,762,222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7,692,023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7,684,600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TeleGuam Holdings,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11/20/2025</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Telecommunications</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5.50%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L+450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8,309,797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8,272,104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8,060,503</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Teneo Holdings LLC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07/18/2025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6.25%</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L+525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4,950,000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4,783,595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4,764,375</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The Infosoft Group,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09/16/2024</w:t>
            </w:r>
          </w:p>
        </w:tc>
        <w:tc>
          <w:tcPr>
            <w:tcW w:w="2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Media: Broadcasting and Subscription</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6.75%</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6M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L+575</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8,602,807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8,584,634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8,602,807</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TPC Canada Parent, Inc. and TPC US Parent,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11/24/2025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6.25%</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L+525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8,924,066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8,837,614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8,656,344</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TVC Enterprises,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01/18/2024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Diversified Consumer Services</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6.50%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L+550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9,747,335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9,747,335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9,674,230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TWS Acquisition Corporation</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06/16/2025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Diversified Consumer Services</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7.25%</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L+625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6,910,465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6,797,117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6,772,256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UBEO,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04/03/2024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Capital Equipment</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5.50%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L+450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21,930,702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21,762,065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20,614,860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Urology Management Associates, LLC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08/30/2024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Healthcare and Pharmaceuticals</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6.00%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L+500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11,463,443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11,311,325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11,119,540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Walker Edison Furniture Company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09/26/2024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5"/>
              </w:rPr>
              <w:t>Wholesale</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7.25%</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3M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L+625</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10,594,047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10,440,520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10,594,047</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Whitney, Bradley &amp; Brown, Inc.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10/18/2022</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8.50%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w w:val="96"/>
              </w:rPr>
              <w:t>L+750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254,095</w:t>
            </w: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250,910</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251,557</w:t>
            </w:r>
          </w:p>
        </w:tc>
        <w:tc>
          <w:tcPr>
            <w:tcW w:w="120" w:type="dxa"/>
            <w:vAlign w:val="bottom"/>
            <w:shd w:val="clear" w:color="auto" w:fill="CCECFF"/>
          </w:tcPr>
          <w:p>
            <w:pPr>
              <w:spacing w:after="0"/>
              <w:rPr>
                <w:sz w:val="11"/>
                <w:szCs w:val="11"/>
                <w:color w:val="auto"/>
              </w:rPr>
            </w:pPr>
          </w:p>
        </w:tc>
      </w:tr>
      <w:tr>
        <w:trPr>
          <w:trHeight w:val="129"/>
        </w:trPr>
        <w:tc>
          <w:tcPr>
            <w:tcW w:w="308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b w:val="1"/>
                <w:bCs w:val="1"/>
                <w:color w:val="auto"/>
              </w:rPr>
              <w:t>Total First Lien Secured Debt</w:t>
            </w: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5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48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1"/>
              </w:rPr>
              <w:t>392,309,962</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8"/>
              </w:rPr>
              <w:t>382,299,150</w:t>
            </w:r>
          </w:p>
        </w:tc>
        <w:tc>
          <w:tcPr>
            <w:tcW w:w="120" w:type="dxa"/>
            <w:vAlign w:val="bottom"/>
            <w:tcBorders>
              <w:bottom w:val="single" w:sz="8" w:color="CCECFF"/>
            </w:tcBorders>
          </w:tcPr>
          <w:p>
            <w:pPr>
              <w:spacing w:after="0"/>
              <w:rPr>
                <w:sz w:val="11"/>
                <w:szCs w:val="11"/>
                <w:color w:val="auto"/>
              </w:rPr>
            </w:pPr>
          </w:p>
        </w:tc>
      </w:tr>
      <w:tr>
        <w:trPr>
          <w:trHeight w:val="128"/>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Second Lien Secured Debt—19.5%</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080" w:type="dxa"/>
            <w:vAlign w:val="bottom"/>
            <w:gridSpan w:val="2"/>
          </w:tcPr>
          <w:p>
            <w:pPr>
              <w:spacing w:after="0"/>
              <w:rPr>
                <w:sz w:val="20"/>
                <w:szCs w:val="20"/>
                <w:color w:val="auto"/>
              </w:rPr>
            </w:pPr>
            <w:r>
              <w:rPr>
                <w:rFonts w:ascii="Arial" w:cs="Arial" w:eastAsia="Arial" w:hAnsi="Arial"/>
                <w:sz w:val="11"/>
                <w:szCs w:val="11"/>
                <w:color w:val="auto"/>
              </w:rPr>
              <w:t>Country Fresh Holdings,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04/29/2024</w:t>
            </w:r>
          </w:p>
        </w:tc>
        <w:tc>
          <w:tcPr>
            <w:tcW w:w="220" w:type="dxa"/>
            <w:vAlign w:val="bottom"/>
          </w:tcPr>
          <w:p>
            <w:pPr>
              <w:spacing w:after="0"/>
              <w:rPr>
                <w:sz w:val="12"/>
                <w:szCs w:val="12"/>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5"/>
              </w:rPr>
              <w:t>Beverage, Food and Tobacco</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9.50%</w:t>
            </w:r>
          </w:p>
        </w:tc>
        <w:tc>
          <w:tcPr>
            <w:tcW w:w="120" w:type="dxa"/>
            <w:vAlign w:val="bottom"/>
          </w:tcPr>
          <w:p>
            <w:pPr>
              <w:spacing w:after="0"/>
              <w:rPr>
                <w:sz w:val="12"/>
                <w:szCs w:val="12"/>
                <w:color w:val="auto"/>
              </w:rPr>
            </w:pPr>
          </w:p>
        </w:tc>
        <w:tc>
          <w:tcPr>
            <w:tcW w:w="480" w:type="dxa"/>
            <w:vAlign w:val="bottom"/>
          </w:tcPr>
          <w:p>
            <w:pPr>
              <w:jc w:val="center"/>
              <w:ind w:left="266"/>
              <w:spacing w:after="0"/>
              <w:rPr>
                <w:sz w:val="20"/>
                <w:szCs w:val="20"/>
                <w:color w:val="auto"/>
              </w:rPr>
            </w:pPr>
            <w:r>
              <w:rPr>
                <w:rFonts w:ascii="Arial" w:cs="Arial" w:eastAsia="Arial" w:hAnsi="Arial"/>
                <w:sz w:val="11"/>
                <w:szCs w:val="11"/>
                <w:color w:val="auto"/>
              </w:rPr>
              <w:t>1M</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w w:val="96"/>
              </w:rPr>
              <w:t>L+850</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964,045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964,045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889,813</w:t>
            </w:r>
          </w:p>
        </w:tc>
        <w:tc>
          <w:tcPr>
            <w:tcW w:w="120" w:type="dxa"/>
            <w:vAlign w:val="bottom"/>
          </w:tcPr>
          <w:p>
            <w:pPr>
              <w:spacing w:after="0"/>
              <w:rPr>
                <w:sz w:val="12"/>
                <w:szCs w:val="12"/>
                <w:color w:val="auto"/>
              </w:rPr>
            </w:pPr>
          </w:p>
        </w:tc>
      </w:tr>
      <w:tr>
        <w:trPr>
          <w:trHeight w:val="131"/>
        </w:trPr>
        <w:tc>
          <w:tcPr>
            <w:tcW w:w="2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1"/>
                <w:szCs w:val="11"/>
                <w:color w:val="auto"/>
              </w:rPr>
              <w:t>(PIK 9.50%)</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DBI Holding, LLC, Term Loan B</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03/26/2021</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9.00%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15,946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15,946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15,946</w:t>
            </w:r>
          </w:p>
        </w:tc>
        <w:tc>
          <w:tcPr>
            <w:tcW w:w="120" w:type="dxa"/>
            <w:vAlign w:val="bottom"/>
            <w:shd w:val="clear" w:color="auto" w:fill="CCECFF"/>
          </w:tcPr>
          <w:p>
            <w:pPr>
              <w:spacing w:after="0"/>
              <w:rPr>
                <w:sz w:val="11"/>
                <w:szCs w:val="11"/>
                <w:color w:val="auto"/>
              </w:rPr>
            </w:pPr>
          </w:p>
        </w:tc>
      </w:tr>
      <w:tr>
        <w:trPr>
          <w:trHeight w:val="135"/>
        </w:trPr>
        <w:tc>
          <w:tcPr>
            <w:tcW w:w="29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(PIK 9.00%)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080" w:type="dxa"/>
            <w:vAlign w:val="bottom"/>
            <w:gridSpan w:val="2"/>
          </w:tcPr>
          <w:p>
            <w:pPr>
              <w:spacing w:after="0"/>
              <w:rPr>
                <w:sz w:val="20"/>
                <w:szCs w:val="20"/>
                <w:color w:val="auto"/>
              </w:rPr>
            </w:pPr>
            <w:r>
              <w:rPr>
                <w:rFonts w:ascii="Arial" w:cs="Arial" w:eastAsia="Arial" w:hAnsi="Arial"/>
                <w:sz w:val="11"/>
                <w:szCs w:val="11"/>
                <w:color w:val="auto"/>
              </w:rPr>
              <w:t>DBI Holding, LLC, Term Loan 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02/02/2026</w:t>
            </w:r>
          </w:p>
        </w:tc>
        <w:tc>
          <w:tcPr>
            <w:tcW w:w="220" w:type="dxa"/>
            <w:vAlign w:val="bottom"/>
          </w:tcPr>
          <w:p>
            <w:pPr>
              <w:spacing w:after="0"/>
              <w:rPr>
                <w:sz w:val="12"/>
                <w:szCs w:val="12"/>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9.00%</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7,977,513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7,977,513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7,977,513</w:t>
            </w:r>
          </w:p>
        </w:tc>
        <w:tc>
          <w:tcPr>
            <w:tcW w:w="120" w:type="dxa"/>
            <w:vAlign w:val="bottom"/>
          </w:tcPr>
          <w:p>
            <w:pPr>
              <w:spacing w:after="0"/>
              <w:rPr>
                <w:sz w:val="12"/>
                <w:szCs w:val="12"/>
                <w:color w:val="auto"/>
              </w:rPr>
            </w:pPr>
          </w:p>
        </w:tc>
      </w:tr>
      <w:tr>
        <w:trPr>
          <w:trHeight w:val="131"/>
        </w:trPr>
        <w:tc>
          <w:tcPr>
            <w:tcW w:w="294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5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gridSpan w:val="2"/>
          </w:tcPr>
          <w:p>
            <w:pPr>
              <w:jc w:val="right"/>
              <w:ind w:right="20"/>
              <w:spacing w:after="0"/>
              <w:rPr>
                <w:sz w:val="20"/>
                <w:szCs w:val="20"/>
                <w:color w:val="auto"/>
              </w:rPr>
            </w:pPr>
            <w:r>
              <w:rPr>
                <w:rFonts w:ascii="Arial" w:cs="Arial" w:eastAsia="Arial" w:hAnsi="Arial"/>
                <w:sz w:val="11"/>
                <w:szCs w:val="11"/>
                <w:color w:val="auto"/>
              </w:rPr>
              <w:t>(PIK 9.00%)</w:t>
            </w:r>
          </w:p>
        </w:tc>
        <w:tc>
          <w:tcPr>
            <w:tcW w:w="120" w:type="dxa"/>
            <w:vAlign w:val="bottom"/>
            <w:tcBorders>
              <w:bottom w:val="single" w:sz="8" w:color="CCECFF"/>
            </w:tcBorders>
          </w:tcPr>
          <w:p>
            <w:pPr>
              <w:spacing w:after="0"/>
              <w:rPr>
                <w:sz w:val="11"/>
                <w:szCs w:val="11"/>
                <w:color w:val="auto"/>
              </w:rPr>
            </w:pPr>
          </w:p>
        </w:tc>
        <w:tc>
          <w:tcPr>
            <w:tcW w:w="48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r>
      <w:tr>
        <w:trPr>
          <w:trHeight w:val="128"/>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Second Lien Secured Debt</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8,957,504</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8,883,272</w:t>
            </w:r>
          </w:p>
        </w:tc>
        <w:tc>
          <w:tcPr>
            <w:tcW w:w="120" w:type="dxa"/>
            <w:vAlign w:val="bottom"/>
            <w:shd w:val="clear" w:color="auto" w:fill="CCECFF"/>
          </w:tcPr>
          <w:p>
            <w:pPr>
              <w:spacing w:after="0"/>
              <w:rPr>
                <w:sz w:val="11"/>
                <w:szCs w:val="11"/>
                <w:color w:val="auto"/>
              </w:rPr>
            </w:pPr>
          </w:p>
        </w:tc>
      </w:tr>
      <w:tr>
        <w:trPr>
          <w:trHeight w:val="129"/>
        </w:trPr>
        <w:tc>
          <w:tcPr>
            <w:tcW w:w="3080" w:type="dxa"/>
            <w:vAlign w:val="bottom"/>
            <w:gridSpan w:val="2"/>
          </w:tcPr>
          <w:p>
            <w:pPr>
              <w:spacing w:after="0"/>
              <w:rPr>
                <w:sz w:val="20"/>
                <w:szCs w:val="20"/>
                <w:color w:val="auto"/>
              </w:rPr>
            </w:pPr>
            <w:r>
              <w:rPr>
                <w:rFonts w:ascii="Arial" w:cs="Arial" w:eastAsia="Arial" w:hAnsi="Arial"/>
                <w:sz w:val="11"/>
                <w:szCs w:val="11"/>
                <w:b w:val="1"/>
                <w:bCs w:val="1"/>
                <w:color w:val="auto"/>
              </w:rPr>
              <w:t>Equity Securities—4.0%</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Country Fresh Holding Company Inc.</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5"/>
              </w:rPr>
              <w:t>Beverage, Food and Tobacco</w:t>
            </w:r>
          </w:p>
        </w:tc>
        <w:tc>
          <w:tcPr>
            <w:tcW w:w="7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1,317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1,713,105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DBI Holding, LLC, Series A-1</w:t>
            </w:r>
          </w:p>
        </w:tc>
        <w:tc>
          <w:tcPr>
            <w:tcW w:w="120" w:type="dxa"/>
            <w:vAlign w:val="bottom"/>
          </w:tcPr>
          <w:p>
            <w:pPr>
              <w:spacing w:after="0"/>
              <w:rPr>
                <w:sz w:val="11"/>
                <w:szCs w:val="11"/>
                <w:color w:val="auto"/>
              </w:rPr>
            </w:pP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5,034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5,034,310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1,803,668</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DBI Holding, LLC, Series B</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8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1,065,021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236,521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28"/>
        </w:trPr>
        <w:tc>
          <w:tcPr>
            <w:tcW w:w="308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b w:val="1"/>
                <w:bCs w:val="1"/>
                <w:color w:val="auto"/>
              </w:rPr>
              <w:t>Total Equity Securities</w:t>
            </w: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5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48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6,983,936</w:t>
            </w:r>
          </w:p>
        </w:tc>
        <w:tc>
          <w:tcPr>
            <w:tcW w:w="220" w:type="dxa"/>
            <w:vAlign w:val="bottom"/>
            <w:tcBorders>
              <w:bottom w:val="single" w:sz="8" w:color="CCEC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1,803,668</w:t>
            </w:r>
          </w:p>
        </w:tc>
        <w:tc>
          <w:tcPr>
            <w:tcW w:w="120" w:type="dxa"/>
            <w:vAlign w:val="bottom"/>
            <w:tcBorders>
              <w:bottom w:val="single" w:sz="8" w:color="CCECFF"/>
            </w:tcBorders>
          </w:tcPr>
          <w:p>
            <w:pPr>
              <w:spacing w:after="0"/>
              <w:rPr>
                <w:sz w:val="11"/>
                <w:szCs w:val="11"/>
                <w:color w:val="auto"/>
              </w:rPr>
            </w:pPr>
          </w:p>
        </w:tc>
      </w:tr>
      <w:tr>
        <w:trPr>
          <w:trHeight w:val="128"/>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Investments—861.6%</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1"/>
              </w:rPr>
              <w:t>408,251,402</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8"/>
              </w:rPr>
              <w:t>392,986,090</w:t>
            </w:r>
          </w:p>
        </w:tc>
        <w:tc>
          <w:tcPr>
            <w:tcW w:w="120" w:type="dxa"/>
            <w:vAlign w:val="bottom"/>
            <w:shd w:val="clear" w:color="auto" w:fill="CCECFF"/>
          </w:tcPr>
          <w:p>
            <w:pPr>
              <w:spacing w:after="0"/>
              <w:rPr>
                <w:sz w:val="11"/>
                <w:szCs w:val="11"/>
                <w:color w:val="auto"/>
              </w:rPr>
            </w:pPr>
          </w:p>
        </w:tc>
      </w:tr>
      <w:tr>
        <w:trPr>
          <w:trHeight w:val="129"/>
        </w:trPr>
        <w:tc>
          <w:tcPr>
            <w:tcW w:w="3080" w:type="dxa"/>
            <w:vAlign w:val="bottom"/>
            <w:gridSpan w:val="2"/>
          </w:tcPr>
          <w:p>
            <w:pPr>
              <w:spacing w:after="0"/>
              <w:rPr>
                <w:sz w:val="20"/>
                <w:szCs w:val="20"/>
                <w:color w:val="auto"/>
              </w:rPr>
            </w:pPr>
            <w:r>
              <w:rPr>
                <w:rFonts w:ascii="Arial" w:cs="Arial" w:eastAsia="Arial" w:hAnsi="Arial"/>
                <w:sz w:val="11"/>
                <w:szCs w:val="11"/>
                <w:b w:val="1"/>
                <w:bCs w:val="1"/>
                <w:color w:val="auto"/>
              </w:rPr>
              <w:t>Cash and Cash Equivalents—24.4%</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BlackRock Federal FD Institutional 30</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6,005,963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6,005,963</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color w:val="auto"/>
              </w:rPr>
              <w:t>US Bank Cash</w:t>
            </w: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5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48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5,109,410</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5,115,516</w:t>
            </w:r>
          </w:p>
        </w:tc>
        <w:tc>
          <w:tcPr>
            <w:tcW w:w="120" w:type="dxa"/>
            <w:vAlign w:val="bottom"/>
            <w:tcBorders>
              <w:bottom w:val="single" w:sz="8" w:color="CCECFF"/>
            </w:tcBorders>
          </w:tcPr>
          <w:p>
            <w:pPr>
              <w:spacing w:after="0"/>
              <w:rPr>
                <w:sz w:val="11"/>
                <w:szCs w:val="11"/>
                <w:color w:val="auto"/>
              </w:rPr>
            </w:pPr>
          </w:p>
        </w:tc>
      </w:tr>
      <w:tr>
        <w:trPr>
          <w:trHeight w:val="128"/>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Cash and Cash Equivalents</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11,115,373</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11,121,479</w:t>
            </w:r>
          </w:p>
        </w:tc>
        <w:tc>
          <w:tcPr>
            <w:tcW w:w="120" w:type="dxa"/>
            <w:vAlign w:val="bottom"/>
            <w:shd w:val="clear" w:color="auto" w:fill="CCECFF"/>
          </w:tcPr>
          <w:p>
            <w:pPr>
              <w:spacing w:after="0"/>
              <w:rPr>
                <w:sz w:val="11"/>
                <w:szCs w:val="11"/>
                <w:color w:val="auto"/>
              </w:rPr>
            </w:pPr>
          </w:p>
        </w:tc>
      </w:tr>
      <w:tr>
        <w:trPr>
          <w:trHeight w:val="168"/>
        </w:trPr>
        <w:tc>
          <w:tcPr>
            <w:tcW w:w="308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b w:val="1"/>
                <w:bCs w:val="1"/>
                <w:color w:val="auto"/>
              </w:rPr>
              <w:t>Total Investments and Cash Equivalents—886.0%</w:t>
            </w:r>
          </w:p>
        </w:tc>
        <w:tc>
          <w:tcPr>
            <w:tcW w:w="120" w:type="dxa"/>
            <w:vAlign w:val="bottom"/>
            <w:tcBorders>
              <w:bottom w:val="single" w:sz="8" w:color="CCECFF"/>
            </w:tcBorders>
          </w:tcPr>
          <w:p>
            <w:pPr>
              <w:spacing w:after="0"/>
              <w:rPr>
                <w:sz w:val="14"/>
                <w:szCs w:val="14"/>
                <w:color w:val="auto"/>
              </w:rPr>
            </w:pPr>
          </w:p>
        </w:tc>
        <w:tc>
          <w:tcPr>
            <w:tcW w:w="540" w:type="dxa"/>
            <w:vAlign w:val="bottom"/>
            <w:tcBorders>
              <w:bottom w:val="single" w:sz="8" w:color="CCECFF"/>
            </w:tcBorders>
          </w:tcPr>
          <w:p>
            <w:pPr>
              <w:spacing w:after="0"/>
              <w:rPr>
                <w:sz w:val="14"/>
                <w:szCs w:val="14"/>
                <w:color w:val="auto"/>
              </w:rPr>
            </w:pPr>
          </w:p>
        </w:tc>
        <w:tc>
          <w:tcPr>
            <w:tcW w:w="220" w:type="dxa"/>
            <w:vAlign w:val="bottom"/>
            <w:tcBorders>
              <w:bottom w:val="single" w:sz="8" w:color="CCECFF"/>
            </w:tcBorders>
          </w:tcPr>
          <w:p>
            <w:pPr>
              <w:spacing w:after="0"/>
              <w:rPr>
                <w:sz w:val="14"/>
                <w:szCs w:val="14"/>
                <w:color w:val="auto"/>
              </w:rPr>
            </w:pPr>
          </w:p>
        </w:tc>
        <w:tc>
          <w:tcPr>
            <w:tcW w:w="256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700" w:type="dxa"/>
            <w:vAlign w:val="bottom"/>
            <w:tcBorders>
              <w:bottom w:val="single" w:sz="8" w:color="CCECFF"/>
            </w:tcBorders>
          </w:tcPr>
          <w:p>
            <w:pPr>
              <w:spacing w:after="0"/>
              <w:rPr>
                <w:sz w:val="14"/>
                <w:szCs w:val="14"/>
                <w:color w:val="auto"/>
              </w:rPr>
            </w:pPr>
          </w:p>
        </w:tc>
        <w:tc>
          <w:tcPr>
            <w:tcW w:w="14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480" w:type="dxa"/>
            <w:vAlign w:val="bottom"/>
            <w:tcBorders>
              <w:bottom w:val="single" w:sz="8" w:color="CCECFF"/>
            </w:tcBorders>
          </w:tcPr>
          <w:p>
            <w:pPr>
              <w:spacing w:after="0"/>
              <w:rPr>
                <w:sz w:val="14"/>
                <w:szCs w:val="14"/>
                <w:color w:val="auto"/>
              </w:rPr>
            </w:pPr>
          </w:p>
        </w:tc>
        <w:tc>
          <w:tcPr>
            <w:tcW w:w="320" w:type="dxa"/>
            <w:vAlign w:val="bottom"/>
            <w:tcBorders>
              <w:bottom w:val="single" w:sz="8" w:color="CCECFF"/>
            </w:tcBorders>
          </w:tcPr>
          <w:p>
            <w:pPr>
              <w:spacing w:after="0"/>
              <w:rPr>
                <w:sz w:val="14"/>
                <w:szCs w:val="14"/>
                <w:color w:val="auto"/>
              </w:rPr>
            </w:pPr>
          </w:p>
        </w:tc>
        <w:tc>
          <w:tcPr>
            <w:tcW w:w="14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560" w:type="dxa"/>
            <w:vAlign w:val="bottom"/>
            <w:tcBorders>
              <w:bottom w:val="single" w:sz="8" w:color="CCECFF"/>
            </w:tcBorders>
          </w:tcPr>
          <w:p>
            <w:pPr>
              <w:spacing w:after="0"/>
              <w:rPr>
                <w:sz w:val="14"/>
                <w:szCs w:val="14"/>
                <w:color w:val="auto"/>
              </w:rPr>
            </w:pPr>
          </w:p>
        </w:tc>
        <w:tc>
          <w:tcPr>
            <w:tcW w:w="24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1"/>
              </w:rPr>
              <w:t>419,366,775</w:t>
            </w:r>
          </w:p>
        </w:tc>
        <w:tc>
          <w:tcPr>
            <w:tcW w:w="22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8"/>
              </w:rPr>
              <w:t>404,107,569</w:t>
            </w:r>
          </w:p>
        </w:tc>
        <w:tc>
          <w:tcPr>
            <w:tcW w:w="120" w:type="dxa"/>
            <w:vAlign w:val="bottom"/>
            <w:tcBorders>
              <w:bottom w:val="single" w:sz="8" w:color="CCECFF"/>
            </w:tcBorders>
          </w:tcPr>
          <w:p>
            <w:pPr>
              <w:spacing w:after="0"/>
              <w:rPr>
                <w:sz w:val="14"/>
                <w:szCs w:val="14"/>
                <w:color w:val="auto"/>
              </w:rPr>
            </w:pPr>
          </w:p>
        </w:tc>
      </w:tr>
      <w:tr>
        <w:trPr>
          <w:trHeight w:val="116"/>
        </w:trPr>
        <w:tc>
          <w:tcPr>
            <w:tcW w:w="3080" w:type="dxa"/>
            <w:vAlign w:val="bottom"/>
            <w:gridSpan w:val="2"/>
            <w:shd w:val="clear" w:color="auto" w:fill="CCECFF"/>
          </w:tcPr>
          <w:p>
            <w:pPr>
              <w:spacing w:after="0" w:line="116" w:lineRule="exact"/>
              <w:rPr>
                <w:sz w:val="20"/>
                <w:szCs w:val="20"/>
                <w:color w:val="auto"/>
              </w:rPr>
            </w:pPr>
            <w:r>
              <w:rPr>
                <w:rFonts w:ascii="Arial" w:cs="Arial" w:eastAsia="Arial" w:hAnsi="Arial"/>
                <w:sz w:val="11"/>
                <w:szCs w:val="11"/>
                <w:b w:val="1"/>
                <w:bCs w:val="1"/>
                <w:color w:val="auto"/>
              </w:rPr>
              <w:t>Liabilities in Excess of Other Assets—(786.0)%</w:t>
            </w: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25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3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80"/>
              <w:spacing w:after="0" w:line="116" w:lineRule="exact"/>
              <w:rPr>
                <w:sz w:val="20"/>
                <w:szCs w:val="20"/>
                <w:color w:val="auto"/>
              </w:rPr>
            </w:pPr>
            <w:r>
              <w:rPr>
                <w:rFonts w:ascii="Arial" w:cs="Arial" w:eastAsia="Arial" w:hAnsi="Arial"/>
                <w:sz w:val="11"/>
                <w:szCs w:val="11"/>
                <w:color w:val="auto"/>
                <w:w w:val="96"/>
              </w:rPr>
              <w:t>(358,495,484)</w:t>
            </w:r>
          </w:p>
        </w:tc>
      </w:tr>
      <w:tr>
        <w:trPr>
          <w:trHeight w:val="128"/>
        </w:trPr>
        <w:tc>
          <w:tcPr>
            <w:tcW w:w="3080" w:type="dxa"/>
            <w:vAlign w:val="bottom"/>
            <w:gridSpan w:val="2"/>
          </w:tcPr>
          <w:p>
            <w:pPr>
              <w:spacing w:after="0"/>
              <w:rPr>
                <w:sz w:val="20"/>
                <w:szCs w:val="20"/>
                <w:color w:val="auto"/>
              </w:rPr>
            </w:pPr>
            <w:r>
              <w:rPr>
                <w:rFonts w:ascii="Arial" w:cs="Arial" w:eastAsia="Arial" w:hAnsi="Arial"/>
                <w:sz w:val="11"/>
                <w:szCs w:val="11"/>
                <w:b w:val="1"/>
                <w:bCs w:val="1"/>
                <w:color w:val="auto"/>
              </w:rPr>
              <w:t>Members' Equity—100.0%</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45,612,085</w:t>
            </w:r>
          </w:p>
        </w:tc>
        <w:tc>
          <w:tcPr>
            <w:tcW w:w="120" w:type="dxa"/>
            <w:vAlign w:val="bottom"/>
          </w:tcPr>
          <w:p>
            <w:pPr>
              <w:spacing w:after="0"/>
              <w:rPr>
                <w:sz w:val="11"/>
                <w:szCs w:val="11"/>
                <w:color w:val="auto"/>
              </w:rPr>
            </w:pPr>
          </w:p>
        </w:tc>
      </w:tr>
      <w:tr>
        <w:trPr>
          <w:trHeight w:val="20"/>
        </w:trPr>
        <w:tc>
          <w:tcPr>
            <w:tcW w:w="2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
        </w:trPr>
        <w:tc>
          <w:tcPr>
            <w:tcW w:w="29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r>
    </w:tbl>
    <w:p>
      <w:pPr>
        <w:spacing w:after="0" w:line="31" w:lineRule="exact"/>
        <w:rPr>
          <w:sz w:val="20"/>
          <w:szCs w:val="20"/>
          <w:color w:val="auto"/>
        </w:rPr>
      </w:pPr>
    </w:p>
    <w:p>
      <w:pPr>
        <w:ind w:left="380" w:right="40" w:hanging="372"/>
        <w:spacing w:after="0" w:line="235" w:lineRule="auto"/>
        <w:tabs>
          <w:tab w:leader="none" w:pos="380" w:val="left"/>
        </w:tabs>
        <w:numPr>
          <w:ilvl w:val="0"/>
          <w:numId w:val="24"/>
        </w:numPr>
        <w:rPr>
          <w:rFonts w:ascii="Arial" w:cs="Arial" w:eastAsia="Arial" w:hAnsi="Arial"/>
          <w:sz w:val="9"/>
          <w:szCs w:val="9"/>
          <w:b w:val="1"/>
          <w:bCs w:val="1"/>
          <w:color w:val="auto"/>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ind w:left="380" w:hanging="372"/>
        <w:spacing w:after="0" w:line="230" w:lineRule="auto"/>
        <w:tabs>
          <w:tab w:leader="none" w:pos="380" w:val="left"/>
        </w:tabs>
        <w:numPr>
          <w:ilvl w:val="0"/>
          <w:numId w:val="24"/>
        </w:numPr>
        <w:rPr>
          <w:rFonts w:ascii="Arial" w:cs="Arial" w:eastAsia="Arial" w:hAnsi="Arial"/>
          <w:sz w:val="9"/>
          <w:szCs w:val="9"/>
          <w:b w:val="1"/>
          <w:bCs w:val="1"/>
          <w:color w:val="auto"/>
        </w:rPr>
      </w:pPr>
      <w:r>
        <w:rPr>
          <w:rFonts w:ascii="Arial" w:cs="Arial" w:eastAsia="Arial" w:hAnsi="Arial"/>
          <w:sz w:val="11"/>
          <w:szCs w:val="11"/>
          <w:color w:val="auto"/>
        </w:rPr>
        <w:t>Valued based on PSSL’s accounting policy.</w:t>
      </w:r>
    </w:p>
    <w:p>
      <w:pPr>
        <w:ind w:left="380" w:hanging="372"/>
        <w:spacing w:after="0" w:line="230" w:lineRule="auto"/>
        <w:tabs>
          <w:tab w:leader="none" w:pos="380" w:val="left"/>
        </w:tabs>
        <w:numPr>
          <w:ilvl w:val="0"/>
          <w:numId w:val="24"/>
        </w:numPr>
        <w:rPr>
          <w:rFonts w:ascii="Arial" w:cs="Arial" w:eastAsia="Arial" w:hAnsi="Arial"/>
          <w:sz w:val="9"/>
          <w:szCs w:val="9"/>
          <w:b w:val="1"/>
          <w:bCs w:val="1"/>
          <w:color w:val="auto"/>
        </w:rPr>
      </w:pPr>
      <w:r>
        <w:rPr>
          <w:rFonts w:ascii="Arial" w:cs="Arial" w:eastAsia="Arial" w:hAnsi="Arial"/>
          <w:sz w:val="11"/>
          <w:szCs w:val="11"/>
          <w:color w:val="auto"/>
        </w:rPr>
        <w:t>Non-U.S. company or principal place of business outside the United States.</w:t>
      </w:r>
    </w:p>
    <w:p>
      <w:pPr>
        <w:ind w:left="380" w:hanging="372"/>
        <w:spacing w:after="0" w:line="230" w:lineRule="auto"/>
        <w:tabs>
          <w:tab w:leader="none" w:pos="380" w:val="left"/>
        </w:tabs>
        <w:numPr>
          <w:ilvl w:val="0"/>
          <w:numId w:val="24"/>
        </w:numPr>
        <w:rPr>
          <w:rFonts w:ascii="Arial" w:cs="Arial" w:eastAsia="Arial" w:hAnsi="Arial"/>
          <w:sz w:val="9"/>
          <w:szCs w:val="9"/>
          <w:b w:val="1"/>
          <w:bCs w:val="1"/>
          <w:color w:val="auto"/>
        </w:rPr>
      </w:pPr>
      <w:r>
        <w:rPr>
          <w:rFonts w:ascii="Arial" w:cs="Arial" w:eastAsia="Arial" w:hAnsi="Arial"/>
          <w:sz w:val="11"/>
          <w:szCs w:val="11"/>
          <w:color w:val="auto"/>
        </w:rPr>
        <w:t>Par amount is denominated in Australian Dollars (A$) or in Canadian Dollars (C$) as denoted.</w:t>
      </w:r>
    </w:p>
    <w:p>
      <w:pPr>
        <w:ind w:left="380" w:hanging="372"/>
        <w:spacing w:after="0"/>
        <w:tabs>
          <w:tab w:leader="none" w:pos="380" w:val="left"/>
        </w:tabs>
        <w:numPr>
          <w:ilvl w:val="0"/>
          <w:numId w:val="24"/>
        </w:numPr>
        <w:rPr>
          <w:rFonts w:ascii="Arial" w:cs="Arial" w:eastAsia="Arial" w:hAnsi="Arial"/>
          <w:sz w:val="9"/>
          <w:szCs w:val="9"/>
          <w:b w:val="1"/>
          <w:bCs w:val="1"/>
          <w:color w:val="auto"/>
        </w:rPr>
      </w:pPr>
      <w:r>
        <w:rPr>
          <w:rFonts w:ascii="Arial" w:cs="Arial" w:eastAsia="Arial" w:hAnsi="Arial"/>
          <w:sz w:val="11"/>
          <w:szCs w:val="11"/>
          <w:color w:val="auto"/>
        </w:rPr>
        <w:t>Non-income producing security.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82"/>
        </w:trPr>
        <w:tc>
          <w:tcPr>
            <w:tcW w:w="7040" w:type="dxa"/>
            <w:vAlign w:val="bottom"/>
          </w:tcPr>
          <w:p>
            <w:pPr>
              <w:ind w:left="440"/>
              <w:spacing w:after="0"/>
              <w:rPr>
                <w:sz w:val="20"/>
                <w:szCs w:val="20"/>
                <w:color w:val="auto"/>
              </w:rPr>
            </w:pPr>
            <w:r>
              <w:rPr>
                <w:rFonts w:ascii="Arial" w:cs="Arial" w:eastAsia="Arial" w:hAnsi="Arial"/>
                <w:sz w:val="14"/>
                <w:szCs w:val="14"/>
                <w:color w:val="auto"/>
              </w:rPr>
              <w:t>Below is the financial information for PSSL:</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7040" w:type="dxa"/>
            <w:vAlign w:val="bottom"/>
          </w:tcPr>
          <w:p>
            <w:pPr>
              <w:ind w:left="4480"/>
              <w:spacing w:after="0"/>
              <w:rPr>
                <w:sz w:val="20"/>
                <w:szCs w:val="20"/>
                <w:color w:val="auto"/>
              </w:rPr>
            </w:pPr>
            <w:r>
              <w:rPr>
                <w:rFonts w:ascii="Arial" w:cs="Arial" w:eastAsia="Arial" w:hAnsi="Arial"/>
                <w:sz w:val="14"/>
                <w:szCs w:val="14"/>
                <w:b w:val="1"/>
                <w:bCs w:val="1"/>
                <w:color w:val="auto"/>
              </w:rPr>
              <w:t>Statements of Assets and Liabilities</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6"/>
              </w:rPr>
              <w:t>March 31, 2021</w:t>
            </w:r>
          </w:p>
        </w:tc>
        <w:tc>
          <w:tcPr>
            <w:tcW w:w="140" w:type="dxa"/>
            <w:vAlign w:val="bottom"/>
          </w:tcPr>
          <w:p>
            <w:pPr>
              <w:spacing w:after="0"/>
              <w:rPr>
                <w:sz w:val="24"/>
                <w:szCs w:val="2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171"/>
        </w:trPr>
        <w:tc>
          <w:tcPr>
            <w:tcW w:w="704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04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040" w:type="dxa"/>
            <w:vAlign w:val="bottom"/>
            <w:shd w:val="clear" w:color="auto" w:fill="CCECFF"/>
          </w:tcPr>
          <w:p>
            <w:pPr>
              <w:spacing w:after="0"/>
              <w:rPr>
                <w:sz w:val="20"/>
                <w:szCs w:val="20"/>
                <w:color w:val="auto"/>
              </w:rPr>
            </w:pPr>
            <w:r>
              <w:rPr>
                <w:rFonts w:ascii="Arial" w:cs="Arial" w:eastAsia="Arial" w:hAnsi="Arial"/>
                <w:sz w:val="14"/>
                <w:szCs w:val="14"/>
                <w:color w:val="auto"/>
              </w:rPr>
              <w:t>Investments at fair value (cost—$492,710,399 and $408,251,402, respectively)</w:t>
            </w:r>
          </w:p>
        </w:tc>
        <w:tc>
          <w:tcPr>
            <w:tcW w:w="620" w:type="dxa"/>
            <w:vAlign w:val="bottom"/>
            <w:gridSpan w:val="2"/>
            <w:shd w:val="clear" w:color="auto" w:fill="CCEC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485,117,492</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jc w:val="right"/>
              <w:ind w:right="29"/>
              <w:spacing w:after="0"/>
              <w:rPr>
                <w:sz w:val="20"/>
                <w:szCs w:val="20"/>
                <w:color w:val="auto"/>
              </w:rPr>
            </w:pPr>
            <w:r>
              <w:rPr>
                <w:rFonts w:ascii="Arial" w:cs="Arial" w:eastAsia="Arial" w:hAnsi="Arial"/>
                <w:sz w:val="10"/>
                <w:szCs w:val="10"/>
                <w:color w:val="auto"/>
                <w:w w:val="71"/>
              </w:rPr>
              <w:t>$</w:t>
            </w: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392,986,090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tcPr>
          <w:p>
            <w:pPr>
              <w:spacing w:after="0"/>
              <w:rPr>
                <w:sz w:val="20"/>
                <w:szCs w:val="20"/>
                <w:color w:val="auto"/>
              </w:rPr>
            </w:pPr>
            <w:r>
              <w:rPr>
                <w:rFonts w:ascii="Arial" w:cs="Arial" w:eastAsia="Arial" w:hAnsi="Arial"/>
                <w:sz w:val="14"/>
                <w:szCs w:val="14"/>
                <w:color w:val="auto"/>
              </w:rPr>
              <w:t>Cash and cash equivalents (cost—$43,732,593 and $11,115,373, respectively)</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43,731,177</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11,121,479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shd w:val="clear" w:color="auto" w:fill="CCECFF"/>
          </w:tcPr>
          <w:p>
            <w:pPr>
              <w:spacing w:after="0"/>
              <w:rPr>
                <w:sz w:val="20"/>
                <w:szCs w:val="20"/>
                <w:color w:val="auto"/>
              </w:rPr>
            </w:pPr>
            <w:r>
              <w:rPr>
                <w:rFonts w:ascii="Arial" w:cs="Arial" w:eastAsia="Arial" w:hAnsi="Arial"/>
                <w:sz w:val="14"/>
                <w:szCs w:val="14"/>
                <w:color w:val="auto"/>
              </w:rPr>
              <w:t>Interest receivable</w:t>
            </w:r>
          </w:p>
        </w:tc>
        <w:tc>
          <w:tcPr>
            <w:tcW w:w="4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1,897,994</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2,235,595</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Prepaid expenses and other assets</w:t>
            </w:r>
          </w:p>
        </w:tc>
        <w:tc>
          <w:tcPr>
            <w:tcW w:w="400" w:type="dxa"/>
            <w:vAlign w:val="bottom"/>
            <w:tcBorders>
              <w:bottom w:val="single" w:sz="8" w:color="CCEC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1,424,936</w:t>
            </w:r>
          </w:p>
        </w:tc>
        <w:tc>
          <w:tcPr>
            <w:tcW w:w="30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62,812</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040" w:type="dxa"/>
            <w:vAlign w:val="bottom"/>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assets</w:t>
            </w:r>
          </w:p>
        </w:tc>
        <w:tc>
          <w:tcPr>
            <w:tcW w:w="40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14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532,171,599</w:t>
            </w:r>
          </w:p>
        </w:tc>
        <w:tc>
          <w:tcPr>
            <w:tcW w:w="300" w:type="dxa"/>
            <w:vAlign w:val="bottom"/>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15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406,405,976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40" w:type="dxa"/>
            <w:vAlign w:val="bottom"/>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040" w:type="dxa"/>
            <w:vAlign w:val="bottom"/>
            <w:shd w:val="clear" w:color="auto" w:fill="CCECFF"/>
          </w:tcPr>
          <w:p>
            <w:pPr>
              <w:spacing w:after="0"/>
              <w:rPr>
                <w:sz w:val="20"/>
                <w:szCs w:val="20"/>
                <w:color w:val="auto"/>
              </w:rPr>
            </w:pPr>
            <w:r>
              <w:rPr>
                <w:rFonts w:ascii="Arial" w:cs="Arial" w:eastAsia="Arial" w:hAnsi="Arial"/>
                <w:sz w:val="14"/>
                <w:szCs w:val="14"/>
                <w:color w:val="auto"/>
              </w:rPr>
              <w:t>Payable for investments purchased</w:t>
            </w:r>
          </w:p>
        </w:tc>
        <w:tc>
          <w:tcPr>
            <w:tcW w:w="4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2,627,308</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66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040" w:type="dxa"/>
            <w:vAlign w:val="bottom"/>
          </w:tcPr>
          <w:p>
            <w:pPr>
              <w:spacing w:after="0"/>
              <w:rPr>
                <w:sz w:val="20"/>
                <w:szCs w:val="20"/>
                <w:color w:val="auto"/>
              </w:rPr>
            </w:pPr>
            <w:r>
              <w:rPr>
                <w:rFonts w:ascii="Arial" w:cs="Arial" w:eastAsia="Arial" w:hAnsi="Arial"/>
                <w:sz w:val="14"/>
                <w:szCs w:val="14"/>
                <w:color w:val="auto"/>
              </w:rPr>
              <w:t>PSSL Credit Facility payable</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89,000,000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040" w:type="dxa"/>
            <w:vAlign w:val="bottom"/>
            <w:shd w:val="clear" w:color="auto" w:fill="CCECFF"/>
          </w:tcPr>
          <w:p>
            <w:pPr>
              <w:spacing w:after="0"/>
              <w:rPr>
                <w:sz w:val="20"/>
                <w:szCs w:val="20"/>
                <w:color w:val="auto"/>
              </w:rPr>
            </w:pPr>
            <w:r>
              <w:rPr>
                <w:rFonts w:ascii="Arial" w:cs="Arial" w:eastAsia="Arial" w:hAnsi="Arial"/>
                <w:sz w:val="14"/>
                <w:szCs w:val="14"/>
                <w:color w:val="auto"/>
              </w:rPr>
              <w:t>Capital One, N.A. credit facility payable</w:t>
            </w:r>
          </w:p>
        </w:tc>
        <w:tc>
          <w:tcPr>
            <w:tcW w:w="4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780" w:type="dxa"/>
            <w:vAlign w:val="bottom"/>
            <w:gridSpan w:val="2"/>
            <w:shd w:val="clear" w:color="auto" w:fill="CCECFF"/>
          </w:tcPr>
          <w:p>
            <w:pPr>
              <w:jc w:val="right"/>
              <w:ind w:right="3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216,969,469</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tcPr>
          <w:p>
            <w:pPr>
              <w:spacing w:after="0"/>
              <w:rPr>
                <w:sz w:val="20"/>
                <w:szCs w:val="20"/>
                <w:color w:val="auto"/>
              </w:rPr>
            </w:pPr>
            <w:r>
              <w:rPr>
                <w:rFonts w:ascii="Arial" w:cs="Arial" w:eastAsia="Arial" w:hAnsi="Arial"/>
                <w:sz w:val="14"/>
                <w:szCs w:val="14"/>
                <w:color w:val="auto"/>
              </w:rPr>
              <w:t>2032 Asset-Backed Debt, net (par—$246,000,000)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242,452,861</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040" w:type="dxa"/>
            <w:vAlign w:val="bottom"/>
            <w:shd w:val="clear" w:color="auto" w:fill="CCECFF"/>
          </w:tcPr>
          <w:p>
            <w:pPr>
              <w:spacing w:after="0"/>
              <w:rPr>
                <w:sz w:val="20"/>
                <w:szCs w:val="20"/>
                <w:color w:val="auto"/>
              </w:rPr>
            </w:pPr>
            <w:r>
              <w:rPr>
                <w:rFonts w:ascii="Arial" w:cs="Arial" w:eastAsia="Arial" w:hAnsi="Arial"/>
                <w:sz w:val="14"/>
                <w:szCs w:val="14"/>
                <w:color w:val="auto"/>
              </w:rPr>
              <w:t>Notes payable to members</w:t>
            </w:r>
          </w:p>
        </w:tc>
        <w:tc>
          <w:tcPr>
            <w:tcW w:w="4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144,550,000</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143,290,000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tcPr>
          <w:p>
            <w:pPr>
              <w:spacing w:after="0"/>
              <w:rPr>
                <w:sz w:val="20"/>
                <w:szCs w:val="20"/>
                <w:color w:val="auto"/>
              </w:rPr>
            </w:pPr>
            <w:r>
              <w:rPr>
                <w:rFonts w:ascii="Arial" w:cs="Arial" w:eastAsia="Arial" w:hAnsi="Arial"/>
                <w:sz w:val="14"/>
                <w:szCs w:val="14"/>
                <w:color w:val="auto"/>
              </w:rPr>
              <w:t>Interest payable on PSSL Credit Facility</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1,444,561</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490,858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shd w:val="clear" w:color="auto" w:fill="CCECFF"/>
          </w:tcPr>
          <w:p>
            <w:pPr>
              <w:spacing w:after="0"/>
              <w:rPr>
                <w:sz w:val="20"/>
                <w:szCs w:val="20"/>
                <w:color w:val="auto"/>
              </w:rPr>
            </w:pPr>
            <w:r>
              <w:rPr>
                <w:rFonts w:ascii="Arial" w:cs="Arial" w:eastAsia="Arial" w:hAnsi="Arial"/>
                <w:sz w:val="14"/>
                <w:szCs w:val="14"/>
                <w:color w:val="auto"/>
              </w:rPr>
              <w:t>Interest payable on notes to members</w:t>
            </w:r>
          </w:p>
        </w:tc>
        <w:tc>
          <w:tcPr>
            <w:tcW w:w="4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32,935</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32,719</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Accrued other expenses</w:t>
            </w:r>
          </w:p>
        </w:tc>
        <w:tc>
          <w:tcPr>
            <w:tcW w:w="400" w:type="dxa"/>
            <w:vAlign w:val="bottom"/>
            <w:tcBorders>
              <w:bottom w:val="single" w:sz="8" w:color="CCEC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57,834</w:t>
            </w:r>
          </w:p>
        </w:tc>
        <w:tc>
          <w:tcPr>
            <w:tcW w:w="30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10,845</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040" w:type="dxa"/>
            <w:vAlign w:val="bottom"/>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liabilities</w:t>
            </w:r>
          </w:p>
        </w:tc>
        <w:tc>
          <w:tcPr>
            <w:tcW w:w="40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14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480,165,499</w:t>
            </w:r>
          </w:p>
        </w:tc>
        <w:tc>
          <w:tcPr>
            <w:tcW w:w="300" w:type="dxa"/>
            <w:vAlign w:val="bottom"/>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15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360,793,891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04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 xml:space="preserve">Commitments and contingencies </w:t>
            </w:r>
            <w:r>
              <w:rPr>
                <w:rFonts w:ascii="Arial" w:cs="Arial" w:eastAsia="Arial" w:hAnsi="Arial"/>
                <w:sz w:val="12"/>
                <w:szCs w:val="12"/>
                <w:color w:val="auto"/>
              </w:rPr>
              <w:t>(1)</w:t>
            </w:r>
          </w:p>
        </w:tc>
        <w:tc>
          <w:tcPr>
            <w:tcW w:w="40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CCEC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40" w:type="dxa"/>
            <w:vAlign w:val="bottom"/>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Members' equity</w:t>
            </w:r>
          </w:p>
        </w:tc>
        <w:tc>
          <w:tcPr>
            <w:tcW w:w="40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14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52,006,100</w:t>
            </w:r>
          </w:p>
        </w:tc>
        <w:tc>
          <w:tcPr>
            <w:tcW w:w="300" w:type="dxa"/>
            <w:vAlign w:val="bottom"/>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15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45,612,085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040" w:type="dxa"/>
            <w:vAlign w:val="bottom"/>
          </w:tcPr>
          <w:p>
            <w:pPr>
              <w:ind w:left="740"/>
              <w:spacing w:after="0" w:line="155" w:lineRule="exact"/>
              <w:rPr>
                <w:sz w:val="20"/>
                <w:szCs w:val="20"/>
                <w:color w:val="auto"/>
              </w:rPr>
            </w:pPr>
            <w:r>
              <w:rPr>
                <w:rFonts w:ascii="Arial" w:cs="Arial" w:eastAsia="Arial" w:hAnsi="Arial"/>
                <w:sz w:val="14"/>
                <w:szCs w:val="14"/>
                <w:b w:val="1"/>
                <w:bCs w:val="1"/>
                <w:color w:val="auto"/>
              </w:rPr>
              <w:t>Total liabilities and members' equity</w:t>
            </w:r>
          </w:p>
        </w:tc>
        <w:tc>
          <w:tcPr>
            <w:tcW w:w="40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532,171,599</w:t>
            </w:r>
          </w:p>
        </w:tc>
        <w:tc>
          <w:tcPr>
            <w:tcW w:w="300" w:type="dxa"/>
            <w:vAlign w:val="bottom"/>
          </w:tcPr>
          <w:p>
            <w:pPr>
              <w:spacing w:after="0"/>
              <w:rPr>
                <w:sz w:val="13"/>
                <w:szCs w:val="13"/>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406,405,976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8599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8" w:lineRule="exact"/>
        <w:rPr>
          <w:sz w:val="20"/>
          <w:szCs w:val="20"/>
          <w:color w:val="auto"/>
        </w:rPr>
      </w:pPr>
    </w:p>
    <w:p>
      <w:pPr>
        <w:ind w:left="380" w:hanging="372"/>
        <w:spacing w:after="0"/>
        <w:tabs>
          <w:tab w:leader="none" w:pos="380" w:val="left"/>
        </w:tabs>
        <w:numPr>
          <w:ilvl w:val="0"/>
          <w:numId w:val="25"/>
        </w:numPr>
        <w:rPr>
          <w:rFonts w:ascii="Arial" w:cs="Arial" w:eastAsia="Arial" w:hAnsi="Arial"/>
          <w:sz w:val="9"/>
          <w:szCs w:val="9"/>
          <w:b w:val="1"/>
          <w:bCs w:val="1"/>
          <w:color w:val="auto"/>
        </w:rPr>
      </w:pPr>
      <w:r>
        <w:rPr>
          <w:rFonts w:ascii="Arial" w:cs="Arial" w:eastAsia="Arial" w:hAnsi="Arial"/>
          <w:sz w:val="11"/>
          <w:szCs w:val="11"/>
          <w:color w:val="auto"/>
        </w:rPr>
        <w:t>As of March 31, 2021 and September 30, 2020, PSSL had unfunded commitments to fund investments of $0.6 million and zero, respectively.</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22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92"/>
              </w:rPr>
              <w:t>Statements of Operations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Pr>
          <w:p>
            <w:pPr>
              <w:spacing w:after="0"/>
              <w:rPr>
                <w:sz w:val="14"/>
                <w:szCs w:val="14"/>
                <w:color w:val="auto"/>
              </w:rPr>
            </w:pPr>
          </w:p>
        </w:tc>
        <w:tc>
          <w:tcPr>
            <w:tcW w:w="24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Six Months Ended March 31,</w:t>
            </w:r>
          </w:p>
        </w:tc>
      </w:tr>
      <w:tr>
        <w:trPr>
          <w:trHeight w:val="155"/>
        </w:trPr>
        <w:tc>
          <w:tcPr>
            <w:tcW w:w="4740" w:type="dxa"/>
            <w:vAlign w:val="bottom"/>
            <w:tcBorders>
              <w:bottom w:val="single" w:sz="8" w:color="CCECFF"/>
            </w:tcBorders>
          </w:tcPr>
          <w:p>
            <w:pPr>
              <w:spacing w:after="0"/>
              <w:rPr>
                <w:sz w:val="13"/>
                <w:szCs w:val="13"/>
                <w:color w:val="auto"/>
              </w:rPr>
            </w:pPr>
          </w:p>
        </w:tc>
        <w:tc>
          <w:tcPr>
            <w:tcW w:w="940" w:type="dxa"/>
            <w:vAlign w:val="bottom"/>
            <w:tcBorders>
              <w:bottom w:val="single" w:sz="8" w:color="CCEC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CFF"/>
            </w:tcBorders>
          </w:tcPr>
          <w:p>
            <w:pPr>
              <w:spacing w:after="0"/>
              <w:rPr>
                <w:sz w:val="13"/>
                <w:szCs w:val="13"/>
                <w:color w:val="auto"/>
              </w:rPr>
            </w:pPr>
          </w:p>
        </w:tc>
        <w:tc>
          <w:tcPr>
            <w:tcW w:w="100" w:type="dxa"/>
            <w:vAlign w:val="bottom"/>
            <w:tcBorders>
              <w:top w:val="single" w:sz="8" w:color="auto"/>
              <w:bottom w:val="single" w:sz="8" w:color="CCEC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CFF"/>
            </w:tcBorders>
          </w:tcPr>
          <w:p>
            <w:pPr>
              <w:spacing w:after="0"/>
              <w:rPr>
                <w:sz w:val="13"/>
                <w:szCs w:val="13"/>
                <w:color w:val="auto"/>
              </w:rPr>
            </w:pPr>
          </w:p>
        </w:tc>
        <w:tc>
          <w:tcPr>
            <w:tcW w:w="100" w:type="dxa"/>
            <w:vAlign w:val="bottom"/>
            <w:tcBorders>
              <w:top w:val="single" w:sz="8" w:color="auto"/>
              <w:bottom w:val="single" w:sz="8" w:color="CCEC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CFF"/>
            </w:tcBorders>
          </w:tcPr>
          <w:p>
            <w:pPr>
              <w:spacing w:after="0"/>
              <w:rPr>
                <w:sz w:val="13"/>
                <w:szCs w:val="13"/>
                <w:color w:val="auto"/>
              </w:rPr>
            </w:pPr>
          </w:p>
        </w:tc>
      </w:tr>
      <w:tr>
        <w:trPr>
          <w:trHeight w:val="156"/>
        </w:trPr>
        <w:tc>
          <w:tcPr>
            <w:tcW w:w="47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9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4740" w:type="dxa"/>
            <w:vAlign w:val="bottom"/>
          </w:tcPr>
          <w:p>
            <w:pPr>
              <w:ind w:left="260"/>
              <w:spacing w:after="0"/>
              <w:rPr>
                <w:sz w:val="20"/>
                <w:szCs w:val="20"/>
                <w:color w:val="auto"/>
              </w:rPr>
            </w:pPr>
            <w:r>
              <w:rPr>
                <w:rFonts w:ascii="Arial" w:cs="Arial" w:eastAsia="Arial" w:hAnsi="Arial"/>
                <w:sz w:val="14"/>
                <w:szCs w:val="14"/>
                <w:color w:val="auto"/>
              </w:rPr>
              <w:t>Interest</w:t>
            </w:r>
          </w:p>
        </w:tc>
        <w:tc>
          <w:tcPr>
            <w:tcW w:w="11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8,305,134</w:t>
            </w:r>
          </w:p>
        </w:tc>
        <w:tc>
          <w:tcPr>
            <w:tcW w:w="140" w:type="dxa"/>
            <w:vAlign w:val="bottom"/>
          </w:tcPr>
          <w:p>
            <w:pPr>
              <w:spacing w:after="0"/>
              <w:rPr>
                <w:sz w:val="14"/>
                <w:szCs w:val="14"/>
                <w:color w:val="auto"/>
              </w:rPr>
            </w:pPr>
          </w:p>
        </w:tc>
        <w:tc>
          <w:tcPr>
            <w:tcW w:w="36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8,623,991</w:t>
            </w:r>
          </w:p>
        </w:tc>
        <w:tc>
          <w:tcPr>
            <w:tcW w:w="240" w:type="dxa"/>
            <w:vAlign w:val="bottom"/>
          </w:tcPr>
          <w:p>
            <w:pPr>
              <w:spacing w:after="0"/>
              <w:rPr>
                <w:sz w:val="14"/>
                <w:szCs w:val="14"/>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15,053,073</w:t>
            </w:r>
          </w:p>
        </w:tc>
        <w:tc>
          <w:tcPr>
            <w:tcW w:w="140" w:type="dxa"/>
            <w:vAlign w:val="bottom"/>
          </w:tcPr>
          <w:p>
            <w:pPr>
              <w:spacing w:after="0"/>
              <w:rPr>
                <w:sz w:val="14"/>
                <w:szCs w:val="14"/>
                <w:color w:val="auto"/>
              </w:rPr>
            </w:pPr>
          </w:p>
        </w:tc>
        <w:tc>
          <w:tcPr>
            <w:tcW w:w="36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17,399,249</w:t>
            </w:r>
          </w:p>
        </w:tc>
        <w:tc>
          <w:tcPr>
            <w:tcW w:w="100" w:type="dxa"/>
            <w:vAlign w:val="bottom"/>
          </w:tcPr>
          <w:p>
            <w:pPr>
              <w:spacing w:after="0"/>
              <w:rPr>
                <w:sz w:val="14"/>
                <w:szCs w:val="14"/>
                <w:color w:val="auto"/>
              </w:rPr>
            </w:pPr>
          </w:p>
        </w:tc>
      </w:tr>
      <w:tr>
        <w:trPr>
          <w:trHeight w:val="162"/>
        </w:trPr>
        <w:tc>
          <w:tcPr>
            <w:tcW w:w="47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income</w:t>
            </w:r>
          </w:p>
        </w:tc>
        <w:tc>
          <w:tcPr>
            <w:tcW w:w="9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95,942</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2,994</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251,326</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(3,637)</w:t>
            </w:r>
          </w:p>
        </w:tc>
      </w:tr>
      <w:tr>
        <w:trPr>
          <w:trHeight w:val="155"/>
        </w:trPr>
        <w:tc>
          <w:tcPr>
            <w:tcW w:w="474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940" w:type="dxa"/>
            <w:vAlign w:val="bottom"/>
            <w:tcBorders>
              <w:bottom w:val="single" w:sz="8" w:color="CCEC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8,401,076</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8,626,985</w:t>
            </w:r>
          </w:p>
        </w:tc>
        <w:tc>
          <w:tcPr>
            <w:tcW w:w="24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15,304,399</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17,395,612</w:t>
            </w:r>
          </w:p>
        </w:tc>
        <w:tc>
          <w:tcPr>
            <w:tcW w:w="100" w:type="dxa"/>
            <w:vAlign w:val="bottom"/>
            <w:tcBorders>
              <w:bottom w:val="single" w:sz="8" w:color="CCECFF"/>
            </w:tcBorders>
          </w:tcPr>
          <w:p>
            <w:pPr>
              <w:spacing w:after="0"/>
              <w:rPr>
                <w:sz w:val="13"/>
                <w:szCs w:val="13"/>
                <w:color w:val="auto"/>
              </w:rPr>
            </w:pPr>
          </w:p>
        </w:tc>
      </w:tr>
      <w:tr>
        <w:trPr>
          <w:trHeight w:val="156"/>
        </w:trPr>
        <w:tc>
          <w:tcPr>
            <w:tcW w:w="47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9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4740" w:type="dxa"/>
            <w:vAlign w:val="bottom"/>
          </w:tcPr>
          <w:p>
            <w:pPr>
              <w:ind w:left="260"/>
              <w:spacing w:after="0"/>
              <w:rPr>
                <w:sz w:val="20"/>
                <w:szCs w:val="20"/>
                <w:color w:val="auto"/>
              </w:rPr>
            </w:pPr>
            <w:r>
              <w:rPr>
                <w:rFonts w:ascii="Arial" w:cs="Arial" w:eastAsia="Arial" w:hAnsi="Arial"/>
                <w:sz w:val="14"/>
                <w:szCs w:val="14"/>
                <w:color w:val="auto"/>
                <w:w w:val="94"/>
              </w:rPr>
              <w:t>Interest and expenses on PSSL Credit Facility and 2032 Asset-Backed Debt</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2,402,766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3,341,355</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3,818,773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6,746,751</w:t>
            </w:r>
          </w:p>
        </w:tc>
        <w:tc>
          <w:tcPr>
            <w:tcW w:w="100" w:type="dxa"/>
            <w:vAlign w:val="bottom"/>
          </w:tcPr>
          <w:p>
            <w:pPr>
              <w:spacing w:after="0"/>
              <w:rPr>
                <w:sz w:val="14"/>
                <w:szCs w:val="14"/>
                <w:color w:val="auto"/>
              </w:rPr>
            </w:pPr>
          </w:p>
        </w:tc>
      </w:tr>
      <w:tr>
        <w:trPr>
          <w:trHeight w:val="162"/>
        </w:trPr>
        <w:tc>
          <w:tcPr>
            <w:tcW w:w="47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 expense on notes to members</w:t>
            </w:r>
          </w:p>
        </w:tc>
        <w:tc>
          <w:tcPr>
            <w:tcW w:w="9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3,086,113</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3,508,325</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6,140,631</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7,139,570</w:t>
            </w:r>
          </w:p>
        </w:tc>
        <w:tc>
          <w:tcPr>
            <w:tcW w:w="100" w:type="dxa"/>
            <w:vAlign w:val="bottom"/>
            <w:shd w:val="clear" w:color="auto" w:fill="CCECFF"/>
          </w:tcPr>
          <w:p>
            <w:pPr>
              <w:spacing w:after="0"/>
              <w:rPr>
                <w:sz w:val="14"/>
                <w:szCs w:val="14"/>
                <w:color w:val="auto"/>
              </w:rPr>
            </w:pPr>
          </w:p>
        </w:tc>
      </w:tr>
      <w:tr>
        <w:trPr>
          <w:trHeight w:val="162"/>
        </w:trPr>
        <w:tc>
          <w:tcPr>
            <w:tcW w:w="4740" w:type="dxa"/>
            <w:vAlign w:val="bottom"/>
          </w:tcPr>
          <w:p>
            <w:pPr>
              <w:ind w:left="260"/>
              <w:spacing w:after="0"/>
              <w:rPr>
                <w:sz w:val="20"/>
                <w:szCs w:val="20"/>
                <w:color w:val="auto"/>
              </w:rPr>
            </w:pPr>
            <w:r>
              <w:rPr>
                <w:rFonts w:ascii="Arial" w:cs="Arial" w:eastAsia="Arial" w:hAnsi="Arial"/>
                <w:sz w:val="14"/>
                <w:szCs w:val="14"/>
                <w:color w:val="auto"/>
              </w:rPr>
              <w:t>Administrative services expenses</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300,000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300,000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600,000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600,000</w:t>
            </w:r>
          </w:p>
        </w:tc>
        <w:tc>
          <w:tcPr>
            <w:tcW w:w="100" w:type="dxa"/>
            <w:vAlign w:val="bottom"/>
          </w:tcPr>
          <w:p>
            <w:pPr>
              <w:spacing w:after="0"/>
              <w:rPr>
                <w:sz w:val="14"/>
                <w:szCs w:val="14"/>
                <w:color w:val="auto"/>
              </w:rPr>
            </w:pPr>
          </w:p>
        </w:tc>
      </w:tr>
      <w:tr>
        <w:trPr>
          <w:trHeight w:val="162"/>
        </w:trPr>
        <w:tc>
          <w:tcPr>
            <w:tcW w:w="47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 xml:space="preserve">Other general and administrative expenses </w:t>
            </w:r>
            <w:r>
              <w:rPr>
                <w:rFonts w:ascii="Arial" w:cs="Arial" w:eastAsia="Arial" w:hAnsi="Arial"/>
                <w:sz w:val="12"/>
                <w:szCs w:val="12"/>
                <w:color w:val="auto"/>
              </w:rPr>
              <w:t>(1)</w:t>
            </w:r>
          </w:p>
        </w:tc>
        <w:tc>
          <w:tcPr>
            <w:tcW w:w="940" w:type="dxa"/>
            <w:vAlign w:val="bottom"/>
            <w:shd w:val="clear" w:color="auto" w:fill="CCECFF"/>
          </w:tcPr>
          <w:p>
            <w:pPr>
              <w:spacing w:after="0"/>
              <w:rPr>
                <w:sz w:val="14"/>
                <w:szCs w:val="14"/>
                <w:color w:val="auto"/>
              </w:rPr>
            </w:pPr>
          </w:p>
        </w:tc>
        <w:tc>
          <w:tcPr>
            <w:tcW w:w="180" w:type="dxa"/>
            <w:vAlign w:val="bottom"/>
            <w:tcBorders>
              <w:bottom w:val="single" w:sz="8" w:color="auto"/>
            </w:tcBorders>
            <w:shd w:val="clear" w:color="auto" w:fill="CCECFF"/>
          </w:tcPr>
          <w:p>
            <w:pPr>
              <w:spacing w:after="0"/>
              <w:rPr>
                <w:sz w:val="14"/>
                <w:szCs w:val="14"/>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195,317</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113,650</w:t>
            </w:r>
          </w:p>
        </w:tc>
        <w:tc>
          <w:tcPr>
            <w:tcW w:w="24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390,634</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227,360</w:t>
            </w:r>
          </w:p>
        </w:tc>
        <w:tc>
          <w:tcPr>
            <w:tcW w:w="100" w:type="dxa"/>
            <w:vAlign w:val="bottom"/>
            <w:shd w:val="clear" w:color="auto" w:fill="CCECFF"/>
          </w:tcPr>
          <w:p>
            <w:pPr>
              <w:spacing w:after="0"/>
              <w:rPr>
                <w:sz w:val="14"/>
                <w:szCs w:val="14"/>
                <w:color w:val="auto"/>
              </w:rPr>
            </w:pPr>
          </w:p>
        </w:tc>
      </w:tr>
      <w:tr>
        <w:trPr>
          <w:trHeight w:val="155"/>
        </w:trPr>
        <w:tc>
          <w:tcPr>
            <w:tcW w:w="474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expenses</w:t>
            </w:r>
          </w:p>
        </w:tc>
        <w:tc>
          <w:tcPr>
            <w:tcW w:w="940" w:type="dxa"/>
            <w:vAlign w:val="bottom"/>
            <w:tcBorders>
              <w:bottom w:val="single" w:sz="8" w:color="CCEC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5,984,196</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7,263,330</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10,950,038</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14,713,681</w:t>
            </w:r>
          </w:p>
        </w:tc>
        <w:tc>
          <w:tcPr>
            <w:tcW w:w="100" w:type="dxa"/>
            <w:vAlign w:val="bottom"/>
            <w:tcBorders>
              <w:bottom w:val="single" w:sz="8" w:color="CCECFF"/>
            </w:tcBorders>
          </w:tcPr>
          <w:p>
            <w:pPr>
              <w:spacing w:after="0"/>
              <w:rPr>
                <w:sz w:val="13"/>
                <w:szCs w:val="13"/>
                <w:color w:val="auto"/>
              </w:rPr>
            </w:pPr>
          </w:p>
        </w:tc>
      </w:tr>
      <w:tr>
        <w:trPr>
          <w:trHeight w:val="155"/>
        </w:trPr>
        <w:tc>
          <w:tcPr>
            <w:tcW w:w="474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940" w:type="dxa"/>
            <w:vAlign w:val="bottom"/>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2,416,880</w:t>
            </w: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spacing w:after="0"/>
              <w:rPr>
                <w:sz w:val="13"/>
                <w:szCs w:val="13"/>
                <w:color w:val="auto"/>
              </w:rPr>
            </w:pP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1,363,655</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4,354,361</w:t>
            </w: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spacing w:after="0"/>
              <w:rPr>
                <w:sz w:val="13"/>
                <w:szCs w:val="13"/>
                <w:color w:val="auto"/>
              </w:rPr>
            </w:pP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2,681,931</w:t>
            </w:r>
          </w:p>
        </w:tc>
        <w:tc>
          <w:tcPr>
            <w:tcW w:w="100" w:type="dxa"/>
            <w:vAlign w:val="bottom"/>
            <w:shd w:val="clear" w:color="auto" w:fill="CCECFF"/>
          </w:tcPr>
          <w:p>
            <w:pPr>
              <w:spacing w:after="0"/>
              <w:rPr>
                <w:sz w:val="13"/>
                <w:szCs w:val="13"/>
                <w:color w:val="auto"/>
              </w:rPr>
            </w:pPr>
          </w:p>
        </w:tc>
      </w:tr>
      <w:tr>
        <w:trPr>
          <w:trHeight w:val="133"/>
        </w:trPr>
        <w:tc>
          <w:tcPr>
            <w:tcW w:w="4740" w:type="dxa"/>
            <w:vAlign w:val="bottom"/>
          </w:tcPr>
          <w:p>
            <w:pPr>
              <w:spacing w:after="0" w:line="133" w:lineRule="exact"/>
              <w:rPr>
                <w:sz w:val="20"/>
                <w:szCs w:val="20"/>
                <w:color w:val="auto"/>
              </w:rPr>
            </w:pPr>
            <w:r>
              <w:rPr>
                <w:rFonts w:ascii="Arial" w:cs="Arial" w:eastAsia="Arial" w:hAnsi="Arial"/>
                <w:sz w:val="14"/>
                <w:szCs w:val="14"/>
                <w:b w:val="1"/>
                <w:bCs w:val="1"/>
                <w:color w:val="auto"/>
                <w:w w:val="92"/>
              </w:rPr>
              <w:t>Realized and unrealized gain (loss) on investments and credit facility foreign</w:t>
            </w: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1"/>
        </w:trPr>
        <w:tc>
          <w:tcPr>
            <w:tcW w:w="4740" w:type="dxa"/>
            <w:vAlign w:val="bottom"/>
          </w:tcPr>
          <w:p>
            <w:pPr>
              <w:ind w:left="120"/>
              <w:spacing w:after="0"/>
              <w:rPr>
                <w:sz w:val="20"/>
                <w:szCs w:val="20"/>
                <w:color w:val="auto"/>
              </w:rPr>
            </w:pPr>
            <w:r>
              <w:rPr>
                <w:rFonts w:ascii="Arial" w:cs="Arial" w:eastAsia="Arial" w:hAnsi="Arial"/>
                <w:sz w:val="14"/>
                <w:szCs w:val="14"/>
                <w:b w:val="1"/>
                <w:bCs w:val="1"/>
                <w:color w:val="auto"/>
              </w:rPr>
              <w:t>currency translations:</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740" w:type="dxa"/>
            <w:vAlign w:val="bottom"/>
            <w:shd w:val="clear" w:color="auto" w:fill="CCECFF"/>
          </w:tcPr>
          <w:p>
            <w:pPr>
              <w:spacing w:after="0"/>
              <w:rPr>
                <w:sz w:val="20"/>
                <w:szCs w:val="20"/>
                <w:color w:val="auto"/>
              </w:rPr>
            </w:pPr>
            <w:r>
              <w:rPr>
                <w:rFonts w:ascii="Arial" w:cs="Arial" w:eastAsia="Arial" w:hAnsi="Arial"/>
                <w:sz w:val="14"/>
                <w:szCs w:val="14"/>
                <w:color w:val="auto"/>
              </w:rPr>
              <w:t>Net realized (loss) gain on investments</w:t>
            </w:r>
          </w:p>
        </w:tc>
        <w:tc>
          <w:tcPr>
            <w:tcW w:w="9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(484,275)</w:t>
            </w: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(34,117)</w:t>
            </w:r>
          </w:p>
        </w:tc>
        <w:tc>
          <w:tcPr>
            <w:tcW w:w="24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(1,275,553)</w:t>
            </w: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418,361</w:t>
            </w:r>
          </w:p>
        </w:tc>
        <w:tc>
          <w:tcPr>
            <w:tcW w:w="100" w:type="dxa"/>
            <w:vAlign w:val="bottom"/>
            <w:shd w:val="clear" w:color="auto" w:fill="CCECFF"/>
          </w:tcPr>
          <w:p>
            <w:pPr>
              <w:spacing w:after="0"/>
              <w:rPr>
                <w:sz w:val="14"/>
                <w:szCs w:val="14"/>
                <w:color w:val="auto"/>
              </w:rPr>
            </w:pPr>
          </w:p>
        </w:tc>
      </w:tr>
      <w:tr>
        <w:trPr>
          <w:trHeight w:val="162"/>
        </w:trPr>
        <w:tc>
          <w:tcPr>
            <w:tcW w:w="4740" w:type="dxa"/>
            <w:vAlign w:val="bottom"/>
          </w:tcPr>
          <w:p>
            <w:pPr>
              <w:spacing w:after="0"/>
              <w:rPr>
                <w:sz w:val="20"/>
                <w:szCs w:val="20"/>
                <w:color w:val="auto"/>
              </w:rPr>
            </w:pPr>
            <w:r>
              <w:rPr>
                <w:rFonts w:ascii="Arial" w:cs="Arial" w:eastAsia="Arial" w:hAnsi="Arial"/>
                <w:sz w:val="14"/>
                <w:szCs w:val="14"/>
                <w:color w:val="auto"/>
              </w:rPr>
              <w:t>Net change in unrealized appreciation (depreciation) on:</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7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Investments</w:t>
            </w:r>
          </w:p>
        </w:tc>
        <w:tc>
          <w:tcPr>
            <w:tcW w:w="9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3,480,140</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(20,835,443)</w:t>
            </w: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7,664,241</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(19,756,654)</w:t>
            </w:r>
          </w:p>
        </w:tc>
      </w:tr>
      <w:tr>
        <w:trPr>
          <w:trHeight w:val="162"/>
        </w:trPr>
        <w:tc>
          <w:tcPr>
            <w:tcW w:w="4740" w:type="dxa"/>
            <w:vAlign w:val="bottom"/>
          </w:tcPr>
          <w:p>
            <w:pPr>
              <w:ind w:left="260"/>
              <w:spacing w:after="0"/>
              <w:rPr>
                <w:sz w:val="20"/>
                <w:szCs w:val="20"/>
                <w:color w:val="auto"/>
              </w:rPr>
            </w:pPr>
            <w:r>
              <w:rPr>
                <w:rFonts w:ascii="Arial" w:cs="Arial" w:eastAsia="Arial" w:hAnsi="Arial"/>
                <w:sz w:val="14"/>
                <w:szCs w:val="14"/>
                <w:color w:val="auto"/>
              </w:rPr>
              <w:t>Credit facility foreign currency translation</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170,720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4,013,416</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(489,034)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2,687,894</w:t>
            </w:r>
          </w:p>
        </w:tc>
        <w:tc>
          <w:tcPr>
            <w:tcW w:w="100" w:type="dxa"/>
            <w:vAlign w:val="bottom"/>
          </w:tcPr>
          <w:p>
            <w:pPr>
              <w:spacing w:after="0"/>
              <w:rPr>
                <w:sz w:val="14"/>
                <w:szCs w:val="14"/>
                <w:color w:val="auto"/>
              </w:rPr>
            </w:pPr>
          </w:p>
        </w:tc>
      </w:tr>
      <w:tr>
        <w:trPr>
          <w:trHeight w:val="133"/>
        </w:trPr>
        <w:tc>
          <w:tcPr>
            <w:tcW w:w="4740" w:type="dxa"/>
            <w:vAlign w:val="bottom"/>
            <w:tcBorders>
              <w:top w:val="single" w:sz="8" w:color="CCECFF"/>
            </w:tcBorders>
            <w:shd w:val="clear" w:color="auto" w:fill="CCECFF"/>
          </w:tcPr>
          <w:p>
            <w:pPr>
              <w:ind w:left="260"/>
              <w:spacing w:after="0" w:line="133" w:lineRule="exact"/>
              <w:rPr>
                <w:sz w:val="20"/>
                <w:szCs w:val="20"/>
                <w:color w:val="auto"/>
              </w:rPr>
            </w:pPr>
            <w:r>
              <w:rPr>
                <w:rFonts w:ascii="Arial" w:cs="Arial" w:eastAsia="Arial" w:hAnsi="Arial"/>
                <w:sz w:val="14"/>
                <w:szCs w:val="14"/>
                <w:b w:val="1"/>
                <w:bCs w:val="1"/>
                <w:color w:val="auto"/>
                <w:w w:val="92"/>
              </w:rPr>
              <w:t>Net change in unrealized appreciation (depreciation) on investments and</w:t>
            </w:r>
          </w:p>
        </w:tc>
        <w:tc>
          <w:tcPr>
            <w:tcW w:w="940" w:type="dxa"/>
            <w:vAlign w:val="bottom"/>
            <w:tcBorders>
              <w:top w:val="single" w:sz="8" w:color="CCECFF"/>
            </w:tcBorders>
            <w:shd w:val="clear" w:color="auto" w:fill="CCECFF"/>
          </w:tcPr>
          <w:p>
            <w:pPr>
              <w:spacing w:after="0"/>
              <w:rPr>
                <w:sz w:val="11"/>
                <w:szCs w:val="11"/>
                <w:color w:val="auto"/>
              </w:rPr>
            </w:pPr>
          </w:p>
        </w:tc>
        <w:tc>
          <w:tcPr>
            <w:tcW w:w="180" w:type="dxa"/>
            <w:vAlign w:val="bottom"/>
            <w:tcBorders>
              <w:top w:val="single" w:sz="8" w:color="auto"/>
            </w:tcBorders>
            <w:shd w:val="clear" w:color="auto" w:fill="CCECFF"/>
          </w:tcPr>
          <w:p>
            <w:pPr>
              <w:spacing w:after="0"/>
              <w:rPr>
                <w:sz w:val="11"/>
                <w:szCs w:val="11"/>
                <w:color w:val="auto"/>
              </w:rPr>
            </w:pPr>
          </w:p>
        </w:tc>
        <w:tc>
          <w:tcPr>
            <w:tcW w:w="100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auto"/>
            </w:tcBorders>
            <w:shd w:val="clear" w:color="auto" w:fill="CCECFF"/>
          </w:tcPr>
          <w:p>
            <w:pPr>
              <w:spacing w:after="0"/>
              <w:rPr>
                <w:sz w:val="11"/>
                <w:szCs w:val="11"/>
                <w:color w:val="auto"/>
              </w:rPr>
            </w:pPr>
          </w:p>
        </w:tc>
        <w:tc>
          <w:tcPr>
            <w:tcW w:w="92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auto"/>
            </w:tcBorders>
            <w:shd w:val="clear" w:color="auto" w:fill="CCECFF"/>
          </w:tcPr>
          <w:p>
            <w:pPr>
              <w:spacing w:after="0"/>
              <w:rPr>
                <w:sz w:val="11"/>
                <w:szCs w:val="11"/>
                <w:color w:val="auto"/>
              </w:rPr>
            </w:pPr>
          </w:p>
        </w:tc>
        <w:tc>
          <w:tcPr>
            <w:tcW w:w="94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auto"/>
            </w:tcBorders>
            <w:shd w:val="clear" w:color="auto" w:fill="CCECFF"/>
          </w:tcPr>
          <w:p>
            <w:pPr>
              <w:spacing w:after="0"/>
              <w:rPr>
                <w:sz w:val="11"/>
                <w:szCs w:val="11"/>
                <w:color w:val="auto"/>
              </w:rPr>
            </w:pPr>
          </w:p>
        </w:tc>
        <w:tc>
          <w:tcPr>
            <w:tcW w:w="94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r>
      <w:tr>
        <w:trPr>
          <w:trHeight w:val="171"/>
        </w:trPr>
        <w:tc>
          <w:tcPr>
            <w:tcW w:w="4740" w:type="dxa"/>
            <w:vAlign w:val="bottom"/>
            <w:shd w:val="clear" w:color="auto" w:fill="CCECFF"/>
          </w:tcPr>
          <w:p>
            <w:pPr>
              <w:ind w:left="360"/>
              <w:spacing w:after="0"/>
              <w:rPr>
                <w:sz w:val="20"/>
                <w:szCs w:val="20"/>
                <w:color w:val="auto"/>
              </w:rPr>
            </w:pPr>
            <w:r>
              <w:rPr>
                <w:rFonts w:ascii="Arial" w:cs="Arial" w:eastAsia="Arial" w:hAnsi="Arial"/>
                <w:sz w:val="14"/>
                <w:szCs w:val="14"/>
                <w:b w:val="1"/>
                <w:bCs w:val="1"/>
                <w:color w:val="auto"/>
              </w:rPr>
              <w:t>credit facility foreign currency translation</w:t>
            </w:r>
          </w:p>
        </w:tc>
        <w:tc>
          <w:tcPr>
            <w:tcW w:w="9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3,650,860</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(16,822,027)</w:t>
            </w: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7,175,207</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(17,068,760)</w:t>
            </w:r>
          </w:p>
        </w:tc>
      </w:tr>
      <w:tr>
        <w:trPr>
          <w:trHeight w:val="133"/>
        </w:trPr>
        <w:tc>
          <w:tcPr>
            <w:tcW w:w="4740" w:type="dxa"/>
            <w:vAlign w:val="bottom"/>
          </w:tcPr>
          <w:p>
            <w:pPr>
              <w:spacing w:after="0" w:line="133" w:lineRule="exact"/>
              <w:rPr>
                <w:sz w:val="20"/>
                <w:szCs w:val="20"/>
                <w:color w:val="auto"/>
              </w:rPr>
            </w:pPr>
            <w:r>
              <w:rPr>
                <w:rFonts w:ascii="Arial" w:cs="Arial" w:eastAsia="Arial" w:hAnsi="Arial"/>
                <w:sz w:val="14"/>
                <w:szCs w:val="14"/>
                <w:b w:val="1"/>
                <w:bCs w:val="1"/>
                <w:color w:val="auto"/>
                <w:w w:val="95"/>
              </w:rPr>
              <w:t>Net realized and unrealized gain (loss) from investments and credit facility</w:t>
            </w:r>
          </w:p>
        </w:tc>
        <w:tc>
          <w:tcPr>
            <w:tcW w:w="9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71"/>
        </w:trPr>
        <w:tc>
          <w:tcPr>
            <w:tcW w:w="4740" w:type="dxa"/>
            <w:vAlign w:val="bottom"/>
          </w:tcPr>
          <w:p>
            <w:pPr>
              <w:ind w:left="120"/>
              <w:spacing w:after="0"/>
              <w:rPr>
                <w:sz w:val="20"/>
                <w:szCs w:val="20"/>
                <w:color w:val="auto"/>
              </w:rPr>
            </w:pPr>
            <w:r>
              <w:rPr>
                <w:rFonts w:ascii="Arial" w:cs="Arial" w:eastAsia="Arial" w:hAnsi="Arial"/>
                <w:sz w:val="14"/>
                <w:szCs w:val="14"/>
                <w:b w:val="1"/>
                <w:bCs w:val="1"/>
                <w:color w:val="auto"/>
              </w:rPr>
              <w:t>foreign currency translation</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3,166,585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(16,856,144)</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5,899,654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(16,650,399)</w:t>
            </w:r>
          </w:p>
        </w:tc>
      </w:tr>
      <w:tr>
        <w:trPr>
          <w:trHeight w:val="155"/>
        </w:trPr>
        <w:tc>
          <w:tcPr>
            <w:tcW w:w="474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(decrease) in members' equity resulting from operations</w:t>
            </w:r>
          </w:p>
        </w:tc>
        <w:tc>
          <w:tcPr>
            <w:tcW w:w="940" w:type="dxa"/>
            <w:vAlign w:val="bottom"/>
            <w:tcBorders>
              <w:top w:val="single" w:sz="8" w:color="CCECFF"/>
              <w:bottom w:val="single" w:sz="8" w:color="CCECFF"/>
            </w:tcBorders>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5,583,465</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260" w:type="dxa"/>
            <w:vAlign w:val="bottom"/>
            <w:tcBorders>
              <w:top w:val="single" w:sz="8" w:color="auto"/>
              <w:bottom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(15,492,489)</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10,254,015</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260" w:type="dxa"/>
            <w:vAlign w:val="bottom"/>
            <w:tcBorders>
              <w:top w:val="single" w:sz="8" w:color="auto"/>
              <w:bottom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(13,968,468)</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r>
      <w:tr>
        <w:trPr>
          <w:trHeight w:val="20"/>
        </w:trPr>
        <w:tc>
          <w:tcPr>
            <w:tcW w:w="4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8599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8" w:lineRule="exact"/>
        <w:rPr>
          <w:sz w:val="20"/>
          <w:szCs w:val="20"/>
          <w:color w:val="auto"/>
        </w:rPr>
      </w:pPr>
    </w:p>
    <w:p>
      <w:pPr>
        <w:ind w:left="380" w:hanging="372"/>
        <w:spacing w:after="0"/>
        <w:tabs>
          <w:tab w:leader="none" w:pos="380" w:val="left"/>
        </w:tabs>
        <w:numPr>
          <w:ilvl w:val="0"/>
          <w:numId w:val="26"/>
        </w:numPr>
        <w:rPr>
          <w:rFonts w:ascii="Arial" w:cs="Arial" w:eastAsia="Arial" w:hAnsi="Arial"/>
          <w:sz w:val="9"/>
          <w:szCs w:val="9"/>
          <w:b w:val="1"/>
          <w:bCs w:val="1"/>
          <w:color w:val="auto"/>
        </w:rPr>
      </w:pPr>
      <w:r>
        <w:rPr>
          <w:rFonts w:ascii="Arial" w:cs="Arial" w:eastAsia="Arial" w:hAnsi="Arial"/>
          <w:sz w:val="11"/>
          <w:szCs w:val="11"/>
          <w:color w:val="auto"/>
        </w:rPr>
        <w:t>Currently, no management or incentive fees are payable by PSSL. If any fees were to be charged, they would be separately disclosed in the Statements of Operations.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136"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A summary of our significant contractual payment obligations at cost as of March 31, 2021, including borrowings under our Credit Facility, 2023 Notes, 2026 Notes, 2031 Asset-Backed Debt and other contractual obligations,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Payments due by period (millions)</w:t>
            </w: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60" w:type="dxa"/>
            <w:vAlign w:val="bottom"/>
          </w:tcPr>
          <w:p>
            <w:pPr>
              <w:spacing w:after="0"/>
              <w:rPr>
                <w:sz w:val="11"/>
                <w:szCs w:val="11"/>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Less than</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jc w:val="center"/>
              <w:ind w:right="208"/>
              <w:spacing w:after="0" w:line="133" w:lineRule="exact"/>
              <w:rPr>
                <w:sz w:val="20"/>
                <w:szCs w:val="20"/>
                <w:color w:val="auto"/>
              </w:rPr>
            </w:pPr>
            <w:r>
              <w:rPr>
                <w:rFonts w:ascii="Arial" w:cs="Arial" w:eastAsia="Arial" w:hAnsi="Arial"/>
                <w:sz w:val="14"/>
                <w:szCs w:val="14"/>
                <w:b w:val="1"/>
                <w:bCs w:val="1"/>
                <w:color w:val="auto"/>
                <w:w w:val="88"/>
              </w:rPr>
              <w:t>1-3</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jc w:val="right"/>
              <w:ind w:right="468"/>
              <w:spacing w:after="0" w:line="133" w:lineRule="exact"/>
              <w:rPr>
                <w:sz w:val="20"/>
                <w:szCs w:val="20"/>
                <w:color w:val="auto"/>
              </w:rPr>
            </w:pPr>
            <w:r>
              <w:rPr>
                <w:rFonts w:ascii="Arial" w:cs="Arial" w:eastAsia="Arial" w:hAnsi="Arial"/>
                <w:sz w:val="14"/>
                <w:szCs w:val="14"/>
                <w:b w:val="1"/>
                <w:bCs w:val="1"/>
                <w:color w:val="auto"/>
              </w:rPr>
              <w:t>3-5</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center"/>
              <w:ind w:right="148"/>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1 year</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center"/>
              <w:ind w:right="208"/>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5 years</w:t>
            </w:r>
          </w:p>
        </w:tc>
        <w:tc>
          <w:tcPr>
            <w:tcW w:w="0" w:type="dxa"/>
            <w:vAlign w:val="bottom"/>
          </w:tcPr>
          <w:p>
            <w:pPr>
              <w:spacing w:after="0"/>
              <w:rPr>
                <w:sz w:val="1"/>
                <w:szCs w:val="1"/>
                <w:color w:val="auto"/>
              </w:rPr>
            </w:pPr>
          </w:p>
        </w:tc>
      </w:tr>
      <w:tr>
        <w:trPr>
          <w:trHeight w:val="155"/>
        </w:trPr>
        <w:tc>
          <w:tcPr>
            <w:tcW w:w="386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Credit Facility</w:t>
            </w:r>
          </w:p>
        </w:tc>
        <w:tc>
          <w:tcPr>
            <w:tcW w:w="860" w:type="dxa"/>
            <w:vAlign w:val="bottom"/>
            <w:tcBorders>
              <w:top w:val="single" w:sz="8" w:color="auto"/>
            </w:tcBorders>
            <w:shd w:val="clear" w:color="auto" w:fill="CCECFF"/>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146.9</w:t>
            </w:r>
          </w:p>
        </w:tc>
        <w:tc>
          <w:tcPr>
            <w:tcW w:w="240" w:type="dxa"/>
            <w:vAlign w:val="bottom"/>
            <w:tcBorders>
              <w:top w:val="single" w:sz="8" w:color="CCECFF"/>
            </w:tcBorders>
            <w:shd w:val="clear" w:color="auto" w:fill="CCECFF"/>
          </w:tcPr>
          <w:p>
            <w:pPr>
              <w:spacing w:after="0"/>
              <w:rPr>
                <w:sz w:val="13"/>
                <w:szCs w:val="13"/>
                <w:color w:val="auto"/>
              </w:rPr>
            </w:pPr>
          </w:p>
        </w:tc>
        <w:tc>
          <w:tcPr>
            <w:tcW w:w="960" w:type="dxa"/>
            <w:vAlign w:val="bottom"/>
            <w:tcBorders>
              <w:top w:val="single" w:sz="8" w:color="auto"/>
            </w:tcBorders>
            <w:shd w:val="clear" w:color="auto" w:fill="CCECFF"/>
          </w:tcPr>
          <w:p>
            <w:pPr>
              <w:jc w:val="right"/>
              <w:ind w:right="808"/>
              <w:spacing w:after="0" w:line="155" w:lineRule="exact"/>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146.9</w:t>
            </w:r>
          </w:p>
        </w:tc>
        <w:tc>
          <w:tcPr>
            <w:tcW w:w="24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20"/>
                <w:szCs w:val="20"/>
                <w:color w:val="auto"/>
              </w:rPr>
            </w:pPr>
            <w:r>
              <w:rPr>
                <w:rFonts w:ascii="Arial" w:cs="Arial" w:eastAsia="Arial" w:hAnsi="Arial"/>
                <w:sz w:val="14"/>
                <w:szCs w:val="14"/>
                <w:color w:val="auto"/>
              </w:rPr>
              <w:t>2023 Notes</w:t>
            </w:r>
          </w:p>
        </w:tc>
        <w:tc>
          <w:tcPr>
            <w:tcW w:w="8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117.8</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95"/>
              </w:rPr>
              <w:t>20.8</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97.0</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860" w:type="dxa"/>
            <w:vAlign w:val="bottom"/>
            <w:shd w:val="clear" w:color="auto" w:fill="CCECFF"/>
          </w:tcPr>
          <w:p>
            <w:pPr>
              <w:spacing w:after="0"/>
              <w:rPr>
                <w:sz w:val="20"/>
                <w:szCs w:val="20"/>
                <w:color w:val="auto"/>
              </w:rPr>
            </w:pPr>
            <w:r>
              <w:rPr>
                <w:rFonts w:ascii="Arial" w:cs="Arial" w:eastAsia="Arial" w:hAnsi="Arial"/>
                <w:sz w:val="14"/>
                <w:szCs w:val="14"/>
                <w:color w:val="auto"/>
              </w:rPr>
              <w:t>2026 Notes</w:t>
            </w:r>
          </w:p>
        </w:tc>
        <w:tc>
          <w:tcPr>
            <w:tcW w:w="860" w:type="dxa"/>
            <w:vAlign w:val="bottom"/>
            <w:shd w:val="clear" w:color="auto" w:fill="CCECFF"/>
          </w:tcPr>
          <w:p>
            <w:pPr>
              <w:spacing w:after="0"/>
              <w:rPr>
                <w:sz w:val="14"/>
                <w:szCs w:val="14"/>
                <w:color w:val="auto"/>
              </w:rPr>
            </w:pPr>
          </w:p>
        </w:tc>
        <w:tc>
          <w:tcPr>
            <w:tcW w:w="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100.0</w:t>
            </w:r>
          </w:p>
        </w:tc>
        <w:tc>
          <w:tcPr>
            <w:tcW w:w="24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54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100.0</w:t>
            </w:r>
          </w:p>
        </w:tc>
        <w:tc>
          <w:tcPr>
            <w:tcW w:w="24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860" w:type="dxa"/>
            <w:vAlign w:val="bottom"/>
          </w:tcPr>
          <w:p>
            <w:pPr>
              <w:spacing w:after="0"/>
              <w:rPr>
                <w:sz w:val="20"/>
                <w:szCs w:val="20"/>
                <w:color w:val="auto"/>
              </w:rPr>
            </w:pPr>
            <w:r>
              <w:rPr>
                <w:rFonts w:ascii="Arial" w:cs="Arial" w:eastAsia="Arial" w:hAnsi="Arial"/>
                <w:sz w:val="14"/>
                <w:szCs w:val="14"/>
                <w:color w:val="auto"/>
              </w:rPr>
              <w:t>2031 Asset-Backed Debt</w:t>
            </w:r>
          </w:p>
        </w:tc>
        <w:tc>
          <w:tcPr>
            <w:tcW w:w="8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228.0</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6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 xml:space="preserve">Total debt outstanding </w:t>
            </w:r>
            <w:r>
              <w:rPr>
                <w:rFonts w:ascii="Arial" w:cs="Arial" w:eastAsia="Arial" w:hAnsi="Arial"/>
                <w:sz w:val="12"/>
                <w:szCs w:val="12"/>
                <w:color w:val="auto"/>
              </w:rPr>
              <w:t>(1)</w:t>
            </w:r>
          </w:p>
        </w:tc>
        <w:tc>
          <w:tcPr>
            <w:tcW w:w="860" w:type="dxa"/>
            <w:vAlign w:val="bottom"/>
            <w:tcBorders>
              <w:top w:val="single" w:sz="8" w:color="auto"/>
            </w:tcBorders>
            <w:shd w:val="clear" w:color="auto" w:fill="CCECFF"/>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592.7</w:t>
            </w:r>
          </w:p>
        </w:tc>
        <w:tc>
          <w:tcPr>
            <w:tcW w:w="240" w:type="dxa"/>
            <w:vAlign w:val="bottom"/>
            <w:tcBorders>
              <w:top w:val="single" w:sz="8" w:color="CCECFF"/>
            </w:tcBorders>
            <w:shd w:val="clear" w:color="auto" w:fill="CCECFF"/>
          </w:tcPr>
          <w:p>
            <w:pPr>
              <w:spacing w:after="0"/>
              <w:rPr>
                <w:sz w:val="13"/>
                <w:szCs w:val="13"/>
                <w:color w:val="auto"/>
              </w:rPr>
            </w:pPr>
          </w:p>
        </w:tc>
        <w:tc>
          <w:tcPr>
            <w:tcW w:w="960" w:type="dxa"/>
            <w:vAlign w:val="bottom"/>
            <w:tcBorders>
              <w:top w:val="single" w:sz="8" w:color="auto"/>
            </w:tcBorders>
            <w:shd w:val="clear" w:color="auto" w:fill="CCECFF"/>
          </w:tcPr>
          <w:p>
            <w:pPr>
              <w:jc w:val="right"/>
              <w:ind w:right="808"/>
              <w:spacing w:after="0" w:line="155" w:lineRule="exact"/>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95"/>
              </w:rPr>
              <w:t>20.8</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243.9</w:t>
            </w:r>
          </w:p>
        </w:tc>
        <w:tc>
          <w:tcPr>
            <w:tcW w:w="24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100.0</w:t>
            </w:r>
          </w:p>
        </w:tc>
        <w:tc>
          <w:tcPr>
            <w:tcW w:w="24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228.0</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20"/>
                <w:szCs w:val="20"/>
                <w:color w:val="auto"/>
              </w:rPr>
            </w:pPr>
            <w:r>
              <w:rPr>
                <w:rFonts w:ascii="Arial" w:cs="Arial" w:eastAsia="Arial" w:hAnsi="Arial"/>
                <w:sz w:val="14"/>
                <w:szCs w:val="14"/>
                <w:color w:val="auto"/>
              </w:rPr>
              <w:t>Unfunded commitments to PSSL</w:t>
            </w:r>
          </w:p>
        </w:tc>
        <w:tc>
          <w:tcPr>
            <w:tcW w:w="8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20.6</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Unfunded investments </w:t>
            </w:r>
            <w:r>
              <w:rPr>
                <w:rFonts w:ascii="Arial" w:cs="Arial" w:eastAsia="Arial" w:hAnsi="Arial"/>
                <w:sz w:val="12"/>
                <w:szCs w:val="12"/>
                <w:color w:val="auto"/>
              </w:rPr>
              <w:t>(2)</w:t>
            </w:r>
          </w:p>
        </w:tc>
        <w:tc>
          <w:tcPr>
            <w:tcW w:w="860" w:type="dxa"/>
            <w:vAlign w:val="bottom"/>
            <w:tcBorders>
              <w:bottom w:val="single" w:sz="8" w:color="auto"/>
            </w:tcBorders>
            <w:shd w:val="clear" w:color="auto" w:fill="CCECFF"/>
          </w:tcPr>
          <w:p>
            <w:pPr>
              <w:spacing w:after="0"/>
              <w:rPr>
                <w:sz w:val="14"/>
                <w:szCs w:val="14"/>
                <w:color w:val="auto"/>
              </w:rPr>
            </w:pPr>
          </w:p>
        </w:tc>
        <w:tc>
          <w:tcPr>
            <w:tcW w:w="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93.7</w:t>
            </w:r>
          </w:p>
        </w:tc>
        <w:tc>
          <w:tcPr>
            <w:tcW w:w="240" w:type="dxa"/>
            <w:vAlign w:val="bottom"/>
            <w:shd w:val="clear" w:color="auto" w:fill="CCECFF"/>
          </w:tcPr>
          <w:p>
            <w:pPr>
              <w:spacing w:after="0"/>
              <w:rPr>
                <w:sz w:val="14"/>
                <w:szCs w:val="14"/>
                <w:color w:val="auto"/>
              </w:rPr>
            </w:pPr>
          </w:p>
        </w:tc>
        <w:tc>
          <w:tcPr>
            <w:tcW w:w="960" w:type="dxa"/>
            <w:vAlign w:val="bottom"/>
            <w:tcBorders>
              <w:bottom w:val="single" w:sz="8" w:color="auto"/>
            </w:tcBorders>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w w:val="95"/>
              </w:rPr>
              <w:t>14.1</w:t>
            </w:r>
          </w:p>
        </w:tc>
        <w:tc>
          <w:tcPr>
            <w:tcW w:w="240" w:type="dxa"/>
            <w:vAlign w:val="bottom"/>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30.8</w:t>
            </w:r>
          </w:p>
        </w:tc>
        <w:tc>
          <w:tcPr>
            <w:tcW w:w="240" w:type="dxa"/>
            <w:vAlign w:val="bottom"/>
            <w:shd w:val="clear" w:color="auto" w:fill="CCECFF"/>
          </w:tcPr>
          <w:p>
            <w:pPr>
              <w:spacing w:after="0"/>
              <w:rPr>
                <w:sz w:val="14"/>
                <w:szCs w:val="14"/>
                <w:color w:val="auto"/>
              </w:rPr>
            </w:pPr>
          </w:p>
        </w:tc>
        <w:tc>
          <w:tcPr>
            <w:tcW w:w="32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43.9</w:t>
            </w:r>
          </w:p>
        </w:tc>
        <w:tc>
          <w:tcPr>
            <w:tcW w:w="240" w:type="dxa"/>
            <w:vAlign w:val="bottom"/>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60" w:type="dxa"/>
            <w:vAlign w:val="bottom"/>
          </w:tcPr>
          <w:p>
            <w:pPr>
              <w:spacing w:after="0" w:line="155" w:lineRule="exact"/>
              <w:rPr>
                <w:sz w:val="20"/>
                <w:szCs w:val="20"/>
                <w:color w:val="auto"/>
              </w:rPr>
            </w:pPr>
            <w:r>
              <w:rPr>
                <w:rFonts w:ascii="Arial" w:cs="Arial" w:eastAsia="Arial" w:hAnsi="Arial"/>
                <w:sz w:val="14"/>
                <w:szCs w:val="14"/>
                <w:color w:val="auto"/>
              </w:rPr>
              <w:t>Total contractual obligations</w:t>
            </w:r>
          </w:p>
        </w:tc>
        <w:tc>
          <w:tcPr>
            <w:tcW w:w="860" w:type="dxa"/>
            <w:vAlign w:val="bottom"/>
            <w:tcBorders>
              <w:bottom w:val="single" w:sz="8" w:color="auto"/>
            </w:tcBorders>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707.0</w:t>
            </w:r>
          </w:p>
        </w:tc>
        <w:tc>
          <w:tcPr>
            <w:tcW w:w="240" w:type="dxa"/>
            <w:vAlign w:val="bottom"/>
          </w:tcPr>
          <w:p>
            <w:pPr>
              <w:spacing w:after="0"/>
              <w:rPr>
                <w:sz w:val="13"/>
                <w:szCs w:val="13"/>
                <w:color w:val="auto"/>
              </w:rPr>
            </w:pPr>
          </w:p>
        </w:tc>
        <w:tc>
          <w:tcPr>
            <w:tcW w:w="960" w:type="dxa"/>
            <w:vAlign w:val="bottom"/>
            <w:tcBorders>
              <w:bottom w:val="single" w:sz="8" w:color="auto"/>
            </w:tcBorders>
          </w:tcPr>
          <w:p>
            <w:pPr>
              <w:jc w:val="right"/>
              <w:ind w:right="808"/>
              <w:spacing w:after="0" w:line="155" w:lineRule="exact"/>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34.9</w:t>
            </w:r>
          </w:p>
        </w:tc>
        <w:tc>
          <w:tcPr>
            <w:tcW w:w="240" w:type="dxa"/>
            <w:vAlign w:val="bottom"/>
          </w:tcPr>
          <w:p>
            <w:pPr>
              <w:spacing w:after="0"/>
              <w:rPr>
                <w:sz w:val="13"/>
                <w:szCs w:val="13"/>
                <w:color w:val="auto"/>
              </w:rPr>
            </w:pPr>
          </w:p>
        </w:tc>
        <w:tc>
          <w:tcPr>
            <w:tcW w:w="2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274.7</w:t>
            </w:r>
          </w:p>
        </w:tc>
        <w:tc>
          <w:tcPr>
            <w:tcW w:w="240" w:type="dxa"/>
            <w:vAlign w:val="bottom"/>
          </w:tcPr>
          <w:p>
            <w:pPr>
              <w:spacing w:after="0"/>
              <w:rPr>
                <w:sz w:val="13"/>
                <w:szCs w:val="13"/>
                <w:color w:val="auto"/>
              </w:rPr>
            </w:pPr>
          </w:p>
        </w:tc>
        <w:tc>
          <w:tcPr>
            <w:tcW w:w="32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143.9</w:t>
            </w:r>
          </w:p>
        </w:tc>
        <w:tc>
          <w:tcPr>
            <w:tcW w:w="240" w:type="dxa"/>
            <w:vAlign w:val="bottom"/>
          </w:tcPr>
          <w:p>
            <w:pPr>
              <w:spacing w:after="0"/>
              <w:rPr>
                <w:sz w:val="13"/>
                <w:szCs w:val="13"/>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253.5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8599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6" w:lineRule="exact"/>
        <w:rPr>
          <w:sz w:val="20"/>
          <w:szCs w:val="20"/>
          <w:color w:val="auto"/>
        </w:rPr>
      </w:pPr>
    </w:p>
    <w:p>
      <w:pPr>
        <w:ind w:left="380" w:hanging="372"/>
        <w:spacing w:after="0"/>
        <w:tabs>
          <w:tab w:leader="none" w:pos="380" w:val="left"/>
        </w:tabs>
        <w:numPr>
          <w:ilvl w:val="0"/>
          <w:numId w:val="27"/>
        </w:numPr>
        <w:rPr>
          <w:rFonts w:ascii="Arial" w:cs="Arial" w:eastAsia="Arial" w:hAnsi="Arial"/>
          <w:sz w:val="12"/>
          <w:szCs w:val="12"/>
          <w:color w:val="auto"/>
        </w:rPr>
      </w:pPr>
      <w:r>
        <w:rPr>
          <w:rFonts w:ascii="Arial" w:cs="Arial" w:eastAsia="Arial" w:hAnsi="Arial"/>
          <w:sz w:val="11"/>
          <w:szCs w:val="11"/>
          <w:color w:val="auto"/>
        </w:rPr>
        <w:t>The annualized weighted average cost of debt as of March 31, 2021 was 3.2% exclusive of the fee on the undrawn commitment on the Credit Facility.</w:t>
      </w:r>
    </w:p>
    <w:p>
      <w:pPr>
        <w:spacing w:after="0" w:line="6" w:lineRule="exact"/>
        <w:rPr>
          <w:rFonts w:ascii="Arial" w:cs="Arial" w:eastAsia="Arial" w:hAnsi="Arial"/>
          <w:sz w:val="12"/>
          <w:szCs w:val="12"/>
          <w:color w:val="auto"/>
        </w:rPr>
      </w:pPr>
    </w:p>
    <w:p>
      <w:pPr>
        <w:ind w:left="380" w:hanging="372"/>
        <w:spacing w:after="0" w:line="223" w:lineRule="auto"/>
        <w:tabs>
          <w:tab w:leader="none" w:pos="380" w:val="left"/>
        </w:tabs>
        <w:numPr>
          <w:ilvl w:val="0"/>
          <w:numId w:val="27"/>
        </w:numPr>
        <w:rPr>
          <w:rFonts w:ascii="Arial" w:cs="Arial" w:eastAsia="Arial" w:hAnsi="Arial"/>
          <w:sz w:val="12"/>
          <w:szCs w:val="12"/>
          <w:color w:val="auto"/>
        </w:rPr>
      </w:pPr>
      <w:r>
        <w:rPr>
          <w:rFonts w:ascii="Arial" w:cs="Arial" w:eastAsia="Arial" w:hAnsi="Arial"/>
          <w:sz w:val="11"/>
          <w:szCs w:val="11"/>
          <w:color w:val="auto"/>
        </w:rPr>
        <w:t>Unfunded debt and equity investments are disclosed in the Consolidated Schedule of Investments and Note 11 of our Consolidated Financial Statements.</w:t>
      </w:r>
    </w:p>
    <w:p>
      <w:pPr>
        <w:spacing w:after="0" w:line="138"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2021, PennantPark Investment Advisers serves as our investment adviser. Payments under our Investment Management Agreement in each reporting period are equal to (1) a management fee equal to a percentage of the value of our average adjusted gross assets and (2) an incentive fee based on our performance.</w:t>
      </w:r>
    </w:p>
    <w:p>
      <w:pPr>
        <w:spacing w:after="0" w:line="117"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Under our Administration Agreement, which was most recently reapproved by our board of directors, including a majority of our directors who are not interested persons of us, in February 2021, the Administrator furnishes us with office facilities and administrative services necessary to conduct our day-to-day operations.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16"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 Sheet Arrangements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currently engage in no off-balance sheet arrangements other than our funding requirements for the unfunded investments described above.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136" w:lineRule="exact"/>
        <w:rPr>
          <w:sz w:val="20"/>
          <w:szCs w:val="20"/>
          <w:color w:val="auto"/>
        </w:rPr>
      </w:pPr>
    </w:p>
    <w:p>
      <w:pPr>
        <w:jc w:val="both"/>
        <w:ind w:right="140" w:firstLine="438"/>
        <w:spacing w:after="0" w:line="238" w:lineRule="auto"/>
        <w:rPr>
          <w:sz w:val="20"/>
          <w:szCs w:val="20"/>
          <w:color w:val="auto"/>
        </w:rPr>
      </w:pPr>
      <w:r>
        <w:rPr>
          <w:rFonts w:ascii="Arial" w:cs="Arial" w:eastAsia="Arial" w:hAnsi="Arial"/>
          <w:sz w:val="14"/>
          <w:szCs w:val="14"/>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15"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Although not required for us to maintain our RIC tax status, in order to preclude the imposition of a 4% nondeductible U.S.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116" w:lineRule="exact"/>
        <w:rPr>
          <w:sz w:val="20"/>
          <w:szCs w:val="20"/>
          <w:color w:val="auto"/>
        </w:rPr>
      </w:pPr>
    </w:p>
    <w:p>
      <w:pPr>
        <w:jc w:val="both"/>
        <w:ind w:right="140" w:firstLine="438"/>
        <w:spacing w:after="0" w:line="255" w:lineRule="auto"/>
        <w:rPr>
          <w:sz w:val="20"/>
          <w:szCs w:val="20"/>
          <w:color w:val="auto"/>
        </w:rPr>
      </w:pPr>
      <w:r>
        <w:rPr>
          <w:rFonts w:ascii="Arial" w:cs="Arial" w:eastAsia="Arial" w:hAnsi="Arial"/>
          <w:sz w:val="13"/>
          <w:szCs w:val="13"/>
          <w:color w:val="auto"/>
        </w:rPr>
        <w:t>During the three and six months ended March 31, 2021 and 2020, we declared distributions of $0.285 and $0.57 per share, respectively, for total distributions of $11.1 and $22.1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intend to continue to make monthly distributions to our stockholders. Our monthly distributions, if any, are determined by our board of directors quarterly.</w:t>
      </w:r>
    </w:p>
    <w:p>
      <w:pPr>
        <w:spacing w:after="0" w:line="136"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113"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40" w:lineRule="exact"/>
        <w:rPr>
          <w:sz w:val="20"/>
          <w:szCs w:val="20"/>
          <w:color w:val="auto"/>
        </w:rPr>
      </w:pPr>
    </w:p>
    <w:p>
      <w:pPr>
        <w:ind w:right="160" w:firstLine="438"/>
        <w:spacing w:after="0" w:line="231" w:lineRule="auto"/>
        <w:rPr>
          <w:sz w:val="20"/>
          <w:szCs w:val="20"/>
          <w:color w:val="auto"/>
        </w:rPr>
      </w:pPr>
      <w:r>
        <w:rPr>
          <w:rFonts w:ascii="Arial" w:cs="Arial" w:eastAsia="Arial" w:hAnsi="Arial"/>
          <w:sz w:val="14"/>
          <w:szCs w:val="14"/>
          <w:color w:val="auto"/>
        </w:rPr>
        <w:t>We are subject to financial market risks, including changes in interest rates. As of March 31, 2021, our debt portfolio consisted of 98% variable-rate investments. The variable-rate loans are usually based on a LIBOR rate (or an alternative risk-free floating interest rate index)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46" w:name="page47"/>
    <w:bookmarkEnd w:id="46"/>
    <w:p>
      <w:pPr>
        <w:ind w:right="500" w:firstLine="438"/>
        <w:spacing w:after="0" w:line="253" w:lineRule="auto"/>
        <w:rPr>
          <w:sz w:val="20"/>
          <w:szCs w:val="20"/>
          <w:color w:val="auto"/>
        </w:rPr>
      </w:pPr>
      <w:r>
        <w:rPr>
          <w:rFonts w:ascii="Arial" w:cs="Arial" w:eastAsia="Arial" w:hAnsi="Arial"/>
          <w:sz w:val="14"/>
          <w:szCs w:val="14"/>
          <w:color w:val="auto"/>
        </w:rPr>
        <w:t>Assuming that the most recent Consolidated Statements of Assets and Liabilities was to remain constant, and no actions were taken to alter the existing interest rate sensitivity, the following table shows the annualized impact of hypothetical base rate changes in interest rates: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60" w:type="dxa"/>
            <w:vAlign w:val="bottom"/>
          </w:tcPr>
          <w:p>
            <w:pPr>
              <w:jc w:val="center"/>
              <w:ind w:left="548"/>
              <w:spacing w:after="0"/>
              <w:rPr>
                <w:sz w:val="20"/>
                <w:szCs w:val="20"/>
                <w:color w:val="auto"/>
              </w:rPr>
            </w:pPr>
            <w:r>
              <w:rPr>
                <w:rFonts w:ascii="Arial" w:cs="Arial" w:eastAsia="Arial" w:hAnsi="Arial"/>
                <w:sz w:val="14"/>
                <w:szCs w:val="14"/>
                <w:b w:val="1"/>
                <w:bCs w:val="1"/>
                <w:color w:val="auto"/>
                <w:w w:val="93"/>
              </w:rPr>
              <w:t>Change in Interest Income,</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Change in Interest Income,</w:t>
            </w:r>
          </w:p>
        </w:tc>
        <w:tc>
          <w:tcPr>
            <w:tcW w:w="0" w:type="dxa"/>
            <w:vAlign w:val="bottom"/>
          </w:tcPr>
          <w:p>
            <w:pPr>
              <w:spacing w:after="0"/>
              <w:rPr>
                <w:sz w:val="1"/>
                <w:szCs w:val="1"/>
                <w:color w:val="auto"/>
              </w:rPr>
            </w:pPr>
          </w:p>
        </w:tc>
      </w:tr>
      <w:tr>
        <w:trPr>
          <w:trHeight w:val="148"/>
        </w:trPr>
        <w:tc>
          <w:tcPr>
            <w:tcW w:w="3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Change in Interest Rates</w:t>
            </w:r>
          </w:p>
        </w:tc>
        <w:tc>
          <w:tcPr>
            <w:tcW w:w="220" w:type="dxa"/>
            <w:vAlign w:val="bottom"/>
          </w:tcPr>
          <w:p>
            <w:pPr>
              <w:spacing w:after="0"/>
              <w:rPr>
                <w:sz w:val="12"/>
                <w:szCs w:val="12"/>
                <w:color w:val="auto"/>
              </w:rPr>
            </w:pPr>
          </w:p>
        </w:tc>
        <w:tc>
          <w:tcPr>
            <w:tcW w:w="2860" w:type="dxa"/>
            <w:vAlign w:val="bottom"/>
          </w:tcPr>
          <w:p>
            <w:pPr>
              <w:jc w:val="center"/>
              <w:ind w:left="548"/>
              <w:spacing w:after="0" w:line="149" w:lineRule="exact"/>
              <w:rPr>
                <w:sz w:val="20"/>
                <w:szCs w:val="20"/>
                <w:color w:val="auto"/>
              </w:rPr>
            </w:pPr>
            <w:r>
              <w:rPr>
                <w:rFonts w:ascii="Arial" w:cs="Arial" w:eastAsia="Arial" w:hAnsi="Arial"/>
                <w:sz w:val="14"/>
                <w:szCs w:val="14"/>
                <w:b w:val="1"/>
                <w:bCs w:val="1"/>
                <w:color w:val="auto"/>
                <w:w w:val="92"/>
              </w:rPr>
              <w:t>Net of Interest Expense</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1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Net of Interest</w:t>
            </w:r>
          </w:p>
        </w:tc>
        <w:tc>
          <w:tcPr>
            <w:tcW w:w="0" w:type="dxa"/>
            <w:vAlign w:val="bottom"/>
          </w:tcPr>
          <w:p>
            <w:pPr>
              <w:spacing w:after="0"/>
              <w:rPr>
                <w:sz w:val="1"/>
                <w:szCs w:val="1"/>
                <w:color w:val="auto"/>
              </w:rPr>
            </w:pPr>
          </w:p>
        </w:tc>
      </w:tr>
      <w:tr>
        <w:trPr>
          <w:trHeight w:val="171"/>
        </w:trPr>
        <w:tc>
          <w:tcPr>
            <w:tcW w:w="3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860" w:type="dxa"/>
            <w:vAlign w:val="bottom"/>
          </w:tcPr>
          <w:p>
            <w:pPr>
              <w:jc w:val="center"/>
              <w:ind w:left="548"/>
              <w:spacing w:after="0"/>
              <w:rPr>
                <w:sz w:val="20"/>
                <w:szCs w:val="20"/>
                <w:color w:val="auto"/>
              </w:rPr>
            </w:pPr>
            <w:r>
              <w:rPr>
                <w:rFonts w:ascii="Arial" w:cs="Arial" w:eastAsia="Arial" w:hAnsi="Arial"/>
                <w:sz w:val="14"/>
                <w:szCs w:val="14"/>
                <w:b w:val="1"/>
                <w:bCs w:val="1"/>
                <w:color w:val="auto"/>
                <w:w w:val="91"/>
              </w:rPr>
              <w:t>(in thousands)</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Expense Per Share</w:t>
            </w:r>
          </w:p>
        </w:tc>
        <w:tc>
          <w:tcPr>
            <w:tcW w:w="0" w:type="dxa"/>
            <w:vAlign w:val="bottom"/>
          </w:tcPr>
          <w:p>
            <w:pPr>
              <w:spacing w:after="0"/>
              <w:rPr>
                <w:sz w:val="1"/>
                <w:szCs w:val="1"/>
                <w:color w:val="auto"/>
              </w:rPr>
            </w:pPr>
          </w:p>
        </w:tc>
      </w:tr>
      <w:tr>
        <w:trPr>
          <w:trHeight w:val="156"/>
        </w:trPr>
        <w:tc>
          <w:tcPr>
            <w:tcW w:w="36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6"/>
              </w:rPr>
              <w:t>Down 1%</w:t>
            </w:r>
          </w:p>
        </w:tc>
        <w:tc>
          <w:tcPr>
            <w:tcW w:w="220" w:type="dxa"/>
            <w:vAlign w:val="bottom"/>
            <w:tcBorders>
              <w:top w:val="single" w:sz="8" w:color="CCECFF"/>
            </w:tcBorders>
            <w:shd w:val="clear" w:color="auto" w:fill="CCECFF"/>
          </w:tcPr>
          <w:p>
            <w:pPr>
              <w:spacing w:after="0"/>
              <w:rPr>
                <w:sz w:val="13"/>
                <w:szCs w:val="13"/>
                <w:color w:val="auto"/>
              </w:rPr>
            </w:pPr>
          </w:p>
        </w:tc>
        <w:tc>
          <w:tcPr>
            <w:tcW w:w="2860" w:type="dxa"/>
            <w:vAlign w:val="bottom"/>
            <w:tcBorders>
              <w:top w:val="single" w:sz="8" w:color="auto"/>
            </w:tcBorders>
            <w:shd w:val="clear" w:color="auto" w:fill="CCECFF"/>
          </w:tcPr>
          <w:p>
            <w:pPr>
              <w:jc w:val="right"/>
              <w:ind w:right="2708"/>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(0.01)</w:t>
            </w:r>
          </w:p>
        </w:tc>
        <w:tc>
          <w:tcPr>
            <w:tcW w:w="2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480" w:type="dxa"/>
            <w:vAlign w:val="bottom"/>
            <w:tcBorders>
              <w:top w:val="single" w:sz="8" w:color="auto"/>
            </w:tcBorders>
            <w:shd w:val="clear" w:color="auto" w:fill="CCECFF"/>
          </w:tcPr>
          <w:p>
            <w:pPr>
              <w:jc w:val="right"/>
              <w:ind w:right="369"/>
              <w:spacing w:after="0"/>
              <w:rPr>
                <w:sz w:val="20"/>
                <w:szCs w:val="20"/>
                <w:color w:val="auto"/>
              </w:rPr>
            </w:pPr>
            <w:r>
              <w:rPr>
                <w:rFonts w:ascii="Arial" w:cs="Arial" w:eastAsia="Arial" w:hAnsi="Arial"/>
                <w:sz w:val="10"/>
                <w:szCs w:val="10"/>
                <w:color w:val="auto"/>
                <w:w w:val="71"/>
              </w:rPr>
              <w:t>$</w:t>
            </w:r>
          </w:p>
        </w:tc>
        <w:tc>
          <w:tcPr>
            <w:tcW w:w="3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(455)</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1%</w:t>
            </w:r>
          </w:p>
        </w:tc>
        <w:tc>
          <w:tcPr>
            <w:tcW w:w="2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(0.03)</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right"/>
              <w:ind w:right="80"/>
              <w:spacing w:after="0"/>
              <w:rPr>
                <w:sz w:val="20"/>
                <w:szCs w:val="20"/>
                <w:color w:val="auto"/>
              </w:rPr>
            </w:pPr>
            <w:r>
              <w:rPr>
                <w:rFonts w:ascii="Arial" w:cs="Arial" w:eastAsia="Arial" w:hAnsi="Arial"/>
                <w:sz w:val="14"/>
                <w:szCs w:val="14"/>
                <w:color w:val="auto"/>
              </w:rPr>
              <w:t>(1,093)</w:t>
            </w: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2%</w:t>
            </w:r>
          </w:p>
        </w:tc>
        <w:tc>
          <w:tcPr>
            <w:tcW w:w="220" w:type="dxa"/>
            <w:vAlign w:val="bottom"/>
            <w:shd w:val="clear" w:color="auto" w:fill="CCECFF"/>
          </w:tcPr>
          <w:p>
            <w:pPr>
              <w:spacing w:after="0"/>
              <w:rPr>
                <w:sz w:val="14"/>
                <w:szCs w:val="14"/>
                <w:color w:val="auto"/>
              </w:rPr>
            </w:pPr>
          </w:p>
        </w:tc>
        <w:tc>
          <w:tcPr>
            <w:tcW w:w="2860" w:type="dxa"/>
            <w:vAlign w:val="bottom"/>
            <w:shd w:val="clear" w:color="auto" w:fill="CCECFF"/>
          </w:tcPr>
          <w:p>
            <w:pPr>
              <w:spacing w:after="0"/>
              <w:rPr>
                <w:sz w:val="14"/>
                <w:szCs w:val="14"/>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0.12</w:t>
            </w:r>
          </w:p>
        </w:tc>
        <w:tc>
          <w:tcPr>
            <w:tcW w:w="2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480" w:type="dxa"/>
            <w:vAlign w:val="bottom"/>
            <w:shd w:val="clear" w:color="auto" w:fill="CCECFF"/>
          </w:tcPr>
          <w:p>
            <w:pPr>
              <w:spacing w:after="0"/>
              <w:rPr>
                <w:sz w:val="14"/>
                <w:szCs w:val="14"/>
                <w:color w:val="auto"/>
              </w:rPr>
            </w:pP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4,744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3%</w:t>
            </w:r>
          </w:p>
        </w:tc>
        <w:tc>
          <w:tcPr>
            <w:tcW w:w="2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0.27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0" w:type="dxa"/>
            <w:vAlign w:val="bottom"/>
          </w:tcPr>
          <w:p>
            <w:pPr>
              <w:jc w:val="right"/>
              <w:spacing w:after="0"/>
              <w:rPr>
                <w:sz w:val="20"/>
                <w:szCs w:val="20"/>
                <w:color w:val="auto"/>
              </w:rPr>
            </w:pPr>
            <w:r>
              <w:rPr>
                <w:rFonts w:ascii="Arial" w:cs="Arial" w:eastAsia="Arial" w:hAnsi="Arial"/>
                <w:sz w:val="14"/>
                <w:szCs w:val="14"/>
                <w:color w:val="auto"/>
              </w:rPr>
              <w:t>10,581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4%</w:t>
            </w:r>
          </w:p>
        </w:tc>
        <w:tc>
          <w:tcPr>
            <w:tcW w:w="3080" w:type="dxa"/>
            <w:vAlign w:val="bottom"/>
            <w:gridSpan w:val="2"/>
            <w:shd w:val="clear" w:color="auto" w:fill="CCECFF"/>
          </w:tcPr>
          <w:p>
            <w:pPr>
              <w:jc w:val="right"/>
              <w:ind w:right="270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0.42</w:t>
            </w:r>
          </w:p>
        </w:tc>
        <w:tc>
          <w:tcPr>
            <w:tcW w:w="200" w:type="dxa"/>
            <w:vAlign w:val="bottom"/>
            <w:shd w:val="clear" w:color="auto" w:fill="CCECFF"/>
          </w:tcPr>
          <w:p>
            <w:pPr>
              <w:spacing w:after="0"/>
              <w:rPr>
                <w:sz w:val="14"/>
                <w:szCs w:val="14"/>
                <w:color w:val="auto"/>
              </w:rPr>
            </w:pPr>
          </w:p>
        </w:tc>
        <w:tc>
          <w:tcPr>
            <w:tcW w:w="620" w:type="dxa"/>
            <w:vAlign w:val="bottom"/>
            <w:gridSpan w:val="2"/>
            <w:shd w:val="clear" w:color="auto" w:fill="CCECFF"/>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16,417</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15" w:lineRule="exact"/>
        <w:rPr>
          <w:sz w:val="20"/>
          <w:szCs w:val="20"/>
          <w:color w:val="auto"/>
        </w:rPr>
      </w:pPr>
    </w:p>
    <w:p>
      <w:pPr>
        <w:jc w:val="both"/>
        <w:ind w:right="160" w:firstLine="438"/>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15" w:lineRule="exact"/>
        <w:rPr>
          <w:sz w:val="20"/>
          <w:szCs w:val="20"/>
          <w:color w:val="auto"/>
        </w:rPr>
      </w:pPr>
    </w:p>
    <w:p>
      <w:pPr>
        <w:ind w:right="60" w:firstLine="438"/>
        <w:spacing w:after="0" w:line="255" w:lineRule="auto"/>
        <w:rPr>
          <w:sz w:val="20"/>
          <w:szCs w:val="20"/>
          <w:color w:val="auto"/>
        </w:rPr>
      </w:pPr>
      <w:r>
        <w:rPr>
          <w:rFonts w:ascii="Arial" w:cs="Arial" w:eastAsia="Arial" w:hAnsi="Arial"/>
          <w:sz w:val="13"/>
          <w:szCs w:val="13"/>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103"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140" w:lineRule="exact"/>
        <w:rPr>
          <w:sz w:val="20"/>
          <w:szCs w:val="20"/>
          <w:color w:val="auto"/>
        </w:rPr>
      </w:pPr>
    </w:p>
    <w:p>
      <w:pPr>
        <w:ind w:right="80" w:firstLine="438"/>
        <w:spacing w:after="0" w:line="247" w:lineRule="auto"/>
        <w:rPr>
          <w:sz w:val="20"/>
          <w:szCs w:val="20"/>
          <w:color w:val="auto"/>
        </w:rPr>
      </w:pPr>
      <w:r>
        <w:rPr>
          <w:rFonts w:ascii="Arial" w:cs="Arial" w:eastAsia="Arial" w:hAnsi="Arial"/>
          <w:sz w:val="13"/>
          <w:szCs w:val="13"/>
          <w:color w:val="auto"/>
        </w:rPr>
        <w:t>As of the period covered by this Report, we, including our Chief Executive Officer and Chief Financial Officer, evaluated the effectiveness of the design and operation of our disclosure controls and procedures (as defined in Rule 13a-15(e) under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11" w:lineRule="exact"/>
        <w:rPr>
          <w:sz w:val="20"/>
          <w:szCs w:val="20"/>
          <w:color w:val="auto"/>
        </w:rPr>
      </w:pPr>
    </w:p>
    <w:p>
      <w:pPr>
        <w:ind w:right="40" w:firstLine="438"/>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that occurred during the quarter ended March 31, 2021 that have materially affected, or are reasonably likely to materially affect, our internal control over financial reporting.</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b w:val="1"/>
          <w:bCs w:val="1"/>
          <w:color w:val="auto"/>
        </w:rPr>
        <w:t>PART II – OTHER INFORMATION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1.Legal Proceedings</w:t>
      </w:r>
    </w:p>
    <w:p>
      <w:pPr>
        <w:spacing w:after="0" w:line="140"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and any future legal proceedings cannot be predicted with certainty, we do not expect that these proceedings will have a material effect upon our financial condition or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1A.Risk Factors</w:t>
      </w:r>
    </w:p>
    <w:p>
      <w:pPr>
        <w:spacing w:after="0" w:line="140" w:lineRule="exact"/>
        <w:rPr>
          <w:sz w:val="20"/>
          <w:szCs w:val="20"/>
          <w:color w:val="auto"/>
        </w:rPr>
      </w:pPr>
    </w:p>
    <w:p>
      <w:pPr>
        <w:jc w:val="both"/>
        <w:ind w:right="40" w:firstLine="438"/>
        <w:spacing w:after="0" w:line="233" w:lineRule="auto"/>
        <w:rPr>
          <w:sz w:val="20"/>
          <w:szCs w:val="20"/>
          <w:color w:val="auto"/>
        </w:rPr>
      </w:pPr>
      <w:r>
        <w:rPr>
          <w:rFonts w:ascii="Arial" w:cs="Arial" w:eastAsia="Arial" w:hAnsi="Arial"/>
          <w:sz w:val="14"/>
          <w:szCs w:val="14"/>
          <w:color w:val="auto"/>
        </w:rPr>
        <w:t>In addition to the other information set forth in this Report, you should consider carefully the factors discussed below, as well as in Part I “Item 1A. Risk Factors” in our Annual Report on Form 10-K for the fiscal year ended September 30, 2020 filed on November 18, 2020, which could materially affect our business, financial condition and/or operating results. The risks described below, as well as in our Annual Report on Form 10-K are not the only risks facing PennantPark Floating Rate Capital Ltd. Additional risks and uncertainties not currently known to us or that we currently deem to be immaterial also may materially and adversely affect our business, financial condition and/or operating results.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Legislation enacted in 2018 allows us to incur additional leverage.</w:t>
      </w:r>
    </w:p>
    <w:p>
      <w:pPr>
        <w:spacing w:after="0" w:line="136" w:lineRule="exact"/>
        <w:rPr>
          <w:sz w:val="20"/>
          <w:szCs w:val="20"/>
          <w:color w:val="auto"/>
        </w:rPr>
      </w:pPr>
    </w:p>
    <w:p>
      <w:pPr>
        <w:ind w:firstLine="438"/>
        <w:spacing w:after="0" w:line="226" w:lineRule="auto"/>
        <w:rPr>
          <w:sz w:val="20"/>
          <w:szCs w:val="20"/>
          <w:color w:val="auto"/>
        </w:rPr>
      </w:pPr>
      <w:r>
        <w:rPr>
          <w:rFonts w:ascii="Arial" w:cs="Arial" w:eastAsia="Arial" w:hAnsi="Arial"/>
          <w:sz w:val="14"/>
          <w:szCs w:val="14"/>
          <w:color w:val="auto"/>
        </w:rPr>
        <w:t>A BDC has historically been able to issue “senior securities,” including borrowing money from banks or other financial institutions, only in amounts such that its asset coverage, as defined in Section 61(a)(2) of the 1940 Act, equals at least 200% after such incurrence or issuance. In March 2018, the Consolidated Appropriations Act of 2018 (which includes the SBCAA) was enacted which amended the 1940 Act to decrease this percentage from 200% (i.e., $1 of debt outstanding for each $1 of equity) to 150% (i.e., $2 of debt outstanding for each $1 of equity) for a BDC that has received either stockholder approval or approval of a “required majority” (as defined in Section 57(o) of the 1940 Act) of its board of directors of the application of such lower asset coverage ratio to the BDC. On April 5, 2018, our board of directors approved such reduction. As of April 5, 2019, we are able to incur additional indebtedness so long as we comply with the applicable disclosure requirement, which may increase the risk of investing in us. Under the 200% minimum asset coverage ratio, we were permitted to borrow up to one dollar for investment purposes for every one dollar of investor equity and, under the 150% minimum asset coverage ratio, we are permitted to borrow up to two dollars for investment purposes for every one dollar of investor equity. In other words, Section 61(a)(2) of the 1940 Act permits BDCs to potentially increase their debt-to-equity ratio from a maximum of 1-to-1 to a maximum of 2-to-1. In addition, since our base management fee is determined and payable based upon our average adjusted gross assets, which includes any borrowings for investment purposes, our base management fee expense may increase if we incur additional leverage.</w:t>
      </w:r>
    </w:p>
    <w:p>
      <w:pPr>
        <w:spacing w:after="0" w:line="117" w:lineRule="exact"/>
        <w:rPr>
          <w:sz w:val="20"/>
          <w:szCs w:val="20"/>
          <w:color w:val="auto"/>
        </w:rPr>
      </w:pPr>
    </w:p>
    <w:p>
      <w:pPr>
        <w:ind w:right="360" w:firstLine="438"/>
        <w:spacing w:after="0" w:line="253" w:lineRule="auto"/>
        <w:rPr>
          <w:sz w:val="20"/>
          <w:szCs w:val="20"/>
          <w:color w:val="auto"/>
        </w:rPr>
      </w:pPr>
      <w:r>
        <w:rPr>
          <w:rFonts w:ascii="Arial" w:cs="Arial" w:eastAsia="Arial" w:hAnsi="Arial"/>
          <w:sz w:val="14"/>
          <w:szCs w:val="14"/>
          <w:b w:val="1"/>
          <w:bCs w:val="1"/>
          <w:i w:val="1"/>
          <w:iCs w:val="1"/>
          <w:color w:val="auto"/>
        </w:rPr>
        <w:t>Because we intend to distribute substantially all of our income to our stockholders to maintain our ability to be subject to tax as a RIC, we may need to raise additional capital to finance our growth. If funds are not available to us, we may need to curtail new investments, and our common stock value could decline.</w:t>
      </w:r>
    </w:p>
    <w:p>
      <w:pPr>
        <w:spacing w:after="0" w:line="106" w:lineRule="exact"/>
        <w:rPr>
          <w:sz w:val="20"/>
          <w:szCs w:val="20"/>
          <w:color w:val="auto"/>
        </w:rPr>
      </w:pPr>
    </w:p>
    <w:p>
      <w:pPr>
        <w:jc w:val="both"/>
        <w:ind w:right="120" w:firstLine="438"/>
        <w:spacing w:after="0" w:line="238" w:lineRule="auto"/>
        <w:rPr>
          <w:sz w:val="20"/>
          <w:szCs w:val="20"/>
          <w:color w:val="auto"/>
        </w:rPr>
      </w:pPr>
      <w:r>
        <w:rPr>
          <w:rFonts w:ascii="Arial" w:cs="Arial" w:eastAsia="Arial" w:hAnsi="Arial"/>
          <w:sz w:val="14"/>
          <w:szCs w:val="14"/>
          <w:color w:val="auto"/>
        </w:rPr>
        <w:t>In connection with satisfying the requirements to be subject to tax as a RIC for federal income tax purposes, we intend to distribute to our stockholders substantially all of our investment company taxable income and net capital gains each taxable year. However, we may retain all or a portion of our net capital gains and incur applicable income taxes with respect thereto and elect to treat such retained net capital gains as deemed dividend distributions to our stockholders.</w:t>
      </w:r>
    </w:p>
    <w:p>
      <w:pPr>
        <w:spacing w:after="0" w:line="115" w:lineRule="exact"/>
        <w:rPr>
          <w:sz w:val="20"/>
          <w:szCs w:val="20"/>
          <w:color w:val="auto"/>
        </w:rPr>
      </w:pPr>
    </w:p>
    <w:p>
      <w:pPr>
        <w:ind w:right="80" w:firstLine="438"/>
        <w:spacing w:after="0" w:line="229" w:lineRule="auto"/>
        <w:rPr>
          <w:sz w:val="20"/>
          <w:szCs w:val="20"/>
          <w:color w:val="auto"/>
        </w:rPr>
      </w:pPr>
      <w:r>
        <w:rPr>
          <w:rFonts w:ascii="Arial" w:cs="Arial" w:eastAsia="Arial" w:hAnsi="Arial"/>
          <w:sz w:val="14"/>
          <w:szCs w:val="14"/>
          <w:color w:val="auto"/>
        </w:rPr>
        <w:t>As noted above, on April 5, 2018, our board of directors, including a “required majority” (as such term is defined in Section 57(o) of the 1940 Act), approved a reduction of our asset coverage ratio from 200% to 150%. As a result, as of April 5, 2019, the asset coverage requirement applicable to us for senior securities was reduced from 200% (i.e., $1 of debt outstanding for each $1 of equity) to 150% (i.e., $2 of debt outstanding for each $1 of equity). If we incur additional indebtedness under this provision, the risk of investing in us will increase. If the value of our assets declines, we may be unable to satisfy this asset coverage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18" w:lineRule="exact"/>
        <w:rPr>
          <w:sz w:val="20"/>
          <w:szCs w:val="20"/>
          <w:color w:val="auto"/>
        </w:rPr>
      </w:pPr>
    </w:p>
    <w:p>
      <w:pPr>
        <w:jc w:val="both"/>
        <w:ind w:right="60" w:firstLine="438"/>
        <w:spacing w:after="0" w:line="233" w:lineRule="auto"/>
        <w:rPr>
          <w:sz w:val="20"/>
          <w:szCs w:val="20"/>
          <w:color w:val="auto"/>
        </w:rPr>
      </w:pPr>
      <w:r>
        <w:rPr>
          <w:rFonts w:ascii="Arial" w:cs="Arial" w:eastAsia="Arial" w:hAnsi="Arial"/>
          <w:sz w:val="14"/>
          <w:szCs w:val="14"/>
          <w:color w:val="auto"/>
        </w:rPr>
        <w:t>We are partially dependent on our subsidiary, Funding I, for cash distributions to enable us to meet the distribution requirements in order to permit us to be subject to tax as a RIC. In this regard, Funding I is limited by its covenants from making certain distributions to us that may be necessary to fulfill our requirements to be subject to tax as a RIC. In such case, we would need to request a waiver of these covenants’ restrictions for Funding I to make certain distributions to enable us to be subject to tax as a RIC. We cannot assure you that Funding I will be granted such a waiver, and if Funding I is unable to obtain a waiver, compliance with the covenants may cause us to incur a corporate-level income tax.</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If we incur additional debt, it could increase the risk of investing in our shares.</w:t>
      </w:r>
    </w:p>
    <w:p>
      <w:pPr>
        <w:spacing w:after="0" w:line="136" w:lineRule="exact"/>
        <w:rPr>
          <w:sz w:val="20"/>
          <w:szCs w:val="20"/>
          <w:color w:val="auto"/>
        </w:rPr>
      </w:pPr>
    </w:p>
    <w:p>
      <w:pPr>
        <w:ind w:right="160" w:firstLine="438"/>
        <w:spacing w:after="0" w:line="244" w:lineRule="auto"/>
        <w:rPr>
          <w:sz w:val="20"/>
          <w:szCs w:val="20"/>
          <w:color w:val="auto"/>
        </w:rPr>
      </w:pPr>
      <w:r>
        <w:rPr>
          <w:rFonts w:ascii="Arial" w:cs="Arial" w:eastAsia="Arial" w:hAnsi="Arial"/>
          <w:sz w:val="13"/>
          <w:szCs w:val="13"/>
          <w:color w:val="auto"/>
        </w:rPr>
        <w:t>We have indebtedness outstanding pursuant to our Credit Facility, 2023 Notes, 2026 Notes and the 2031 Asset-Backed Debt and expect in the future to borrow additional amounts under our Credit Facility or other debt securities, subject to market availability, and, may increase the size of our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Funding I’s assets in connection with our Credit Facility borrowings. In the case of a liquidation event, those lenders would receive proceeds before our stockholders. Any future debt issuance will increase our leverage and may be subordinate to our Credit Facility. In addition, borrowings or debt issuances, also known as leverage, magnify the potential for loss or gain on amounts invested and, therefore, increase the risks associated with investing in our securities. Leverage is generally considered a speculative investment technique. If the value of our assets decreases, then the use of leverage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14" w:lineRule="exact"/>
        <w:rPr>
          <w:sz w:val="20"/>
          <w:szCs w:val="20"/>
          <w:color w:val="auto"/>
        </w:rPr>
      </w:pPr>
    </w:p>
    <w:p>
      <w:pPr>
        <w:ind w:right="340" w:firstLine="438"/>
        <w:spacing w:after="0" w:line="238" w:lineRule="auto"/>
        <w:rPr>
          <w:sz w:val="20"/>
          <w:szCs w:val="20"/>
          <w:color w:val="auto"/>
        </w:rPr>
      </w:pPr>
      <w:r>
        <w:rPr>
          <w:rFonts w:ascii="Arial" w:cs="Arial" w:eastAsia="Arial" w:hAnsi="Arial"/>
          <w:sz w:val="14"/>
          <w:szCs w:val="14"/>
          <w:color w:val="auto"/>
        </w:rPr>
        <w:t>As noted above, on April 5, 2018, our board of directors, including a “required majority” (as such term is defined in Section 57(o) of the 1940 Act), approved a reduction of our asset coverage ratio. As a result, as of April 5, 2019, the asset coverage requirement applicable to us for senior securities was reduced from 200% to 150%. As of such date, we are able to incur additional indebtedness so long as we comply with the applicable disclosure requirements, which may increase the risk of investing in us.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2.Unregistered Sales of Equity Securities and Use of Proceeds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3.Defaults Upon Senior Securities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b w:val="1"/>
          <w:bCs w:val="1"/>
          <w:color w:val="auto"/>
        </w:rPr>
        <w:t>Item 4.Mine Safety Disclosures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Not applicable.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5.Other Information</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301"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414" w:right="1440" w:bottom="1440" w:gutter="0" w:footer="0" w:header="0"/>
        </w:sectPr>
      </w:pPr>
    </w:p>
    <w:bookmarkStart w:id="49" w:name="page50"/>
    <w:bookmarkEnd w:id="49"/>
    <w:p>
      <w:pPr>
        <w:spacing w:after="0"/>
        <w:tabs>
          <w:tab w:leader="none" w:pos="80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Exhibits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Unless specifically indicated otherwise, the following exhibits are incorporated by reference to exhibits previously filed with the SEC:</w:t>
      </w:r>
    </w:p>
    <w:p>
      <w:pPr>
        <w:spacing w:after="0" w:line="136" w:lineRule="exact"/>
        <w:rPr>
          <w:sz w:val="20"/>
          <w:szCs w:val="20"/>
          <w:color w:val="auto"/>
        </w:rPr>
      </w:pPr>
    </w:p>
    <w:p>
      <w:pPr>
        <w:ind w:left="580" w:hanging="507"/>
        <w:spacing w:after="0" w:line="253" w:lineRule="auto"/>
        <w:tabs>
          <w:tab w:leader="none" w:pos="560" w:val="left"/>
        </w:tabs>
        <w:rPr>
          <w:rFonts w:ascii="Arial" w:cs="Arial" w:eastAsia="Arial" w:hAnsi="Arial"/>
          <w:sz w:val="14"/>
          <w:szCs w:val="14"/>
          <w:u w:val="single" w:color="auto"/>
          <w:color w:val="0000EE"/>
        </w:rPr>
      </w:pPr>
      <w:r>
        <w:rPr>
          <w:rFonts w:ascii="Arial" w:cs="Arial" w:eastAsia="Arial" w:hAnsi="Arial"/>
          <w:sz w:val="14"/>
          <w:szCs w:val="14"/>
          <w:color w:val="auto"/>
        </w:rPr>
        <w:t>3.1</w:t>
      </w:r>
      <w:r>
        <w:rPr>
          <w:sz w:val="20"/>
          <w:szCs w:val="20"/>
          <w:color w:val="auto"/>
        </w:rPr>
        <w:tab/>
      </w:r>
      <w:hyperlink r:id="rId71">
        <w:r>
          <w:rPr>
            <w:rFonts w:ascii="Arial" w:cs="Arial" w:eastAsia="Arial" w:hAnsi="Arial"/>
            <w:sz w:val="14"/>
            <w:szCs w:val="14"/>
            <w:u w:val="single" w:color="auto"/>
            <w:color w:val="0000EE"/>
          </w:rPr>
          <w:t>Articles of Amendment and Restatement of the Registrant (Incorporated by reference to Exhibit 99(A) to the Registrant's Pre-Effective Amendment No. 3 to the Registration Statement</w:t>
        </w:r>
      </w:hyperlink>
      <w:r>
        <w:rPr>
          <w:rFonts w:ascii="Arial" w:cs="Arial" w:eastAsia="Arial" w:hAnsi="Arial"/>
          <w:sz w:val="14"/>
          <w:szCs w:val="14"/>
          <w:u w:val="single" w:color="auto"/>
          <w:color w:val="0000EE"/>
        </w:rPr>
        <w:t xml:space="preserve"> </w:t>
      </w:r>
      <w:hyperlink r:id="rId71">
        <w:r>
          <w:rPr>
            <w:rFonts w:ascii="Arial" w:cs="Arial" w:eastAsia="Arial" w:hAnsi="Arial"/>
            <w:sz w:val="14"/>
            <w:szCs w:val="14"/>
            <w:u w:val="single" w:color="auto"/>
            <w:color w:val="0000EE"/>
          </w:rPr>
          <w:t>on Form N-2 (File No. 333-170243), filed on March 29, 2011).</w:t>
        </w:r>
      </w:hyperlink>
    </w:p>
    <w:p>
      <w:pPr>
        <w:spacing w:after="0" w:line="79" w:lineRule="exact"/>
        <w:rPr>
          <w:sz w:val="20"/>
          <w:szCs w:val="20"/>
          <w:color w:val="auto"/>
        </w:rPr>
      </w:pPr>
    </w:p>
    <w:p>
      <w:pPr>
        <w:ind w:left="580" w:right="220" w:hanging="507"/>
        <w:spacing w:after="0" w:line="253" w:lineRule="auto"/>
        <w:tabs>
          <w:tab w:leader="none" w:pos="560" w:val="left"/>
        </w:tabs>
        <w:rPr>
          <w:rFonts w:ascii="Arial" w:cs="Arial" w:eastAsia="Arial" w:hAnsi="Arial"/>
          <w:sz w:val="14"/>
          <w:szCs w:val="14"/>
          <w:u w:val="single" w:color="auto"/>
          <w:color w:val="0000EE"/>
        </w:rPr>
      </w:pPr>
      <w:r>
        <w:rPr>
          <w:rFonts w:ascii="Arial" w:cs="Arial" w:eastAsia="Arial" w:hAnsi="Arial"/>
          <w:sz w:val="14"/>
          <w:szCs w:val="14"/>
          <w:color w:val="auto"/>
        </w:rPr>
        <w:t>3.2</w:t>
      </w:r>
      <w:r>
        <w:rPr>
          <w:sz w:val="20"/>
          <w:szCs w:val="20"/>
          <w:color w:val="auto"/>
        </w:rPr>
        <w:tab/>
      </w:r>
      <w:hyperlink r:id="rId72">
        <w:r>
          <w:rPr>
            <w:rFonts w:ascii="Arial" w:cs="Arial" w:eastAsia="Arial" w:hAnsi="Arial"/>
            <w:sz w:val="14"/>
            <w:szCs w:val="14"/>
            <w:u w:val="single" w:color="auto"/>
            <w:color w:val="0000EE"/>
          </w:rPr>
          <w:t>Second Amended and Restated Bylaws of the Registrant (Incorporated by reference to Exhibit 3.2 to the Registrant's Quarterly Report on Form 10-Q (File No. 814-00891), filed on</w:t>
        </w:r>
      </w:hyperlink>
      <w:r>
        <w:rPr>
          <w:rFonts w:ascii="Arial" w:cs="Arial" w:eastAsia="Arial" w:hAnsi="Arial"/>
          <w:sz w:val="14"/>
          <w:szCs w:val="14"/>
          <w:u w:val="single" w:color="auto"/>
          <w:color w:val="0000EE"/>
        </w:rPr>
        <w:t xml:space="preserve"> </w:t>
      </w:r>
      <w:hyperlink r:id="rId72">
        <w:r>
          <w:rPr>
            <w:rFonts w:ascii="Arial" w:cs="Arial" w:eastAsia="Arial" w:hAnsi="Arial"/>
            <w:sz w:val="14"/>
            <w:szCs w:val="14"/>
            <w:u w:val="single" w:color="auto"/>
            <w:color w:val="0000EE"/>
          </w:rPr>
          <w:t>May 11, 2020).</w:t>
        </w:r>
      </w:hyperlink>
    </w:p>
    <w:p>
      <w:pPr>
        <w:spacing w:after="0" w:line="79" w:lineRule="exact"/>
        <w:rPr>
          <w:sz w:val="20"/>
          <w:szCs w:val="20"/>
          <w:color w:val="auto"/>
        </w:rPr>
      </w:pPr>
    </w:p>
    <w:p>
      <w:pPr>
        <w:ind w:left="80"/>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4.1</w:t>
      </w:r>
      <w:r>
        <w:rPr>
          <w:sz w:val="20"/>
          <w:szCs w:val="20"/>
          <w:color w:val="auto"/>
        </w:rPr>
        <w:tab/>
      </w:r>
      <w:hyperlink r:id="rId73">
        <w:r>
          <w:rPr>
            <w:rFonts w:ascii="Arial" w:cs="Arial" w:eastAsia="Arial" w:hAnsi="Arial"/>
            <w:sz w:val="13"/>
            <w:szCs w:val="13"/>
            <w:u w:val="single" w:color="auto"/>
            <w:color w:val="0000EE"/>
          </w:rPr>
          <w:t>Form of Share Certificate (Incorporated by reference to Exhibit 99(D) to the Registrant's Pre-Effective Amendment No. 5 to the Registration Statement on Form N-2 (File No. 333-</w:t>
        </w:r>
      </w:hyperlink>
    </w:p>
    <w:p>
      <w:pPr>
        <w:ind w:left="580"/>
        <w:spacing w:after="0"/>
        <w:rPr>
          <w:rFonts w:ascii="Arial" w:cs="Arial" w:eastAsia="Arial" w:hAnsi="Arial"/>
          <w:sz w:val="14"/>
          <w:szCs w:val="14"/>
          <w:u w:val="single" w:color="auto"/>
          <w:color w:val="0000EE"/>
        </w:rPr>
      </w:pPr>
      <w:hyperlink r:id="rId73">
        <w:r>
          <w:rPr>
            <w:rFonts w:ascii="Arial" w:cs="Arial" w:eastAsia="Arial" w:hAnsi="Arial"/>
            <w:sz w:val="14"/>
            <w:szCs w:val="14"/>
            <w:u w:val="single" w:color="auto"/>
            <w:color w:val="0000EE"/>
          </w:rPr>
          <w:t>170243), filed on April 5, 2011).</w:t>
        </w:r>
      </w:hyperlink>
    </w:p>
    <w:p>
      <w:pPr>
        <w:spacing w:after="0" w:line="205" w:lineRule="exact"/>
        <w:rPr>
          <w:sz w:val="20"/>
          <w:szCs w:val="20"/>
          <w:color w:val="auto"/>
        </w:rPr>
      </w:pPr>
    </w:p>
    <w:p>
      <w:pPr>
        <w:ind w:left="580" w:right="100" w:hanging="507"/>
        <w:spacing w:after="0" w:line="253" w:lineRule="auto"/>
        <w:tabs>
          <w:tab w:leader="none" w:pos="560" w:val="left"/>
        </w:tabs>
        <w:rPr>
          <w:rFonts w:ascii="Arial" w:cs="Arial" w:eastAsia="Arial" w:hAnsi="Arial"/>
          <w:sz w:val="14"/>
          <w:szCs w:val="14"/>
          <w:u w:val="single" w:color="auto"/>
          <w:color w:val="0000EE"/>
        </w:rPr>
      </w:pPr>
      <w:r>
        <w:rPr>
          <w:rFonts w:ascii="Arial" w:cs="Arial" w:eastAsia="Arial" w:hAnsi="Arial"/>
          <w:sz w:val="14"/>
          <w:szCs w:val="14"/>
          <w:color w:val="auto"/>
        </w:rPr>
        <w:t>4.2</w:t>
      </w:r>
      <w:r>
        <w:rPr>
          <w:sz w:val="20"/>
          <w:szCs w:val="20"/>
          <w:color w:val="auto"/>
        </w:rPr>
        <w:tab/>
      </w:r>
      <w:hyperlink r:id="rId74">
        <w:r>
          <w:rPr>
            <w:rFonts w:ascii="Arial" w:cs="Arial" w:eastAsia="Arial" w:hAnsi="Arial"/>
            <w:sz w:val="14"/>
            <w:szCs w:val="14"/>
            <w:u w:val="single" w:color="auto"/>
            <w:color w:val="0000EE"/>
          </w:rPr>
          <w:t>Indenture, dated as of March 23, 2021, by and between the Company and American Stock Transfer &amp; Trust Company, LLC, as trustee (Incorporated by reference to Exhibit 4.1 to the</w:t>
        </w:r>
      </w:hyperlink>
      <w:r>
        <w:rPr>
          <w:rFonts w:ascii="Arial" w:cs="Arial" w:eastAsia="Arial" w:hAnsi="Arial"/>
          <w:sz w:val="14"/>
          <w:szCs w:val="14"/>
          <w:u w:val="single" w:color="auto"/>
          <w:color w:val="0000EE"/>
        </w:rPr>
        <w:t xml:space="preserve"> </w:t>
      </w:r>
      <w:hyperlink r:id="rId74">
        <w:r>
          <w:rPr>
            <w:rFonts w:ascii="Arial" w:cs="Arial" w:eastAsia="Arial" w:hAnsi="Arial"/>
            <w:sz w:val="14"/>
            <w:szCs w:val="14"/>
            <w:u w:val="single" w:color="auto"/>
            <w:color w:val="0000EE"/>
          </w:rPr>
          <w:t>Registrant's Current Report on Form 8-K (File No. 814-00891), filed on March 23, 2021).</w:t>
        </w:r>
      </w:hyperlink>
    </w:p>
    <w:p>
      <w:pPr>
        <w:spacing w:after="0" w:line="187" w:lineRule="exact"/>
        <w:rPr>
          <w:sz w:val="20"/>
          <w:szCs w:val="20"/>
          <w:color w:val="auto"/>
        </w:rPr>
      </w:pPr>
    </w:p>
    <w:p>
      <w:pPr>
        <w:ind w:left="580" w:right="20" w:hanging="507"/>
        <w:spacing w:after="0" w:line="253" w:lineRule="auto"/>
        <w:tabs>
          <w:tab w:leader="none" w:pos="560" w:val="left"/>
        </w:tabs>
        <w:rPr>
          <w:rFonts w:ascii="Arial" w:cs="Arial" w:eastAsia="Arial" w:hAnsi="Arial"/>
          <w:sz w:val="14"/>
          <w:szCs w:val="14"/>
          <w:u w:val="single" w:color="auto"/>
          <w:color w:val="0000EE"/>
        </w:rPr>
      </w:pPr>
      <w:r>
        <w:rPr>
          <w:rFonts w:ascii="Arial" w:cs="Arial" w:eastAsia="Arial" w:hAnsi="Arial"/>
          <w:sz w:val="14"/>
          <w:szCs w:val="14"/>
          <w:color w:val="auto"/>
        </w:rPr>
        <w:t>4.3</w:t>
      </w:r>
      <w:r>
        <w:rPr>
          <w:sz w:val="20"/>
          <w:szCs w:val="20"/>
          <w:color w:val="auto"/>
        </w:rPr>
        <w:tab/>
      </w:r>
      <w:hyperlink r:id="rId75">
        <w:r>
          <w:rPr>
            <w:rFonts w:ascii="Arial" w:cs="Arial" w:eastAsia="Arial" w:hAnsi="Arial"/>
            <w:sz w:val="14"/>
            <w:szCs w:val="14"/>
            <w:u w:val="single" w:color="auto"/>
            <w:color w:val="0000EE"/>
          </w:rPr>
          <w:t>First Supplemental Indenture, dated as of March 23, 2021, by and between the Company and American Stock Transfer &amp; Trust Company, LLC, as trustee (Incorporated by reference to</w:t>
        </w:r>
      </w:hyperlink>
      <w:r>
        <w:rPr>
          <w:rFonts w:ascii="Arial" w:cs="Arial" w:eastAsia="Arial" w:hAnsi="Arial"/>
          <w:sz w:val="14"/>
          <w:szCs w:val="14"/>
          <w:u w:val="single" w:color="auto"/>
          <w:color w:val="0000EE"/>
        </w:rPr>
        <w:t xml:space="preserve"> </w:t>
      </w:r>
      <w:hyperlink r:id="rId75">
        <w:r>
          <w:rPr>
            <w:rFonts w:ascii="Arial" w:cs="Arial" w:eastAsia="Arial" w:hAnsi="Arial"/>
            <w:sz w:val="14"/>
            <w:szCs w:val="14"/>
            <w:u w:val="single" w:color="auto"/>
            <w:color w:val="0000EE"/>
          </w:rPr>
          <w:t>Exhibit 4.2 to the Registrant's Current Report on Form 8-K (File No. 814-00891), filed on March 23, 2021).</w:t>
        </w:r>
      </w:hyperlink>
    </w:p>
    <w:p>
      <w:pPr>
        <w:spacing w:after="0" w:line="187" w:lineRule="exact"/>
        <w:rPr>
          <w:sz w:val="20"/>
          <w:szCs w:val="20"/>
          <w:color w:val="auto"/>
        </w:rPr>
      </w:pPr>
    </w:p>
    <w:p>
      <w:pPr>
        <w:ind w:left="80"/>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4.4</w:t>
      </w:r>
      <w:r>
        <w:rPr>
          <w:sz w:val="20"/>
          <w:szCs w:val="20"/>
          <w:color w:val="auto"/>
        </w:rPr>
        <w:tab/>
      </w:r>
      <w:hyperlink r:id="rId75">
        <w:r>
          <w:rPr>
            <w:rFonts w:ascii="Arial" w:cs="Arial" w:eastAsia="Arial" w:hAnsi="Arial"/>
            <w:sz w:val="13"/>
            <w:szCs w:val="13"/>
            <w:u w:val="single" w:color="auto"/>
            <w:color w:val="0000EE"/>
          </w:rPr>
          <w:t>Form of 4.25% Notes due 2026 (Incorporated by reference to Exhibit 4.3 hereto).</w:t>
        </w:r>
      </w:hyperlink>
    </w:p>
    <w:p>
      <w:pPr>
        <w:spacing w:after="0" w:line="109" w:lineRule="exact"/>
        <w:rPr>
          <w:sz w:val="20"/>
          <w:szCs w:val="20"/>
          <w:color w:val="auto"/>
        </w:rPr>
      </w:pPr>
    </w:p>
    <w:p>
      <w:pPr>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31.1*</w:t>
      </w:r>
      <w:r>
        <w:rPr>
          <w:sz w:val="20"/>
          <w:szCs w:val="20"/>
          <w:color w:val="auto"/>
        </w:rPr>
        <w:tab/>
      </w:r>
      <w:hyperlink w:anchor="page52">
        <w:r>
          <w:rPr>
            <w:rFonts w:ascii="Arial" w:cs="Arial" w:eastAsia="Arial" w:hAnsi="Arial"/>
            <w:sz w:val="13"/>
            <w:szCs w:val="13"/>
            <w:u w:val="single" w:color="auto"/>
            <w:color w:val="0000EE"/>
          </w:rPr>
          <w:t>Certification of Chief Executive Officer pursuant to Rule 13a-14 of the Securities Exchange Act of 1934, as amended.</w:t>
        </w:r>
      </w:hyperlink>
    </w:p>
    <w:p>
      <w:pPr>
        <w:spacing w:after="0" w:line="109" w:lineRule="exact"/>
        <w:rPr>
          <w:sz w:val="20"/>
          <w:szCs w:val="20"/>
          <w:color w:val="auto"/>
        </w:rPr>
      </w:pPr>
    </w:p>
    <w:p>
      <w:pPr>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31.2*</w:t>
      </w:r>
      <w:r>
        <w:rPr>
          <w:sz w:val="20"/>
          <w:szCs w:val="20"/>
          <w:color w:val="auto"/>
        </w:rPr>
        <w:tab/>
      </w:r>
      <w:hyperlink w:anchor="page53">
        <w:r>
          <w:rPr>
            <w:rFonts w:ascii="Arial" w:cs="Arial" w:eastAsia="Arial" w:hAnsi="Arial"/>
            <w:sz w:val="13"/>
            <w:szCs w:val="13"/>
            <w:u w:val="single" w:color="auto"/>
            <w:color w:val="0000EE"/>
          </w:rPr>
          <w:t>Certification of Chief Financial Officer pursuant to Rule 13a-14 of the Securities Exchange Act of 1934, as amended.</w:t>
        </w:r>
      </w:hyperlink>
    </w:p>
    <w:p>
      <w:pPr>
        <w:spacing w:after="0" w:line="109" w:lineRule="exact"/>
        <w:rPr>
          <w:sz w:val="20"/>
          <w:szCs w:val="20"/>
          <w:color w:val="auto"/>
        </w:rPr>
      </w:pPr>
    </w:p>
    <w:p>
      <w:pPr>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32.1*</w:t>
      </w:r>
      <w:r>
        <w:rPr>
          <w:sz w:val="20"/>
          <w:szCs w:val="20"/>
          <w:color w:val="auto"/>
        </w:rPr>
        <w:tab/>
      </w:r>
      <w:hyperlink w:anchor="page54">
        <w:r>
          <w:rPr>
            <w:rFonts w:ascii="Arial" w:cs="Arial" w:eastAsia="Arial" w:hAnsi="Arial"/>
            <w:sz w:val="13"/>
            <w:szCs w:val="13"/>
            <w:u w:val="single" w:color="auto"/>
            <w:color w:val="0000EE"/>
          </w:rPr>
          <w:t>Certification of Chief Executive Officer pursuant to section 906 of The Sarbanes-Oxley Act of 2002.</w:t>
        </w:r>
      </w:hyperlink>
    </w:p>
    <w:p>
      <w:pPr>
        <w:spacing w:after="0" w:line="109" w:lineRule="exact"/>
        <w:rPr>
          <w:sz w:val="20"/>
          <w:szCs w:val="20"/>
          <w:color w:val="auto"/>
        </w:rPr>
      </w:pPr>
    </w:p>
    <w:p>
      <w:pPr>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32.2*</w:t>
      </w:r>
      <w:r>
        <w:rPr>
          <w:sz w:val="20"/>
          <w:szCs w:val="20"/>
          <w:color w:val="auto"/>
        </w:rPr>
        <w:tab/>
      </w:r>
      <w:hyperlink w:anchor="page55">
        <w:r>
          <w:rPr>
            <w:rFonts w:ascii="Arial" w:cs="Arial" w:eastAsia="Arial" w:hAnsi="Arial"/>
            <w:sz w:val="13"/>
            <w:szCs w:val="13"/>
            <w:u w:val="single" w:color="auto"/>
            <w:color w:val="0000EE"/>
          </w:rPr>
          <w:t>Certification of Chief Financial Officer pursuant to section 906 of The Sarbanes-Oxley Act of 2002.</w:t>
        </w:r>
      </w:hyperlink>
    </w:p>
    <w:p>
      <w:pPr>
        <w:spacing w:after="0" w:line="109" w:lineRule="exact"/>
        <w:rPr>
          <w:sz w:val="20"/>
          <w:szCs w:val="20"/>
          <w:color w:val="auto"/>
        </w:rPr>
      </w:pPr>
    </w:p>
    <w:p>
      <w:pPr>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99.1</w:t>
      </w:r>
      <w:r>
        <w:rPr>
          <w:sz w:val="20"/>
          <w:szCs w:val="20"/>
          <w:color w:val="auto"/>
        </w:rPr>
        <w:tab/>
      </w:r>
      <w:hyperlink r:id="rId76">
        <w:r>
          <w:rPr>
            <w:rFonts w:ascii="Arial" w:cs="Arial" w:eastAsia="Arial" w:hAnsi="Arial"/>
            <w:sz w:val="13"/>
            <w:szCs w:val="13"/>
            <w:u w:val="single" w:color="auto"/>
            <w:color w:val="0000EE"/>
          </w:rPr>
          <w:t>Privacy Policy of the Registrant (Incorporated by reference to Exhibit 99.1 to the Registrant’s Annual Report on Form 10-K (File No. 814-00891), filed on November 17, 2011).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8599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157" w:lineRule="exact"/>
        <w:rPr>
          <w:sz w:val="20"/>
          <w:szCs w:val="20"/>
          <w:color w:val="auto"/>
        </w:rPr>
      </w:pPr>
    </w:p>
    <w:p>
      <w:pPr>
        <w:ind w:left="380" w:hanging="372"/>
        <w:spacing w:after="0"/>
        <w:tabs>
          <w:tab w:leader="none" w:pos="3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00" w:lineRule="exact"/>
        <w:rPr>
          <w:sz w:val="20"/>
          <w:szCs w:val="20"/>
          <w:color w:val="auto"/>
        </w:rPr>
      </w:pP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495" w:right="399" w:bottom="1440" w:gutter="0" w:footer="0" w:header="0"/>
        </w:sectPr>
      </w:pPr>
    </w:p>
    <w:bookmarkStart w:id="50" w:name="page51"/>
    <w:bookmarkEnd w:id="50"/>
    <w:p>
      <w:pPr>
        <w:jc w:val="center"/>
        <w:spacing w:after="0"/>
        <w:rPr>
          <w:sz w:val="20"/>
          <w:szCs w:val="20"/>
          <w:color w:val="auto"/>
        </w:rPr>
      </w:pPr>
      <w:r>
        <w:rPr>
          <w:rFonts w:ascii="Arial" w:cs="Arial" w:eastAsia="Arial" w:hAnsi="Arial"/>
          <w:sz w:val="14"/>
          <w:szCs w:val="14"/>
          <w:b w:val="1"/>
          <w:bCs w:val="1"/>
          <w:color w:val="auto"/>
        </w:rPr>
        <w:t>SIGNATURES</w:t>
      </w:r>
    </w:p>
    <w:p>
      <w:pPr>
        <w:spacing w:after="0" w:line="275" w:lineRule="exact"/>
        <w:rPr>
          <w:sz w:val="20"/>
          <w:szCs w:val="20"/>
          <w:color w:val="auto"/>
        </w:rPr>
      </w:pPr>
    </w:p>
    <w:p>
      <w:pPr>
        <w:ind w:right="20" w:firstLine="438"/>
        <w:spacing w:after="0" w:line="253"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on Form 10-Q to be signed on its behalf by the undersigned, thereunto duly authorized.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3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5140" w:type="dxa"/>
            <w:vAlign w:val="bottom"/>
          </w:tcPr>
          <w:p>
            <w:pPr>
              <w:ind w:left="840"/>
              <w:spacing w:after="0"/>
              <w:rPr>
                <w:sz w:val="20"/>
                <w:szCs w:val="20"/>
                <w:color w:val="auto"/>
              </w:rPr>
            </w:pPr>
            <w:r>
              <w:rPr>
                <w:rFonts w:ascii="Arial" w:cs="Arial" w:eastAsia="Arial" w:hAnsi="Arial"/>
                <w:sz w:val="14"/>
                <w:szCs w:val="14"/>
                <w:color w:val="auto"/>
              </w:rPr>
              <w:t>PENNANTPARK FLOATING RATE CAPITAL LTD.</w:t>
            </w:r>
          </w:p>
        </w:tc>
      </w:tr>
      <w:tr>
        <w:trPr>
          <w:trHeight w:val="377"/>
        </w:trPr>
        <w:tc>
          <w:tcPr>
            <w:tcW w:w="3320" w:type="dxa"/>
            <w:vAlign w:val="bottom"/>
          </w:tcPr>
          <w:p>
            <w:pPr>
              <w:spacing w:after="0"/>
              <w:rPr>
                <w:sz w:val="20"/>
                <w:szCs w:val="20"/>
                <w:color w:val="auto"/>
              </w:rPr>
            </w:pPr>
            <w:r>
              <w:rPr>
                <w:rFonts w:ascii="Arial" w:cs="Arial" w:eastAsia="Arial" w:hAnsi="Arial"/>
                <w:sz w:val="14"/>
                <w:szCs w:val="14"/>
                <w:color w:val="auto"/>
              </w:rPr>
              <w:t>Date: May 5, 2021</w:t>
            </w:r>
          </w:p>
        </w:tc>
        <w:tc>
          <w:tcPr>
            <w:tcW w:w="2780" w:type="dxa"/>
            <w:vAlign w:val="bottom"/>
          </w:tcPr>
          <w:p>
            <w:pPr>
              <w:ind w:left="2460"/>
              <w:spacing w:after="0"/>
              <w:rPr>
                <w:sz w:val="20"/>
                <w:szCs w:val="20"/>
                <w:color w:val="auto"/>
              </w:rPr>
            </w:pPr>
            <w:r>
              <w:rPr>
                <w:rFonts w:ascii="Arial" w:cs="Arial" w:eastAsia="Arial" w:hAnsi="Arial"/>
                <w:sz w:val="14"/>
                <w:szCs w:val="14"/>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/s/ Arthur H. Penn</w:t>
            </w:r>
          </w:p>
        </w:tc>
      </w:tr>
      <w:tr>
        <w:trPr>
          <w:trHeight w:val="160"/>
        </w:trPr>
        <w:tc>
          <w:tcPr>
            <w:tcW w:w="33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514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9"/>
              </w:rPr>
              <w:t>Arthur H. Penn</w:t>
            </w:r>
          </w:p>
        </w:tc>
      </w:tr>
      <w:tr>
        <w:trPr>
          <w:trHeight w:val="148"/>
        </w:trPr>
        <w:tc>
          <w:tcPr>
            <w:tcW w:w="33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5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Chief Executive Officer and Chairman of the Board of Directors</w:t>
            </w:r>
          </w:p>
        </w:tc>
      </w:tr>
      <w:tr>
        <w:trPr>
          <w:trHeight w:val="186"/>
        </w:trPr>
        <w:tc>
          <w:tcPr>
            <w:tcW w:w="33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b w:val="1"/>
                <w:bCs w:val="1"/>
                <w:color w:val="auto"/>
                <w:w w:val="95"/>
              </w:rPr>
              <w:t>(Principal Executive Officer)</w:t>
            </w:r>
          </w:p>
        </w:tc>
      </w:tr>
      <w:tr>
        <w:trPr>
          <w:trHeight w:val="390"/>
        </w:trPr>
        <w:tc>
          <w:tcPr>
            <w:tcW w:w="3320" w:type="dxa"/>
            <w:vAlign w:val="bottom"/>
          </w:tcPr>
          <w:p>
            <w:pPr>
              <w:spacing w:after="0"/>
              <w:rPr>
                <w:sz w:val="20"/>
                <w:szCs w:val="20"/>
                <w:color w:val="auto"/>
              </w:rPr>
            </w:pPr>
            <w:r>
              <w:rPr>
                <w:rFonts w:ascii="Arial" w:cs="Arial" w:eastAsia="Arial" w:hAnsi="Arial"/>
                <w:sz w:val="14"/>
                <w:szCs w:val="14"/>
                <w:color w:val="auto"/>
              </w:rPr>
              <w:t>Date: May 5, 2021</w:t>
            </w:r>
          </w:p>
        </w:tc>
        <w:tc>
          <w:tcPr>
            <w:tcW w:w="2780" w:type="dxa"/>
            <w:vAlign w:val="bottom"/>
          </w:tcPr>
          <w:p>
            <w:pPr>
              <w:ind w:left="2460"/>
              <w:spacing w:after="0"/>
              <w:rPr>
                <w:sz w:val="20"/>
                <w:szCs w:val="20"/>
                <w:color w:val="auto"/>
              </w:rPr>
            </w:pPr>
            <w:r>
              <w:rPr>
                <w:rFonts w:ascii="Arial" w:cs="Arial" w:eastAsia="Arial" w:hAnsi="Arial"/>
                <w:sz w:val="14"/>
                <w:szCs w:val="14"/>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/s/ Aviv Efrat</w:t>
            </w:r>
          </w:p>
        </w:tc>
      </w:tr>
      <w:tr>
        <w:trPr>
          <w:trHeight w:val="160"/>
        </w:trPr>
        <w:tc>
          <w:tcPr>
            <w:tcW w:w="33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514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7"/>
              </w:rPr>
              <w:t>Aviv Efrat</w:t>
            </w:r>
          </w:p>
        </w:tc>
      </w:tr>
      <w:tr>
        <w:trPr>
          <w:trHeight w:val="149"/>
        </w:trPr>
        <w:tc>
          <w:tcPr>
            <w:tcW w:w="33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5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Chief Financial Officer and Treasurer</w:t>
            </w:r>
          </w:p>
        </w:tc>
      </w:tr>
      <w:tr>
        <w:trPr>
          <w:trHeight w:val="186"/>
        </w:trPr>
        <w:tc>
          <w:tcPr>
            <w:tcW w:w="33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 Financial and Accounting Officer)</w:t>
            </w:r>
          </w:p>
        </w:tc>
      </w:tr>
      <w:tr>
        <w:trPr>
          <w:trHeight w:val="756"/>
        </w:trPr>
        <w:tc>
          <w:tcPr>
            <w:tcW w:w="3320" w:type="dxa"/>
            <w:vAlign w:val="bottom"/>
          </w:tcPr>
          <w:p>
            <w:pPr>
              <w:spacing w:after="0"/>
              <w:rPr>
                <w:sz w:val="24"/>
                <w:szCs w:val="24"/>
                <w:color w:val="auto"/>
              </w:rPr>
            </w:pPr>
          </w:p>
        </w:tc>
        <w:tc>
          <w:tcPr>
            <w:tcW w:w="2780" w:type="dxa"/>
            <w:vAlign w:val="bottom"/>
          </w:tcPr>
          <w:p>
            <w:pPr>
              <w:jc w:val="right"/>
              <w:ind w:right="328"/>
              <w:spacing w:after="0"/>
              <w:rPr>
                <w:sz w:val="20"/>
                <w:szCs w:val="20"/>
                <w:color w:val="auto"/>
              </w:rPr>
            </w:pPr>
            <w:r>
              <w:rPr>
                <w:rFonts w:ascii="Arial" w:cs="Arial" w:eastAsia="Arial" w:hAnsi="Arial"/>
                <w:sz w:val="14"/>
                <w:szCs w:val="14"/>
                <w:color w:val="auto"/>
              </w:rPr>
              <w:t>51</w:t>
            </w:r>
          </w:p>
        </w:tc>
        <w:tc>
          <w:tcPr>
            <w:tcW w:w="5140" w:type="dxa"/>
            <w:vAlign w:val="bottom"/>
          </w:tcPr>
          <w:p>
            <w:pPr>
              <w:spacing w:after="0"/>
              <w:rPr>
                <w:sz w:val="24"/>
                <w:szCs w:val="24"/>
                <w:color w:val="auto"/>
              </w:rPr>
            </w:pPr>
          </w:p>
        </w:tc>
      </w:tr>
    </w:tbl>
    <w:p>
      <w:pPr>
        <w:sectPr>
          <w:pgSz w:w="11900" w:h="16838" w:orient="portrait"/>
          <w:cols w:equalWidth="0" w:num="1">
            <w:col w:w="11240"/>
          </w:cols>
          <w:pgMar w:left="320" w:top="495"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4"/>
          <w:szCs w:val="14"/>
          <w:b w:val="1"/>
          <w:bCs w:val="1"/>
          <w:color w:val="auto"/>
        </w:rPr>
        <w:t>EXHIBIT 31.1</w:t>
      </w:r>
    </w:p>
    <w:p>
      <w:pPr>
        <w:ind w:left="4040"/>
        <w:spacing w:after="0" w:line="225" w:lineRule="auto"/>
        <w:rPr>
          <w:sz w:val="20"/>
          <w:szCs w:val="20"/>
          <w:color w:val="auto"/>
        </w:rPr>
      </w:pPr>
      <w:r>
        <w:rPr>
          <w:rFonts w:ascii="Arial" w:cs="Arial" w:eastAsia="Arial" w:hAnsi="Arial"/>
          <w:sz w:val="14"/>
          <w:szCs w:val="14"/>
          <w:b w:val="1"/>
          <w:bCs w:val="1"/>
          <w:color w:val="auto"/>
        </w:rPr>
        <w:t>CERTIFICATION PURSUANT TO SECTION 302</w:t>
      </w:r>
    </w:p>
    <w:p>
      <w:pPr>
        <w:ind w:left="402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of PennantPark Floating Rate Capital Ltd., certify that:</w:t>
      </w:r>
    </w:p>
    <w:p>
      <w:pPr>
        <w:spacing w:after="0" w:line="150" w:lineRule="exact"/>
        <w:rPr>
          <w:sz w:val="20"/>
          <w:szCs w:val="20"/>
          <w:color w:val="auto"/>
        </w:rPr>
      </w:pPr>
    </w:p>
    <w:p>
      <w:pPr>
        <w:ind w:left="900" w:hanging="143"/>
        <w:spacing w:after="0"/>
        <w:tabs>
          <w:tab w:leader="none" w:pos="9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Floating Rate Capital Ltd.;</w:t>
      </w:r>
    </w:p>
    <w:p>
      <w:pPr>
        <w:spacing w:after="0" w:line="149" w:lineRule="exact"/>
        <w:rPr>
          <w:rFonts w:ascii="Arial" w:cs="Arial" w:eastAsia="Arial" w:hAnsi="Arial"/>
          <w:sz w:val="14"/>
          <w:szCs w:val="14"/>
          <w:color w:val="auto"/>
        </w:rPr>
      </w:pPr>
    </w:p>
    <w:p>
      <w:pPr>
        <w:ind w:right="20" w:firstLine="757"/>
        <w:spacing w:after="0" w:line="253" w:lineRule="auto"/>
        <w:tabs>
          <w:tab w:leader="none" w:pos="895" w:val="left"/>
        </w:tabs>
        <w:numPr>
          <w:ilvl w:val="0"/>
          <w:numId w:val="2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4"/>
          <w:szCs w:val="14"/>
          <w:color w:val="auto"/>
        </w:rPr>
      </w:pPr>
    </w:p>
    <w:p>
      <w:pPr>
        <w:ind w:firstLine="757"/>
        <w:spacing w:after="0" w:line="253" w:lineRule="auto"/>
        <w:tabs>
          <w:tab w:leader="none" w:pos="899" w:val="left"/>
        </w:tabs>
        <w:numPr>
          <w:ilvl w:val="0"/>
          <w:numId w:val="2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4"/>
          <w:szCs w:val="14"/>
          <w:color w:val="auto"/>
        </w:rPr>
      </w:pPr>
    </w:p>
    <w:p>
      <w:pPr>
        <w:ind w:left="900" w:hanging="143"/>
        <w:spacing w:after="0"/>
        <w:tabs>
          <w:tab w:leader="none" w:pos="9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43" w:lineRule="exact"/>
        <w:rPr>
          <w:rFonts w:ascii="Arial" w:cs="Arial" w:eastAsia="Arial" w:hAnsi="Arial"/>
          <w:sz w:val="13"/>
          <w:szCs w:val="13"/>
          <w:color w:val="auto"/>
        </w:rPr>
      </w:pPr>
    </w:p>
    <w:p>
      <w:pPr>
        <w:jc w:val="both"/>
        <w:ind w:firstLine="1405"/>
        <w:spacing w:after="0" w:line="238" w:lineRule="auto"/>
        <w:tabs>
          <w:tab w:leader="none" w:pos="1560" w:val="left"/>
        </w:tabs>
        <w:numPr>
          <w:ilvl w:val="1"/>
          <w:numId w:val="29"/>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28" w:lineRule="exact"/>
        <w:rPr>
          <w:rFonts w:ascii="Arial" w:cs="Arial" w:eastAsia="Arial" w:hAnsi="Arial"/>
          <w:sz w:val="14"/>
          <w:szCs w:val="14"/>
          <w:color w:val="auto"/>
        </w:rPr>
      </w:pPr>
    </w:p>
    <w:p>
      <w:pPr>
        <w:jc w:val="both"/>
        <w:ind w:firstLine="1405"/>
        <w:spacing w:after="0" w:line="238" w:lineRule="auto"/>
        <w:tabs>
          <w:tab w:leader="none" w:pos="1573" w:val="left"/>
        </w:tabs>
        <w:numPr>
          <w:ilvl w:val="1"/>
          <w:numId w:val="29"/>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28" w:lineRule="exact"/>
        <w:rPr>
          <w:rFonts w:ascii="Arial" w:cs="Arial" w:eastAsia="Arial" w:hAnsi="Arial"/>
          <w:sz w:val="14"/>
          <w:szCs w:val="14"/>
          <w:color w:val="auto"/>
        </w:rPr>
      </w:pPr>
    </w:p>
    <w:p>
      <w:pPr>
        <w:ind w:firstLine="1405"/>
        <w:spacing w:after="0" w:line="253" w:lineRule="auto"/>
        <w:tabs>
          <w:tab w:leader="none" w:pos="1549" w:val="left"/>
        </w:tabs>
        <w:numPr>
          <w:ilvl w:val="1"/>
          <w:numId w:val="2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Arial" w:cs="Arial" w:eastAsia="Arial" w:hAnsi="Arial"/>
          <w:sz w:val="14"/>
          <w:szCs w:val="14"/>
          <w:color w:val="auto"/>
        </w:rPr>
      </w:pPr>
    </w:p>
    <w:p>
      <w:pPr>
        <w:jc w:val="both"/>
        <w:ind w:firstLine="1405"/>
        <w:spacing w:after="0" w:line="290" w:lineRule="auto"/>
        <w:tabs>
          <w:tab w:leader="none" w:pos="1570" w:val="left"/>
        </w:tabs>
        <w:numPr>
          <w:ilvl w:val="1"/>
          <w:numId w:val="2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3"/>
          <w:szCs w:val="13"/>
          <w:color w:val="auto"/>
        </w:rPr>
      </w:pPr>
    </w:p>
    <w:p>
      <w:pPr>
        <w:ind w:firstLine="757"/>
        <w:spacing w:after="0" w:line="253" w:lineRule="auto"/>
        <w:tabs>
          <w:tab w:leader="none" w:pos="902"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4"/>
          <w:szCs w:val="14"/>
          <w:color w:val="auto"/>
        </w:rPr>
      </w:pPr>
    </w:p>
    <w:p>
      <w:pPr>
        <w:ind w:right="20" w:firstLine="1405"/>
        <w:spacing w:after="0" w:line="253" w:lineRule="auto"/>
        <w:tabs>
          <w:tab w:leader="none" w:pos="1559" w:val="left"/>
        </w:tabs>
        <w:numPr>
          <w:ilvl w:val="1"/>
          <w:numId w:val="2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4"/>
          <w:szCs w:val="14"/>
          <w:color w:val="auto"/>
        </w:rPr>
      </w:pPr>
    </w:p>
    <w:p>
      <w:pPr>
        <w:ind w:left="1580" w:hanging="175"/>
        <w:spacing w:after="0"/>
        <w:tabs>
          <w:tab w:leader="none" w:pos="1580" w:val="left"/>
        </w:tabs>
        <w:numPr>
          <w:ilvl w:val="1"/>
          <w:numId w:val="2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reporting.</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Dated: May 5, 2021</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Arthur H. Penn</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Executive Officer</w:t>
      </w:r>
    </w:p>
    <w:p>
      <w:pPr>
        <w:sectPr>
          <w:pgSz w:w="11900" w:h="16838" w:orient="portrait"/>
          <w:cols w:equalWidth="0" w:num="1">
            <w:col w:w="11240"/>
          </w:cols>
          <w:pgMar w:left="320" w:top="118"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4"/>
          <w:szCs w:val="14"/>
          <w:b w:val="1"/>
          <w:bCs w:val="1"/>
          <w:color w:val="auto"/>
        </w:rPr>
        <w:t>EXHIBIT 31.2</w:t>
      </w:r>
    </w:p>
    <w:p>
      <w:pPr>
        <w:ind w:left="4040"/>
        <w:spacing w:after="0" w:line="225" w:lineRule="auto"/>
        <w:rPr>
          <w:sz w:val="20"/>
          <w:szCs w:val="20"/>
          <w:color w:val="auto"/>
        </w:rPr>
      </w:pPr>
      <w:r>
        <w:rPr>
          <w:rFonts w:ascii="Arial" w:cs="Arial" w:eastAsia="Arial" w:hAnsi="Arial"/>
          <w:sz w:val="14"/>
          <w:szCs w:val="14"/>
          <w:b w:val="1"/>
          <w:bCs w:val="1"/>
          <w:color w:val="auto"/>
        </w:rPr>
        <w:t>CERTIFICATION PURSUANT TO SECTION 302</w:t>
      </w:r>
    </w:p>
    <w:p>
      <w:pPr>
        <w:ind w:left="404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I, Aviv Efrat, Chief Financial Officer of PennantPark Floating Rate Capital Ltd., certify that:</w:t>
      </w:r>
    </w:p>
    <w:p>
      <w:pPr>
        <w:spacing w:after="0" w:line="150" w:lineRule="exact"/>
        <w:rPr>
          <w:sz w:val="20"/>
          <w:szCs w:val="20"/>
          <w:color w:val="auto"/>
        </w:rPr>
      </w:pPr>
    </w:p>
    <w:p>
      <w:pPr>
        <w:ind w:left="900" w:hanging="143"/>
        <w:spacing w:after="0"/>
        <w:tabs>
          <w:tab w:leader="none" w:pos="9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Floating Rate Capital Ltd.;</w:t>
      </w:r>
    </w:p>
    <w:p>
      <w:pPr>
        <w:spacing w:after="0" w:line="149" w:lineRule="exact"/>
        <w:rPr>
          <w:rFonts w:ascii="Arial" w:cs="Arial" w:eastAsia="Arial" w:hAnsi="Arial"/>
          <w:sz w:val="14"/>
          <w:szCs w:val="14"/>
          <w:color w:val="auto"/>
        </w:rPr>
      </w:pPr>
    </w:p>
    <w:p>
      <w:pPr>
        <w:ind w:right="20" w:firstLine="757"/>
        <w:spacing w:after="0" w:line="253" w:lineRule="auto"/>
        <w:tabs>
          <w:tab w:leader="none" w:pos="895" w:val="left"/>
        </w:tabs>
        <w:numPr>
          <w:ilvl w:val="0"/>
          <w:numId w:val="3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4"/>
          <w:szCs w:val="14"/>
          <w:color w:val="auto"/>
        </w:rPr>
      </w:pPr>
    </w:p>
    <w:p>
      <w:pPr>
        <w:ind w:firstLine="757"/>
        <w:spacing w:after="0" w:line="253" w:lineRule="auto"/>
        <w:tabs>
          <w:tab w:leader="none" w:pos="899" w:val="left"/>
        </w:tabs>
        <w:numPr>
          <w:ilvl w:val="0"/>
          <w:numId w:val="3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4"/>
          <w:szCs w:val="14"/>
          <w:color w:val="auto"/>
        </w:rPr>
      </w:pPr>
    </w:p>
    <w:p>
      <w:pPr>
        <w:ind w:left="900" w:hanging="143"/>
        <w:spacing w:after="0"/>
        <w:tabs>
          <w:tab w:leader="none" w:pos="9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43" w:lineRule="exact"/>
        <w:rPr>
          <w:rFonts w:ascii="Arial" w:cs="Arial" w:eastAsia="Arial" w:hAnsi="Arial"/>
          <w:sz w:val="13"/>
          <w:szCs w:val="13"/>
          <w:color w:val="auto"/>
        </w:rPr>
      </w:pPr>
    </w:p>
    <w:p>
      <w:pPr>
        <w:jc w:val="both"/>
        <w:ind w:firstLine="1405"/>
        <w:spacing w:after="0" w:line="238" w:lineRule="auto"/>
        <w:tabs>
          <w:tab w:leader="none" w:pos="1560" w:val="left"/>
        </w:tabs>
        <w:numPr>
          <w:ilvl w:val="1"/>
          <w:numId w:val="30"/>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28" w:lineRule="exact"/>
        <w:rPr>
          <w:rFonts w:ascii="Arial" w:cs="Arial" w:eastAsia="Arial" w:hAnsi="Arial"/>
          <w:sz w:val="14"/>
          <w:szCs w:val="14"/>
          <w:color w:val="auto"/>
        </w:rPr>
      </w:pPr>
    </w:p>
    <w:p>
      <w:pPr>
        <w:jc w:val="both"/>
        <w:ind w:firstLine="1405"/>
        <w:spacing w:after="0" w:line="238" w:lineRule="auto"/>
        <w:tabs>
          <w:tab w:leader="none" w:pos="1573" w:val="left"/>
        </w:tabs>
        <w:numPr>
          <w:ilvl w:val="1"/>
          <w:numId w:val="30"/>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28" w:lineRule="exact"/>
        <w:rPr>
          <w:rFonts w:ascii="Arial" w:cs="Arial" w:eastAsia="Arial" w:hAnsi="Arial"/>
          <w:sz w:val="14"/>
          <w:szCs w:val="14"/>
          <w:color w:val="auto"/>
        </w:rPr>
      </w:pPr>
    </w:p>
    <w:p>
      <w:pPr>
        <w:ind w:firstLine="1405"/>
        <w:spacing w:after="0" w:line="253" w:lineRule="auto"/>
        <w:tabs>
          <w:tab w:leader="none" w:pos="1549" w:val="left"/>
        </w:tabs>
        <w:numPr>
          <w:ilvl w:val="1"/>
          <w:numId w:val="3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Arial" w:cs="Arial" w:eastAsia="Arial" w:hAnsi="Arial"/>
          <w:sz w:val="14"/>
          <w:szCs w:val="14"/>
          <w:color w:val="auto"/>
        </w:rPr>
      </w:pPr>
    </w:p>
    <w:p>
      <w:pPr>
        <w:jc w:val="both"/>
        <w:ind w:firstLine="1405"/>
        <w:spacing w:after="0" w:line="290" w:lineRule="auto"/>
        <w:tabs>
          <w:tab w:leader="none" w:pos="1570" w:val="left"/>
        </w:tabs>
        <w:numPr>
          <w:ilvl w:val="1"/>
          <w:numId w:val="3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3"/>
          <w:szCs w:val="13"/>
          <w:color w:val="auto"/>
        </w:rPr>
      </w:pPr>
    </w:p>
    <w:p>
      <w:pPr>
        <w:ind w:firstLine="757"/>
        <w:spacing w:after="0" w:line="253" w:lineRule="auto"/>
        <w:tabs>
          <w:tab w:leader="none" w:pos="902"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4"/>
          <w:szCs w:val="14"/>
          <w:color w:val="auto"/>
        </w:rPr>
      </w:pPr>
    </w:p>
    <w:p>
      <w:pPr>
        <w:ind w:right="20" w:firstLine="1405"/>
        <w:spacing w:after="0" w:line="253" w:lineRule="auto"/>
        <w:tabs>
          <w:tab w:leader="none" w:pos="1559" w:val="left"/>
        </w:tabs>
        <w:numPr>
          <w:ilvl w:val="1"/>
          <w:numId w:val="3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4"/>
          <w:szCs w:val="14"/>
          <w:color w:val="auto"/>
        </w:rPr>
      </w:pPr>
    </w:p>
    <w:p>
      <w:pPr>
        <w:ind w:left="1580" w:hanging="175"/>
        <w:spacing w:after="0"/>
        <w:tabs>
          <w:tab w:leader="none" w:pos="1580" w:val="left"/>
        </w:tabs>
        <w:numPr>
          <w:ilvl w:val="1"/>
          <w:numId w:val="30"/>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reporting.</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Dated: May 5, 2021</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Aviv Efrat</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Financial Officer</w:t>
      </w:r>
    </w:p>
    <w:p>
      <w:pPr>
        <w:sectPr>
          <w:pgSz w:w="11900" w:h="16838" w:orient="portrait"/>
          <w:cols w:equalWidth="0" w:num="1">
            <w:col w:w="11240"/>
          </w:cols>
          <w:pgMar w:left="320" w:top="118"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4"/>
          <w:szCs w:val="14"/>
          <w:b w:val="1"/>
          <w:bCs w:val="1"/>
          <w:color w:val="auto"/>
        </w:rPr>
        <w:t>EXHIBIT 32.1</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38" w:lineRule="exact"/>
        <w:rPr>
          <w:sz w:val="20"/>
          <w:szCs w:val="20"/>
          <w:color w:val="auto"/>
        </w:rPr>
      </w:pPr>
    </w:p>
    <w:p>
      <w:pPr>
        <w:ind w:firstLine="479"/>
        <w:spacing w:after="0" w:line="290" w:lineRule="auto"/>
        <w:rPr>
          <w:sz w:val="20"/>
          <w:szCs w:val="20"/>
          <w:color w:val="auto"/>
        </w:rPr>
      </w:pPr>
      <w:r>
        <w:rPr>
          <w:rFonts w:ascii="Arial" w:cs="Arial" w:eastAsia="Arial" w:hAnsi="Arial"/>
          <w:sz w:val="13"/>
          <w:szCs w:val="13"/>
          <w:color w:val="auto"/>
        </w:rPr>
        <w:t>In connection with this Report on Form 10-Q for the three and six months ended March 31, 2021, or the Report, of PennantPark Floating Rate Capital Ltd., or the Registrant, as filed with the Securities and Exchange Commission on the date hereof, I, Arthur H. Penn, Chief Executive Officer of the Registrant, hereby certify, to the best of my knowledge, that:</w:t>
      </w:r>
    </w:p>
    <w:p>
      <w:pPr>
        <w:spacing w:after="0" w:line="17" w:lineRule="exact"/>
        <w:rPr>
          <w:sz w:val="20"/>
          <w:szCs w:val="20"/>
          <w:color w:val="auto"/>
        </w:rPr>
      </w:pPr>
    </w:p>
    <w:p>
      <w:pPr>
        <w:ind w:left="760" w:hanging="374"/>
        <w:spacing w:after="0"/>
        <w:tabs>
          <w:tab w:leader="none" w:pos="7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09" w:lineRule="exact"/>
        <w:rPr>
          <w:rFonts w:ascii="Arial" w:cs="Arial" w:eastAsia="Arial" w:hAnsi="Arial"/>
          <w:sz w:val="14"/>
          <w:szCs w:val="14"/>
          <w:color w:val="auto"/>
        </w:rPr>
      </w:pPr>
    </w:p>
    <w:p>
      <w:pPr>
        <w:ind w:left="760" w:hanging="374"/>
        <w:spacing w:after="0"/>
        <w:tabs>
          <w:tab w:leader="none" w:pos="7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Arthur H. Penn</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Executive Officer</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3"/>
          <w:szCs w:val="13"/>
          <w:color w:val="auto"/>
        </w:rPr>
        <w:t>May 5, 2021</w:t>
      </w:r>
    </w:p>
    <w:p>
      <w:pPr>
        <w:sectPr>
          <w:pgSz w:w="11900" w:h="16838" w:orient="portrait"/>
          <w:cols w:equalWidth="0" w:num="1">
            <w:col w:w="11240"/>
          </w:cols>
          <w:pgMar w:left="320" w:top="118"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4"/>
          <w:szCs w:val="14"/>
          <w:b w:val="1"/>
          <w:bCs w:val="1"/>
          <w:color w:val="auto"/>
        </w:rPr>
        <w:t>EXHIBIT 32.2</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38" w:lineRule="exact"/>
        <w:rPr>
          <w:sz w:val="20"/>
          <w:szCs w:val="20"/>
          <w:color w:val="auto"/>
        </w:rPr>
      </w:pPr>
    </w:p>
    <w:p>
      <w:pPr>
        <w:ind w:firstLine="479"/>
        <w:spacing w:after="0" w:line="253" w:lineRule="auto"/>
        <w:rPr>
          <w:sz w:val="20"/>
          <w:szCs w:val="20"/>
          <w:color w:val="auto"/>
        </w:rPr>
      </w:pPr>
      <w:r>
        <w:rPr>
          <w:rFonts w:ascii="Arial" w:cs="Arial" w:eastAsia="Arial" w:hAnsi="Arial"/>
          <w:sz w:val="14"/>
          <w:szCs w:val="14"/>
          <w:color w:val="auto"/>
        </w:rPr>
        <w:t>In connection with this Report on Form 10-Q for the three and six months ended March 31, 2021, or the Report, of PennantPark Floating Rate Capital Ltd., or the Registrant, as filed with the Securities and Exchange Commission on the date hereof, I, Aviv Efrat, Chief Financial Officer of the Registrant, hereby certify, to the best of my knowledge, that:</w:t>
      </w:r>
    </w:p>
    <w:p>
      <w:pPr>
        <w:spacing w:after="0" w:line="39" w:lineRule="exact"/>
        <w:rPr>
          <w:sz w:val="20"/>
          <w:szCs w:val="20"/>
          <w:color w:val="auto"/>
        </w:rPr>
      </w:pPr>
    </w:p>
    <w:p>
      <w:pPr>
        <w:ind w:left="760" w:hanging="374"/>
        <w:spacing w:after="0"/>
        <w:tabs>
          <w:tab w:leader="none" w:pos="7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09" w:lineRule="exact"/>
        <w:rPr>
          <w:rFonts w:ascii="Arial" w:cs="Arial" w:eastAsia="Arial" w:hAnsi="Arial"/>
          <w:sz w:val="14"/>
          <w:szCs w:val="14"/>
          <w:color w:val="auto"/>
        </w:rPr>
      </w:pPr>
    </w:p>
    <w:p>
      <w:pPr>
        <w:ind w:left="760" w:hanging="374"/>
        <w:spacing w:after="0"/>
        <w:tabs>
          <w:tab w:leader="none" w:pos="7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Aviv Efrat</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Financial Officer</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3"/>
          <w:szCs w:val="13"/>
          <w:color w:val="auto"/>
        </w:rPr>
        <w:t>May 5, 2021</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lowerLetter"/>
      <w:start w:val="5"/>
    </w:lvl>
    <w:lvl w:ilvl="1">
      <w:lvlJc w:val="left"/>
      <w:lvlText w:val="%2."/>
      <w:numFmt w:val="decimal"/>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1)"/>
      <w:numFmt w:val="decimal"/>
      <w:start w:val="1"/>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71" Type="http://schemas.openxmlformats.org/officeDocument/2006/relationships/hyperlink" Target="http://www.sec.gov/Archives/edgar/data/1504619/000119312511080862/dex99a.htm" TargetMode="External"/><Relationship Id="rId72" Type="http://schemas.openxmlformats.org/officeDocument/2006/relationships/hyperlink" Target="http://www.sec.gov/Archives/edgar/data/1504619/000156459020024167/pflt-ex32_144.htm" TargetMode="External"/><Relationship Id="rId73" Type="http://schemas.openxmlformats.org/officeDocument/2006/relationships/hyperlink" Target="http://www.sec.gov/Archives/edgar/data/1504619/000119312511088977/dex99d.htm" TargetMode="External"/><Relationship Id="rId74" Type="http://schemas.openxmlformats.org/officeDocument/2006/relationships/hyperlink" Target="http://www.sec.gov/Archives/edgar/data/1504619/000119312521091350/d156339dex41.htm" TargetMode="External"/><Relationship Id="rId75" Type="http://schemas.openxmlformats.org/officeDocument/2006/relationships/hyperlink" Target="http://www.sec.gov/Archives/edgar/data/1504619/000119312521091350/d156339dex42.htm" TargetMode="External"/><Relationship Id="rId76" Type="http://schemas.openxmlformats.org/officeDocument/2006/relationships/hyperlink" Target="http://www.sec.gov/Archives/edgar/data/1504619/000150461911000050/pfltprivacypolicy0930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2021-05-05T15:26:27Z</dcterms:created>
  <dcterms:modified xsi:type="dcterms:W3CDTF">2021-05-05T15:26:27Z</dcterms:modified>
</cp:coreProperties>
</file>