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November 25, 2015</w:t>
      </w:r>
    </w:p>
    <w:p>
      <w:pPr>
        <w:spacing w:after="0" w:line="1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218440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79"/>
        <w:spacing w:after="0"/>
        <w:rPr>
          <w:sz w:val="20"/>
          <w:szCs w:val="20"/>
          <w:color w:val="auto"/>
        </w:rPr>
      </w:pPr>
      <w:r>
        <w:rPr>
          <w:rFonts w:ascii="Arial" w:cs="Arial" w:eastAsia="Arial" w:hAnsi="Arial"/>
          <w:sz w:val="40"/>
          <w:szCs w:val="40"/>
          <w:b w:val="1"/>
          <w:bCs w:val="1"/>
          <w:color w:val="auto"/>
        </w:rPr>
        <w:t>PennantPark Floating Rate Capital Ltd.</w:t>
      </w:r>
    </w:p>
    <w:p>
      <w:pPr>
        <w:spacing w:after="0" w:line="85"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27-3794690</w:t>
      </w:r>
    </w:p>
    <w:p>
      <w:pPr>
        <w:spacing w:after="0" w:line="31" w:lineRule="exact"/>
        <w:rPr>
          <w:sz w:val="24"/>
          <w:szCs w:val="24"/>
          <w:color w:val="auto"/>
        </w:rPr>
      </w:pPr>
    </w:p>
    <w:p>
      <w:pPr>
        <w:sectPr>
          <w:pgSz w:w="11900" w:h="16838" w:orient="portrait"/>
          <w:cols w:equalWidth="0" w:num="3">
            <w:col w:w="4640" w:space="720"/>
            <w:col w:w="2920" w:space="720"/>
            <w:col w:w="1560"/>
          </w:cols>
          <w:pgMar w:left="320" w:top="368" w:right="1019" w:bottom="1440" w:gutter="0" w:footer="0" w:header="0"/>
          <w:type w:val="continuous"/>
        </w:sectPr>
      </w:pPr>
    </w:p>
    <w:p>
      <w:pPr>
        <w:spacing w:after="0" w:line="11"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400"/>
        <w:spacing w:after="0"/>
        <w:rPr>
          <w:sz w:val="20"/>
          <w:szCs w:val="20"/>
          <w:color w:val="auto"/>
        </w:rPr>
      </w:pPr>
      <w:r>
        <w:rPr>
          <w:rFonts w:ascii="Arial" w:cs="Arial" w:eastAsia="Arial" w:hAnsi="Arial"/>
          <w:sz w:val="14"/>
          <w:szCs w:val="14"/>
          <w:b w:val="1"/>
          <w:bCs w:val="1"/>
          <w:color w:val="auto"/>
        </w:rPr>
        <w:t>(IRS Employer</w:t>
      </w:r>
    </w:p>
    <w:p>
      <w:pPr>
        <w:jc w:val="center"/>
        <w:ind w:right="40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620" w:space="720"/>
            <w:col w:w="2680" w:space="720"/>
            <w:col w:w="1820"/>
          </w:cols>
          <w:pgMar w:left="320" w:top="368" w:right="1019" w:bottom="1440" w:gutter="0" w:footer="0" w:header="0"/>
          <w:type w:val="continuous"/>
        </w:sectPr>
      </w:pP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590 Madison Avenue, 15th Floor,</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10022</w:t>
      </w:r>
    </w:p>
    <w:p>
      <w:pPr>
        <w:spacing w:after="0" w:line="50" w:lineRule="exact"/>
        <w:rPr>
          <w:sz w:val="24"/>
          <w:szCs w:val="24"/>
          <w:color w:val="auto"/>
        </w:rPr>
      </w:pPr>
    </w:p>
    <w:p>
      <w:pPr>
        <w:sectPr>
          <w:pgSz w:w="11900" w:h="16838" w:orient="portrait"/>
          <w:cols w:equalWidth="0" w:num="2">
            <w:col w:w="7560" w:space="720"/>
            <w:col w:w="2280"/>
          </w:cols>
          <w:pgMar w:left="320" w:top="368" w:right="101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460" w:space="720"/>
            <w:col w:w="2380"/>
          </w:cols>
          <w:pgMar w:left="320" w:top="368" w:right="1019" w:bottom="1440" w:gutter="0" w:footer="0" w:header="0"/>
          <w:type w:val="continuous"/>
        </w:sect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68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 of Articles of Incorporation or Bylaws; Change in Fiscal Year</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Effective November 25, 2015, the Board of Directors of PennantPark Floating Rate Capital Ltd. (the “Company”) amended the Company’s bylaws (as amended and restated from time to time, the “Bylaws”) to provide that certain courts in Maryland shall be the forum for certain litigation. No other provisions of the Bylaws were revised. The Bylaws are attached to this Current Report on Form 8-K as Exhibit 3.1.</w:t>
      </w:r>
    </w:p>
    <w:p>
      <w:pPr>
        <w:spacing w:after="0" w:line="31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December 2, 2015,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information in Item 7.01 of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Item 7.01 of this Current Report on Form 8-K shall not be deemed incorporated by reference in any filing under the Securities Act of 1933, as amended,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30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60" w:right="9280" w:hanging="452"/>
        <w:spacing w:after="0" w:line="445" w:lineRule="auto"/>
        <w:tabs>
          <w:tab w:leader="none" w:pos="26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60" w:right="8380" w:hanging="452"/>
        <w:spacing w:after="0" w:line="407" w:lineRule="auto"/>
        <w:tabs>
          <w:tab w:leader="none" w:pos="27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60" w:right="8760" w:hanging="452"/>
        <w:spacing w:after="0" w:line="407" w:lineRule="auto"/>
        <w:tabs>
          <w:tab w:leader="none" w:pos="25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Bylaws of PennantPark Floating Rate Capital Ltd.</w:t>
      </w:r>
    </w:p>
    <w:p>
      <w:pPr>
        <w:spacing w:after="0" w:line="117"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PennantPark Floating Rate Capital Ltd. dated December 2, 2015</w:t>
      </w:r>
    </w:p>
    <w:p>
      <w:pPr>
        <w:sectPr>
          <w:pgSz w:w="11900" w:h="16838" w:orient="portrait"/>
          <w:cols w:equalWidth="0" w:num="1">
            <w:col w:w="11180"/>
          </w:cols>
          <w:pgMar w:left="320" w:top="270" w:right="39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December 2, 2015</w:t>
      </w:r>
      <w:r>
        <w:rPr>
          <w:sz w:val="20"/>
          <w:szCs w:val="20"/>
          <w:color w:val="auto"/>
        </w:rPr>
        <w:tab/>
      </w:r>
      <w:r>
        <w:rPr>
          <w:rFonts w:ascii="Arial" w:cs="Arial" w:eastAsia="Arial" w:hAnsi="Arial"/>
          <w:sz w:val="17"/>
          <w:szCs w:val="17"/>
          <w:b w:val="1"/>
          <w:bCs w:val="1"/>
          <w:color w:val="auto"/>
        </w:rPr>
        <w:t>PENNANTPARK FLOATING RATE CAPITAL LTD.</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740"/>
          </w:cols>
          <w:pgMar w:left="320" w:top="270" w:right="8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6620" w:type="dxa"/>
            <w:vAlign w:val="bottom"/>
            <w:gridSpan w:val="3"/>
          </w:tcPr>
          <w:p>
            <w:pPr>
              <w:ind w:left="438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28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62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6620" w:type="dxa"/>
            <w:vAlign w:val="bottom"/>
            <w:gridSpan w:val="3"/>
          </w:tcPr>
          <w:p>
            <w:pPr>
              <w:ind w:left="760"/>
              <w:spacing w:after="0"/>
              <w:rPr>
                <w:sz w:val="20"/>
                <w:szCs w:val="20"/>
                <w:color w:val="auto"/>
              </w:rPr>
            </w:pPr>
            <w:r>
              <w:rPr>
                <w:rFonts w:ascii="Arial" w:cs="Arial" w:eastAsia="Arial" w:hAnsi="Arial"/>
                <w:sz w:val="18"/>
                <w:szCs w:val="18"/>
                <w:color w:val="auto"/>
                <w:w w:val="99"/>
              </w:rPr>
              <w:t>Amended and Restated Bylaws of PennantPark Floating Rate Capital Ltd.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620" w:type="dxa"/>
            <w:vAlign w:val="bottom"/>
            <w:gridSpan w:val="3"/>
          </w:tcPr>
          <w:p>
            <w:pPr>
              <w:ind w:left="760"/>
              <w:spacing w:after="0"/>
              <w:rPr>
                <w:sz w:val="20"/>
                <w:szCs w:val="20"/>
                <w:color w:val="auto"/>
              </w:rPr>
            </w:pPr>
            <w:r>
              <w:rPr>
                <w:rFonts w:ascii="Arial" w:cs="Arial" w:eastAsia="Arial" w:hAnsi="Arial"/>
                <w:sz w:val="18"/>
                <w:szCs w:val="18"/>
                <w:color w:val="auto"/>
                <w:w w:val="88"/>
              </w:rPr>
              <w:t>Press Release of PennantPark Floating Rate Capital Ltd. dated December 2, 2015</w:t>
            </w:r>
          </w:p>
        </w:tc>
      </w:tr>
    </w:tbl>
    <w:p>
      <w:pPr>
        <w:ind w:left="760"/>
        <w:spacing w:after="0"/>
        <w:rPr>
          <w:sz w:val="20"/>
          <w:szCs w:val="20"/>
          <w:color w:val="auto"/>
        </w:rPr>
        <w:sectPr>
          <w:pgSz w:w="11900" w:h="16838" w:orient="portrait"/>
          <w:cols w:equalWidth="0" w:num="1">
            <w:col w:w="10139"/>
          </w:cols>
          <w:pgMar w:left="32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BYLAWS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337"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PRINCIPAL OFFICE</w:t>
      </w:r>
      <w:r>
        <w:rPr>
          <w:rFonts w:ascii="Arial" w:cs="Arial" w:eastAsia="Arial" w:hAnsi="Arial"/>
          <w:sz w:val="18"/>
          <w:szCs w:val="18"/>
          <w:color w:val="auto"/>
        </w:rPr>
        <w:t>. The principal office of the Corporation in the State of Maryland shall be located at such place as the Board of Directors may designate.</w:t>
      </w:r>
    </w:p>
    <w:p>
      <w:pPr>
        <w:spacing w:after="0" w:line="170" w:lineRule="exact"/>
        <w:rPr>
          <w:sz w:val="20"/>
          <w:szCs w:val="20"/>
          <w:color w:val="auto"/>
        </w:rPr>
      </w:pPr>
    </w:p>
    <w:p>
      <w:pPr>
        <w:ind w:right="120" w:firstLine="89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ADDITIONAL OFFICES</w:t>
      </w:r>
      <w:r>
        <w:rPr>
          <w:rFonts w:ascii="Arial" w:cs="Arial" w:eastAsia="Arial" w:hAnsi="Arial"/>
          <w:sz w:val="18"/>
          <w:szCs w:val="18"/>
          <w:color w:val="auto"/>
        </w:rPr>
        <w:t>. The Corporation may have additional offices, including a principal executive office, at such places as the Board of Directors may from time to time determine or the business of the Corporation may require.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right="280" w:firstLine="898"/>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PLACE</w:t>
      </w:r>
      <w:r>
        <w:rPr>
          <w:rFonts w:ascii="Arial" w:cs="Arial" w:eastAsia="Arial" w:hAnsi="Arial"/>
          <w:sz w:val="18"/>
          <w:szCs w:val="18"/>
          <w:color w:val="auto"/>
        </w:rPr>
        <w:t>. All meetings of stockholders shall be held at the principal executive office of the Corporation or at such other place as shall be set in accordance with these Bylaws and stated in the notice of the meeting.</w:t>
      </w:r>
    </w:p>
    <w:p>
      <w:pPr>
        <w:spacing w:after="0" w:line="170"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for the election of directors and the transaction of any business within the powers of the Corporation shall be held on the date and at the time and place set by the Board of Directors.</w:t>
      </w:r>
    </w:p>
    <w:p>
      <w:pPr>
        <w:spacing w:after="0" w:line="170"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SPECIAL MEETINGS</w:t>
      </w:r>
      <w:r>
        <w:rPr>
          <w:rFonts w:ascii="Arial" w:cs="Arial" w:eastAsia="Arial" w:hAnsi="Arial"/>
          <w:sz w:val="17"/>
          <w:szCs w:val="17"/>
          <w:color w:val="auto"/>
        </w:rPr>
        <w:t>.</w:t>
      </w:r>
    </w:p>
    <w:p>
      <w:pPr>
        <w:spacing w:after="0" w:line="225" w:lineRule="exact"/>
        <w:rPr>
          <w:sz w:val="20"/>
          <w:szCs w:val="20"/>
          <w:color w:val="auto"/>
        </w:rPr>
      </w:pPr>
    </w:p>
    <w:p>
      <w:pPr>
        <w:ind w:right="60" w:firstLine="906"/>
        <w:spacing w:after="0" w:line="259" w:lineRule="auto"/>
        <w:tabs>
          <w:tab w:leader="none" w:pos="127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Chairman of the Board, the president or the Board of Directors may call a special meeting of the stockholders. Subject to subsection (b) of this Section 3, a special meeting of stockholders shall also be called by the secretary of the Corporation to act on any matter that may properly be considered at a meeting of stockholders upon the written request of stockholders entitled to cast not less than a majority of all the votes entitled to be cast at such meeting.</w:t>
      </w:r>
    </w:p>
    <w:p>
      <w:pPr>
        <w:spacing w:after="0" w:line="186" w:lineRule="exact"/>
        <w:rPr>
          <w:rFonts w:ascii="Arial" w:cs="Arial" w:eastAsia="Arial" w:hAnsi="Arial"/>
          <w:sz w:val="18"/>
          <w:szCs w:val="18"/>
          <w:color w:val="auto"/>
        </w:rPr>
      </w:pPr>
    </w:p>
    <w:p>
      <w:pPr>
        <w:ind w:right="20" w:firstLine="906"/>
        <w:spacing w:after="0" w:line="254" w:lineRule="auto"/>
        <w:tabs>
          <w:tab w:leader="none" w:pos="1288"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Stockholder Requested Special Meetings</w:t>
      </w:r>
      <w:r>
        <w:rPr>
          <w:rFonts w:ascii="Arial" w:cs="Arial" w:eastAsia="Arial" w:hAnsi="Arial"/>
          <w:sz w:val="18"/>
          <w:szCs w:val="18"/>
          <w:color w:val="auto"/>
        </w:rPr>
        <w:t>. (1) Any stockholder of record seeking to have stockholders request a special meeting shall, by sending written notice to the secretary (the “Record Date Request Notice”) by registered mail, return receipt requested, request the Board of Directors to fix a record date to determine the stockholders entitled to request a special meeting (the “Request Record Date”). The Record Date Request Notice shall set forth the purpose of the meeting and the matters proposed to be acted on at it, shall be signed by one or more stockholders of record as of the date of signature (or their agents duly authorized in a writing accompanying the Record Date Request Notice), shall bear the date of signature of each such stockholder (or such agent) and shall set forth all information relating to each such stockholder that must be disclosed in solicitations of proxies for election of directors in an election contest</w:t>
      </w:r>
    </w:p>
    <w:p>
      <w:pPr>
        <w:sectPr>
          <w:pgSz w:w="11900" w:h="16838" w:orient="portrait"/>
          <w:cols w:equalWidth="0" w:num="1">
            <w:col w:w="11240"/>
          </w:cols>
          <w:pgMar w:left="320" w:top="121" w:right="339" w:bottom="1440" w:gutter="0" w:footer="0" w:header="0"/>
        </w:sectPr>
      </w:pPr>
    </w:p>
    <w:bookmarkStart w:id="5" w:name="page6"/>
    <w:bookmarkEnd w:id="5"/>
    <w:p>
      <w:pPr>
        <w:ind w:right="2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(even if an election contest is not involved), or is otherwise required, in each case pursuant to Regulation 14A (or any successor provision) under the Securities Exchange Act of 1934, as amended, and the rules and regulations promulgated thereunder (the “Exchange Act”). Upon receiving the Record Date Request Notice, the Board of Directors may fix a Request Record Date. The Request Record Date shall not precede and shall not be more than ten days after the close of business on the date on which the resolution fixing the Request Record Date is adopted by the Board of Directors. If the Board of Directors, within ten days after the date on which a valid Record Date Request Notice is received, fails to adopt a resolution fixing the Request Record Date, the Request Record Date shall be the close of business on the tenth day after the first date on which the Record Date Request Notice is received by the secretary.</w:t>
      </w:r>
    </w:p>
    <w:p>
      <w:pPr>
        <w:spacing w:after="0" w:line="195" w:lineRule="exact"/>
        <w:rPr>
          <w:sz w:val="20"/>
          <w:szCs w:val="20"/>
          <w:color w:val="auto"/>
        </w:rPr>
      </w:pPr>
    </w:p>
    <w:p>
      <w:pPr>
        <w:ind w:firstLine="1468"/>
        <w:spacing w:after="0" w:line="287" w:lineRule="auto"/>
        <w:tabs>
          <w:tab w:leader="none" w:pos="185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order for any stockholder to request a special meeting, one or more written requests for a special meeting signed by stockholders of record (or their agents duly authorized in a writing accompanying the request) as of the Request Record Date entitled to cast not less than a majority (the “Special Meeting Percentage”) of all of the votes entitled to be cast at such meeting (the “Special Meeting Request”) shall be delivered to the secretary. In addition, the Special Meeting Request (a) shall set forth the purpose of the meeting and the matters proposed to be acted on at it (which shall be limited to those lawful matters set forth in the Record Date Request Notice received by the secretary), (b) shall bear the date of signature of each such stockholder (or such agent) signing the Special Meeting Request, (c) shall set forth the name and address, as they appear in the Corporation’s books, of each stockholder signing such request (or on whose behalf the Special Meeting Request is signed) and the class, series and number of all shares of stock of the Corporation which are owned by each such stockholder, and the nominee holder for, and number of, shares owned by such stockholder beneficially but not of record, (d) shall be sent to the secretary by registered mail, return receipt requested, and (e) shall be received by the secretary within 60 days after the Request Record Date. Any requesting stockholder (or agent duly authorized in a writing accompanying the revocation or the Special Meeting Request) may revoke his, her or its request for a special meeting at any time by written revocation delivered to the secretary.</w:t>
      </w:r>
    </w:p>
    <w:p>
      <w:pPr>
        <w:spacing w:after="0" w:line="171" w:lineRule="exact"/>
        <w:rPr>
          <w:rFonts w:ascii="Arial" w:cs="Arial" w:eastAsia="Arial" w:hAnsi="Arial"/>
          <w:sz w:val="16"/>
          <w:szCs w:val="16"/>
          <w:color w:val="auto"/>
        </w:rPr>
      </w:pPr>
    </w:p>
    <w:p>
      <w:pPr>
        <w:ind w:right="360" w:firstLine="1468"/>
        <w:spacing w:after="0" w:line="259" w:lineRule="auto"/>
        <w:tabs>
          <w:tab w:leader="none" w:pos="184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secretary shall inform the requesting stockholders of the reasonably estimated cost of preparing and mailing the notice of meeting (including the Corporation’s proxy materials). The secretary shall not be required to call a special meeting upon stockholder request and such meeting shall not be held unless, in addition to the documents required by paragraph (2) of this Section 3(b), the secretary receives payment of such reasonably estimated cost prior to the mailing of any notice of the meeting.</w:t>
      </w:r>
    </w:p>
    <w:p>
      <w:pPr>
        <w:spacing w:after="0" w:line="186" w:lineRule="exact"/>
        <w:rPr>
          <w:rFonts w:ascii="Arial" w:cs="Arial" w:eastAsia="Arial" w:hAnsi="Arial"/>
          <w:sz w:val="18"/>
          <w:szCs w:val="18"/>
          <w:color w:val="auto"/>
        </w:rPr>
      </w:pPr>
    </w:p>
    <w:p>
      <w:pPr>
        <w:ind w:right="220" w:firstLine="1468"/>
        <w:spacing w:after="0" w:line="273" w:lineRule="auto"/>
        <w:tabs>
          <w:tab w:leader="none" w:pos="185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Except as provided in the next sentence, any special meeting shall be held at such place, date and time as may be designated by the Chairman of the Board, the president or the Board of Directors, whoever has called the meeting. In the case of any special meeting called by the secretary upon the request of stockholders (a “Stockholder Requested Meeting”), such meeting shall be held at such place, date and time as may be designated by the Board of Directors; provided, however, that the date of any Stockholder Requested Meeting shall be not more than 90 days after the record date for such meeting (the “Meeting Record Date”); and provided further that if the Board of Directors fails to designate, within ten days after the date that a valid Special Meeting Request is actually received by the secretary (the “Delivery Date”),</w:t>
      </w:r>
    </w:p>
    <w:p>
      <w:pPr>
        <w:sectPr>
          <w:pgSz w:w="11900" w:h="16838" w:orient="portrait"/>
          <w:cols w:equalWidth="0" w:num="1">
            <w:col w:w="11240"/>
          </w:cols>
          <w:pgMar w:left="320" w:top="274" w:right="339" w:bottom="1440" w:gutter="0" w:footer="0" w:header="0"/>
        </w:sectPr>
      </w:pPr>
    </w:p>
    <w:bookmarkStart w:id="6" w:name="page7"/>
    <w:bookmarkEnd w:id="6"/>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date and time for a Stockholder Requested Meeting, then such meeting shall be held at 2:00 p.m. local time on the 90th day after the Meeting Record Date or, if such 90th day is not a Business Day (as defined below), on the first preceding Business Day; and provided further that in the event that the Board of Directors fails to designate a place for a Stockholder Requested Meeting within ten days after the Delivery Date, then such meeting shall be held at the principal executive office of the Corporation. In fixing a date for any special meeting, the Chairman of the Board, the president or the Board of Directors may consider such factors as he, she or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 In the case of any Stockholder Requested Meeting, if the Board of Directors fails to fix a Meeting Record Date that is a date within 30 days after the Delivery Date, then the close of business on the 30th day after the Delivery Date shall be the Meeting Record Date. The Board of Directors may revoke the notice for any Stockholder Requested Meeting in the event that the requesting stockholders fail to comply with the provisions of paragraph (3) of this Section 3(b).</w:t>
      </w:r>
    </w:p>
    <w:p>
      <w:pPr>
        <w:spacing w:after="0" w:line="185" w:lineRule="exact"/>
        <w:rPr>
          <w:sz w:val="20"/>
          <w:szCs w:val="20"/>
          <w:color w:val="auto"/>
        </w:rPr>
      </w:pPr>
    </w:p>
    <w:p>
      <w:pPr>
        <w:ind w:firstLine="1468"/>
        <w:spacing w:after="0" w:line="269" w:lineRule="auto"/>
        <w:tabs>
          <w:tab w:leader="none" w:pos="185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written revocations of requests for the special meeting have been delivered to the Secretary and the result is that stockholders of record (or their agents duly authorized in writing), as of the Request Record Date, entitled to cast less than the Special Meeting Percentage have delivered, and not revoked, requests for a special meeting to the Secretary, the Secretary shall: (i) if the notice of meeting has not already been mailed, refrain from mailing the notice of the meeting and send to all requesting stockholders who have not revoked such requests written notice of any revocation of a request for the special meeting, or (ii) if the notice of meeting has been mailed and if the Secretary first sends to all requesting stockholders who have not revoked requests for a special meeting written notice of any revocation of a request for the special meeting and written notice of the Secretary’s intention to revoke the notice of the meeting or for the chairman of the meeting to adjourn the meeting without action on the matter, (A) the Secretary may revoke the notice of the meeting at any time before ten days before the commencement of the meeting or (B) the chairman of the meeting may call the meeting to order and adjourn the meeting without acting on the matter. Any request for a special meeting received after a revocation by the Secretary of a notice of a meeting shall be considered a request for a new special meeting.</w:t>
      </w:r>
    </w:p>
    <w:p>
      <w:pPr>
        <w:spacing w:after="0" w:line="185" w:lineRule="exact"/>
        <w:rPr>
          <w:rFonts w:ascii="Arial" w:cs="Arial" w:eastAsia="Arial" w:hAnsi="Arial"/>
          <w:sz w:val="17"/>
          <w:szCs w:val="17"/>
          <w:color w:val="auto"/>
        </w:rPr>
      </w:pPr>
    </w:p>
    <w:p>
      <w:pPr>
        <w:ind w:right="60" w:firstLine="1468"/>
        <w:spacing w:after="0" w:line="290" w:lineRule="auto"/>
        <w:tabs>
          <w:tab w:leader="none" w:pos="184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Board of Directors, the Chairman of the Board or the president may appoint independent inspectors of elections to act as the agent of the Corporation for the purpose of promptly performing a ministerial review of the validity of any purported Special Meeting Request received by the secretary. For the purpose of permitting the inspectors to perform such review, no such purported request shall be deemed to have been delivered to the secretary until the earlier of (i) five Business Days after receipt by the secretary of such purported request and (ii) such date as the independent inspectors certify to the Corporation that the valid requests received by the secretary represent at least the Special Meeting Percentage. Nothing contained in this paragraph (6) shall in any way be construed to suggest or imply that the Corporation or any stockholder shall not be entitled to contest the validity of any request, whether during or after such five Business Day period, or to take any other action (including, without limitation, the commencement, prosecution or defense of any litigation with respect thereto, and the seeking of injunctive relief in such litigation).</w:t>
      </w:r>
    </w:p>
    <w:p>
      <w:pPr>
        <w:sectPr>
          <w:pgSz w:w="11900" w:h="16838" w:orient="portrait"/>
          <w:cols w:equalWidth="0" w:num="1">
            <w:col w:w="11220"/>
          </w:cols>
          <w:pgMar w:left="320" w:top="274" w:right="359" w:bottom="1440" w:gutter="0" w:footer="0" w:header="0"/>
        </w:sectPr>
      </w:pPr>
    </w:p>
    <w:bookmarkStart w:id="7" w:name="page8"/>
    <w:bookmarkEnd w:id="7"/>
    <w:p>
      <w:pPr>
        <w:ind w:firstLine="1468"/>
        <w:spacing w:after="0" w:line="277" w:lineRule="auto"/>
        <w:tabs>
          <w:tab w:leader="none" w:pos="185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purposes of these Bylaws, “Business Day” shall mean any day other than a Saturday, a Sunday or other day on which banking institutions in the State of New York are authorized or obligated by law or executive order to close.</w:t>
      </w:r>
    </w:p>
    <w:p>
      <w:pPr>
        <w:spacing w:after="0" w:line="170"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Not less than ten nor more than 90 days before each meeting of stockholders, the secretary shall give to each stockholder entitled to vote at such meeting and to each stockholder not entitled to vote who is entitled to notice of the meeting notice in writing or by electronic transmission stating the time and place of the meeting and, in the case of a special meeting or as otherwise may be required by any statute, the purpose for which the meeting is called, by mail, by presenting it to such stockholder personally, by leaving it at the stockholder’s residence or usual place of business, by electronic transmission or by any other means permitted by Maryland law. If mailed, such notice shall be deemed to be given when deposited in the United States mail addressed to the stockholder at the stockholder’s address as it appears on the records of the Corporation, with postage thereon prepaid. If transmitted electronically, such notice shall be deemed to be given when transmitted to the stockholder by an electronic transmission to any address or number of the stockholder at which the stockholder receives electronic transmissions. The Corporation may give a single notice to all stockholders who share an address, which single notice shall be effective as to any stockholder at such address, unless such stockholder objects to receiving such single notice or revokes a prior consent to receiving such single notice. Failure to give notice of any meeting to one or more stockholders, or any irregularity in such notice, shall not affect the validity of any meeting fixed in accordance with this Article II or the validity of any proceedings at any such meeting.</w:t>
      </w:r>
    </w:p>
    <w:p>
      <w:pPr>
        <w:spacing w:after="0" w:line="179"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Subject to Section 11(a) of this Article II, any business of the Corporation may be transacted at an annual meeting of stockholders without being specifically designated in the notice, except such business as is required by any statute to be stated in such notice. No business shall be transacted at a special meeting of stockholders except as specifically designated in the notice. The Corporation may postpone or cancel a meeting of stockholders by making a public announcement (as defined in Section 11(c)(3) of this Article II) of such postponement or cancellation prior to the meeting. Notice of the date, time and place to which the meeting is postponed shall be given not less than ten days prior to such date and otherwise in the manner set forth in this section.</w:t>
      </w:r>
    </w:p>
    <w:p>
      <w:pPr>
        <w:spacing w:after="0" w:line="192" w:lineRule="exact"/>
        <w:rPr>
          <w:sz w:val="20"/>
          <w:szCs w:val="20"/>
          <w:color w:val="auto"/>
        </w:rPr>
      </w:pPr>
    </w:p>
    <w:p>
      <w:pPr>
        <w:ind w:right="100" w:firstLine="898"/>
        <w:spacing w:after="0" w:line="271"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ORGANIZATION AND CONDUCT</w:t>
      </w:r>
      <w:r>
        <w:rPr>
          <w:rFonts w:ascii="Arial" w:cs="Arial" w:eastAsia="Arial" w:hAnsi="Arial"/>
          <w:sz w:val="17"/>
          <w:szCs w:val="17"/>
          <w:color w:val="auto"/>
        </w:rPr>
        <w:t>. Every meeting of stockholders shall be conducted by an individual appointed by the Board of Directors to be chairman of the meeting or, in the absence of such appointment, by the Chairman of the Board, if any, or, in the case of a vacancy in the office or absence of the Chairman of the Board, by one of the following officers present at the meeting: the Vice Chairman of the Board, if any, the president, any Vice president, the secretary, the Treasurer, the Chief Compliance Officer or, in the absence of such officers, a chairman chosen by the stockholders by the vote of a majority of the votes cast by stockholders present in person or by proxy. The secretary or, in the secretary’s absence, an assistant secretary or, in the absence of both the secretary and assistant secretaries, an individual appointed by the Board of Directors or, in the absence of such appointment, an individual appointed by the chairman of the meeting shall act as secretary. In the event that the secretary presides at a meeting of the stockholders, an assistant secretary, or, in the absence of assistant secretaries, an</w:t>
      </w:r>
    </w:p>
    <w:p>
      <w:pPr>
        <w:sectPr>
          <w:pgSz w:w="11900" w:h="16838" w:orient="portrait"/>
          <w:cols w:equalWidth="0" w:num="1">
            <w:col w:w="11220"/>
          </w:cols>
          <w:pgMar w:left="320" w:top="274" w:right="359" w:bottom="1440" w:gutter="0" w:footer="0" w:header="0"/>
        </w:sectPr>
      </w:pPr>
    </w:p>
    <w:bookmarkStart w:id="8" w:name="page9"/>
    <w:bookmarkEnd w:id="8"/>
    <w:p>
      <w:pPr>
        <w:ind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individual appointed by the Board of Directors or the chairman of the meeting, shall record the minutes of the meeting. The order of business and all other matters of procedure at any meeting of stockholders shall be determined by the chairman of the meeting. The chairman of the meeting may prescribe such rules, regulations and procedures and take such action as, in the discretion of such chairman, are appropriate for the proper conduct of the meeting, including, without limitation, (a) restricting admission to the time set for the commencement of the meeting; (b) limiting attendance at the meeting to stockholders of record of the Corporation, their duly authorized proxies and other such individuals as the chairman of the meeting may determine;</w:t>
      </w:r>
    </w:p>
    <w:p>
      <w:pPr>
        <w:spacing w:after="0" w:line="2" w:lineRule="exact"/>
        <w:rPr>
          <w:sz w:val="20"/>
          <w:szCs w:val="20"/>
          <w:color w:val="auto"/>
        </w:rPr>
      </w:pPr>
    </w:p>
    <w:p>
      <w:pPr>
        <w:jc w:val="both"/>
        <w:ind w:right="280" w:firstLine="8"/>
        <w:spacing w:after="0" w:line="281"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limiting participation at the meeting on any matter to stockholders of record of the Corporation entitled to vote on such matter, their duly authorized proxies or other such individuals as the chairman of the meeting may determine; (d) limiting the time allotted to questions or comments by participants;</w:t>
      </w:r>
    </w:p>
    <w:p>
      <w:pPr>
        <w:spacing w:after="0" w:line="1" w:lineRule="exact"/>
        <w:rPr>
          <w:rFonts w:ascii="Arial" w:cs="Arial" w:eastAsia="Arial" w:hAnsi="Arial"/>
          <w:sz w:val="16"/>
          <w:szCs w:val="16"/>
          <w:color w:val="auto"/>
        </w:rPr>
      </w:pPr>
    </w:p>
    <w:p>
      <w:pPr>
        <w:ind w:right="20" w:firstLine="8"/>
        <w:spacing w:after="0" w:line="273"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determining when the polls should be opened and closed; (f) maintaining order and security at the meeting; (g) removing any stockholder or any other individual who refuses to comply with meeting procedures, rules or guidelines as set forth by the chairman of the meeting; and (h) concluding a meeting or recessing or adjourning the meeting to a later date and time and at a place announced at the meeting. Unless otherwise determined by the chairman of the meeting, meetings of stockholders shall not be required to be held in accordance with the rules of parliamentary procedure.</w:t>
      </w:r>
    </w:p>
    <w:p>
      <w:pPr>
        <w:spacing w:after="0" w:line="176"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QUORUM</w:t>
      </w:r>
      <w:r>
        <w:rPr>
          <w:rFonts w:ascii="Arial" w:cs="Arial" w:eastAsia="Arial" w:hAnsi="Arial"/>
          <w:sz w:val="18"/>
          <w:szCs w:val="18"/>
          <w:color w:val="auto"/>
        </w:rPr>
        <w:t>. The presence in person or by proxy of the holders of shares of stock of the Corporation entitled to cast a majority of the votes entitled to be cast (without regard to class) shall constitute a quorum at any meeting of the stockholders, except with respect to any such matter that, under applicable statutes or regulatory requirements, requires approval by a separate vote of one or more classes of stock, in which case the presence in person or by proxy of the holders of shares entitled to cast a majority of the votes entitled to be cast by each such class on such a matter shall constitute a quorum. This section shall not affect any requirement under any statute or the charter of the Corporation for the vote necessary for the adoption of any measure.</w:t>
      </w:r>
    </w:p>
    <w:p>
      <w:pPr>
        <w:spacing w:after="0" w:line="192"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If, however, such quorum shall not be present at any meeting of the stockholders, the chairman of the meeting shall have the power to adjourn the meeting from time to time to a date not more than 120 days after the original record date without notice other than announcement at the meeting. At such adjourned meeting at which a quorum shall be present, any business may be transacted which might have been transacted at the meeting as originally notified.</w:t>
      </w:r>
    </w:p>
    <w:p>
      <w:pPr>
        <w:spacing w:after="0" w:line="187" w:lineRule="exact"/>
        <w:rPr>
          <w:sz w:val="20"/>
          <w:szCs w:val="20"/>
          <w:color w:val="auto"/>
        </w:rPr>
      </w:pPr>
    </w:p>
    <w:p>
      <w:pPr>
        <w:ind w:right="600" w:firstLine="898"/>
        <w:spacing w:after="0" w:line="277" w:lineRule="auto"/>
        <w:rPr>
          <w:sz w:val="20"/>
          <w:szCs w:val="20"/>
          <w:color w:val="auto"/>
        </w:rPr>
      </w:pPr>
      <w:r>
        <w:rPr>
          <w:rFonts w:ascii="Arial" w:cs="Arial" w:eastAsia="Arial" w:hAnsi="Arial"/>
          <w:sz w:val="18"/>
          <w:szCs w:val="18"/>
          <w:color w:val="auto"/>
        </w:rPr>
        <w:t>The stockholders present either in person or by proxy, at a meeting which has been duly called and convened, may continue to transact business until adjournment, notwithstanding the withdrawal of enough stockholders to leave less than a quorum.</w:t>
      </w:r>
    </w:p>
    <w:p>
      <w:pPr>
        <w:spacing w:after="0" w:line="170"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A nominee for director shall be elected as a director only if such nominee receives the affirmative vote of a majority of the total votes cast for and affirmatively withheld as to such nominee at a meeting of stockholders duly called and at which a quorum is present. Each share may be voted for as many individuals as there are directors to be elected and for whose election the share is entitled to be voted. A majority of the votes cast at a meeting of stockholders duly called and at which a quorum is present shall be sufficient to approve any other matter which may properly come before the meeting, unless more than a</w:t>
      </w:r>
    </w:p>
    <w:p>
      <w:pPr>
        <w:sectPr>
          <w:pgSz w:w="11900" w:h="16838" w:orient="portrait"/>
          <w:cols w:equalWidth="0" w:num="1">
            <w:col w:w="11200"/>
          </w:cols>
          <w:pgMar w:left="320" w:top="274" w:right="379" w:bottom="1440" w:gutter="0" w:footer="0" w:header="0"/>
        </w:sectPr>
      </w:pPr>
    </w:p>
    <w:bookmarkStart w:id="9" w:name="page10"/>
    <w:bookmarkEnd w:id="9"/>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majority of the votes cast is required by statute or by the charter of the Corporation. Unless otherwise provided in the charter, each outstanding share, regardless of class, shall be entitled to one vote on each matter submitted to a vote at a meeting of stockholders.</w:t>
      </w:r>
    </w:p>
    <w:p>
      <w:pPr>
        <w:spacing w:after="0" w:line="170" w:lineRule="exact"/>
        <w:rPr>
          <w:sz w:val="20"/>
          <w:szCs w:val="20"/>
          <w:color w:val="auto"/>
        </w:rPr>
      </w:pPr>
    </w:p>
    <w:p>
      <w:pPr>
        <w:ind w:right="120" w:firstLine="898"/>
        <w:spacing w:after="0" w:line="259"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PROXIES</w:t>
      </w:r>
      <w:r>
        <w:rPr>
          <w:rFonts w:ascii="Arial" w:cs="Arial" w:eastAsia="Arial" w:hAnsi="Arial"/>
          <w:sz w:val="18"/>
          <w:szCs w:val="18"/>
          <w:color w:val="auto"/>
        </w:rPr>
        <w:t>. A stockholder may cast the votes entitled to be cast by the shares of stock owned of record by the stockholder in person or by proxy executed by the stockholder or by the stockholder’s duly authorized agent in any manner permitted by law. Such proxy or evidence of authorization of such proxy shall be filed with the secretary of the Corporation before or at the meeting. No proxy shall be valid more than eleven months after its date unless otherwise provided in the proxy.</w:t>
      </w:r>
    </w:p>
    <w:p>
      <w:pPr>
        <w:spacing w:after="0" w:line="187" w:lineRule="exact"/>
        <w:rPr>
          <w:sz w:val="20"/>
          <w:szCs w:val="20"/>
          <w:color w:val="auto"/>
        </w:rPr>
      </w:pPr>
    </w:p>
    <w:p>
      <w:pPr>
        <w:ind w:right="160" w:firstLine="89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VOTING OF STOCK BY CERTAIN HOLDERS</w:t>
      </w:r>
      <w:r>
        <w:rPr>
          <w:rFonts w:ascii="Arial" w:cs="Arial" w:eastAsia="Arial" w:hAnsi="Arial"/>
          <w:sz w:val="18"/>
          <w:szCs w:val="18"/>
          <w:color w:val="auto"/>
        </w:rPr>
        <w:t>. Stock of the Corporation registered in the name of a corporation, partnership, trust or other entity, if entitled to be voted, may be voted by the president or a vice president, a general partner or trustee thereof, as the case may be, or a proxy appointed by any of the foregoing individuals, unless some other person who has been appointed to vote such stock pursuant to a bylaw or a resolution of the governing body of such corporation or other entity or agreement of the partners of a partnership presents a certified copy of such bylaw, resolution or agreement, in which case such person may vote such stock. Any director or other fiduciary may vote stock registered in his or her name as such fiduciary, either in person or by proxy.</w:t>
      </w:r>
    </w:p>
    <w:p>
      <w:pPr>
        <w:spacing w:after="0" w:line="192"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Shares of stock of the Corporation directly or indirectly owned by it shall not be voted at any meeting and shall not be counted in determining the total number of outstanding shares entitled to be voted at any given time, unless they are held by it in a fiduciary capacity, in which case they may be voted and shall be counted in determining the total number of outstanding shares at any given time.</w:t>
      </w:r>
    </w:p>
    <w:p>
      <w:pPr>
        <w:spacing w:after="0" w:line="184"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The Board of Directors may adopt by resolution a procedure by which a stockholder may certify in writing to the Corporation that any shares of stock registered in the name of the stockholder are held for the account of a specified person other than the stockholder.</w:t>
      </w:r>
    </w:p>
    <w:p>
      <w:pPr>
        <w:spacing w:after="0" w:line="170" w:lineRule="exact"/>
        <w:rPr>
          <w:sz w:val="20"/>
          <w:szCs w:val="20"/>
          <w:color w:val="auto"/>
        </w:rPr>
      </w:pPr>
    </w:p>
    <w:p>
      <w:pPr>
        <w:ind w:right="120" w:firstLine="898"/>
        <w:spacing w:after="0" w:line="255" w:lineRule="auto"/>
        <w:rPr>
          <w:sz w:val="20"/>
          <w:szCs w:val="20"/>
          <w:color w:val="auto"/>
        </w:rPr>
      </w:pPr>
      <w:r>
        <w:rPr>
          <w:rFonts w:ascii="Arial" w:cs="Arial" w:eastAsia="Arial" w:hAnsi="Arial"/>
          <w:sz w:val="18"/>
          <w:szCs w:val="18"/>
          <w:color w:val="auto"/>
        </w:rPr>
        <w:t>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of Directors considers necessary or desirable. On receipt of such certification, the person specified in the certification shall be regarded as, for the purposes set forth in the certification, the stockholder of record of the specified stock in place of the stockholder who makes the certification.</w:t>
      </w:r>
    </w:p>
    <w:p>
      <w:pPr>
        <w:spacing w:after="0" w:line="192"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of Directors, in advance of any meeting, may, but need not, appoint one or more individual inspectors or one or more entities that designate individuals as inspectors to act at the meeting or any adjournment thereof. If an inspector or inspectors are not appointed, the person presiding at the meeting may, but need not, appoint one or more inspectors. In case any person who may be appointed as an inspector fails to appear or</w:t>
      </w:r>
    </w:p>
    <w:p>
      <w:pPr>
        <w:sectPr>
          <w:pgSz w:w="11900" w:h="16838" w:orient="portrait"/>
          <w:cols w:equalWidth="0" w:num="1">
            <w:col w:w="11180"/>
          </w:cols>
          <w:pgMar w:left="320" w:top="274" w:right="399" w:bottom="1440" w:gutter="0" w:footer="0" w:header="0"/>
        </w:sectPr>
      </w:pPr>
    </w:p>
    <w:bookmarkStart w:id="10" w:name="page11"/>
    <w:bookmarkEnd w:id="1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 the vacancy may be filled by appointment made by the Board of Directors in advance of the meeting or at the meeting by the chairman of the meeting. The inspectors, if any, shall determine the number of shares outstanding and the voting power of each, the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and determine the result, and do such acts as are proper to conduct the election or vote with fairness to all stockholders. Each such report shall be in writing and signed by him or her or by a majority of them if there is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66" w:lineRule="exact"/>
        <w:rPr>
          <w:sz w:val="20"/>
          <w:szCs w:val="20"/>
          <w:color w:val="auto"/>
        </w:rPr>
      </w:pPr>
    </w:p>
    <w:p>
      <w:pPr>
        <w:ind w:left="900"/>
        <w:spacing w:after="0"/>
        <w:tabs>
          <w:tab w:leader="none" w:pos="18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ADVANCE NOTICE OF STOCKHOLDER NOMINEES FOR DIRECTOR AND OTHER STOCKHOLDER PROPOSALS</w:t>
      </w:r>
      <w:r>
        <w:rPr>
          <w:rFonts w:ascii="Arial" w:cs="Arial" w:eastAsia="Arial" w:hAnsi="Arial"/>
          <w:sz w:val="17"/>
          <w:szCs w:val="17"/>
          <w:color w:val="auto"/>
        </w:rPr>
        <w:t>.</w:t>
      </w:r>
    </w:p>
    <w:p>
      <w:pPr>
        <w:spacing w:after="0" w:line="225" w:lineRule="exact"/>
        <w:rPr>
          <w:sz w:val="20"/>
          <w:szCs w:val="20"/>
          <w:color w:val="auto"/>
        </w:rPr>
      </w:pPr>
    </w:p>
    <w:p>
      <w:pPr>
        <w:ind w:firstLine="906"/>
        <w:spacing w:after="0" w:line="275" w:lineRule="auto"/>
        <w:tabs>
          <w:tab w:leader="none" w:pos="1278"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Annual Meetings of Stockholders</w:t>
      </w:r>
      <w:r>
        <w:rPr>
          <w:rFonts w:ascii="Arial" w:cs="Arial" w:eastAsia="Arial" w:hAnsi="Arial"/>
          <w:sz w:val="17"/>
          <w:szCs w:val="17"/>
          <w:color w:val="auto"/>
        </w:rPr>
        <w:t>. (1) Nominations of individuals for election to the Board of Directors and the proposal of other business to be considered by the stockholders may be made at an annual meeting of stockholders (i) pursuant to the Corporation’s notice of meeting, (ii) by or at the direction of the Board of Directors or (iii) by any stockholder of the Corporation who was a stockholder of record both at the time of giving of notice by the stockholder as provided for in this Section 11(a) and at the time of the annual meeting, who is entitled to vote at the meeting in the election of each individual so nominated or on any such other business and who has complied with this Section 11(a).</w:t>
      </w:r>
    </w:p>
    <w:p>
      <w:pPr>
        <w:spacing w:after="0" w:line="176" w:lineRule="exact"/>
        <w:rPr>
          <w:rFonts w:ascii="Arial" w:cs="Arial" w:eastAsia="Arial" w:hAnsi="Arial"/>
          <w:sz w:val="17"/>
          <w:szCs w:val="17"/>
          <w:color w:val="auto"/>
        </w:rPr>
      </w:pPr>
    </w:p>
    <w:p>
      <w:pPr>
        <w:ind w:firstLine="1468"/>
        <w:spacing w:after="0" w:line="269" w:lineRule="auto"/>
        <w:tabs>
          <w:tab w:leader="none" w:pos="1850" w:val="left"/>
        </w:tabs>
        <w:numPr>
          <w:ilvl w:val="1"/>
          <w:numId w:val="9"/>
        </w:numPr>
        <w:rPr>
          <w:rFonts w:ascii="Arial" w:cs="Arial" w:eastAsia="Arial" w:hAnsi="Arial"/>
          <w:sz w:val="17"/>
          <w:szCs w:val="17"/>
          <w:color w:val="auto"/>
        </w:rPr>
      </w:pPr>
      <w:r>
        <w:rPr>
          <w:rFonts w:ascii="Arial" w:cs="Arial" w:eastAsia="Arial" w:hAnsi="Arial"/>
          <w:sz w:val="17"/>
          <w:szCs w:val="17"/>
          <w:color w:val="auto"/>
        </w:rPr>
        <w:t>For any nomination or other business to be properly brought before an annual meeting by a stockholder pursuant to clause (iii) of paragraph (a)(1) of this Section 11, the stockholder must have given timely notice thereof in writing to the secretary of the Corporation and any such other business must otherwise be a proper matter for action by the stockholders. To be timely, a stockholder’s notice shall set forth all information required under this Section 11 and shall be delivered to the secretary at the principal executive office of the Corporation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nor later than 5:00 p.m., Eastern Time, on the 120</w:t>
      </w:r>
      <w:r>
        <w:rPr>
          <w:rFonts w:ascii="Arial" w:cs="Arial" w:eastAsia="Arial" w:hAnsi="Arial"/>
          <w:sz w:val="14"/>
          <w:szCs w:val="14"/>
          <w:color w:val="auto"/>
        </w:rPr>
        <w:t>th</w:t>
      </w:r>
      <w:r>
        <w:rPr>
          <w:rFonts w:ascii="Arial" w:cs="Arial" w:eastAsia="Arial" w:hAnsi="Arial"/>
          <w:sz w:val="17"/>
          <w:szCs w:val="17"/>
          <w:color w:val="auto"/>
        </w:rPr>
        <w:t xml:space="preserve"> day prior to the first anniversary of the date of the proxy statement (as defined in Section 11(c)(3) of this Article II) for the preceding year’s annual meeting; provided, however, that in the event that the date of the annual meeting is advanced or delayed by more than 30 days from the first anniversary of the date of the preceding year’s annual meeting, in order for notice by the stockholder to be timely, such notice must be so delivered not earlier than the 150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and not later than 5:00 p.m., Eastern Time, on the later of the 120</w:t>
      </w:r>
      <w:r>
        <w:rPr>
          <w:rFonts w:ascii="Arial" w:cs="Arial" w:eastAsia="Arial" w:hAnsi="Arial"/>
          <w:sz w:val="14"/>
          <w:szCs w:val="14"/>
          <w:color w:val="auto"/>
        </w:rPr>
        <w:t>th</w:t>
      </w:r>
      <w:r>
        <w:rPr>
          <w:rFonts w:ascii="Arial" w:cs="Arial" w:eastAsia="Arial" w:hAnsi="Arial"/>
          <w:sz w:val="17"/>
          <w:szCs w:val="17"/>
          <w:color w:val="auto"/>
        </w:rPr>
        <w:t xml:space="preserve"> day prior to the date of such annual meeting, as originally convened, or the tenth day following the day on which public announcement of the date of such meeting is first made. The public announcement of a postponement or adjournment of an annual meeting shall not commence a new time period for the giving of a stockholder’s notice as described above.</w:t>
      </w:r>
    </w:p>
    <w:p>
      <w:pPr>
        <w:sectPr>
          <w:pgSz w:w="11900" w:h="16838" w:orient="portrait"/>
          <w:cols w:equalWidth="0" w:num="1">
            <w:col w:w="11240"/>
          </w:cols>
          <w:pgMar w:left="320" w:top="274" w:right="339" w:bottom="1440" w:gutter="0" w:footer="0" w:header="0"/>
        </w:sectPr>
      </w:pPr>
    </w:p>
    <w:bookmarkStart w:id="11" w:name="page12"/>
    <w:bookmarkEnd w:id="11"/>
    <w:p>
      <w:pPr>
        <w:ind w:left="1860" w:hanging="392"/>
        <w:spacing w:after="0"/>
        <w:tabs>
          <w:tab w:leader="none" w:pos="1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stockholder’s notice shall set forth:</w:t>
      </w:r>
    </w:p>
    <w:p>
      <w:pPr>
        <w:spacing w:after="0" w:line="225" w:lineRule="exact"/>
        <w:rPr>
          <w:rFonts w:ascii="Arial" w:cs="Arial" w:eastAsia="Arial" w:hAnsi="Arial"/>
          <w:sz w:val="18"/>
          <w:szCs w:val="18"/>
          <w:color w:val="auto"/>
        </w:rPr>
      </w:pPr>
    </w:p>
    <w:p>
      <w:pPr>
        <w:ind w:left="2260" w:hanging="343"/>
        <w:spacing w:after="0"/>
        <w:tabs>
          <w:tab w:leader="none" w:pos="2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 to each individual whom the stockholder proposes to nominate for election or reelection as a director (each, a “Proposed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Nominee”),</w:t>
      </w:r>
    </w:p>
    <w:p>
      <w:pPr>
        <w:spacing w:after="0" w:line="211" w:lineRule="exact"/>
        <w:rPr>
          <w:sz w:val="20"/>
          <w:szCs w:val="20"/>
          <w:color w:val="auto"/>
        </w:rPr>
      </w:pPr>
    </w:p>
    <w:p>
      <w:pPr>
        <w:ind w:right="120" w:firstLine="2367"/>
        <w:spacing w:after="0" w:line="259" w:lineRule="auto"/>
        <w:tabs>
          <w:tab w:leader="none" w:pos="26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w:t>
      </w:r>
    </w:p>
    <w:p>
      <w:pPr>
        <w:spacing w:after="0" w:line="186" w:lineRule="exact"/>
        <w:rPr>
          <w:rFonts w:ascii="Arial" w:cs="Arial" w:eastAsia="Arial" w:hAnsi="Arial"/>
          <w:sz w:val="18"/>
          <w:szCs w:val="18"/>
          <w:color w:val="auto"/>
        </w:rPr>
      </w:pPr>
    </w:p>
    <w:p>
      <w:pPr>
        <w:ind w:right="20" w:firstLine="2367"/>
        <w:spacing w:after="0" w:line="259" w:lineRule="auto"/>
        <w:tabs>
          <w:tab w:leader="none" w:pos="2644"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whether such stockholder believes any such Proposed Nominee is, or is not, an “interested person” of the Corporation, as defined in the Investment Company Act of 1940, as amended, and the rules promulgated thereunder (the “Investment Company Act”) and information regarding such individual that is sufficient, in the discretion of the Board of Directors or any committee thereof or any authorized officer of the Corporation, to make such determination;</w:t>
      </w:r>
    </w:p>
    <w:p>
      <w:pPr>
        <w:spacing w:after="0" w:line="186" w:lineRule="exact"/>
        <w:rPr>
          <w:rFonts w:ascii="Arial" w:cs="Arial" w:eastAsia="Arial" w:hAnsi="Arial"/>
          <w:sz w:val="18"/>
          <w:szCs w:val="18"/>
          <w:color w:val="auto"/>
        </w:rPr>
      </w:pPr>
    </w:p>
    <w:p>
      <w:pPr>
        <w:jc w:val="both"/>
        <w:ind w:right="140" w:firstLine="1917"/>
        <w:spacing w:after="0" w:line="259" w:lineRule="auto"/>
        <w:tabs>
          <w:tab w:leader="none" w:pos="21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meeting, a description of such business, the stockholder’s reasons for proposing such business at the meeting and any material interest in such business of such stockholder or any Stockholder Associated Person (as defined below), individually or in the aggregate, including any anticipated benefit to the stockholder or the Stockholder Associated Person therefrom;</w:t>
      </w:r>
    </w:p>
    <w:p>
      <w:pPr>
        <w:spacing w:after="0" w:line="186" w:lineRule="exact"/>
        <w:rPr>
          <w:rFonts w:ascii="Arial" w:cs="Arial" w:eastAsia="Arial" w:hAnsi="Arial"/>
          <w:sz w:val="18"/>
          <w:szCs w:val="18"/>
          <w:color w:val="auto"/>
        </w:rPr>
      </w:pPr>
    </w:p>
    <w:p>
      <w:pPr>
        <w:ind w:left="2240" w:hanging="323"/>
        <w:spacing w:after="0"/>
        <w:tabs>
          <w:tab w:leader="none" w:pos="2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to the stockholder giving the notice, any Proposed Nominee and any Stockholder Associated Person,</w:t>
      </w:r>
    </w:p>
    <w:p>
      <w:pPr>
        <w:spacing w:after="0" w:line="225" w:lineRule="exact"/>
        <w:rPr>
          <w:rFonts w:ascii="Arial" w:cs="Arial" w:eastAsia="Arial" w:hAnsi="Arial"/>
          <w:sz w:val="18"/>
          <w:szCs w:val="18"/>
          <w:color w:val="auto"/>
        </w:rPr>
      </w:pPr>
    </w:p>
    <w:p>
      <w:pPr>
        <w:ind w:firstLine="2367"/>
        <w:spacing w:after="0" w:line="257" w:lineRule="auto"/>
        <w:tabs>
          <w:tab w:leader="none" w:pos="26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class, series and number of all shares of stock or other securities of the Corporation or any affiliate thereof (collectively, the “Company Securities”), if any, which are owned (beneficially or of record) by such stockholder, Proposed Nominee or Stockholder Associated Person, the date on which each such Company Security was acquired and the investment intent of such acquisition, and any short interest (including any opportunity to profit or share in any benefit from any decrease in the price of such stock or other security) in any Company Securities of any such person,</w:t>
      </w:r>
    </w:p>
    <w:p>
      <w:pPr>
        <w:spacing w:after="0" w:line="187" w:lineRule="exact"/>
        <w:rPr>
          <w:rFonts w:ascii="Arial" w:cs="Arial" w:eastAsia="Arial" w:hAnsi="Arial"/>
          <w:sz w:val="18"/>
          <w:szCs w:val="18"/>
          <w:color w:val="auto"/>
        </w:rPr>
      </w:pPr>
    </w:p>
    <w:p>
      <w:pPr>
        <w:ind w:right="660" w:firstLine="2367"/>
        <w:spacing w:after="0" w:line="277" w:lineRule="auto"/>
        <w:tabs>
          <w:tab w:leader="none" w:pos="26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nominee holder for, and number of, any Company Securities owned beneficially but not of record by such stockholder, Proposed Nominee or Stockholder Associated Person,</w:t>
      </w:r>
    </w:p>
    <w:p>
      <w:pPr>
        <w:spacing w:after="0" w:line="170" w:lineRule="exact"/>
        <w:rPr>
          <w:rFonts w:ascii="Arial" w:cs="Arial" w:eastAsia="Arial" w:hAnsi="Arial"/>
          <w:sz w:val="18"/>
          <w:szCs w:val="18"/>
          <w:color w:val="auto"/>
        </w:rPr>
      </w:pPr>
    </w:p>
    <w:p>
      <w:pPr>
        <w:ind w:right="40" w:firstLine="2367"/>
        <w:spacing w:after="0" w:line="254" w:lineRule="auto"/>
        <w:tabs>
          <w:tab w:leader="none" w:pos="2644" w:val="left"/>
        </w:tabs>
        <w:numPr>
          <w:ilvl w:val="1"/>
          <w:numId w:val="12"/>
        </w:numPr>
        <w:rPr>
          <w:rFonts w:ascii="Arial" w:cs="Arial" w:eastAsia="Arial" w:hAnsi="Arial"/>
          <w:sz w:val="18"/>
          <w:szCs w:val="18"/>
          <w:color w:val="auto"/>
        </w:rPr>
      </w:pPr>
      <w:r>
        <w:rPr>
          <w:rFonts w:ascii="Arial" w:cs="Arial" w:eastAsia="Arial" w:hAnsi="Arial"/>
          <w:sz w:val="18"/>
          <w:szCs w:val="18"/>
          <w:color w:val="auto"/>
        </w:rPr>
        <w:t>whether and the extent to which such stockholder, Proposed Nominee or Stockholder Associated Person, directly or indirectly (through brokers, nominees or otherwise), is subject to or during the last six months has engaged in any hedging, derivative or other transaction or series of transactions or entered into any other agreement, arrangement or understanding (including any short interest, any borrowing or lending of securities or any proxy or voting agreement), the effect or intent of which is to (I) manage risk or benefit of changes in the price of Company Securities for such stockholder, Proposed Nominee or Stockholder Associated Person or (II) increase or decrease the voting power of such stockholder, Proposed Nominee or Stockholder Associated Person in the Corporation or any affiliate thereof disproportionately to such person’s economic interest in the Company Securities; and</w:t>
      </w:r>
    </w:p>
    <w:p>
      <w:pPr>
        <w:sectPr>
          <w:pgSz w:w="11900" w:h="16838" w:orient="portrait"/>
          <w:cols w:equalWidth="0" w:num="1">
            <w:col w:w="11200"/>
          </w:cols>
          <w:pgMar w:left="320" w:top="274" w:right="379" w:bottom="1440" w:gutter="0" w:footer="0" w:header="0"/>
        </w:sectPr>
      </w:pPr>
    </w:p>
    <w:bookmarkStart w:id="12" w:name="page13"/>
    <w:bookmarkEnd w:id="12"/>
    <w:p>
      <w:pPr>
        <w:ind w:left="-1120" w:right="80" w:firstLine="2367"/>
        <w:spacing w:after="0" w:line="257" w:lineRule="auto"/>
        <w:tabs>
          <w:tab w:leader="none" w:pos="1668" w:val="left"/>
        </w:tabs>
        <w:numPr>
          <w:ilvl w:val="2"/>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any substantial interest, direct or indirect (including, without limitation, any existing or prospective commercial, business or contractual relationship with the Corporation), by security holdings or otherwise, of such stockholder, Proposed Nominee or Stockholder Associated Person, in the Corporation or any affiliate thereof, other than an interest arising from the ownership of Company Securities where such stockholder, Proposed Nominee or Stockholder Associated Person receives no extra or special benefit not shared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all other holders of the same class or series;</w:t>
      </w:r>
    </w:p>
    <w:p>
      <w:pPr>
        <w:spacing w:after="0" w:line="187" w:lineRule="exact"/>
        <w:rPr>
          <w:rFonts w:ascii="Arial" w:cs="Arial" w:eastAsia="Arial" w:hAnsi="Arial"/>
          <w:sz w:val="18"/>
          <w:szCs w:val="18"/>
          <w:color w:val="auto"/>
        </w:rPr>
      </w:pPr>
    </w:p>
    <w:p>
      <w:pPr>
        <w:ind w:left="-1120" w:right="380" w:firstLine="1917"/>
        <w:spacing w:after="0" w:line="277" w:lineRule="auto"/>
        <w:tabs>
          <w:tab w:leader="none" w:pos="12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to the stockholder giving the notice, any Stockholder Associated Person with an interest or ownership referred to in clauses (ii) or (iii) of this paragraph (3) of this Section 11(a) and any Proposed Nominee,</w:t>
      </w:r>
    </w:p>
    <w:p>
      <w:pPr>
        <w:spacing w:after="0" w:line="170" w:lineRule="exact"/>
        <w:rPr>
          <w:rFonts w:ascii="Arial" w:cs="Arial" w:eastAsia="Arial" w:hAnsi="Arial"/>
          <w:sz w:val="18"/>
          <w:szCs w:val="18"/>
          <w:color w:val="auto"/>
        </w:rPr>
      </w:pPr>
    </w:p>
    <w:p>
      <w:pPr>
        <w:ind w:left="-1120" w:right="280" w:firstLine="2367"/>
        <w:spacing w:after="0" w:line="277" w:lineRule="auto"/>
        <w:tabs>
          <w:tab w:leader="none" w:pos="16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stock ledger, and the current name and business address, if different, of each such Stockholder Associated Person and any Proposed Nominee and</w:t>
      </w:r>
    </w:p>
    <w:p>
      <w:pPr>
        <w:spacing w:after="0" w:line="170" w:lineRule="exact"/>
        <w:rPr>
          <w:rFonts w:ascii="Arial" w:cs="Arial" w:eastAsia="Arial" w:hAnsi="Arial"/>
          <w:sz w:val="18"/>
          <w:szCs w:val="18"/>
          <w:color w:val="auto"/>
        </w:rPr>
      </w:pPr>
    </w:p>
    <w:p>
      <w:pPr>
        <w:ind w:left="-1120" w:right="20" w:firstLine="2367"/>
        <w:spacing w:after="0" w:line="263" w:lineRule="auto"/>
        <w:tabs>
          <w:tab w:leader="none" w:pos="1658"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investment strategy or objective, if any, of such stockholder and each such Stockholder Associated Person who is not an individual and a copy of the prospectus, offering memorandum or similar document, if any, provided to investors or potential investors in such stockholder and each such Stockholder Associated Person;</w:t>
      </w:r>
    </w:p>
    <w:p>
      <w:pPr>
        <w:spacing w:after="0" w:line="183" w:lineRule="exact"/>
        <w:rPr>
          <w:rFonts w:ascii="Arial" w:cs="Arial" w:eastAsia="Arial" w:hAnsi="Arial"/>
          <w:sz w:val="18"/>
          <w:szCs w:val="18"/>
          <w:color w:val="auto"/>
        </w:rPr>
      </w:pPr>
    </w:p>
    <w:p>
      <w:pPr>
        <w:ind w:left="-1120" w:right="880" w:firstLine="1917"/>
        <w:spacing w:after="0" w:line="342" w:lineRule="auto"/>
        <w:tabs>
          <w:tab w:leader="none" w:pos="1179"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name and address of any person who contacted or was contacted by the stockholder giving the notice or any Stockholder Associated Person about the Proposed Nominee or other business proposal prior to the date of such stockholder’s notice; and</w:t>
      </w:r>
    </w:p>
    <w:p>
      <w:pPr>
        <w:spacing w:after="0" w:line="123" w:lineRule="exact"/>
        <w:rPr>
          <w:rFonts w:ascii="Arial" w:cs="Arial" w:eastAsia="Arial" w:hAnsi="Arial"/>
          <w:sz w:val="16"/>
          <w:szCs w:val="16"/>
          <w:color w:val="auto"/>
        </w:rPr>
      </w:pPr>
    </w:p>
    <w:p>
      <w:pPr>
        <w:ind w:left="-1120" w:right="300" w:firstLine="1917"/>
        <w:spacing w:after="0" w:line="277" w:lineRule="auto"/>
        <w:tabs>
          <w:tab w:leader="none" w:pos="122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to the extent known by the stockholder giving the notice, the name and address of any other stockholder supporting the nominee for election or reelection as a director or the proposal of other business on the date of such stockholder’s notice.</w:t>
      </w:r>
    </w:p>
    <w:p>
      <w:pPr>
        <w:spacing w:after="0" w:line="170" w:lineRule="exact"/>
        <w:rPr>
          <w:rFonts w:ascii="Arial" w:cs="Arial" w:eastAsia="Arial" w:hAnsi="Arial"/>
          <w:sz w:val="18"/>
          <w:szCs w:val="18"/>
          <w:color w:val="auto"/>
        </w:rPr>
      </w:pPr>
    </w:p>
    <w:p>
      <w:pPr>
        <w:ind w:left="-1120" w:firstLine="1468"/>
        <w:spacing w:after="0" w:line="289" w:lineRule="auto"/>
        <w:tabs>
          <w:tab w:leader="none" w:pos="7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stockholder’s notice shall, with respect to any Proposed Nominee, be accompanied by a certificate executed by the Proposed Nominee (i) certifying that such Proposed Nominee (a) is not, and will not become, a party to any agreement, arrangement or understanding with any person or entity other than the Corporation in connection with service or action as a director that has not been disclosed to the Corporation and (b) will serve as a director of the Corporation if elected; and (ii) attaching a completed Proposed Nominee questionnaire (which questionnaire shall be provided by the Corporation, upon request, to the stockholder providing the notice and shall include all information relating to the Proposed Nominee that would be required to be disclosed in connection with the solicitation of proxies for the election of the Proposed Nominee as a director in an election contest (even if an election contest is not involved), or would otherwise be required in connection with such solicitation, in each case pursuant to Regulation 14A (or any successor provision) under the Exchange Act and the rules thereunder, or would be required pursuant to the rules of any national securities exchange on which any securities of the Corporation are listed or over-the-counter market on which any securities of the Corporation are traded).</w:t>
      </w:r>
    </w:p>
    <w:p>
      <w:pPr>
        <w:sectPr>
          <w:pgSz w:w="11900" w:h="16838" w:orient="portrait"/>
          <w:cols w:equalWidth="0" w:num="1">
            <w:col w:w="10100"/>
          </w:cols>
          <w:pgMar w:left="1440" w:top="274" w:right="359" w:bottom="1440" w:gutter="0" w:footer="0" w:header="0"/>
        </w:sectPr>
      </w:pPr>
    </w:p>
    <w:bookmarkStart w:id="13" w:name="page14"/>
    <w:bookmarkEnd w:id="13"/>
    <w:p>
      <w:pPr>
        <w:ind w:left="-906" w:right="100" w:firstLine="1468"/>
        <w:spacing w:after="0" w:line="255" w:lineRule="auto"/>
        <w:tabs>
          <w:tab w:leader="none" w:pos="943"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in this subsection (a) of this Section 11 to the contrary, in the event that the number of directors to be elected to the Board of Directors is increased, and there is no public announcement of such action at least 130 days prior to the first anniversary of the date of the proxy statement (as defined in Section 11(c)(3) of this Article II) for the preceding year’s annual meeting, a stockholder’s notice required by this Section 11(a) shall also be considered timely, but only with respect to nominees for any new positions created by such increase, if it shall be delivered to the secretary at the principal executive office of the Corporation not later than 5:00 p.m., Eastern Time, on the tenth day following the day on which such public announcement is first made by the Corporation.</w:t>
      </w:r>
    </w:p>
    <w:p>
      <w:pPr>
        <w:spacing w:after="0" w:line="192" w:lineRule="exact"/>
        <w:rPr>
          <w:rFonts w:ascii="Arial" w:cs="Arial" w:eastAsia="Arial" w:hAnsi="Arial"/>
          <w:sz w:val="18"/>
          <w:szCs w:val="18"/>
          <w:color w:val="auto"/>
        </w:rPr>
      </w:pPr>
    </w:p>
    <w:p>
      <w:pPr>
        <w:ind w:left="-906" w:right="100" w:firstLine="1468"/>
        <w:spacing w:after="0" w:line="259" w:lineRule="auto"/>
        <w:tabs>
          <w:tab w:leader="none" w:pos="943"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 purposes of this Section 11, “Stockholder Associated Person” of any stockholder shall mean (i) any person acting in concert with such stockholder, (ii) any beneficial owner of shares of stock of the Corporation owned of record or beneficially by such stockholder (other than a stockholder that is a depositary) and (iii) any person that directly, or indirectly through one or more intermediaries, controls, or is controlled by, or is under common control with, such stockholder or such Stockholder Associated Person.</w:t>
      </w:r>
    </w:p>
    <w:p>
      <w:pPr>
        <w:spacing w:after="0" w:line="186" w:lineRule="exact"/>
        <w:rPr>
          <w:rFonts w:ascii="Arial" w:cs="Arial" w:eastAsia="Arial" w:hAnsi="Arial"/>
          <w:sz w:val="18"/>
          <w:szCs w:val="18"/>
          <w:color w:val="auto"/>
        </w:rPr>
      </w:pPr>
    </w:p>
    <w:p>
      <w:pPr>
        <w:ind w:left="-906" w:firstLine="906"/>
        <w:spacing w:after="0" w:line="286" w:lineRule="auto"/>
        <w:tabs>
          <w:tab w:leader="none" w:pos="38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Only such business shall be conducted at a special meeting of stockholders as shall have been brought before the meeting pursuant to the Corporation’s notice of meeting. Nominations of individuals for election to the Board of Directors may be made at a special meeting of stockholders at which directors are to be elected only (i) by or at the direction of the Board of Directors or (ii) provided that the special meeting has been called in accordance with Section 3(a) of this Article II for the purpose of electing directors, by any stockholder of the Corporation who is a stockholder of record both at the time of giving of notice provided for in this Section 11 and at the time of the special meeting, who is entitled to vote at the meeting in the election of each individual so nominated and who has complied with the notice procedures set forth in this Section 11. In the event the Corporation calls a special meeting of stockholders for the purpose of electing one or more individuals to the Board of Directors, any stockholder may nominate an individual or individuals (as the case may be) for election as a director as specified in the Corporation’s notice of meeting, if the stockholder’s notice, containing the information required by paragraphs (a)(3) and (4) of this Section 11, is delivered to the secretary at the principal executive office of the Corporation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and not later than 5:00 p.m., Eastern Time</w:t>
      </w:r>
      <w:r>
        <w:rPr>
          <w:rFonts w:ascii="Arial" w:cs="Arial" w:eastAsia="Arial" w:hAnsi="Arial"/>
          <w:sz w:val="16"/>
          <w:szCs w:val="16"/>
          <w:b w:val="1"/>
          <w:bCs w:val="1"/>
          <w:color w:val="auto"/>
        </w:rPr>
        <w:t>,</w:t>
      </w:r>
      <w:r>
        <w:rPr>
          <w:rFonts w:ascii="Arial" w:cs="Arial" w:eastAsia="Arial" w:hAnsi="Arial"/>
          <w:sz w:val="16"/>
          <w:szCs w:val="16"/>
          <w:color w:val="auto"/>
        </w:rPr>
        <w:t xml:space="preserve">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such special meeting or the tenth day following the day on which public announcement is first made of the date of the special meeting and of the nominees proposed by the Board of Directors to be elected at such meeting. The public announcement of a postponement or adjournment of a special meeting shall not commence a new time period for the giving of a stockholder’s notice as described above.</w:t>
      </w:r>
    </w:p>
    <w:p>
      <w:pPr>
        <w:spacing w:after="0" w:line="173" w:lineRule="exact"/>
        <w:rPr>
          <w:rFonts w:ascii="Arial" w:cs="Arial" w:eastAsia="Arial" w:hAnsi="Arial"/>
          <w:sz w:val="16"/>
          <w:szCs w:val="16"/>
          <w:color w:val="auto"/>
        </w:rPr>
      </w:pPr>
    </w:p>
    <w:p>
      <w:pPr>
        <w:ind w:left="-906" w:right="60" w:firstLine="906"/>
        <w:spacing w:after="0" w:line="259" w:lineRule="auto"/>
        <w:tabs>
          <w:tab w:leader="none" w:pos="37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(1) If information submitted pursuant to this Section 11 by any stockholder proposing a nominee for election as a director or any proposal for other business at a meeting of stockholders shall be inaccurate in any material respect, such information may be deemed not to have been provided in accordance with this Section 11. Any such stockholder shall notify the Corporation of any inaccuracy or change (within two Business Days of becoming aware of such inaccuracy or change) in any such information. Upon written request by the</w:t>
      </w:r>
    </w:p>
    <w:p>
      <w:pPr>
        <w:sectPr>
          <w:pgSz w:w="11900" w:h="16838" w:orient="portrait"/>
          <w:cols w:equalWidth="0" w:num="1">
            <w:col w:w="10334"/>
          </w:cols>
          <w:pgMar w:left="1226" w:top="274" w:right="339" w:bottom="1440" w:gutter="0" w:footer="0" w:header="0"/>
        </w:sectPr>
      </w:pPr>
    </w:p>
    <w:bookmarkStart w:id="14" w:name="page15"/>
    <w:bookmarkEnd w:id="1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secretary or the Board of Directors, any such stockholder shall provide, within five Business Days of delivery of such request (or such other period as may be specified in such request), (A) written verification, satisfactory, in the discretion of the Board of Directors or any authorized officer of the Corporation, to demonstrate the accuracy of any information submitted by the stockholder pursuant to this Section 11, and (B) a written update of any information (including, if requested by the Corporation, written confirmation by such stockholder that it continues to intend to bring such nomination or other business proposal before the meeting) submitted by the stockholder pursuant to this Section 11 as of an earlier date. If a stockholder fails to provide such written verification or written update within such period, the information as to which written verification or a written update was requested may be deemed not to have been provided in accordance with this Section 11.</w:t>
      </w:r>
    </w:p>
    <w:p>
      <w:pPr>
        <w:spacing w:after="0" w:line="195" w:lineRule="exact"/>
        <w:rPr>
          <w:sz w:val="20"/>
          <w:szCs w:val="20"/>
          <w:color w:val="auto"/>
        </w:rPr>
      </w:pPr>
    </w:p>
    <w:p>
      <w:pPr>
        <w:ind w:right="100" w:firstLine="1468"/>
        <w:spacing w:after="0" w:line="259" w:lineRule="auto"/>
        <w:tabs>
          <w:tab w:leader="none" w:pos="18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Only such individuals who are nominated in accordance with this Section 11 shall be eligible for election by stockholders as directors, and only such business shall be conducted at a meeting of stockholders as shall have been brought before the meeting in accordance with this Section 11. The chairman of the meeting shall have the power to determine whether a nomination or any other business proposed to be brought before the meeting was made or proposed, as the case may be, in accordance with this Section 11.</w:t>
      </w:r>
    </w:p>
    <w:p>
      <w:pPr>
        <w:spacing w:after="0" w:line="186" w:lineRule="exact"/>
        <w:rPr>
          <w:rFonts w:ascii="Arial" w:cs="Arial" w:eastAsia="Arial" w:hAnsi="Arial"/>
          <w:sz w:val="18"/>
          <w:szCs w:val="18"/>
          <w:color w:val="auto"/>
        </w:rPr>
      </w:pPr>
    </w:p>
    <w:p>
      <w:pPr>
        <w:ind w:right="60" w:firstLine="1468"/>
        <w:spacing w:after="0" w:line="257" w:lineRule="auto"/>
        <w:tabs>
          <w:tab w:leader="none" w:pos="18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purposes of this Section 11, “the date of the proxy statement” shall have the same meaning as “the date of the company’s proxy statement released to shareholders” as used in Rule 14a-8(e) promulgated under the Exchange Act, as interpreted by the Securities and Exchange Commission (the “Commission”) from time to time. “Public announcement” shall mean disclosure (A) in a press release reported by the Dow Jones News Service, Associated Press, Business Wire, PR Newswire or other widely circulated news or wire service or (B) in a document publicly filed by the Corporation with the Commission pursuant to the Exchange Act.</w:t>
      </w:r>
    </w:p>
    <w:p>
      <w:pPr>
        <w:spacing w:after="0" w:line="187" w:lineRule="exact"/>
        <w:rPr>
          <w:rFonts w:ascii="Arial" w:cs="Arial" w:eastAsia="Arial" w:hAnsi="Arial"/>
          <w:sz w:val="18"/>
          <w:szCs w:val="18"/>
          <w:color w:val="auto"/>
        </w:rPr>
      </w:pPr>
    </w:p>
    <w:p>
      <w:pPr>
        <w:ind w:firstLine="1468"/>
        <w:spacing w:after="0" w:line="254" w:lineRule="auto"/>
        <w:tabs>
          <w:tab w:leader="none" w:pos="18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 a stockholder shall also comply with all applicable requirements of state law and of the Exchange Act and the rules and regulations thereunder with respect to the matters set forth in this Section 11. Nothing in this Section 11 shall be deemed to affect any right of a stockholder to request inclusion of a proposal in, or the right of the Corporation to omit a proposal from, any proxy statement filed by the Corporation with the Commission pursuant to Rule 14a-8 (or any successor provision) under the Exchange Act. Nothing in this Section 11 shall require disclosure of revocable proxies received by the stockholder or Stockholder Associated Person pursuant to a solicitation of proxies after the filing of an effective Schedule 14A by such stockholder or Stockholder Associated Person under Section 14(a) of the Exchange Act or the Investment Company Act.</w:t>
      </w:r>
    </w:p>
    <w:p>
      <w:pPr>
        <w:spacing w:after="0" w:line="195" w:lineRule="exact"/>
        <w:rPr>
          <w:sz w:val="20"/>
          <w:szCs w:val="20"/>
          <w:color w:val="auto"/>
        </w:rPr>
      </w:pPr>
    </w:p>
    <w:p>
      <w:pPr>
        <w:ind w:right="180" w:firstLine="898"/>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VOTING BY BALLOT</w:t>
      </w:r>
      <w:r>
        <w:rPr>
          <w:rFonts w:ascii="Arial" w:cs="Arial" w:eastAsia="Arial" w:hAnsi="Arial"/>
          <w:sz w:val="18"/>
          <w:szCs w:val="18"/>
          <w:color w:val="auto"/>
        </w:rPr>
        <w:t>. Voting on any question or in any election may be viva voce unless the presiding officer shall order or any stockholder shall demand that voting be by ballot.</w:t>
      </w:r>
    </w:p>
    <w:p>
      <w:pPr>
        <w:spacing w:after="0" w:line="170" w:lineRule="exact"/>
        <w:rPr>
          <w:sz w:val="20"/>
          <w:szCs w:val="20"/>
          <w:color w:val="auto"/>
        </w:rPr>
      </w:pPr>
    </w:p>
    <w:p>
      <w:pPr>
        <w:ind w:right="280" w:firstLine="898"/>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CONTROL SHARE ACQUISITION ACT</w:t>
      </w:r>
      <w:r>
        <w:rPr>
          <w:rFonts w:ascii="Arial" w:cs="Arial" w:eastAsia="Arial" w:hAnsi="Arial"/>
          <w:sz w:val="18"/>
          <w:szCs w:val="18"/>
          <w:color w:val="auto"/>
        </w:rPr>
        <w:t>. Notwithstanding any other provision of the charter of the Corporation or these Bylaws, Title 3, Subtitle 7 of the Maryland General Corporation Law (the “MGCL”), or any successor statute, shall not apply to any acquisition by any person of shares of stock of the Corporation. This section may be repealed, in</w:t>
      </w:r>
    </w:p>
    <w:p>
      <w:pPr>
        <w:sectPr>
          <w:pgSz w:w="11900" w:h="16838" w:orient="portrait"/>
          <w:cols w:equalWidth="0" w:num="1">
            <w:col w:w="11180"/>
          </w:cols>
          <w:pgMar w:left="320" w:top="274" w:right="399" w:bottom="1440" w:gutter="0" w:footer="0" w:header="0"/>
        </w:sectPr>
      </w:pPr>
    </w:p>
    <w:bookmarkStart w:id="15" w:name="page16"/>
    <w:bookmarkEnd w:id="15"/>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whole or in part, at any time, whether before or after an acquisition of control shares and, upon such repeal, may, to the extent provided by any successor bylaw, apply to any prior or subsequent control share acquisition.</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GENERAL POWERS</w:t>
      </w:r>
      <w:r>
        <w:rPr>
          <w:rFonts w:ascii="Arial" w:cs="Arial" w:eastAsia="Arial" w:hAnsi="Arial"/>
          <w:sz w:val="16"/>
          <w:szCs w:val="16"/>
          <w:color w:val="auto"/>
        </w:rPr>
        <w:t>. The business and affairs of the Corporation shall be managed under the direction of its Board of Directors.</w:t>
      </w:r>
    </w:p>
    <w:p>
      <w:pPr>
        <w:spacing w:after="0" w:line="225" w:lineRule="exact"/>
        <w:rPr>
          <w:sz w:val="20"/>
          <w:szCs w:val="20"/>
          <w:color w:val="auto"/>
        </w:rPr>
      </w:pPr>
    </w:p>
    <w:p>
      <w:pPr>
        <w:ind w:right="60" w:firstLine="89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NUMBER, TENURE AND RESIGNATION</w:t>
      </w:r>
      <w:r>
        <w:rPr>
          <w:rFonts w:ascii="Arial" w:cs="Arial" w:eastAsia="Arial" w:hAnsi="Arial"/>
          <w:sz w:val="17"/>
          <w:szCs w:val="17"/>
          <w:color w:val="auto"/>
        </w:rPr>
        <w:t>. At any regular meeting or at any special meeting called for that purpose, a majority of the entire Board of Directors may establish, increase or decrease the number of directors, provided that the number thereof shall never be less than four nor more than eight, and further provided that the tenure of office of a director shall not be affected by any decrease in the number of directors. Any director of the Corporation may resign at any time by delivering his or her resignation to the Board of Directors, the chairman of the board or the secretary. Any resignation shall take effect immediately upon its receipt or at such later time specified in the resignation. The acceptance of a resignation shall not be necessary to make it effective unless otherwise stated in the resignation.</w:t>
      </w:r>
    </w:p>
    <w:p>
      <w:pPr>
        <w:spacing w:after="0" w:line="178"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ANNUAL AND REGULAR MEETINGS</w:t>
      </w:r>
      <w:r>
        <w:rPr>
          <w:rFonts w:ascii="Arial" w:cs="Arial" w:eastAsia="Arial" w:hAnsi="Arial"/>
          <w:sz w:val="18"/>
          <w:szCs w:val="18"/>
          <w:color w:val="auto"/>
        </w:rPr>
        <w:t>. An annual meeting of the Board of Directors shall be held immediately after and at the same place as the annual meeting of stockholders, no notice other than this Bylaw being necessary. In the event such meeting is not so held, the meeting may be held at such time and place as shall be specified in a notice given as hereinafter provided for special meetings of the Board of Directors. Regular meetings of the Board of Directors shall be held from time to time at such places and times as provided by the Board of Directors by resolution, without notice other than such resolution.</w:t>
      </w:r>
    </w:p>
    <w:p>
      <w:pPr>
        <w:spacing w:after="0" w:line="188" w:lineRule="exact"/>
        <w:rPr>
          <w:sz w:val="20"/>
          <w:szCs w:val="20"/>
          <w:color w:val="auto"/>
        </w:rPr>
      </w:pPr>
    </w:p>
    <w:p>
      <w:pPr>
        <w:ind w:right="60" w:firstLine="898"/>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or at the request of the chairman of the Board of Directors, the president or by a majority of the directors then in office. The person or persons authorized to call special meetings of the Board of Directors may fix any place as the place for holding any special meeting of the Board of Directors called by them. The Board of Directors may provide, by resolution, the time and place for the holding of special meetings of the Board of Directors without notice other than such resolution.</w:t>
      </w:r>
    </w:p>
    <w:p>
      <w:pPr>
        <w:spacing w:after="0" w:line="171"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NOTICE</w:t>
      </w:r>
      <w:r>
        <w:rPr>
          <w:rFonts w:ascii="Arial" w:cs="Arial" w:eastAsia="Arial" w:hAnsi="Arial"/>
          <w:sz w:val="17"/>
          <w:szCs w:val="17"/>
          <w:color w:val="auto"/>
        </w:rPr>
        <w:t>. Notice of any special meeting of the Board of Directors shall be delivered personally or by telephone, electronic mail, facsimile transmission, United States mail or courier to each director at his or her business or residence address. Notice by personal delivery, telephone, electronic mail or facsimile transmission shall be given at least 24 hours prior to the meeting. Notice by United States mail shall be given at least three days prior to the meeting. Notice by courier shall be given at least two days prior to the meeting. Telephone notice shall be deemed to be given when the director or his or her agent is personally given such notice in a telephone call to which the director or his or her agent is a party. Electronic mail notice shall be deemed to be given upon transmission of the message to the electronic mail address given to</w:t>
      </w:r>
    </w:p>
    <w:p>
      <w:pPr>
        <w:sectPr>
          <w:pgSz w:w="11900" w:h="16838" w:orient="portrait"/>
          <w:cols w:equalWidth="0" w:num="1">
            <w:col w:w="11220"/>
          </w:cols>
          <w:pgMar w:left="320" w:top="274" w:right="35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by the director. Facsimile transmission notice shall be deemed to be given upon completion of the transmission of the message to the number given to the Corporation by the director and receipt of a completed answer-back indicating receipt. Notice by United States mail shall be deemed to be given when deposited in the United States mail properly addressed, with postage thereon prepaid. Notice by courier shall be deemed to be given when deposited with or delivered to a courier properly addressed. Neither the business to be transacted at, nor the purpose of, any annual, regular or special meeting of the Board of Directors need be stated in the notice, unless specifically required by statute or these Bylaws.</w:t>
      </w:r>
    </w:p>
    <w:p>
      <w:pPr>
        <w:spacing w:after="0" w:line="176" w:lineRule="exact"/>
        <w:rPr>
          <w:sz w:val="20"/>
          <w:szCs w:val="20"/>
          <w:color w:val="auto"/>
        </w:rPr>
      </w:pPr>
    </w:p>
    <w:p>
      <w:pPr>
        <w:ind w:right="40" w:firstLine="898"/>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A majority of the directors shall constitute a quorum for transaction of business at any meeting of the Board of Directors, provided that, if less than a majority of such directors are present at said meeting, a majority of the directors present may adjourn the meeting from time to time without further notice, and provided further that if, pursuant to applicable law, the charter of the Corporation or these Bylaws, the vote of a majority of a particular group of directors is required for action, a quorum must also include a majority of such group.</w:t>
      </w:r>
    </w:p>
    <w:p>
      <w:pPr>
        <w:spacing w:after="0" w:line="171" w:lineRule="exact"/>
        <w:rPr>
          <w:sz w:val="20"/>
          <w:szCs w:val="20"/>
          <w:color w:val="auto"/>
        </w:rPr>
      </w:pPr>
    </w:p>
    <w:p>
      <w:pPr>
        <w:ind w:right="1000" w:firstLine="898"/>
        <w:spacing w:after="0" w:line="277" w:lineRule="auto"/>
        <w:rPr>
          <w:sz w:val="20"/>
          <w:szCs w:val="20"/>
          <w:color w:val="auto"/>
        </w:rPr>
      </w:pPr>
      <w:r>
        <w:rPr>
          <w:rFonts w:ascii="Arial" w:cs="Arial" w:eastAsia="Arial" w:hAnsi="Arial"/>
          <w:sz w:val="18"/>
          <w:szCs w:val="18"/>
          <w:color w:val="auto"/>
        </w:rPr>
        <w:t>The directors present at a meeting which has been duly called and convened may continue to transact business until adjournment, notwithstanding the withdrawal of enough directors to leave less than a quorum.</w:t>
      </w:r>
    </w:p>
    <w:p>
      <w:pPr>
        <w:spacing w:after="0" w:line="170"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w:t>
      </w:r>
      <w:r>
        <w:rPr>
          <w:rFonts w:ascii="Arial" w:cs="Arial" w:eastAsia="Arial" w:hAnsi="Arial"/>
          <w:sz w:val="18"/>
          <w:szCs w:val="18"/>
          <w:color w:val="auto"/>
        </w:rPr>
        <w:t>. The action of the majority of the directors present at a meeting at which a quorum is present shall be the action of the Board of Directors, unless the concurrence of a greater proportion is required for such action by applicable statute or the charter. If enough directors have withdrawn from a meeting to leave less than a quorum but the meeting is not adjourned, the action of the majority of that number of the directors necessary to constitute a quorum at such meeting shall be the action of the Board of Directors, unless the concurrence of a greater proportion is required for such action by applicable statute or the charter.</w:t>
      </w:r>
    </w:p>
    <w:p>
      <w:pPr>
        <w:spacing w:after="0" w:line="188" w:lineRule="exact"/>
        <w:rPr>
          <w:sz w:val="20"/>
          <w:szCs w:val="20"/>
          <w:color w:val="auto"/>
        </w:rPr>
      </w:pPr>
    </w:p>
    <w:p>
      <w:pPr>
        <w:ind w:right="60" w:firstLine="898"/>
        <w:spacing w:after="0" w:line="275"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ORGANIZATION</w:t>
      </w:r>
      <w:r>
        <w:rPr>
          <w:rFonts w:ascii="Arial" w:cs="Arial" w:eastAsia="Arial" w:hAnsi="Arial"/>
          <w:sz w:val="17"/>
          <w:szCs w:val="17"/>
          <w:color w:val="auto"/>
        </w:rPr>
        <w:t>. At each meeting of the Board of Directors, the chairman of the board or, in the absence of the chairman, the vice chairman of the board, if any, shall act as Chairman. In the absence of both the chairman and vice chairman of the board, the chief executive officer or in the absence of the chief executive officer, the president or in the absence of the president, a director chosen by a majority of the directors present, shall act as Chairman. The secretary or, in his or her absence, an assistant secretary of the Corporation, or in the absence of the secretary and all assistant secretaries, a person appointed by the Chairman, shall act as secretary of the meeting.</w:t>
      </w:r>
    </w:p>
    <w:p>
      <w:pPr>
        <w:spacing w:after="0" w:line="176"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TELEPHONE MEETINGS</w:t>
      </w:r>
      <w:r>
        <w:rPr>
          <w:rFonts w:ascii="Arial" w:cs="Arial" w:eastAsia="Arial" w:hAnsi="Arial"/>
          <w:sz w:val="18"/>
          <w:szCs w:val="18"/>
          <w:color w:val="auto"/>
        </w:rPr>
        <w:t>. Directors may participate in a meeting by means of a conference telephone or similar communications equipment if all persons participating in the meeting can hear each other at the same time; provided however, this Section 9 does not apply to any action of the directors pursuant to the Investment Company Act, that requires the vote of the directors to be cast in person at a meeting. Participation in a meeting by these means shall constitute presence in person at the meeting.</w:t>
      </w:r>
    </w:p>
    <w:p>
      <w:pPr>
        <w:sectPr>
          <w:pgSz w:w="11900" w:h="16838" w:orient="portrait"/>
          <w:cols w:equalWidth="0" w:num="1">
            <w:col w:w="11220"/>
          </w:cols>
          <w:pgMar w:left="320" w:top="274" w:right="359" w:bottom="1440" w:gutter="0" w:footer="0" w:header="0"/>
        </w:sectPr>
      </w:pPr>
    </w:p>
    <w:bookmarkStart w:id="17" w:name="page18"/>
    <w:bookmarkEnd w:id="17"/>
    <w:p>
      <w:pPr>
        <w:ind w:right="4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 </w:t>
      </w:r>
      <w:r>
        <w:rPr>
          <w:rFonts w:ascii="Arial" w:cs="Arial" w:eastAsia="Arial" w:hAnsi="Arial"/>
          <w:sz w:val="18"/>
          <w:szCs w:val="18"/>
          <w:u w:val="single" w:color="auto"/>
          <w:color w:val="auto"/>
        </w:rPr>
        <w:t>WRITTEN CONSENT BY DIRECTORS</w:t>
      </w:r>
      <w:r>
        <w:rPr>
          <w:rFonts w:ascii="Arial" w:cs="Arial" w:eastAsia="Arial" w:hAnsi="Arial"/>
          <w:sz w:val="18"/>
          <w:szCs w:val="18"/>
          <w:color w:val="auto"/>
        </w:rPr>
        <w:t>. Any action required or permitted to be taken at any meeting of the Board of Directors may be taken without a meeting, if a consent in writing or by electronic transmission to such action is given by each director and is filed with the minutes of proceedings of the Board of Directors; provided however, this Section 10 does not apply to any action of the directors pursuant to the Investment Company Act, that requires the vote of the directors to be cast in person at a meeting.</w:t>
      </w:r>
    </w:p>
    <w:p>
      <w:pPr>
        <w:spacing w:after="0" w:line="187" w:lineRule="exact"/>
        <w:rPr>
          <w:sz w:val="20"/>
          <w:szCs w:val="20"/>
          <w:color w:val="auto"/>
        </w:rPr>
      </w:pPr>
    </w:p>
    <w:p>
      <w:pPr>
        <w:ind w:right="100" w:firstLine="898"/>
        <w:spacing w:after="0" w:line="29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VACANCIES</w:t>
      </w:r>
      <w:r>
        <w:rPr>
          <w:rFonts w:ascii="Arial" w:cs="Arial" w:eastAsia="Arial" w:hAnsi="Arial"/>
          <w:sz w:val="16"/>
          <w:szCs w:val="16"/>
          <w:color w:val="auto"/>
        </w:rPr>
        <w:t>. If for any reason any or all the directors cease to be directors, such event shall not terminate the Corporation or affect these Bylaws or the powers of the remaining directors hereunder. Subject to applicable requirements of the Investment Company Act, and except as may be provided by the Board of Directors in setting the terms of any class or series of preferred stock, any vacancy on the Board of Directors may be filled only by a majority of the remaining directors, even if the remaining directors do not constitute a quorum. Any director elected to fill a vacancy shall serve for the remainder of the full term of the class in which the vacancy occurred and until a successor is elected and qualifies.</w:t>
      </w:r>
    </w:p>
    <w:p>
      <w:pPr>
        <w:spacing w:after="0" w:line="161"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COMPENSATION</w:t>
      </w:r>
      <w:r>
        <w:rPr>
          <w:rFonts w:ascii="Arial" w:cs="Arial" w:eastAsia="Arial" w:hAnsi="Arial"/>
          <w:sz w:val="17"/>
          <w:szCs w:val="17"/>
          <w:color w:val="auto"/>
        </w:rPr>
        <w:t>. Directors shall not receive any stated salary for their services as directors but, by resolution of the Board of Directors, may receive compensation per year and/or per meeting and/or per visit to real property or other facilities owned or leased by the Corporation and for any service or activity they performed or engaged in as directors. Directors may be reimbursed for expenses of attendance, if any, at each annual, regular or special meeting of the Board of Directors or of any committee thereof and for their expenses, if any, in connection with each property visit and any other service or activity they performed or engaged in as directors; but nothing herein contained shall be construed to preclude any directors from serving the Corporation in any other capacity and receiving compensation therefore.</w:t>
      </w:r>
    </w:p>
    <w:p>
      <w:pPr>
        <w:spacing w:after="0" w:line="178" w:lineRule="exact"/>
        <w:rPr>
          <w:sz w:val="20"/>
          <w:szCs w:val="20"/>
          <w:color w:val="auto"/>
        </w:rPr>
      </w:pPr>
    </w:p>
    <w:p>
      <w:pPr>
        <w:ind w:right="600" w:firstLine="898"/>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LOSS OF DEPOSITS</w:t>
      </w:r>
      <w:r>
        <w:rPr>
          <w:rFonts w:ascii="Arial" w:cs="Arial" w:eastAsia="Arial" w:hAnsi="Arial"/>
          <w:sz w:val="18"/>
          <w:szCs w:val="18"/>
          <w:color w:val="auto"/>
        </w:rPr>
        <w:t>. No director shall be liable for any loss which may occur by reason of the failure of the bank, trust company, savings and loan association, or other institution with whom moneys or stock have been deposited.</w:t>
      </w:r>
    </w:p>
    <w:p>
      <w:pPr>
        <w:spacing w:after="0" w:line="170" w:lineRule="exact"/>
        <w:rPr>
          <w:sz w:val="20"/>
          <w:szCs w:val="20"/>
          <w:color w:val="auto"/>
        </w:rPr>
      </w:pPr>
    </w:p>
    <w:p>
      <w:pPr>
        <w:ind w:right="340" w:firstLine="898"/>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SURETY BONDS</w:t>
      </w:r>
      <w:r>
        <w:rPr>
          <w:rFonts w:ascii="Arial" w:cs="Arial" w:eastAsia="Arial" w:hAnsi="Arial"/>
          <w:sz w:val="18"/>
          <w:szCs w:val="18"/>
          <w:color w:val="auto"/>
        </w:rPr>
        <w:t>. Unless required by law, no director shall be obligated to give any bond or surety or other security for the performance of any of his or her duties.</w:t>
      </w:r>
    </w:p>
    <w:p>
      <w:pPr>
        <w:spacing w:after="0" w:line="170"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RELIANCE</w:t>
      </w:r>
      <w:r>
        <w:rPr>
          <w:rFonts w:ascii="Arial" w:cs="Arial" w:eastAsia="Arial" w:hAnsi="Arial"/>
          <w:sz w:val="18"/>
          <w:szCs w:val="18"/>
          <w:color w:val="auto"/>
        </w:rPr>
        <w:t>. Each director, officer, employee and agent of the Corporation shall, in the performance of his or her duties with respect to the Corporation, be 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88" w:lineRule="exact"/>
        <w:rPr>
          <w:sz w:val="20"/>
          <w:szCs w:val="20"/>
          <w:color w:val="auto"/>
        </w:rPr>
      </w:pPr>
    </w:p>
    <w:p>
      <w:pPr>
        <w:ind w:right="400" w:firstLine="898"/>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RATIFICATION</w:t>
      </w:r>
      <w:r>
        <w:rPr>
          <w:rFonts w:ascii="Arial" w:cs="Arial" w:eastAsia="Arial" w:hAnsi="Arial"/>
          <w:sz w:val="18"/>
          <w:szCs w:val="18"/>
          <w:color w:val="auto"/>
        </w:rPr>
        <w:t>. The Board of Directors or the stockholders may ratify and make binding on the Corporation any action or inaction by the Corporation or its officers to the extent that the Board of Directors or the stockholders could have originally authorized the matter. Moreover, any action or inaction questioned in any stockholders’ derivative proceeding or any other proceeding on the ground of lack of authority, defective or irregular execution,</w:t>
      </w:r>
    </w:p>
    <w:p>
      <w:pPr>
        <w:sectPr>
          <w:pgSz w:w="11900" w:h="16838" w:orient="portrait"/>
          <w:cols w:equalWidth="0" w:num="1">
            <w:col w:w="11200"/>
          </w:cols>
          <w:pgMar w:left="320" w:top="274" w:right="37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interest of a director, officer or stockholder, non-disclosure, miscomputation, the application of improper principles or practices of accounting or otherwise, may be ratified, before or after judgment, by the Board of Directors or by the stockholders, and if so ratified, shall have the same force and effect as if the questioned action or inaction had been originally duly authorized, and such ratification shall be binding upon the Corporation and its stockholders and shall constitute a bar to any claim or execution of any judgment in respect of such questioned action or inaction.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right="80" w:firstLine="89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TENURE AND QUALIFICATIONS</w:t>
      </w:r>
      <w:r>
        <w:rPr>
          <w:rFonts w:ascii="Arial" w:cs="Arial" w:eastAsia="Arial" w:hAnsi="Arial"/>
          <w:sz w:val="18"/>
          <w:szCs w:val="18"/>
          <w:color w:val="auto"/>
        </w:rPr>
        <w:t>. The Board of Directors may appoint from among its members an Executive Committee, an Audit Committee, a Nominating Committee and other committees, composed of one or more directors, to serve at the pleasure of the Board of Directors.</w:t>
      </w:r>
    </w:p>
    <w:p>
      <w:pPr>
        <w:spacing w:after="0" w:line="184"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POWERS</w:t>
      </w:r>
      <w:r>
        <w:rPr>
          <w:rFonts w:ascii="Arial" w:cs="Arial" w:eastAsia="Arial" w:hAnsi="Arial"/>
          <w:sz w:val="18"/>
          <w:szCs w:val="18"/>
          <w:color w:val="auto"/>
        </w:rPr>
        <w:t>. The Board of Directors may delegate to committees appointed under Section 1 of this Article any of the powers of the Board of Directors, except as prohibited by law.</w:t>
      </w:r>
    </w:p>
    <w:p>
      <w:pPr>
        <w:spacing w:after="0" w:line="170" w:lineRule="exact"/>
        <w:rPr>
          <w:sz w:val="20"/>
          <w:szCs w:val="20"/>
          <w:color w:val="auto"/>
        </w:rPr>
      </w:pPr>
    </w:p>
    <w:p>
      <w:pPr>
        <w:ind w:firstLine="898"/>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MEETINGS</w:t>
      </w:r>
      <w:r>
        <w:rPr>
          <w:rFonts w:ascii="Arial" w:cs="Arial" w:eastAsia="Arial" w:hAnsi="Arial"/>
          <w:sz w:val="18"/>
          <w:szCs w:val="18"/>
          <w:color w:val="auto"/>
        </w:rPr>
        <w:t>. Notice of committee meetings shall be given in the same manner as notice for special meetings of the Board of Directors. A majority of the members of the committee shall constitute a quorum for the transaction of business at any meeting of the committee. The act of a majority of the committee members present at a meeting shall be the act of such committee. The Board of Directors may designate a chairman of any committee, and such chairman or, in the absence of a chairman, any two members of any committee (if there are at least two members of the Committee) may fix the time and place of its meeting unless the Board shall otherwise provide. In the absence of any member of any such committee, the members thereof present at any meeting, whether or not they constitute a quorum, may appoint another director to act in the place of such absent member. Each committee shall keep minutes of its proceedings.</w:t>
      </w:r>
    </w:p>
    <w:p>
      <w:pPr>
        <w:spacing w:after="0" w:line="195" w:lineRule="exact"/>
        <w:rPr>
          <w:sz w:val="20"/>
          <w:szCs w:val="20"/>
          <w:color w:val="auto"/>
        </w:rPr>
      </w:pPr>
    </w:p>
    <w:p>
      <w:pPr>
        <w:ind w:right="60" w:firstLine="898"/>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TELEPHONE MEETINGS</w:t>
      </w:r>
      <w:r>
        <w:rPr>
          <w:rFonts w:ascii="Arial" w:cs="Arial" w:eastAsia="Arial" w:hAnsi="Arial"/>
          <w:sz w:val="18"/>
          <w:szCs w:val="18"/>
          <w:color w:val="auto"/>
        </w:rPr>
        <w:t>. Members of a committee of the Board of Directors may participate in a meeting by means of a conference telephone or similar communications equipment if all persons participating in the meeting can hear each other at the same time. Participation in a meeting by these means shall constitute presence in person at the meeting.</w:t>
      </w:r>
    </w:p>
    <w:p>
      <w:pPr>
        <w:spacing w:after="0" w:line="184" w:lineRule="exact"/>
        <w:rPr>
          <w:sz w:val="20"/>
          <w:szCs w:val="20"/>
          <w:color w:val="auto"/>
        </w:rPr>
      </w:pPr>
    </w:p>
    <w:p>
      <w:pPr>
        <w:ind w:right="260" w:firstLine="89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WRITTEN CONSENT BY COMMITTEES</w:t>
      </w:r>
      <w:r>
        <w:rPr>
          <w:rFonts w:ascii="Arial" w:cs="Arial" w:eastAsia="Arial" w:hAnsi="Arial"/>
          <w:sz w:val="18"/>
          <w:szCs w:val="18"/>
          <w:color w:val="auto"/>
        </w:rPr>
        <w:t>. Any action required or permitted to be taken at any meeting of a committee of the Board of Directors may be taken without a meeting, if a consent in writing or by electronic transmission to such action is given by each member of the committee and is filed with the minutes of proceedings of such committee.</w:t>
      </w:r>
    </w:p>
    <w:p>
      <w:pPr>
        <w:spacing w:after="0" w:line="184"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VACANCIES</w:t>
      </w:r>
      <w:r>
        <w:rPr>
          <w:rFonts w:ascii="Arial" w:cs="Arial" w:eastAsia="Arial" w:hAnsi="Arial"/>
          <w:sz w:val="18"/>
          <w:szCs w:val="18"/>
          <w:color w:val="auto"/>
        </w:rPr>
        <w:t>. Subject to the provisions hereof, the Board of Directors shall have the power at any time to change the membership of any committee, to fill all vacancies, to</w:t>
      </w:r>
    </w:p>
    <w:p>
      <w:pPr>
        <w:sectPr>
          <w:pgSz w:w="11900" w:h="16838" w:orient="portrait"/>
          <w:cols w:equalWidth="0" w:num="1">
            <w:col w:w="11240"/>
          </w:cols>
          <w:pgMar w:left="320" w:top="274" w:right="339" w:bottom="1440" w:gutter="0" w:footer="0" w:header="0"/>
        </w:sectPr>
      </w:pPr>
    </w:p>
    <w:bookmarkStart w:id="19" w:name="page20"/>
    <w:bookmarkEnd w:id="19"/>
    <w:p>
      <w:pPr>
        <w:ind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designate alternate members to replace any absent or disqualified member or to dissolve any such committee. Subject to the power of the Board of Directors, the members of the committee shall have the power to fill any vacancies on the committee.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firstLine="898"/>
        <w:spacing w:after="0" w:line="289"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PROVISIONS</w:t>
      </w:r>
      <w:r>
        <w:rPr>
          <w:rFonts w:ascii="Arial" w:cs="Arial" w:eastAsia="Arial" w:hAnsi="Arial"/>
          <w:sz w:val="16"/>
          <w:szCs w:val="16"/>
          <w:color w:val="auto"/>
        </w:rPr>
        <w:t>. The officers of the Corporation shall include a president, a secretary and a treasurer and may include a chief executive officer, one or more vice presidents, a chief operating officer, a chief financial officer, one or more assistant. secretaries and one or more assistant treasurers. In addition, the Board of Directors may from time to time elect such other officers with such powers and duties as it shall deem necessary or desirable. The Board of Directors may designate a Chairman of the Board and a Vice Chairman of the Board, who shall not be officers of the Corporation but shall have such powers and duties as determined by the Board of Directors from time to time. The officers of the Corporation shall be elected annually by the Board of Directors, except that the chief executive officer or president may from time to time appoint one or more vice presidents, assistant secretaries, assistant treasurers or other officers. Each officer shall hold office until his or her successor is elected and qualifies or until death, resignation or removal in the manner hereinafter provided. Any two or more offices except president and vice president may be held by the same person. Election of an officer or agent shall not of itself create contract rights between the Corporation and such officer or agent.</w:t>
      </w:r>
    </w:p>
    <w:p>
      <w:pPr>
        <w:spacing w:after="0" w:line="166" w:lineRule="exact"/>
        <w:rPr>
          <w:sz w:val="20"/>
          <w:szCs w:val="20"/>
          <w:color w:val="auto"/>
        </w:rPr>
      </w:pPr>
    </w:p>
    <w:p>
      <w:pPr>
        <w:ind w:right="20" w:firstLine="898"/>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REMOVAL AND RESIGNATION</w:t>
      </w:r>
      <w:r>
        <w:rPr>
          <w:rFonts w:ascii="Arial" w:cs="Arial" w:eastAsia="Arial" w:hAnsi="Arial"/>
          <w:sz w:val="17"/>
          <w:szCs w:val="17"/>
          <w:color w:val="auto"/>
        </w:rPr>
        <w:t>. Any officer or agent of the Corporation may be removed, with or without cause, by the Board of Directors if in its judgment the best interests of the Corporation would be served thereby, but such removal shall be without prejudice to the contract rights, if any, of the person so removed. Any officer of the Corporation may resign at any time by giving written notice of his or her resignation to the Board of Directors, the chairman of the board, the president or the secretary. Any resignation shall take effect immediately upon its receipt or at such later time specified in the notice of resignation. The acceptance of a resignation shall not be necessary to make it effective unless otherwise stated in the resignation. Such resignation shall be without prejudice to the contract rights, if any, of the Corporation.</w:t>
      </w:r>
    </w:p>
    <w:p>
      <w:pPr>
        <w:spacing w:after="0" w:line="178" w:lineRule="exact"/>
        <w:rPr>
          <w:sz w:val="20"/>
          <w:szCs w:val="20"/>
          <w:color w:val="auto"/>
        </w:rPr>
      </w:pPr>
    </w:p>
    <w:p>
      <w:pPr>
        <w:ind w:left="900"/>
        <w:spacing w:after="0"/>
        <w:tabs>
          <w:tab w:leader="none" w:pos="17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VACANCIES</w:t>
      </w:r>
      <w:r>
        <w:rPr>
          <w:rFonts w:ascii="Arial" w:cs="Arial" w:eastAsia="Arial" w:hAnsi="Arial"/>
          <w:sz w:val="16"/>
          <w:szCs w:val="16"/>
          <w:color w:val="auto"/>
        </w:rPr>
        <w:t>. A vacancy in any office may be filled by the Board of Directors for the balance of the term.</w:t>
      </w:r>
    </w:p>
    <w:p>
      <w:pPr>
        <w:spacing w:after="0" w:line="225"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Board of Directors may designate a chief executive officer. In the absence of such designation, the president shall be the chief executive officer of the Corporation. The chief executive officer shall have general responsibility for implementation of the policies of the Corporation, as determined by the Board of Directors, and for the management of the business and affairs of the Corporation.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chief executive officer and such other duties as may be prescribed by the Board of Directors from time to time.</w:t>
      </w:r>
    </w:p>
    <w:p>
      <w:pPr>
        <w:sectPr>
          <w:pgSz w:w="11900" w:h="16838" w:orient="portrait"/>
          <w:cols w:equalWidth="0" w:num="1">
            <w:col w:w="11200"/>
          </w:cols>
          <w:pgMar w:left="320" w:top="274" w:right="379" w:bottom="1440" w:gutter="0" w:footer="0" w:header="0"/>
        </w:sectPr>
      </w:pPr>
    </w:p>
    <w:bookmarkStart w:id="20" w:name="page21"/>
    <w:bookmarkEnd w:id="20"/>
    <w:p>
      <w:pPr>
        <w:ind w:right="8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u w:val="single" w:color="auto"/>
          <w:color w:val="auto"/>
        </w:rPr>
        <w:t>CHIEF OPERATING OFFICER</w:t>
      </w:r>
      <w:r>
        <w:rPr>
          <w:rFonts w:ascii="Arial" w:cs="Arial" w:eastAsia="Arial" w:hAnsi="Arial"/>
          <w:sz w:val="18"/>
          <w:szCs w:val="18"/>
          <w:color w:val="auto"/>
        </w:rPr>
        <w:t>. The Board of Directors may designate a chief operating officer. The chief operating officer shall have the responsibilities and duties as set forth by the Board of Directors or the chief executive officer.</w:t>
      </w:r>
    </w:p>
    <w:p>
      <w:pPr>
        <w:spacing w:after="0" w:line="170"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Board of Directors may designate a chief financial officer. The chief financial officer shall have the responsibilities and duties as set forth by the Board of Directors or the chief executive officer.</w:t>
      </w:r>
    </w:p>
    <w:p>
      <w:pPr>
        <w:spacing w:after="0" w:line="170"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PRESIDENT</w:t>
      </w:r>
      <w:r>
        <w:rPr>
          <w:rFonts w:ascii="Arial" w:cs="Arial" w:eastAsia="Arial" w:hAnsi="Arial"/>
          <w:sz w:val="18"/>
          <w:szCs w:val="18"/>
          <w:color w:val="auto"/>
        </w:rPr>
        <w:t>. In the absence of a designation of a chief executive officer by the Board of Directors, the president shall be the chief executive officer. He or she may execute any deed, mortgage, bond, contract or other instrument, except in cases where the execution thereof shall be expressly delegated by the Board of Directors or by these Bylaws to some other officer or agent of the Corporation or shall be required by law to be otherwise executed; and in general shall perform all duties incident to the office of president and such other duties as may be prescribed by the Board of Directors from time to time.</w:t>
      </w:r>
    </w:p>
    <w:p>
      <w:pPr>
        <w:spacing w:after="0" w:line="188" w:lineRule="exact"/>
        <w:rPr>
          <w:sz w:val="20"/>
          <w:szCs w:val="20"/>
          <w:color w:val="auto"/>
        </w:rPr>
      </w:pPr>
    </w:p>
    <w:p>
      <w:pPr>
        <w:ind w:right="60" w:firstLine="898"/>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VICE PRESIDENTS</w:t>
      </w:r>
      <w:r>
        <w:rPr>
          <w:rFonts w:ascii="Arial" w:cs="Arial" w:eastAsia="Arial" w:hAnsi="Arial"/>
          <w:sz w:val="18"/>
          <w:szCs w:val="18"/>
          <w:color w:val="auto"/>
        </w:rPr>
        <w:t>. In the absence of the president or in the event of a vacancy in such office, the vice president (or in the event there be more than one vice president,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and shall perform such other duties as from time to time may be assigned to such vice president by the president or by the Board of Directors. The Board of Directors may designate one or more vice presidents as executive vice president or as vice president for particular areas of responsibility.</w:t>
      </w:r>
    </w:p>
    <w:p>
      <w:pPr>
        <w:spacing w:after="0" w:line="192" w:lineRule="exact"/>
        <w:rPr>
          <w:sz w:val="20"/>
          <w:szCs w:val="20"/>
          <w:color w:val="auto"/>
        </w:rPr>
      </w:pPr>
    </w:p>
    <w:p>
      <w:pPr>
        <w:ind w:right="40" w:firstLine="898"/>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keep the minutes of the proceedings of the stockholders, the Board of Directors and committees of the Board of Directors in one or more books provided for that purpose; (b) see that all notices are duly given in accordance with the provisions of these Bylaws or as required by law; (c) be custodian of the corporate records and of the seal of the Corporation; (d) keep a register of the post office address of each stockholder which shall be furnished to the secretary by such stockholder; (e) have general charge of the stock transfer books of the Corporation; and (f) in general perform such other duties as from time to time may be assigned to him by the chief executive officer, the president or by the Board of Directors.</w:t>
      </w:r>
    </w:p>
    <w:p>
      <w:pPr>
        <w:spacing w:after="0" w:line="192"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In the absence of a designation of a chief financial officer by the Board of Directors, the treasurer shall be the chief financial officer of the Corporation.</w:t>
      </w:r>
    </w:p>
    <w:p>
      <w:pPr>
        <w:sectPr>
          <w:pgSz w:w="11900" w:h="16838" w:orient="portrait"/>
          <w:cols w:equalWidth="0" w:num="1">
            <w:col w:w="11240"/>
          </w:cols>
          <w:pgMar w:left="320" w:top="274" w:right="339" w:bottom="1440" w:gutter="0" w:footer="0" w:header="0"/>
        </w:sectPr>
      </w:pPr>
    </w:p>
    <w:bookmarkStart w:id="21" w:name="page22"/>
    <w:bookmarkEnd w:id="21"/>
    <w:p>
      <w:pPr>
        <w:ind w:right="4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treasurer shall disburse the funds of the Corporation as may be ordered by the Board of Directors, taking proper vouchers for such disbursements, and shall render to the president and Board of Directors, at the regular meetings of the Board of Directors or whenever it may so require, an account of all his or her transactions as treasurer and of the financial condition of the Corporation.</w:t>
      </w:r>
    </w:p>
    <w:p>
      <w:pPr>
        <w:spacing w:after="0" w:line="184"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moneys and other property of whatever kind in his or her possession or under his or her control belonging to the Corporation.</w:t>
      </w:r>
    </w:p>
    <w:p>
      <w:pPr>
        <w:spacing w:after="0" w:line="187"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and assistant treasurers, in general, shall perform such duties as shall be assigned to them by the secretary or treasurer, respectively, or by the president or the Board of Directors. The assistant treasurers shall, if required by the Board of Directors, give bonds for the faithful performance of their duties in such sums and with such surety or sureties as shall be satisfactory to the Board of Directors.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CONTRACTS, LOANS, CHECKS AND DEPOSITS</w:t>
      </w:r>
    </w:p>
    <w:p>
      <w:pPr>
        <w:spacing w:after="0" w:line="229"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the Executive Committee or another committee of the Board of Directors within the scope of its delegated authority, may authorize any officer or agent to enter into any contract or to execute and deliver any instrument in the name of and on behalf of the Corporation and such authority may be general or confined to specific instances. Any agreement, deed, mortgage, lease or other document shall be valid and binding upon the Corporation when authorized or ratified by action of the Board of Directors or the Executive Committee or such other committee and executed by an authorized person.</w:t>
      </w:r>
    </w:p>
    <w:p>
      <w:pPr>
        <w:spacing w:after="0" w:line="188" w:lineRule="exact"/>
        <w:rPr>
          <w:sz w:val="20"/>
          <w:szCs w:val="20"/>
          <w:color w:val="auto"/>
        </w:rPr>
      </w:pPr>
    </w:p>
    <w:p>
      <w:pPr>
        <w:jc w:val="both"/>
        <w:ind w:right="160" w:firstLine="89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CHECKS AND DRAFTS</w:t>
      </w:r>
      <w:r>
        <w:rPr>
          <w:rFonts w:ascii="Arial" w:cs="Arial" w:eastAsia="Arial" w:hAnsi="Arial"/>
          <w:sz w:val="18"/>
          <w:szCs w:val="18"/>
          <w:color w:val="auto"/>
        </w:rPr>
        <w:t>. All checks, drafts or other orders for the payment of money, notes or other evidences of indebtedness issued in the name of the Corporation shall be signed by such officer or agent of the Corporation in such manner as shall from time to time be determined by the Board of Directors.</w:t>
      </w:r>
    </w:p>
    <w:p>
      <w:pPr>
        <w:spacing w:after="0" w:line="184" w:lineRule="exact"/>
        <w:rPr>
          <w:sz w:val="20"/>
          <w:szCs w:val="20"/>
          <w:color w:val="auto"/>
        </w:rPr>
      </w:pPr>
    </w:p>
    <w:p>
      <w:pPr>
        <w:ind w:right="660" w:firstLine="898"/>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DEPOSITS</w:t>
      </w:r>
      <w:r>
        <w:rPr>
          <w:rFonts w:ascii="Arial" w:cs="Arial" w:eastAsia="Arial" w:hAnsi="Arial"/>
          <w:sz w:val="18"/>
          <w:szCs w:val="18"/>
          <w:color w:val="auto"/>
        </w:rPr>
        <w:t>. All funds of the Corporation not otherwise employed shall be deposited from time to time to the credit of the Corporation in such banks, trust companies or other depositories as the Board of Directors may designate.</w:t>
      </w:r>
    </w:p>
    <w:p>
      <w:pPr>
        <w:sectPr>
          <w:pgSz w:w="11900" w:h="16838" w:orient="portrait"/>
          <w:cols w:equalWidth="0" w:num="1">
            <w:col w:w="11220"/>
          </w:cols>
          <w:pgMar w:left="320" w:top="274"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29" w:lineRule="exact"/>
        <w:rPr>
          <w:sz w:val="20"/>
          <w:szCs w:val="20"/>
          <w:color w:val="auto"/>
        </w:rPr>
      </w:pPr>
    </w:p>
    <w:p>
      <w:pPr>
        <w:ind w:right="40" w:firstLine="898"/>
        <w:spacing w:after="0" w:line="29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REQUIRED INFORMATION</w:t>
      </w:r>
      <w:r>
        <w:rPr>
          <w:rFonts w:ascii="Arial" w:cs="Arial" w:eastAsia="Arial" w:hAnsi="Arial"/>
          <w:sz w:val="16"/>
          <w:szCs w:val="16"/>
          <w:color w:val="auto"/>
        </w:rPr>
        <w:t>. Except as may be otherwise provided by the Board of Directors, stockholders of the Corporation are not entitled to certificates representing the shares of stock held by them. In the event that the Corporation issues shares of stock represented by certificates, such certificates shall be signed by the officers of the Corporation in the manner permitted by the MGCL and contain the statements and information required by the MGCL. In the event that the Corporation issues shares of stock without certificates, the Corporation shall provide to record holders of such shares a written statement of the information required (if any) by the MGCL to be included on stock certificates.</w:t>
      </w:r>
    </w:p>
    <w:p>
      <w:pPr>
        <w:spacing w:after="0" w:line="161"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 WHEN CERTIFICATES ISSUED</w:t>
      </w:r>
      <w:r>
        <w:rPr>
          <w:rFonts w:ascii="Arial" w:cs="Arial" w:eastAsia="Arial" w:hAnsi="Arial"/>
          <w:sz w:val="17"/>
          <w:szCs w:val="17"/>
          <w:color w:val="auto"/>
        </w:rPr>
        <w:t>. Subject to any determination of the Board of Directors pursuant to Section 1 of this Article, upon surrender to the Corporation or the transfer agent of the Corporation of a stock certificate duly endorsed or accompanied by proper evidence of succession, assignment or authority to transfer, the Corporation shall issue a new certificate to the person entitled thereto, cancel the old certificate and record the transaction upon its books. The issuance of a new certificate upon the transfer of certificated shares is subject to the determination of the Board of Directors that such shares shall no longer be represented by certificates.</w:t>
      </w:r>
    </w:p>
    <w:p>
      <w:pPr>
        <w:spacing w:after="0" w:line="176" w:lineRule="exact"/>
        <w:rPr>
          <w:sz w:val="20"/>
          <w:szCs w:val="20"/>
          <w:color w:val="auto"/>
        </w:rPr>
      </w:pPr>
    </w:p>
    <w:p>
      <w:pPr>
        <w:jc w:val="both"/>
        <w:ind w:right="140" w:firstLine="898"/>
        <w:spacing w:after="0" w:line="263" w:lineRule="auto"/>
        <w:rPr>
          <w:sz w:val="20"/>
          <w:szCs w:val="20"/>
          <w:color w:val="auto"/>
        </w:rPr>
      </w:pPr>
      <w:r>
        <w:rPr>
          <w:rFonts w:ascii="Arial" w:cs="Arial" w:eastAsia="Arial" w:hAnsi="Arial"/>
          <w:sz w:val="18"/>
          <w:szCs w:val="18"/>
          <w:color w:val="auto"/>
        </w:rPr>
        <w:t>The Corporation shall be entitled to treat the holder of record of any share of stock as the holder in fact thereof and, accordingly, shall not be bound to recognize any equitable or other claim to or interest in such share or on the part of any other person, whether or not it shall have express or other notice thereof, except as otherwise provided by the laws of the State of Maryland.</w:t>
      </w:r>
    </w:p>
    <w:p>
      <w:pPr>
        <w:spacing w:after="0" w:line="184"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Notwithstanding the foregoing, transfers of shares of any class of stock will be subject in all respects to the charter of the Corporation and all of the terms and conditions contained therein.</w:t>
      </w:r>
    </w:p>
    <w:p>
      <w:pPr>
        <w:spacing w:after="0" w:line="170"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REPLACEMENT CERTIFICATE</w:t>
      </w:r>
      <w:r>
        <w:rPr>
          <w:rFonts w:ascii="Arial" w:cs="Arial" w:eastAsia="Arial" w:hAnsi="Arial"/>
          <w:sz w:val="18"/>
          <w:szCs w:val="18"/>
          <w:color w:val="auto"/>
        </w:rPr>
        <w:t>. Subject to any determination of the Board of Directors pursuant to Section 1 of this Article, the president, the secretary, the treasurer or any officer designated by the Board of Directors may direct a new certificate to be issued in place of any certificate previously issued by the Corporation alleged to have been lost, stolen or destroyed upon the making of an affidavit of that fact by the person claiming the certificate to be lost, stolen or destroyed; provided, however, if such shares have ceased to be certificated, no new certificate shall be issued unless requested in writing by such stockholder and the Board of Directors has determined that such certificates may be issued. When authorizing the issuance of a new certificate, an officer designated by the Board of Directors may, in his or her discretion and as a condition precedent to the issuance thereof, require the owner of such lost, stolen or destroyed certificate or the owner’s legal representative to advertise the same in such manner as he or she shall require and/or to give bond, with sufficient surety, to the Corporation to indemnify it against any loss or claim which may arise as a result of the issuance of a new certificate.</w:t>
      </w:r>
    </w:p>
    <w:p>
      <w:pPr>
        <w:spacing w:after="0" w:line="196" w:lineRule="exact"/>
        <w:rPr>
          <w:sz w:val="20"/>
          <w:szCs w:val="20"/>
          <w:color w:val="auto"/>
        </w:rPr>
      </w:pPr>
    </w:p>
    <w:p>
      <w:pPr>
        <w:ind w:right="760" w:firstLine="898"/>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FIXING OF RECORD DATE</w:t>
      </w:r>
      <w:r>
        <w:rPr>
          <w:rFonts w:ascii="Arial" w:cs="Arial" w:eastAsia="Arial" w:hAnsi="Arial"/>
          <w:sz w:val="18"/>
          <w:szCs w:val="18"/>
          <w:color w:val="auto"/>
        </w:rPr>
        <w:t>. The Board of Directors may set, in advance, a record date for the purpose of determining stockholders entitled to notice of or to vote at any</w:t>
      </w:r>
    </w:p>
    <w:p>
      <w:pPr>
        <w:sectPr>
          <w:pgSz w:w="11900" w:h="16838" w:orient="portrait"/>
          <w:cols w:equalWidth="0" w:num="1">
            <w:col w:w="11220"/>
          </w:cols>
          <w:pgMar w:left="320" w:top="270" w:right="359" w:bottom="1440" w:gutter="0" w:footer="0" w:header="0"/>
        </w:sectPr>
      </w:pPr>
    </w:p>
    <w:bookmarkStart w:id="23" w:name="page24"/>
    <w:bookmarkEnd w:id="23"/>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meeting of stockholders or determining stockholders entitled to receive payment of any dividend or the allotment of any other rights, or in order to make a determination of stockholders for any other proper purpose. Such date, in any case, shall not be prior to the close of business on the day the record date is fixed and shall be not more than 90 days and, in the case of a meeting of stockholders, not less than ten days, before the date on which the meeting or particular action requiring such determination of stockholders of record is to be held or taken.</w:t>
      </w:r>
    </w:p>
    <w:p>
      <w:pPr>
        <w:spacing w:after="0" w:line="171"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When a record date for the determination of stockholders entitled to notice of and to vote at any meeting of stockholders has been set as provided in this section, such record date shall continue to apply to the meeting if adjourned or postponed, except if the meeting is adjourned or postponed to a date more than 120 days after the record date originally fixed for the meeting, in which case a new record date for such meeting may be determined as set forth herein.</w:t>
      </w:r>
    </w:p>
    <w:p>
      <w:pPr>
        <w:spacing w:after="0" w:line="187" w:lineRule="exact"/>
        <w:rPr>
          <w:sz w:val="20"/>
          <w:szCs w:val="20"/>
          <w:color w:val="auto"/>
        </w:rPr>
      </w:pPr>
    </w:p>
    <w:p>
      <w:pPr>
        <w:ind w:right="360" w:firstLine="898"/>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LEDGER</w:t>
      </w:r>
      <w:r>
        <w:rPr>
          <w:rFonts w:ascii="Arial" w:cs="Arial" w:eastAsia="Arial" w:hAnsi="Arial"/>
          <w:sz w:val="18"/>
          <w:szCs w:val="18"/>
          <w:color w:val="auto"/>
        </w:rPr>
        <w:t>. The Corporation shall maintain at its principal office or at the office of its counsel, accountants or transfer agent, an original or duplicate share ledger containing the name and address of each stockholder and the number of shares of each class held by such stockholder.</w:t>
      </w:r>
    </w:p>
    <w:p>
      <w:pPr>
        <w:spacing w:after="0" w:line="184"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FRACTIONAL STOCK; ISSUANCE OF UNITS</w:t>
      </w:r>
      <w:r>
        <w:rPr>
          <w:rFonts w:ascii="Arial" w:cs="Arial" w:eastAsia="Arial" w:hAnsi="Arial"/>
          <w:sz w:val="18"/>
          <w:szCs w:val="18"/>
          <w:color w:val="auto"/>
        </w:rPr>
        <w:t>. The Board of Directors may issue fractional stock or provide for the issuance of scrip, all on such terms and under such conditions as they may determine. Notwithstanding any other provision of the charter or these Bylaws, the Board of Directors may issue units consisting of different securities of the Corporation. Any security issued in a unit shall have the same characteristics as any identical securities issued by the Corporation, except that the Board of Directors may provide that for a specified period securities of the Corporation issued in such unit may be transferred on the books of the Corporation only in such unit.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ACCOUNTING YEAR</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Board of Directors shall have the power, from time to time, to fix the fiscal year of the Corporation by a duly adopted resolution.</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right="220" w:firstLine="89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AUTHORIZATION</w:t>
      </w:r>
      <w:r>
        <w:rPr>
          <w:rFonts w:ascii="Arial" w:cs="Arial" w:eastAsia="Arial" w:hAnsi="Arial"/>
          <w:sz w:val="18"/>
          <w:szCs w:val="18"/>
          <w:color w:val="auto"/>
        </w:rPr>
        <w:t>. Dividends and other distributions upon the stock of the Corporation may be authorized by the Board of Directors, subject to the provisions of law and the charter of the Corporation. Dividends and other distributions may be paid in cash, property or stock of the Corporation, subject to the provisions of law and the charter.</w:t>
      </w:r>
    </w:p>
    <w:p>
      <w:pPr>
        <w:spacing w:after="0" w:line="184" w:lineRule="exact"/>
        <w:rPr>
          <w:sz w:val="20"/>
          <w:szCs w:val="20"/>
          <w:color w:val="auto"/>
        </w:rPr>
      </w:pPr>
    </w:p>
    <w:p>
      <w:pPr>
        <w:ind w:right="560" w:firstLine="898"/>
        <w:spacing w:after="0" w:line="308"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CONTINGENCIES</w:t>
      </w:r>
      <w:r>
        <w:rPr>
          <w:rFonts w:ascii="Arial" w:cs="Arial" w:eastAsia="Arial" w:hAnsi="Arial"/>
          <w:sz w:val="17"/>
          <w:szCs w:val="17"/>
          <w:color w:val="auto"/>
        </w:rPr>
        <w:t>. Before payment of any dividends or other distributions, there may be set aside out of any assets of the Corporation available for dividends or other distributions such sum or sums as the Board of Directors may from time to time, in its absolute</w:t>
      </w:r>
    </w:p>
    <w:p>
      <w:pPr>
        <w:sectPr>
          <w:pgSz w:w="11900" w:h="16838" w:orient="portrait"/>
          <w:cols w:equalWidth="0" w:num="1">
            <w:col w:w="11220"/>
          </w:cols>
          <w:pgMar w:left="320" w:top="274" w:right="359" w:bottom="1440" w:gutter="0" w:footer="0" w:header="0"/>
        </w:sectPr>
      </w:pPr>
    </w:p>
    <w:bookmarkStart w:id="24" w:name="page25"/>
    <w:bookmarkEnd w:id="24"/>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discretion, think proper as a reserve fund for contingencies, for equalizing dividends or other distributions, for repairing or maintaining any property of the Corporation or for such other purpose as the Board of Directors shall determine, and the Board of Directors may modify or abolish any such reserve.</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authorize the adoption of a seal by the Corporation. The seal shall contain the name of the Corporation and the year of its incorporation and the words “Incorporated Maryland.” The Board of Directors may authorize one or more duplicate seals and provide for the custody thereof.</w:t>
      </w:r>
    </w:p>
    <w:p>
      <w:pPr>
        <w:spacing w:after="0" w:line="184"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AFFIXING SEAL</w:t>
      </w:r>
      <w:r>
        <w:rPr>
          <w:rFonts w:ascii="Arial" w:cs="Arial" w:eastAsia="Arial" w:hAnsi="Arial"/>
          <w:sz w:val="18"/>
          <w:szCs w:val="18"/>
          <w:color w:val="auto"/>
        </w:rPr>
        <w:t>. Whenever the Corporation is permitted or required to affix its seal to a document, it shall be sufficient to meet the requirements of any law, rule or regulation relating to a seal to place the word “(SEAL)” adjacent to the signature of the person authorized to execute the document on behalf of the Corporation.</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INDEMNIFICATION AND ADVANCE OF EXPENSES</w:t>
      </w:r>
    </w:p>
    <w:p>
      <w:pPr>
        <w:spacing w:after="0" w:line="229" w:lineRule="exact"/>
        <w:rPr>
          <w:sz w:val="20"/>
          <w:szCs w:val="20"/>
          <w:color w:val="auto"/>
        </w:rPr>
      </w:pPr>
    </w:p>
    <w:p>
      <w:pPr>
        <w:ind w:firstLine="898"/>
        <w:spacing w:after="0" w:line="287" w:lineRule="auto"/>
        <w:rPr>
          <w:sz w:val="20"/>
          <w:szCs w:val="20"/>
          <w:color w:val="auto"/>
        </w:rPr>
      </w:pPr>
      <w:r>
        <w:rPr>
          <w:rFonts w:ascii="Arial" w:cs="Arial" w:eastAsia="Arial" w:hAnsi="Arial"/>
          <w:sz w:val="16"/>
          <w:szCs w:val="16"/>
          <w:color w:val="auto"/>
        </w:rPr>
        <w:t>To the maximum extent permitted by Maryland law and the Investment Company Act, in effect from time to time, the Corporation shall indemnify and, without requiring a preliminary determination of the ultimate entitlement to indemnification, shall pay or reimburse reasonable expenses in advance of final disposition of a proceeding to (a) any individual who is a present or former director or officer of the Corporation and who is made or threatened to be made a party to the proceeding by reason of his or her service in that capacity or (b) any individual who, while a director or officer of the Corporation and at the request of the Corporation, serves or has served as a director, officer, partner or trustee of such corporation, real estate investment trust, partnership, joint venture, trust, employee benefit plan or other enterprise and who is made or threatened to be made a party to the proceeding by reason of his or her service in that capacity. The rights to indemnification and advance of expenses provided by the Charter and these Bylaws shall vest immediately upon election of a director or officer. The Corporation may, with the approval of its Board of Directors or any duly authorized committee thereof, provide such indemnification and advance for expenses to a person who served a predecessor of the Corporation in any of the capacities described in (a) or (b) above and to any employee or agent of the Corporation or a predecessor of the Corporation. The indemnification and payment of expenses provided in these Bylaws shall not be deemed exclusive of or limit in any way other rights to which any person seeking indemnification or payment of expenses may be or may become entitled under any bylaw, regulation, insurance, agreement or otherwise.</w:t>
      </w:r>
    </w:p>
    <w:p>
      <w:pPr>
        <w:spacing w:after="0" w:line="168" w:lineRule="exact"/>
        <w:rPr>
          <w:sz w:val="20"/>
          <w:szCs w:val="20"/>
          <w:color w:val="auto"/>
        </w:rPr>
      </w:pPr>
    </w:p>
    <w:p>
      <w:pPr>
        <w:ind w:right="360" w:firstLine="898"/>
        <w:spacing w:after="0" w:line="263" w:lineRule="auto"/>
        <w:rPr>
          <w:sz w:val="20"/>
          <w:szCs w:val="20"/>
          <w:color w:val="auto"/>
        </w:rPr>
      </w:pPr>
      <w:r>
        <w:rPr>
          <w:rFonts w:ascii="Arial" w:cs="Arial" w:eastAsia="Arial" w:hAnsi="Arial"/>
          <w:sz w:val="18"/>
          <w:szCs w:val="18"/>
          <w:color w:val="auto"/>
        </w:rPr>
        <w:t>Neither the amendment nor repeal of this Article, nor the adoption or amendment of any other provision of the Bylaws or charter of the Corporation inconsistent with this Article, shall apply to or affect in any respect the applicability of the preceding paragraph with respect to any act or failure to act which occurred prior to such amendment, repeal or adoption.</w:t>
      </w:r>
    </w:p>
    <w:p>
      <w:pPr>
        <w:sectPr>
          <w:pgSz w:w="11900" w:h="16838" w:orient="portrait"/>
          <w:cols w:equalWidth="0" w:num="1">
            <w:col w:w="11160"/>
          </w:cols>
          <w:pgMar w:left="320" w:top="274" w:right="41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 OF NOTICE</w:t>
      </w:r>
    </w:p>
    <w:p>
      <w:pPr>
        <w:spacing w:after="0" w:line="229" w:lineRule="exact"/>
        <w:rPr>
          <w:sz w:val="20"/>
          <w:szCs w:val="20"/>
          <w:color w:val="auto"/>
        </w:rPr>
      </w:pPr>
    </w:p>
    <w:p>
      <w:pPr>
        <w:ind w:right="80" w:firstLine="898"/>
        <w:spacing w:after="0" w:line="296" w:lineRule="auto"/>
        <w:rPr>
          <w:sz w:val="20"/>
          <w:szCs w:val="20"/>
          <w:color w:val="auto"/>
        </w:rPr>
      </w:pPr>
      <w:r>
        <w:rPr>
          <w:rFonts w:ascii="Arial" w:cs="Arial" w:eastAsia="Arial" w:hAnsi="Arial"/>
          <w:sz w:val="16"/>
          <w:szCs w:val="16"/>
          <w:color w:val="auto"/>
        </w:rPr>
        <w:t>Whenever any notice is required to be given pursuant to the charter of the Corporation or these Bylaws or pursuant to applicable law, a waiver thereof in writing, signed by the person or persons entitled to such notice, whether before or after the time stated therein, shall be deemed equivalent to the giving of such notice. Neither the business to be transacted at nor the purpose of any meeting need be set forth in the waiver of notice, unless specifically required by statute. The attendance of any person at any meeting shall constitute a waiver of notice of such meeting, except where such person attends a meeting for the express purpose of objecting to the transaction of any business on the ground that the meeting is not lawfully called or convened.</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INSPECTION OF RECORDS</w:t>
      </w:r>
    </w:p>
    <w:p>
      <w:pPr>
        <w:spacing w:after="0" w:line="229" w:lineRule="exact"/>
        <w:rPr>
          <w:sz w:val="20"/>
          <w:szCs w:val="20"/>
          <w:color w:val="auto"/>
        </w:rPr>
      </w:pPr>
    </w:p>
    <w:p>
      <w:pPr>
        <w:ind w:right="320" w:firstLine="898"/>
        <w:spacing w:after="0" w:line="263" w:lineRule="auto"/>
        <w:rPr>
          <w:sz w:val="20"/>
          <w:szCs w:val="20"/>
          <w:color w:val="auto"/>
        </w:rPr>
      </w:pPr>
      <w:r>
        <w:rPr>
          <w:rFonts w:ascii="Arial" w:cs="Arial" w:eastAsia="Arial" w:hAnsi="Arial"/>
          <w:sz w:val="18"/>
          <w:szCs w:val="18"/>
          <w:color w:val="auto"/>
        </w:rPr>
        <w:t>A stockholder that is otherwise eligible under applicable law to inspect the Corporation’s books of account, stock ledger, or other specified documents of the Corporation shall have no right to make such inspection if the Board of Directors determines that such stockholder has an improper purpose for requesting such inspection.</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COMPANY ACT</w:t>
      </w:r>
    </w:p>
    <w:p>
      <w:pPr>
        <w:spacing w:after="0" w:line="229"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If and to the extent that any provision of the MGCL, including, without limitation, Subtitle 6 and, if then applicable, Subtitle 7, of Title 3 of the MGCL, or any provision of the charter or these Bylaws conflicts with any provision of the Investment Company Act, the applicable provision of the Investment Company Act shall control.</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EXCLUSIVE FORUM FOR CERTAIN LITIGATION</w:t>
      </w:r>
    </w:p>
    <w:p>
      <w:pPr>
        <w:spacing w:after="0" w:line="229"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Unless the Corporation consents in writing to the selection of an alternative forum, the Circuit Court for Baltimore City, Maryland, or, if that Court does not have jurisdiction, the United States District Court for the District of Maryland, Baltimore Division, shall be the sole and exclusive forum for</w:t>
      </w:r>
    </w:p>
    <w:p>
      <w:pPr>
        <w:ind w:right="40" w:firstLine="8"/>
        <w:spacing w:after="0" w:line="281" w:lineRule="auto"/>
        <w:tabs>
          <w:tab w:leader="none" w:pos="24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the Corporation, (b) any action asserting a claim of breach of any duty owed by any director or officer or other agent of the Corporation to the Corporation or to the stockholders of the Corporation, (c) any action asserting a claim against the Corporation or any director or officer or other agent of the Corporation arising pursuant to any provision of the MGCL or the Charter or these Bylaws, or</w:t>
      </w:r>
    </w:p>
    <w:p>
      <w:pPr>
        <w:spacing w:after="0" w:line="1" w:lineRule="exact"/>
        <w:rPr>
          <w:rFonts w:ascii="Arial" w:cs="Arial" w:eastAsia="Arial" w:hAnsi="Arial"/>
          <w:sz w:val="16"/>
          <w:szCs w:val="16"/>
          <w:color w:val="auto"/>
        </w:rPr>
      </w:pPr>
    </w:p>
    <w:p>
      <w:pPr>
        <w:ind w:right="200" w:firstLine="8"/>
        <w:spacing w:after="0" w:line="260"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the Corporation or any director or officer or other agent of the Corporation that is governed by the internal affairs doctrine.</w:t>
      </w:r>
    </w:p>
    <w:p>
      <w:pPr>
        <w:sectPr>
          <w:pgSz w:w="11900" w:h="16838" w:orient="portrait"/>
          <w:cols w:equalWidth="0" w:num="1">
            <w:col w:w="11220"/>
          </w:cols>
          <w:pgMar w:left="320" w:top="270" w:right="359" w:bottom="1440" w:gutter="0" w:footer="0" w:header="0"/>
        </w:sectPr>
      </w:pPr>
    </w:p>
    <w:bookmarkStart w:id="26" w:name="page27"/>
    <w:bookmarkEnd w:id="26"/>
    <w:p>
      <w:pPr>
        <w:jc w:val="center"/>
        <w:ind w:right="3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XVI</w:t>
      </w:r>
    </w:p>
    <w:p>
      <w:pPr>
        <w:spacing w:after="0" w:line="206"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AMENDMENT OF BYLAWS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shall have the exclusive power to adopt, alter or repeal any provision of these Bylaws and to make new Bylaws.</w:t>
      </w:r>
    </w:p>
    <w:p>
      <w:pPr>
        <w:sectPr>
          <w:pgSz w:w="11900" w:h="16838" w:orient="portrait"/>
          <w:cols w:equalWidth="0" w:num="1">
            <w:col w:w="9780"/>
          </w:cols>
          <w:pgMar w:left="1220" w:top="261" w:right="8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88465" cy="3860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84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Announces Monthly Distribution of $0.095 per Share</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NEW YORK, NY — (Marketwired — December 2, 2015) — PennantPark Floating Rate Capital Ltd. (the “Company”) (NASDAQ: PFLT) declares monthly distribution for December 2015 of $0.095 per share, payable on January 4, 2016 to stockholders of record as of December 24, 2015.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ind w:right="9560" w:firstLine="8"/>
        <w:spacing w:after="0" w:line="323" w:lineRule="auto"/>
        <w:tabs>
          <w:tab w:leader="none" w:pos="4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905-1000 </w:t>
      </w:r>
      <w:r>
        <w:rPr>
          <w:rFonts w:ascii="Arial" w:cs="Arial" w:eastAsia="Arial" w:hAnsi="Arial"/>
          <w:sz w:val="16"/>
          <w:szCs w:val="16"/>
          <w:u w:val="single" w:color="auto"/>
          <w:color w:val="auto"/>
        </w:rPr>
        <w:t>www.pennantpark.com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5"/>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1)"/>
      <w:numFmt w:val="lowerLetter"/>
      <w:start w:val="3"/>
    </w:lvl>
  </w:abstractNum>
  <w:abstractNum w:abstractNumId="7">
    <w:nsid w:val="7FDCC233"/>
    <w:multiLevelType w:val="hybridMultilevel"/>
    <w:lvl w:ilvl="0">
      <w:lvlJc w:val="left"/>
      <w:lvlText w:val="(%1)"/>
      <w:numFmt w:val="lowerLetter"/>
      <w:start w:val="5"/>
    </w:lvl>
  </w:abstractNum>
  <w:abstractNum w:abstractNumId="8">
    <w:nsid w:val="1BEFD79F"/>
    <w:multiLevelType w:val="hybridMultilevel"/>
    <w:lvl w:ilvl="0">
      <w:lvlJc w:val="left"/>
      <w:lvlText w:val="(%1)"/>
      <w:numFmt w:val="lowerLetter"/>
      <w:start w:val="1"/>
    </w:lvl>
    <w:lvl w:ilvl="1">
      <w:lvlJc w:val="left"/>
      <w:lvlText w:val="(%2)"/>
      <w:numFmt w:val="decimal"/>
      <w:start w:val="2"/>
    </w:lvl>
  </w:abstractNum>
  <w:abstractNum w:abstractNumId="9">
    <w:nsid w:val="41A7C4C9"/>
    <w:multiLevelType w:val="hybridMultilevel"/>
    <w:lvl w:ilvl="0">
      <w:lvlJc w:val="left"/>
      <w:lvlText w:val="(%1)"/>
      <w:numFmt w:val="decimal"/>
      <w:start w:val="3"/>
    </w:lvl>
    <w:lvl w:ilvl="1">
      <w:lvlJc w:val="left"/>
      <w:lvlText w:val="(%2)"/>
      <w:numFmt w:val="lowerRoman"/>
      <w:start w:val="1"/>
    </w:lvl>
  </w:abstractNum>
  <w:abstractNum w:abstractNumId="10">
    <w:nsid w:val="6B68079A"/>
    <w:multiLevelType w:val="hybridMultilevel"/>
    <w:lvl w:ilvl="0">
      <w:lvlJc w:val="left"/>
      <w:lvlText w:val="%1"/>
      <w:numFmt w:val="lowerRoman"/>
      <w:start w:val="1"/>
    </w:lvl>
    <w:lvl w:ilvl="1">
      <w:lvlJc w:val="left"/>
      <w:lvlText w:val="(%2)"/>
      <w:numFmt w:val="upperLetter"/>
      <w:start w:val="1"/>
    </w:lvl>
  </w:abstractNum>
  <w:abstractNum w:abstractNumId="11">
    <w:nsid w:val="4E6AFB66"/>
    <w:multiLevelType w:val="hybridMultilevel"/>
    <w:lvl w:ilvl="0">
      <w:lvlJc w:val="left"/>
      <w:lvlText w:val="(%1)"/>
      <w:numFmt w:val="lowerRoman"/>
      <w:start w:val="2"/>
    </w:lvl>
    <w:lvl w:ilvl="1">
      <w:lvlJc w:val="left"/>
      <w:lvlText w:val="(%2)"/>
      <w:numFmt w:val="upperLetter"/>
      <w:start w:val="1"/>
    </w:lvl>
  </w:abstractNum>
  <w:abstractNum w:abstractNumId="12">
    <w:nsid w:val="25E45D32"/>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4"/>
    </w:lvl>
  </w:abstractNum>
  <w:abstractNum w:abstractNumId="13">
    <w:nsid w:val="519B500D"/>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14">
    <w:nsid w:val="431BD7B7"/>
    <w:multiLevelType w:val="hybridMultilevel"/>
    <w:lvl w:ilvl="0">
      <w:lvlJc w:val="left"/>
      <w:lvlText w:val="(%1)"/>
      <w:numFmt w:val="decimal"/>
      <w:start w:val="4"/>
    </w:lvl>
    <w:lvl w:ilvl="1">
      <w:lvlJc w:val="left"/>
      <w:lvlText w:val="%2"/>
      <w:numFmt w:val="lowerRoman"/>
      <w:start w:val="1"/>
    </w:lvl>
    <w:lvl w:ilvl="2">
      <w:lvlJc w:val="left"/>
      <w:lvlText w:val="%3"/>
      <w:numFmt w:val="upperLetter"/>
      <w:start w:val="1"/>
    </w:lvl>
  </w:abstractNum>
  <w:abstractNum w:abstractNumId="15">
    <w:nsid w:val="3F2DBA31"/>
    <w:multiLevelType w:val="hybridMultilevel"/>
    <w:lvl w:ilvl="0">
      <w:lvlJc w:val="left"/>
      <w:lvlText w:val="%1"/>
      <w:numFmt w:val="lowerLetter"/>
      <w:start w:val="1"/>
    </w:lvl>
    <w:lvl w:ilvl="1">
      <w:lvlJc w:val="left"/>
      <w:lvlText w:val="(%2)"/>
      <w:numFmt w:val="decimal"/>
      <w:start w:val="5"/>
    </w:lvl>
  </w:abstractNum>
  <w:abstractNum w:abstractNumId="16">
    <w:nsid w:val="7C83E458"/>
    <w:multiLevelType w:val="hybridMultilevel"/>
    <w:lvl w:ilvl="0">
      <w:lvlJc w:val="left"/>
      <w:lvlText w:val="(%1)"/>
      <w:numFmt w:val="lowerLetter"/>
      <w:start w:val="2"/>
    </w:lvl>
    <w:lvl w:ilvl="1">
      <w:lvlJc w:val="left"/>
      <w:lvlText w:val="%2"/>
      <w:numFmt w:val="decimal"/>
      <w:start w:val="1"/>
    </w:lvl>
  </w:abstractNum>
  <w:abstractNum w:abstractNumId="17">
    <w:nsid w:val="257130A3"/>
    <w:multiLevelType w:val="hybridMultilevel"/>
    <w:lvl w:ilvl="0">
      <w:lvlJc w:val="left"/>
      <w:lvlText w:val="(%1)"/>
      <w:numFmt w:val="decimal"/>
      <w:start w:val="2"/>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4"/>
    </w:lvl>
  </w:abstractNum>
  <w:abstractNum w:abstractNumId="20">
    <w:nsid w:val="628C895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2020-05-05T12:06:04Z</dcterms:created>
  <dcterms:modified xsi:type="dcterms:W3CDTF">2020-05-05T12:06:04Z</dcterms:modified>
</cp:coreProperties>
</file>