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333-235532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[TEXT OF COMMUNICATION SENT VIA BLOOMBERG]</w:t>
      </w: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This email may be forwarded EXTERNALLY ***</w:t>
      </w:r>
    </w:p>
    <w:p>
      <w:pPr>
        <w:sectPr>
          <w:pgSz w:w="11900" w:h="16838" w:orient="portrait"/>
          <w:cols w:equalWidth="0" w:num="1">
            <w:col w:w="11020"/>
          </w:cols>
          <w:pgMar w:left="440" w:top="233" w:right="4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Size: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Tenor: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Format: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Active Bookrunners:</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Co-Managers:</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Optional Redemption: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Change of Control: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Timing:</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PennantPark Floating Rate Capital Ltd. [“PFLT”]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BBB (Egan Jones: Stable)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$100mm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5yr FXD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04/01/2026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 Registered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GS (B&amp;D) / KBW / TRUIST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JMP / LADENBURG</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Reduce outstanding obligations under the Credit Facility, to invest in new or existing portfolio companies or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other general corporate or strategic purposes.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Make Whole Call; 3mo Par Call Prior to Maturity.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$2,000 x $1,000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T+3 – 03/23/2021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Today’s Business</w:t>
      </w:r>
    </w:p>
    <w:p>
      <w:pPr>
        <w:spacing w:after="0" w:line="200" w:lineRule="exact"/>
        <w:rPr>
          <w:sz w:val="24"/>
          <w:szCs w:val="24"/>
          <w:color w:val="auto"/>
        </w:rPr>
      </w:pPr>
    </w:p>
    <w:p>
      <w:pPr>
        <w:sectPr>
          <w:pgSz w:w="11900" w:h="16838" w:orient="portrait"/>
          <w:cols w:equalWidth="0" w:num="2">
            <w:col w:w="1720" w:space="700"/>
            <w:col w:w="8600"/>
          </w:cols>
          <w:pgMar w:left="440" w:top="233" w:right="439" w:bottom="1440" w:gutter="0" w:footer="0" w:header="0"/>
          <w:type w:val="continuous"/>
        </w:sectPr>
      </w:pPr>
    </w:p>
    <w:p>
      <w:pPr>
        <w:spacing w:after="0" w:line="11"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i w:val="1"/>
          <w:iCs w:val="1"/>
          <w:color w:val="auto"/>
        </w:rPr>
        <w:t>The issuer has an effective registration statement on file with the SEC for the offering to which this communication relates. Before you invest, you should read the prospectus in that registration statement, the preliminary prospectus supplement for this offering,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toll-free 1-866-471-2526.</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A securities rating is not a recommendation to buy, sell or hold securities and may be subject to revision or withdrawal at any time.</w:t>
      </w:r>
    </w:p>
    <w:p>
      <w:pPr>
        <w:spacing w:after="0" w:line="225" w:lineRule="exact"/>
        <w:rPr>
          <w:sz w:val="24"/>
          <w:szCs w:val="24"/>
          <w:color w:val="auto"/>
        </w:rPr>
      </w:pPr>
    </w:p>
    <w:p>
      <w:pPr>
        <w:ind w:right="320"/>
        <w:spacing w:after="0" w:line="259" w:lineRule="auto"/>
        <w:rPr>
          <w:sz w:val="20"/>
          <w:szCs w:val="20"/>
          <w:color w:val="auto"/>
        </w:rPr>
      </w:pPr>
      <w:r>
        <w:rPr>
          <w:rFonts w:ascii="Arial" w:cs="Arial" w:eastAsia="Arial" w:hAnsi="Arial"/>
          <w:sz w:val="18"/>
          <w:szCs w:val="18"/>
          <w:i w:val="1"/>
          <w:iCs w:val="1"/>
          <w:color w:val="auto"/>
        </w:rPr>
        <w:t>Investors are advised to carefully consider the investment objectives, risks, charges and expenses of PennantPark Floating Rate Capital Ltd. before investing. The preliminary prospectus supplement dated March 18, 2021, together with the accompanying prospectus dated January 29, 2020, which have been filed with the Securities and Exchange Commission (the “SEC”), contain this and other information about PennantPark Floating Rate Capital Ltd. and should be read carefully before investing.</w:t>
      </w:r>
    </w:p>
    <w:p>
      <w:pPr>
        <w:spacing w:after="0" w:line="187"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i w:val="1"/>
          <w:iCs w:val="1"/>
          <w:color w:val="auto"/>
        </w:rPr>
        <w:t>The information in the preliminary prospectus supplement and the accompanying prospectus, and in this announcement, is not complete and may be changed. The preliminary prospectus supplement, the accompanying prospectus and this announcement are not offers to sell any securities of PennantPark Floating Rate Capital Ltd. and are not soliciting an offer to buy such securities in any state or jurisdiction where such offer and sale is not permitted.</w:t>
      </w:r>
    </w:p>
    <w:p>
      <w:pPr>
        <w:spacing w:after="0" w:line="187" w:lineRule="exact"/>
        <w:rPr>
          <w:sz w:val="24"/>
          <w:szCs w:val="24"/>
          <w:color w:val="auto"/>
        </w:rPr>
      </w:pPr>
    </w:p>
    <w:p>
      <w:pPr>
        <w:ind w:right="100"/>
        <w:spacing w:after="0" w:line="279" w:lineRule="auto"/>
        <w:rPr>
          <w:sz w:val="20"/>
          <w:szCs w:val="20"/>
          <w:color w:val="auto"/>
        </w:rPr>
      </w:pPr>
      <w:r>
        <w:rPr>
          <w:rFonts w:ascii="Arial" w:cs="Arial" w:eastAsia="Arial" w:hAnsi="Arial"/>
          <w:sz w:val="17"/>
          <w:szCs w:val="17"/>
          <w:i w:val="1"/>
          <w:iCs w:val="1"/>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20"/>
      </w:cols>
      <w:pgMar w:left="440" w:top="233"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2021-03-18T09:09:28Z</dcterms:created>
  <dcterms:modified xsi:type="dcterms:W3CDTF">2021-03-18T09:09:28Z</dcterms:modified>
</cp:coreProperties>
</file>