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4,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October 4, 2018,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61" w:lineRule="auto"/>
        <w:tabs>
          <w:tab w:leader="none" w:pos="2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240" w:right="8440" w:hanging="23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240" w:right="8820" w:hanging="23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October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October 4, 2018</w:t>
            </w:r>
          </w:p>
        </w:tc>
        <w:tc>
          <w:tcPr>
            <w:tcW w:w="5020" w:type="dxa"/>
            <w:vAlign w:val="bottom"/>
            <w:gridSpan w:val="3"/>
          </w:tcPr>
          <w:p>
            <w:pPr>
              <w:ind w:left="1920"/>
              <w:spacing w:after="0"/>
              <w:rPr>
                <w:sz w:val="20"/>
                <w:szCs w:val="20"/>
                <w:color w:val="auto"/>
              </w:rPr>
            </w:pPr>
            <w:r>
              <w:rPr>
                <w:rFonts w:ascii="Arial" w:cs="Arial" w:eastAsia="Arial" w:hAnsi="Arial"/>
                <w:sz w:val="18"/>
                <w:szCs w:val="18"/>
                <w:color w:val="auto"/>
              </w:rPr>
              <w:t>By: /s/ Aviv Efrat</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Oct. 04, 2018 (GLOBE NEWSWIRE) -- PennantPark Floating Rate Capital Ltd. (the "Company") (NASDAQ: PFLT) (TASE: PFLT) declares its monthly distributions for October 2018 of $0.095 per share, payable on November 1, 2018 to stockholders of record as detailed below.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1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87"/>
              </w:rPr>
              <w:t>Record Date</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Percentage</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Amount</w:t>
            </w:r>
          </w:p>
        </w:tc>
        <w:tc>
          <w:tcPr>
            <w:tcW w:w="8320" w:type="dxa"/>
            <w:vAlign w:val="bottom"/>
            <w:tcBorders>
              <w:top w:val="single" w:sz="8" w:color="auto"/>
              <w:bottom w:val="single" w:sz="8" w:color="auto"/>
              <w:right w:val="single" w:sz="8" w:color="auto"/>
            </w:tcBorders>
          </w:tcPr>
          <w:p>
            <w:pPr>
              <w:ind w:left="3640"/>
              <w:spacing w:after="0"/>
              <w:rPr>
                <w:sz w:val="20"/>
                <w:szCs w:val="20"/>
                <w:color w:val="auto"/>
              </w:rPr>
            </w:pPr>
            <w:r>
              <w:rPr>
                <w:rFonts w:ascii="Arial" w:cs="Arial" w:eastAsia="Arial" w:hAnsi="Arial"/>
                <w:sz w:val="22"/>
                <w:szCs w:val="22"/>
                <w:color w:val="auto"/>
              </w:rPr>
              <w:t>Description</w:t>
            </w:r>
          </w:p>
        </w:tc>
      </w:tr>
      <w:tr>
        <w:trPr>
          <w:trHeight w:val="229"/>
        </w:trPr>
        <w:tc>
          <w:tcPr>
            <w:tcW w:w="1160" w:type="dxa"/>
            <w:vAlign w:val="bottom"/>
            <w:tcBorders>
              <w:left w:val="single" w:sz="8" w:color="auto"/>
              <w:right w:val="single" w:sz="8" w:color="auto"/>
            </w:tcBorders>
          </w:tcPr>
          <w:p>
            <w:pPr>
              <w:ind w:left="100"/>
              <w:spacing w:after="0" w:line="228" w:lineRule="exact"/>
              <w:rPr>
                <w:sz w:val="20"/>
                <w:szCs w:val="20"/>
                <w:color w:val="auto"/>
              </w:rPr>
            </w:pPr>
            <w:r>
              <w:rPr>
                <w:rFonts w:ascii="Arial" w:cs="Arial" w:eastAsia="Arial" w:hAnsi="Arial"/>
                <w:sz w:val="22"/>
                <w:szCs w:val="22"/>
                <w:color w:val="auto"/>
                <w:w w:val="88"/>
              </w:rPr>
              <w:t>October 17,</w:t>
            </w:r>
          </w:p>
        </w:tc>
        <w:tc>
          <w:tcPr>
            <w:tcW w:w="10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320" w:type="dxa"/>
            <w:vAlign w:val="bottom"/>
            <w:tcBorders>
              <w:right w:val="single" w:sz="8" w:color="auto"/>
            </w:tcBorders>
          </w:tcPr>
          <w:p>
            <w:pPr>
              <w:jc w:val="right"/>
              <w:spacing w:after="0" w:line="228" w:lineRule="exact"/>
              <w:rPr>
                <w:sz w:val="20"/>
                <w:szCs w:val="20"/>
                <w:color w:val="auto"/>
              </w:rPr>
            </w:pPr>
            <w:r>
              <w:rPr>
                <w:rFonts w:ascii="Arial" w:cs="Arial" w:eastAsia="Arial" w:hAnsi="Arial"/>
                <w:sz w:val="22"/>
                <w:szCs w:val="22"/>
                <w:color w:val="auto"/>
                <w:w w:val="92"/>
              </w:rPr>
              <w:t>Distribution has been identified by the Company as being derived from other sources and is</w:t>
            </w:r>
          </w:p>
        </w:tc>
      </w:tr>
      <w:tr>
        <w:trPr>
          <w:trHeight w:val="276"/>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14%</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$0.013</w:t>
            </w:r>
          </w:p>
        </w:tc>
        <w:tc>
          <w:tcPr>
            <w:tcW w:w="8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not exempt from U.S. Nonresident withholding tax.</w:t>
            </w:r>
          </w:p>
        </w:tc>
      </w:tr>
      <w:tr>
        <w:trPr>
          <w:trHeight w:val="230"/>
        </w:trPr>
        <w:tc>
          <w:tcPr>
            <w:tcW w:w="1160" w:type="dxa"/>
            <w:vAlign w:val="bottom"/>
            <w:tcBorders>
              <w:left w:val="single" w:sz="8" w:color="auto"/>
              <w:right w:val="single" w:sz="8" w:color="auto"/>
            </w:tcBorders>
          </w:tcPr>
          <w:p>
            <w:pPr>
              <w:ind w:left="80"/>
              <w:spacing w:after="0" w:line="230" w:lineRule="exact"/>
              <w:rPr>
                <w:sz w:val="20"/>
                <w:szCs w:val="20"/>
                <w:color w:val="auto"/>
              </w:rPr>
            </w:pPr>
            <w:r>
              <w:rPr>
                <w:rFonts w:ascii="Arial" w:cs="Arial" w:eastAsia="Arial" w:hAnsi="Arial"/>
                <w:sz w:val="22"/>
                <w:szCs w:val="22"/>
                <w:color w:val="auto"/>
                <w:w w:val="90"/>
              </w:rPr>
              <w:t>October 18,</w:t>
            </w:r>
          </w:p>
        </w:tc>
        <w:tc>
          <w:tcPr>
            <w:tcW w:w="10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320" w:type="dxa"/>
            <w:vAlign w:val="bottom"/>
            <w:tcBorders>
              <w:right w:val="single" w:sz="8" w:color="auto"/>
            </w:tcBorders>
          </w:tcPr>
          <w:p>
            <w:pPr>
              <w:jc w:val="right"/>
              <w:spacing w:after="0" w:line="230" w:lineRule="exact"/>
              <w:rPr>
                <w:sz w:val="20"/>
                <w:szCs w:val="20"/>
                <w:color w:val="auto"/>
              </w:rPr>
            </w:pPr>
            <w:r>
              <w:rPr>
                <w:rFonts w:ascii="Arial" w:cs="Arial" w:eastAsia="Arial" w:hAnsi="Arial"/>
                <w:sz w:val="22"/>
                <w:szCs w:val="22"/>
                <w:color w:val="auto"/>
                <w:w w:val="95"/>
              </w:rPr>
              <w:t>Distribution has been identified by the Company as an interest-related dividend generally</w:t>
            </w:r>
          </w:p>
        </w:tc>
      </w:tr>
      <w:tr>
        <w:trPr>
          <w:trHeight w:val="276"/>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86%</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$0.082</w:t>
            </w:r>
          </w:p>
        </w:tc>
        <w:tc>
          <w:tcPr>
            <w:tcW w:w="8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exempt from U.S. Nonresident withholding tax.</w:t>
            </w: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pleased that we have been able to maintain a steady and stable dividend over a long period of time," said Arthur H.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2020-05-05T12:04:45Z</dcterms:created>
  <dcterms:modified xsi:type="dcterms:W3CDTF">2020-05-05T12:04:45Z</dcterms:modified>
</cp:coreProperties>
</file>