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312025" cy="565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312025" cy="565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9"/>
          <w:szCs w:val="9"/>
          <w:color w:val="FFFFFF"/>
        </w:rPr>
        <w:t>InvestorPennantParkPresentationFloating JulyRate2015Capital Acquisition of MCG Capital Corporation</w:t>
      </w:r>
    </w:p>
    <w:p>
      <w:pPr>
        <w:spacing w:after="0" w:line="182" w:lineRule="auto"/>
        <w:rPr>
          <w:sz w:val="20"/>
          <w:szCs w:val="20"/>
          <w:color w:val="auto"/>
        </w:rPr>
      </w:pPr>
      <w:r>
        <w:rPr>
          <w:rFonts w:ascii="Arial" w:cs="Arial" w:eastAsia="Arial" w:hAnsi="Arial"/>
          <w:sz w:val="9"/>
          <w:szCs w:val="9"/>
          <w:color w:val="FFFFFF"/>
        </w:rPr>
        <w:t>PursuantFiledby PennantParktoRule425 underFloatingthe RateSecuritiesCapitalActLtd.of 1933</w:t>
      </w:r>
    </w:p>
    <w:p>
      <w:pPr>
        <w:spacing w:after="0" w:line="205" w:lineRule="auto"/>
        <w:rPr>
          <w:sz w:val="20"/>
          <w:szCs w:val="20"/>
          <w:color w:val="auto"/>
        </w:rPr>
      </w:pPr>
      <w:r>
        <w:rPr>
          <w:rFonts w:ascii="Arial" w:cs="Arial" w:eastAsia="Arial" w:hAnsi="Arial"/>
          <w:sz w:val="4"/>
          <w:szCs w:val="4"/>
          <w:color w:val="FFFFFF"/>
        </w:rPr>
        <w:t>SubjectanddeemedCompany:filedpursuantMCGCapitaltoRuleCorporation14a-12ofthe Securities Exchange Act of 1934</w:t>
      </w:r>
    </w:p>
    <w:p>
      <w:pPr>
        <w:spacing w:after="0"/>
        <w:rPr>
          <w:sz w:val="20"/>
          <w:szCs w:val="20"/>
          <w:color w:val="auto"/>
        </w:rPr>
      </w:pPr>
      <w:r>
        <w:rPr>
          <w:rFonts w:ascii="Arial" w:cs="Arial" w:eastAsia="Arial" w:hAnsi="Arial"/>
          <w:sz w:val="13"/>
          <w:szCs w:val="13"/>
          <w:color w:val="FFFFFF"/>
        </w:rPr>
        <w:t>(Registration Statement No. 333-204272)</w:t>
      </w:r>
    </w:p>
    <w:p>
      <w:pPr>
        <w:sectPr>
          <w:pgSz w:w="11900" w:h="16838" w:orient="portrait"/>
          <w:cols w:equalWidth="0" w:num="1">
            <w:col w:w="10219"/>
          </w:cols>
          <w:pgMar w:left="2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gridSpan w:val="2"/>
          </w:tcPr>
          <w:p>
            <w:pPr>
              <w:spacing w:after="0"/>
              <w:rPr>
                <w:sz w:val="20"/>
                <w:szCs w:val="20"/>
                <w:color w:val="auto"/>
              </w:rPr>
            </w:pPr>
            <w:r>
              <w:rPr>
                <w:rFonts w:ascii="Arial" w:cs="Arial" w:eastAsia="Arial" w:hAnsi="Arial"/>
                <w:sz w:val="13"/>
                <w:szCs w:val="13"/>
                <w:color w:val="FFFFFF"/>
                <w:w w:val="97"/>
              </w:rPr>
              <w:t>Forward-looking Statements and Risk Factors</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This presentation contains “forward-looking statements” within the meaning of the Private Securities Litigation Reform Act of 1995 that relate to future events, performance or financial condition of PennantPark</w:t>
            </w:r>
          </w:p>
        </w:tc>
        <w:tc>
          <w:tcPr>
            <w:tcW w:w="0" w:type="dxa"/>
            <w:vAlign w:val="bottom"/>
          </w:tcPr>
          <w:p>
            <w:pPr>
              <w:spacing w:after="0" w:line="20" w:lineRule="exact"/>
              <w:rPr>
                <w:sz w:val="1"/>
                <w:szCs w:val="1"/>
                <w:color w:val="auto"/>
              </w:rPr>
            </w:pPr>
          </w:p>
        </w:tc>
      </w:tr>
      <w:tr>
        <w:trPr>
          <w:trHeight w:val="39"/>
        </w:trPr>
        <w:tc>
          <w:tcPr>
            <w:tcW w:w="3220" w:type="dxa"/>
            <w:vAlign w:val="bottom"/>
            <w:gridSpan w:val="3"/>
          </w:tcPr>
          <w:p>
            <w:pPr>
              <w:spacing w:after="0" w:line="40" w:lineRule="exact"/>
              <w:rPr>
                <w:sz w:val="20"/>
                <w:szCs w:val="20"/>
                <w:color w:val="auto"/>
              </w:rPr>
            </w:pPr>
            <w:r>
              <w:rPr>
                <w:rFonts w:ascii="Arial" w:cs="Arial" w:eastAsia="Arial" w:hAnsi="Arial"/>
                <w:sz w:val="4"/>
                <w:szCs w:val="4"/>
                <w:color w:val="FFFFFF"/>
              </w:rPr>
              <w:t>Floating Rate Capital Ltd. (“PFLT”) and MCG Capital</w:t>
            </w:r>
          </w:p>
        </w:tc>
        <w:tc>
          <w:tcPr>
            <w:tcW w:w="320" w:type="dxa"/>
            <w:vAlign w:val="bottom"/>
          </w:tcPr>
          <w:p>
            <w:pPr>
              <w:spacing w:after="0"/>
              <w:rPr>
                <w:sz w:val="3"/>
                <w:szCs w:val="3"/>
                <w:color w:val="auto"/>
              </w:rPr>
            </w:pPr>
          </w:p>
        </w:tc>
        <w:tc>
          <w:tcPr>
            <w:tcW w:w="5900" w:type="dxa"/>
            <w:vAlign w:val="bottom"/>
            <w:gridSpan w:val="3"/>
          </w:tcPr>
          <w:p>
            <w:pPr>
              <w:ind w:left="20"/>
              <w:spacing w:after="0" w:line="40" w:lineRule="exact"/>
              <w:rPr>
                <w:sz w:val="20"/>
                <w:szCs w:val="20"/>
                <w:color w:val="auto"/>
              </w:rPr>
            </w:pPr>
            <w:r>
              <w:rPr>
                <w:rFonts w:ascii="Arial" w:cs="Arial" w:eastAsia="Arial" w:hAnsi="Arial"/>
                <w:sz w:val="4"/>
                <w:szCs w:val="4"/>
                <w:color w:val="FFFFFF"/>
              </w:rPr>
              <w:t>(“MCGC”). Statements other than statements of historical facts included in this press release may constitute</w:t>
            </w:r>
          </w:p>
        </w:tc>
        <w:tc>
          <w:tcPr>
            <w:tcW w:w="1980" w:type="dxa"/>
            <w:vAlign w:val="bottom"/>
            <w:gridSpan w:val="2"/>
          </w:tcPr>
          <w:p>
            <w:pPr>
              <w:jc w:val="right"/>
              <w:ind w:right="78"/>
              <w:spacing w:after="0" w:line="40" w:lineRule="exact"/>
              <w:rPr>
                <w:sz w:val="20"/>
                <w:szCs w:val="20"/>
                <w:color w:val="auto"/>
              </w:rPr>
            </w:pPr>
            <w:r>
              <w:rPr>
                <w:rFonts w:ascii="Arial" w:cs="Arial" w:eastAsia="Arial" w:hAnsi="Arial"/>
                <w:sz w:val="4"/>
                <w:szCs w:val="4"/>
                <w:color w:val="FFFFFF"/>
              </w:rPr>
              <w:t>-looking statements and are not</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guarantees of future performance or results and involveCorporationnumberof risks and uncertainties. Actual results may differ materially from those in the forward-looking statements asforwardresult of  number of factors,</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including those described from time to time in filings with the Securities and Exchange Commission. Neither PFLT nor MCGC undertakes any duty to update any forward-looking statement made herein. All forward-</w:t>
            </w:r>
          </w:p>
        </w:tc>
        <w:tc>
          <w:tcPr>
            <w:tcW w:w="0" w:type="dxa"/>
            <w:vAlign w:val="bottom"/>
          </w:tcPr>
          <w:p>
            <w:pPr>
              <w:spacing w:after="0" w:line="20" w:lineRule="exact"/>
              <w:rPr>
                <w:sz w:val="1"/>
                <w:szCs w:val="1"/>
                <w:color w:val="auto"/>
              </w:rPr>
            </w:pPr>
          </w:p>
        </w:tc>
      </w:tr>
      <w:tr>
        <w:trPr>
          <w:trHeight w:val="39"/>
        </w:trPr>
        <w:tc>
          <w:tcPr>
            <w:tcW w:w="3540" w:type="dxa"/>
            <w:vAlign w:val="bottom"/>
            <w:gridSpan w:val="4"/>
          </w:tcPr>
          <w:p>
            <w:pPr>
              <w:spacing w:after="0" w:line="40" w:lineRule="exact"/>
              <w:rPr>
                <w:sz w:val="20"/>
                <w:szCs w:val="20"/>
                <w:color w:val="auto"/>
              </w:rPr>
            </w:pPr>
            <w:r>
              <w:rPr>
                <w:rFonts w:ascii="Arial" w:cs="Arial" w:eastAsia="Arial" w:hAnsi="Arial"/>
                <w:sz w:val="4"/>
                <w:szCs w:val="4"/>
                <w:color w:val="FFFFFF"/>
              </w:rPr>
              <w:t>looking statements speak only as of the date of this presentation.</w:t>
            </w: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140" w:type="dxa"/>
            <w:vAlign w:val="bottom"/>
            <w:gridSpan w:val="3"/>
            <w:vMerge w:val="restart"/>
          </w:tcPr>
          <w:p>
            <w:pPr>
              <w:jc w:val="right"/>
              <w:ind w:right="318"/>
              <w:spacing w:after="0" w:line="79" w:lineRule="exact"/>
              <w:rPr>
                <w:sz w:val="20"/>
                <w:szCs w:val="20"/>
                <w:color w:val="auto"/>
              </w:rPr>
            </w:pPr>
            <w:r>
              <w:rPr>
                <w:rFonts w:ascii="Arial" w:cs="Arial" w:eastAsia="Arial" w:hAnsi="Arial"/>
                <w:sz w:val="9"/>
                <w:szCs w:val="9"/>
                <w:color w:val="FFFFFF"/>
              </w:rPr>
              <w:t>and opportunities, both general and specific. The risk exists that these statements may not be fulfilled. We</w:t>
            </w:r>
          </w:p>
        </w:tc>
        <w:tc>
          <w:tcPr>
            <w:tcW w:w="0" w:type="dxa"/>
            <w:vAlign w:val="bottom"/>
          </w:tcPr>
          <w:p>
            <w:pPr>
              <w:spacing w:after="0" w:line="20" w:lineRule="exact"/>
              <w:rPr>
                <w:sz w:val="1"/>
                <w:szCs w:val="1"/>
                <w:color w:val="auto"/>
              </w:rPr>
            </w:pPr>
          </w:p>
        </w:tc>
      </w:tr>
      <w:tr>
        <w:trPr>
          <w:trHeight w:val="39"/>
        </w:trPr>
        <w:tc>
          <w:tcPr>
            <w:tcW w:w="5280" w:type="dxa"/>
            <w:vAlign w:val="bottom"/>
            <w:gridSpan w:val="6"/>
          </w:tcPr>
          <w:p>
            <w:pPr>
              <w:spacing w:after="0" w:line="40" w:lineRule="exact"/>
              <w:rPr>
                <w:sz w:val="20"/>
                <w:szCs w:val="20"/>
                <w:color w:val="auto"/>
              </w:rPr>
            </w:pPr>
            <w:r>
              <w:rPr>
                <w:rFonts w:ascii="Arial" w:cs="Arial" w:eastAsia="Arial" w:hAnsi="Arial"/>
                <w:sz w:val="4"/>
                <w:szCs w:val="4"/>
                <w:color w:val="FFFFFF"/>
              </w:rPr>
              <w:t>However, by their nature, these forward-looking statements involve numerous assumptions,</w:t>
            </w:r>
          </w:p>
        </w:tc>
        <w:tc>
          <w:tcPr>
            <w:tcW w:w="61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440" w:type="dxa"/>
            <w:vAlign w:val="bottom"/>
            <w:gridSpan w:val="8"/>
          </w:tcPr>
          <w:p>
            <w:pPr>
              <w:spacing w:after="0" w:line="40" w:lineRule="exact"/>
              <w:rPr>
                <w:sz w:val="20"/>
                <w:szCs w:val="20"/>
                <w:color w:val="auto"/>
              </w:rPr>
            </w:pPr>
            <w:r>
              <w:rPr>
                <w:rFonts w:ascii="Arial" w:cs="Arial" w:eastAsia="Arial" w:hAnsi="Arial"/>
                <w:sz w:val="4"/>
                <w:szCs w:val="4"/>
                <w:color w:val="FFFFFF"/>
              </w:rPr>
              <w:t>caution readers of this presentation not to place undue reliance on these forward-looking statementsuncertaintiesasnumber of factors could cause future company results to differ materially from these</w:t>
            </w:r>
          </w:p>
        </w:tc>
        <w:tc>
          <w:tcPr>
            <w:tcW w:w="980" w:type="dxa"/>
            <w:vAlign w:val="bottom"/>
          </w:tcPr>
          <w:p>
            <w:pPr>
              <w:jc w:val="right"/>
              <w:ind w:right="878"/>
              <w:spacing w:after="0" w:line="40" w:lineRule="exact"/>
              <w:rPr>
                <w:sz w:val="20"/>
                <w:szCs w:val="20"/>
                <w:color w:val="auto"/>
              </w:rPr>
            </w:pPr>
            <w:r>
              <w:rPr>
                <w:rFonts w:ascii="Arial" w:cs="Arial" w:eastAsia="Arial" w:hAnsi="Arial"/>
                <w:sz w:val="4"/>
                <w:szCs w:val="4"/>
                <w:color w:val="FFFFFF"/>
              </w:rPr>
              <w:t>.</w:t>
            </w:r>
          </w:p>
        </w:tc>
        <w:tc>
          <w:tcPr>
            <w:tcW w:w="0" w:type="dxa"/>
            <w:vAlign w:val="bottom"/>
          </w:tcPr>
          <w:p>
            <w:pPr>
              <w:spacing w:after="0" w:line="20" w:lineRule="exact"/>
              <w:rPr>
                <w:sz w:val="1"/>
                <w:szCs w:val="1"/>
                <w:color w:val="auto"/>
              </w:rPr>
            </w:pPr>
          </w:p>
        </w:tc>
      </w:tr>
      <w:tr>
        <w:trPr>
          <w:trHeight w:val="39"/>
        </w:trPr>
        <w:tc>
          <w:tcPr>
            <w:tcW w:w="440" w:type="dxa"/>
            <w:vAlign w:val="bottom"/>
          </w:tcPr>
          <w:p>
            <w:pPr>
              <w:spacing w:after="0"/>
              <w:rPr>
                <w:sz w:val="3"/>
                <w:szCs w:val="3"/>
                <w:color w:val="auto"/>
              </w:rPr>
            </w:pPr>
          </w:p>
        </w:tc>
        <w:tc>
          <w:tcPr>
            <w:tcW w:w="10980" w:type="dxa"/>
            <w:vAlign w:val="bottom"/>
            <w:gridSpan w:val="8"/>
          </w:tcPr>
          <w:p>
            <w:pPr>
              <w:jc w:val="right"/>
              <w:ind w:right="218"/>
              <w:spacing w:after="0" w:line="40" w:lineRule="exact"/>
              <w:rPr>
                <w:sz w:val="20"/>
                <w:szCs w:val="20"/>
                <w:color w:val="auto"/>
              </w:rPr>
            </w:pPr>
            <w:r>
              <w:rPr>
                <w:rFonts w:ascii="Arial" w:cs="Arial" w:eastAsia="Arial" w:hAnsi="Arial"/>
                <w:sz w:val="4"/>
                <w:szCs w:val="4"/>
                <w:color w:val="FFFFFF"/>
              </w:rPr>
              <w:t>-looking statements may be influenced in particular by factors such as the ability of the parties to consummate the transaction described in this press release on the expected timeline statements(orall), the failure of</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ForwardPFLT MCGC stockholders to approve the proposed merger, the ability to realize the anticipated benefits of the transaction, the effects of disruption on the companies’ business from the proposed merger, the effect</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that the announcement or consummation of the merger may have on the trading price of the common stock of PFLT or MCGC, the combined company’s plans, expectations, objectives and intentions, the other factors</w:t>
            </w:r>
          </w:p>
        </w:tc>
        <w:tc>
          <w:tcPr>
            <w:tcW w:w="0" w:type="dxa"/>
            <w:vAlign w:val="bottom"/>
          </w:tcPr>
          <w:p>
            <w:pPr>
              <w:spacing w:after="0" w:line="20" w:lineRule="exact"/>
              <w:rPr>
                <w:sz w:val="1"/>
                <w:szCs w:val="1"/>
                <w:color w:val="auto"/>
              </w:rPr>
            </w:pPr>
          </w:p>
        </w:tc>
      </w:tr>
      <w:tr>
        <w:trPr>
          <w:trHeight w:val="39"/>
        </w:trPr>
        <w:tc>
          <w:tcPr>
            <w:tcW w:w="3220" w:type="dxa"/>
            <w:vAlign w:val="bottom"/>
            <w:gridSpan w:val="3"/>
          </w:tcPr>
          <w:p>
            <w:pPr>
              <w:spacing w:after="0" w:line="40" w:lineRule="exact"/>
              <w:rPr>
                <w:sz w:val="20"/>
                <w:szCs w:val="20"/>
                <w:color w:val="auto"/>
              </w:rPr>
            </w:pPr>
            <w:r>
              <w:rPr>
                <w:rFonts w:ascii="Arial" w:cs="Arial" w:eastAsia="Arial" w:hAnsi="Arial"/>
                <w:sz w:val="4"/>
                <w:szCs w:val="4"/>
                <w:color w:val="FFFFFF"/>
              </w:rPr>
              <w:t>described from time to time in the companies’ filings with</w:t>
            </w:r>
          </w:p>
        </w:tc>
        <w:tc>
          <w:tcPr>
            <w:tcW w:w="2060" w:type="dxa"/>
            <w:vAlign w:val="bottom"/>
            <w:gridSpan w:val="3"/>
          </w:tcPr>
          <w:p>
            <w:pPr>
              <w:jc w:val="center"/>
              <w:ind w:right="638"/>
              <w:spacing w:after="0" w:line="40" w:lineRule="exact"/>
              <w:rPr>
                <w:sz w:val="20"/>
                <w:szCs w:val="20"/>
                <w:color w:val="auto"/>
              </w:rPr>
            </w:pPr>
            <w:r>
              <w:rPr>
                <w:rFonts w:ascii="Arial" w:cs="Arial" w:eastAsia="Arial" w:hAnsi="Arial"/>
                <w:sz w:val="4"/>
                <w:szCs w:val="4"/>
                <w:color w:val="FFFFFF"/>
              </w:rPr>
              <w:t>Securities and Exchange</w:t>
            </w:r>
          </w:p>
        </w:tc>
        <w:tc>
          <w:tcPr>
            <w:tcW w:w="6140" w:type="dxa"/>
            <w:vAlign w:val="bottom"/>
            <w:gridSpan w:val="3"/>
          </w:tcPr>
          <w:p>
            <w:pPr>
              <w:jc w:val="right"/>
              <w:ind w:right="298"/>
              <w:spacing w:after="0" w:line="40" w:lineRule="exact"/>
              <w:rPr>
                <w:sz w:val="20"/>
                <w:szCs w:val="20"/>
                <w:color w:val="auto"/>
              </w:rPr>
            </w:pPr>
            <w:r>
              <w:rPr>
                <w:rFonts w:ascii="Arial" w:cs="Arial" w:eastAsia="Arial" w:hAnsi="Arial"/>
                <w:sz w:val="4"/>
                <w:szCs w:val="4"/>
                <w:color w:val="FFFFFF"/>
              </w:rPr>
              <w:t>fluctuations in interest rates and stock indices, the effects of competition in the areas in which we operate, and</w:t>
            </w:r>
          </w:p>
        </w:tc>
        <w:tc>
          <w:tcPr>
            <w:tcW w:w="0" w:type="dxa"/>
            <w:vAlign w:val="bottom"/>
          </w:tcPr>
          <w:p>
            <w:pPr>
              <w:spacing w:after="0" w:line="20" w:lineRule="exact"/>
              <w:rPr>
                <w:sz w:val="1"/>
                <w:szCs w:val="1"/>
                <w:color w:val="auto"/>
              </w:rPr>
            </w:pPr>
          </w:p>
        </w:tc>
      </w:tr>
      <w:tr>
        <w:trPr>
          <w:trHeight w:val="39"/>
        </w:trPr>
        <w:tc>
          <w:tcPr>
            <w:tcW w:w="440" w:type="dxa"/>
            <w:vAlign w:val="bottom"/>
          </w:tcPr>
          <w:p>
            <w:pPr>
              <w:spacing w:after="0" w:line="40" w:lineRule="exact"/>
              <w:rPr>
                <w:sz w:val="20"/>
                <w:szCs w:val="20"/>
                <w:color w:val="auto"/>
              </w:rPr>
            </w:pPr>
            <w:r>
              <w:rPr>
                <w:rFonts w:ascii="Arial" w:cs="Arial" w:eastAsia="Arial" w:hAnsi="Arial"/>
                <w:sz w:val="4"/>
                <w:szCs w:val="4"/>
                <w:color w:val="FFFFFF"/>
              </w:rPr>
              <w:t>changes</w:t>
            </w:r>
          </w:p>
        </w:tc>
        <w:tc>
          <w:tcPr>
            <w:tcW w:w="9000" w:type="dxa"/>
            <w:vAlign w:val="bottom"/>
            <w:gridSpan w:val="6"/>
          </w:tcPr>
          <w:p>
            <w:pPr>
              <w:ind w:left="720"/>
              <w:spacing w:after="0" w:line="40" w:lineRule="exact"/>
              <w:rPr>
                <w:sz w:val="20"/>
                <w:szCs w:val="20"/>
                <w:color w:val="auto"/>
              </w:rPr>
            </w:pPr>
            <w:r>
              <w:rPr>
                <w:rFonts w:ascii="Arial" w:cs="Arial" w:eastAsia="Arial" w:hAnsi="Arial"/>
                <w:sz w:val="4"/>
                <w:szCs w:val="4"/>
                <w:color w:val="FFFFFF"/>
              </w:rPr>
              <w:t>political and regulatory conditions. Wthecaution that the foregoing Commission,listnotexhaustive.</w:t>
            </w: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When relyingeconomic,forward-looking statements to make decisions, investors should carefully consider the aforementioned factors as well as other uncertainties and events. The performance data quoted represents past</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performance and does not guarantee future results. The performance stated may have been due to extraordinary market conditions, which may not be duplicated in the future. Current performance may be lower or</w:t>
            </w:r>
          </w:p>
        </w:tc>
        <w:tc>
          <w:tcPr>
            <w:tcW w:w="0" w:type="dxa"/>
            <w:vAlign w:val="bottom"/>
          </w:tcPr>
          <w:p>
            <w:pPr>
              <w:spacing w:after="0" w:line="20" w:lineRule="exact"/>
              <w:rPr>
                <w:sz w:val="1"/>
                <w:szCs w:val="1"/>
                <w:color w:val="auto"/>
              </w:rPr>
            </w:pPr>
          </w:p>
        </w:tc>
      </w:tr>
      <w:tr>
        <w:trPr>
          <w:trHeight w:val="39"/>
        </w:trPr>
        <w:tc>
          <w:tcPr>
            <w:tcW w:w="2580" w:type="dxa"/>
            <w:vAlign w:val="bottom"/>
            <w:gridSpan w:val="2"/>
          </w:tcPr>
          <w:p>
            <w:pPr>
              <w:ind w:left="380"/>
              <w:spacing w:after="0" w:line="40" w:lineRule="exact"/>
              <w:rPr>
                <w:sz w:val="20"/>
                <w:szCs w:val="20"/>
                <w:color w:val="auto"/>
              </w:rPr>
            </w:pPr>
            <w:r>
              <w:rPr>
                <w:rFonts w:ascii="Arial" w:cs="Arial" w:eastAsia="Arial" w:hAnsi="Arial"/>
                <w:sz w:val="4"/>
                <w:szCs w:val="4"/>
                <w:color w:val="FFFFFF"/>
              </w:rPr>
              <w:t>than the performance data quoted.</w:t>
            </w: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140" w:type="dxa"/>
            <w:vAlign w:val="bottom"/>
            <w:gridSpan w:val="3"/>
            <w:vMerge w:val="restart"/>
          </w:tcPr>
          <w:p>
            <w:pPr>
              <w:jc w:val="right"/>
              <w:spacing w:after="0" w:line="79" w:lineRule="exact"/>
              <w:rPr>
                <w:sz w:val="20"/>
                <w:szCs w:val="20"/>
                <w:color w:val="auto"/>
              </w:rPr>
            </w:pPr>
            <w:r>
              <w:rPr>
                <w:rFonts w:ascii="Arial" w:cs="Arial" w:eastAsia="Arial" w:hAnsi="Arial"/>
                <w:sz w:val="9"/>
                <w:szCs w:val="9"/>
                <w:color w:val="FFFFFF"/>
              </w:rPr>
              <w:t>copy of which may be obtained on PFLT’ website at www.pennantpark.com or the SEC’s website at www.sec.gov.</w:t>
            </w:r>
          </w:p>
        </w:tc>
        <w:tc>
          <w:tcPr>
            <w:tcW w:w="0" w:type="dxa"/>
            <w:vAlign w:val="bottom"/>
          </w:tcPr>
          <w:p>
            <w:pPr>
              <w:spacing w:after="0" w:line="20" w:lineRule="exact"/>
              <w:rPr>
                <w:sz w:val="1"/>
                <w:szCs w:val="1"/>
                <w:color w:val="auto"/>
              </w:rPr>
            </w:pPr>
          </w:p>
        </w:tc>
      </w:tr>
      <w:tr>
        <w:trPr>
          <w:trHeight w:val="39"/>
        </w:trPr>
        <w:tc>
          <w:tcPr>
            <w:tcW w:w="5280" w:type="dxa"/>
            <w:vAlign w:val="bottom"/>
            <w:gridSpan w:val="6"/>
          </w:tcPr>
          <w:p>
            <w:pPr>
              <w:spacing w:after="0" w:line="40" w:lineRule="exact"/>
              <w:rPr>
                <w:sz w:val="20"/>
                <w:szCs w:val="20"/>
                <w:color w:val="auto"/>
              </w:rPr>
            </w:pPr>
            <w:r>
              <w:rPr>
                <w:rFonts w:ascii="Arial" w:cs="Arial" w:eastAsia="Arial" w:hAnsi="Arial"/>
                <w:sz w:val="4"/>
                <w:szCs w:val="4"/>
                <w:color w:val="FFFFFF"/>
              </w:rPr>
              <w:t>higherWrefer you to the list of risk factors set forth in PFLT’ most recent Annual Report on Form 10-K,</w:t>
            </w:r>
          </w:p>
        </w:tc>
        <w:tc>
          <w:tcPr>
            <w:tcW w:w="61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220" w:type="dxa"/>
            <w:vAlign w:val="bottom"/>
            <w:gridSpan w:val="3"/>
          </w:tcPr>
          <w:p>
            <w:pPr>
              <w:spacing w:after="0" w:line="40" w:lineRule="exact"/>
              <w:rPr>
                <w:sz w:val="20"/>
                <w:szCs w:val="20"/>
                <w:color w:val="auto"/>
              </w:rPr>
            </w:pPr>
            <w:r>
              <w:rPr>
                <w:rFonts w:ascii="Arial" w:cs="Arial" w:eastAsia="Arial" w:hAnsi="Arial"/>
                <w:sz w:val="4"/>
                <w:szCs w:val="4"/>
                <w:color w:val="FFFFFF"/>
              </w:rPr>
              <w:t>Specifically, an investment in PFLT’scommonstock involves</w:t>
            </w:r>
          </w:p>
        </w:tc>
        <w:tc>
          <w:tcPr>
            <w:tcW w:w="320" w:type="dxa"/>
            <w:vAlign w:val="bottom"/>
          </w:tcPr>
          <w:p>
            <w:pPr>
              <w:spacing w:after="0"/>
              <w:rPr>
                <w:sz w:val="3"/>
                <w:szCs w:val="3"/>
                <w:color w:val="auto"/>
              </w:rPr>
            </w:pPr>
          </w:p>
        </w:tc>
        <w:tc>
          <w:tcPr>
            <w:tcW w:w="880" w:type="dxa"/>
            <w:vAlign w:val="bottom"/>
          </w:tcPr>
          <w:p>
            <w:pPr>
              <w:jc w:val="center"/>
              <w:ind w:right="58"/>
              <w:spacing w:after="0" w:line="40" w:lineRule="exact"/>
              <w:rPr>
                <w:sz w:val="20"/>
                <w:szCs w:val="20"/>
                <w:color w:val="auto"/>
              </w:rPr>
            </w:pPr>
            <w:r>
              <w:rPr>
                <w:rFonts w:ascii="Arial" w:cs="Arial" w:eastAsia="Arial" w:hAnsi="Arial"/>
                <w:sz w:val="4"/>
                <w:szCs w:val="4"/>
                <w:color w:val="FFFFFF"/>
              </w:rPr>
              <w:t>risks,</w:t>
            </w:r>
          </w:p>
        </w:tc>
        <w:tc>
          <w:tcPr>
            <w:tcW w:w="6020" w:type="dxa"/>
            <w:vAlign w:val="bottom"/>
            <w:gridSpan w:val="3"/>
          </w:tcPr>
          <w:p>
            <w:pPr>
              <w:ind w:left="220"/>
              <w:spacing w:after="0" w:line="40" w:lineRule="exact"/>
              <w:rPr>
                <w:sz w:val="20"/>
                <w:szCs w:val="20"/>
                <w:color w:val="auto"/>
              </w:rPr>
            </w:pPr>
            <w:r>
              <w:rPr>
                <w:rFonts w:ascii="Arial" w:cs="Arial" w:eastAsia="Arial" w:hAnsi="Arial"/>
                <w:sz w:val="4"/>
                <w:szCs w:val="4"/>
                <w:color w:val="FFFFFF"/>
              </w:rPr>
              <w:t>therisk that thesecondary market price of PFLT’scommonstock may decline from theoffering price and may be</w:t>
            </w:r>
          </w:p>
        </w:tc>
        <w:tc>
          <w:tcPr>
            <w:tcW w:w="980" w:type="dxa"/>
            <w:vAlign w:val="bottom"/>
          </w:tcPr>
          <w:p>
            <w:pPr>
              <w:jc w:val="right"/>
              <w:ind w:right="78"/>
              <w:spacing w:after="0" w:line="40" w:lineRule="exact"/>
              <w:rPr>
                <w:sz w:val="20"/>
                <w:szCs w:val="20"/>
                <w:color w:val="auto"/>
              </w:rPr>
            </w:pPr>
            <w:r>
              <w:rPr>
                <w:rFonts w:ascii="Arial" w:cs="Arial" w:eastAsia="Arial" w:hAnsi="Arial"/>
                <w:sz w:val="4"/>
                <w:szCs w:val="4"/>
                <w:color w:val="FFFFFF"/>
              </w:rPr>
              <w:t>than PFLT’s</w:t>
            </w:r>
          </w:p>
        </w:tc>
        <w:tc>
          <w:tcPr>
            <w:tcW w:w="0" w:type="dxa"/>
            <w:vAlign w:val="bottom"/>
          </w:tcPr>
          <w:p>
            <w:pPr>
              <w:spacing w:after="0" w:line="20" w:lineRule="exact"/>
              <w:rPr>
                <w:sz w:val="1"/>
                <w:szCs w:val="1"/>
                <w:color w:val="auto"/>
              </w:rPr>
            </w:pPr>
          </w:p>
        </w:tc>
      </w:tr>
      <w:tr>
        <w:trPr>
          <w:trHeight w:val="39"/>
        </w:trPr>
        <w:tc>
          <w:tcPr>
            <w:tcW w:w="3540" w:type="dxa"/>
            <w:vAlign w:val="bottom"/>
            <w:gridSpan w:val="4"/>
          </w:tcPr>
          <w:p>
            <w:pPr>
              <w:spacing w:after="0" w:line="40" w:lineRule="exact"/>
              <w:rPr>
                <w:sz w:val="20"/>
                <w:szCs w:val="20"/>
                <w:color w:val="auto"/>
              </w:rPr>
            </w:pPr>
            <w:r>
              <w:rPr>
                <w:rFonts w:ascii="Arial" w:cs="Arial" w:eastAsia="Arial" w:hAnsi="Arial"/>
                <w:sz w:val="4"/>
                <w:szCs w:val="4"/>
                <w:color w:val="FFFFFF"/>
              </w:rPr>
              <w:t>net asset value per share, as well as the risk that the price of PFLT’</w:t>
            </w:r>
          </w:p>
        </w:tc>
        <w:tc>
          <w:tcPr>
            <w:tcW w:w="880" w:type="dxa"/>
            <w:vAlign w:val="bottom"/>
          </w:tcPr>
          <w:p>
            <w:pPr>
              <w:ind w:left="40"/>
              <w:spacing w:after="0" w:line="40" w:lineRule="exact"/>
              <w:rPr>
                <w:sz w:val="20"/>
                <w:szCs w:val="20"/>
                <w:color w:val="auto"/>
              </w:rPr>
            </w:pPr>
            <w:r>
              <w:rPr>
                <w:rFonts w:ascii="Arial" w:cs="Arial" w:eastAsia="Arial" w:hAnsi="Arial"/>
                <w:sz w:val="4"/>
                <w:szCs w:val="4"/>
                <w:color w:val="FFFFFF"/>
              </w:rPr>
              <w:t>common stock</w:t>
            </w:r>
          </w:p>
        </w:tc>
        <w:tc>
          <w:tcPr>
            <w:tcW w:w="7000" w:type="dxa"/>
            <w:vAlign w:val="bottom"/>
            <w:gridSpan w:val="4"/>
          </w:tcPr>
          <w:p>
            <w:pPr>
              <w:jc w:val="right"/>
              <w:ind w:right="178"/>
              <w:spacing w:after="0" w:line="40" w:lineRule="exact"/>
              <w:rPr>
                <w:sz w:val="20"/>
                <w:szCs w:val="20"/>
                <w:color w:val="auto"/>
              </w:rPr>
            </w:pPr>
            <w:r>
              <w:rPr>
                <w:rFonts w:ascii="Arial" w:cs="Arial" w:eastAsia="Arial" w:hAnsi="Arial"/>
                <w:sz w:val="4"/>
                <w:szCs w:val="4"/>
                <w:color w:val="FFFFFF"/>
              </w:rPr>
              <w:t>the secondary market may be highly volatile. Please see a discussion of these risks and other related risks in PFLT’lessmost recent</w:t>
            </w:r>
          </w:p>
        </w:tc>
        <w:tc>
          <w:tcPr>
            <w:tcW w:w="0" w:type="dxa"/>
            <w:vAlign w:val="bottom"/>
          </w:tcPr>
          <w:p>
            <w:pPr>
              <w:spacing w:after="0" w:line="20" w:lineRule="exact"/>
              <w:rPr>
                <w:sz w:val="1"/>
                <w:szCs w:val="1"/>
                <w:color w:val="auto"/>
              </w:rPr>
            </w:pPr>
          </w:p>
        </w:tc>
      </w:tr>
      <w:tr>
        <w:trPr>
          <w:trHeight w:val="39"/>
        </w:trPr>
        <w:tc>
          <w:tcPr>
            <w:tcW w:w="2580" w:type="dxa"/>
            <w:vAlign w:val="bottom"/>
            <w:gridSpan w:val="2"/>
          </w:tcPr>
          <w:p>
            <w:pPr>
              <w:spacing w:after="0" w:line="40" w:lineRule="exact"/>
              <w:rPr>
                <w:sz w:val="20"/>
                <w:szCs w:val="20"/>
                <w:color w:val="auto"/>
              </w:rPr>
            </w:pPr>
            <w:r>
              <w:rPr>
                <w:rFonts w:ascii="Arial" w:cs="Arial" w:eastAsia="Arial" w:hAnsi="Arial"/>
                <w:sz w:val="4"/>
                <w:szCs w:val="4"/>
                <w:color w:val="FFFFFF"/>
              </w:rPr>
              <w:t>Annual Report on Form 10-K under Item 1A—</w:t>
            </w:r>
          </w:p>
        </w:tc>
        <w:tc>
          <w:tcPr>
            <w:tcW w:w="640" w:type="dxa"/>
            <w:vAlign w:val="bottom"/>
          </w:tcPr>
          <w:p>
            <w:pPr>
              <w:spacing w:after="0"/>
              <w:rPr>
                <w:sz w:val="3"/>
                <w:szCs w:val="3"/>
                <w:color w:val="auto"/>
              </w:rPr>
            </w:pPr>
          </w:p>
        </w:tc>
        <w:tc>
          <w:tcPr>
            <w:tcW w:w="320" w:type="dxa"/>
            <w:vAlign w:val="bottom"/>
          </w:tcPr>
          <w:p>
            <w:pPr>
              <w:ind w:left="120"/>
              <w:spacing w:after="0" w:line="40" w:lineRule="exact"/>
              <w:rPr>
                <w:sz w:val="20"/>
                <w:szCs w:val="20"/>
                <w:color w:val="auto"/>
              </w:rPr>
            </w:pPr>
            <w:r>
              <w:rPr>
                <w:rFonts w:ascii="Arial" w:cs="Arial" w:eastAsia="Arial" w:hAnsi="Arial"/>
                <w:sz w:val="4"/>
                <w:szCs w:val="4"/>
                <w:color w:val="FFFFFF"/>
              </w:rPr>
              <w:t>to</w:t>
            </w:r>
          </w:p>
        </w:tc>
        <w:tc>
          <w:tcPr>
            <w:tcW w:w="590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InvestmentincludingOur Common Stock”.</w:t>
            </w: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9440" w:type="dxa"/>
            <w:vAlign w:val="bottom"/>
            <w:gridSpan w:val="7"/>
          </w:tcPr>
          <w:p>
            <w:pPr>
              <w:spacing w:after="0" w:line="40" w:lineRule="exact"/>
              <w:rPr>
                <w:sz w:val="20"/>
                <w:szCs w:val="20"/>
                <w:color w:val="auto"/>
              </w:rPr>
            </w:pPr>
            <w:r>
              <w:rPr>
                <w:rFonts w:ascii="Arial" w:cs="Arial" w:eastAsia="Arial" w:hAnsi="Arial"/>
                <w:sz w:val="4"/>
                <w:szCs w:val="4"/>
                <w:color w:val="FFFFFF"/>
              </w:rPr>
              <w:t>This presentation contains certain information as“Risksset RelatingforthsignificantPFLT’reports on Form 10-K or 10-Q and we direct you to these reports for further information on our business.</w:t>
            </w: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420" w:type="dxa"/>
            <w:vAlign w:val="bottom"/>
            <w:gridSpan w:val="5"/>
          </w:tcPr>
          <w:p>
            <w:pPr>
              <w:spacing w:after="0" w:line="40" w:lineRule="exact"/>
              <w:rPr>
                <w:sz w:val="20"/>
                <w:szCs w:val="20"/>
                <w:color w:val="auto"/>
              </w:rPr>
            </w:pPr>
            <w:r>
              <w:rPr>
                <w:rFonts w:ascii="Arial" w:cs="Arial" w:eastAsia="Arial" w:hAnsi="Arial"/>
                <w:sz w:val="4"/>
                <w:szCs w:val="4"/>
                <w:color w:val="FFFFFF"/>
              </w:rPr>
              <w:t>IMPORTANT ADDITIONAL INFORMATION AND WHERE TO FIND IT</w:t>
            </w:r>
          </w:p>
        </w:tc>
        <w:tc>
          <w:tcPr>
            <w:tcW w:w="8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This communication is being made in respect of the proposed business combination involving PFLT and MCGC. In connection with the proposed transaction, PFLT has filed with the SEC a Registration Statement on</w:t>
            </w:r>
          </w:p>
        </w:tc>
        <w:tc>
          <w:tcPr>
            <w:tcW w:w="0" w:type="dxa"/>
            <w:vAlign w:val="bottom"/>
          </w:tcPr>
          <w:p>
            <w:pPr>
              <w:spacing w:after="0" w:line="20" w:lineRule="exact"/>
              <w:rPr>
                <w:sz w:val="1"/>
                <w:szCs w:val="1"/>
                <w:color w:val="auto"/>
              </w:rPr>
            </w:pPr>
          </w:p>
        </w:tc>
      </w:tr>
      <w:tr>
        <w:trPr>
          <w:trHeight w:val="39"/>
        </w:trPr>
        <w:tc>
          <w:tcPr>
            <w:tcW w:w="10440" w:type="dxa"/>
            <w:vAlign w:val="bottom"/>
            <w:gridSpan w:val="8"/>
          </w:tcPr>
          <w:p>
            <w:pPr>
              <w:spacing w:after="0" w:line="40" w:lineRule="exact"/>
              <w:rPr>
                <w:sz w:val="20"/>
                <w:szCs w:val="20"/>
                <w:color w:val="auto"/>
              </w:rPr>
            </w:pPr>
            <w:r>
              <w:rPr>
                <w:rFonts w:ascii="Arial" w:cs="Arial" w:eastAsia="Arial" w:hAnsi="Arial"/>
                <w:sz w:val="4"/>
                <w:szCs w:val="4"/>
                <w:color w:val="FFFFFF"/>
              </w:rPr>
              <w:t>Form  -14 that includes proxy statements of PFLT and MCGC and that also constitutes a prospectus of PFLT. The definitive Joint Proxy  tatement/Prospectus will be mailed to stockholders of PFL</w:t>
            </w:r>
          </w:p>
        </w:tc>
        <w:tc>
          <w:tcPr>
            <w:tcW w:w="980" w:type="dxa"/>
            <w:vAlign w:val="bottom"/>
          </w:tcPr>
          <w:p>
            <w:pPr>
              <w:jc w:val="right"/>
              <w:ind w:right="298"/>
              <w:spacing w:after="0" w:line="40" w:lineRule="exact"/>
              <w:rPr>
                <w:sz w:val="20"/>
                <w:szCs w:val="20"/>
                <w:color w:val="auto"/>
              </w:rPr>
            </w:pPr>
            <w:r>
              <w:rPr>
                <w:rFonts w:ascii="Arial" w:cs="Arial" w:eastAsia="Arial" w:hAnsi="Arial"/>
                <w:sz w:val="4"/>
                <w:szCs w:val="4"/>
                <w:color w:val="FFFFFF"/>
              </w:rPr>
              <w:t>and MCGC.</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INVESTORS AND SECURITY HOLDERS OF PFL  AND MCGC ARE URGED TO READ THE JOINT PROXY STATEMENT/PROSPECTUS AND OTHER DOCUMENTS FILED WITH THE SEC</w:t>
            </w:r>
          </w:p>
        </w:tc>
        <w:tc>
          <w:tcPr>
            <w:tcW w:w="0" w:type="dxa"/>
            <w:vAlign w:val="bottom"/>
          </w:tcPr>
          <w:p>
            <w:pPr>
              <w:spacing w:after="0" w:line="20" w:lineRule="exact"/>
              <w:rPr>
                <w:sz w:val="1"/>
                <w:szCs w:val="1"/>
                <w:color w:val="auto"/>
              </w:rPr>
            </w:pPr>
          </w:p>
        </w:tc>
      </w:tr>
      <w:tr>
        <w:trPr>
          <w:trHeight w:val="39"/>
        </w:trPr>
        <w:tc>
          <w:tcPr>
            <w:tcW w:w="9440" w:type="dxa"/>
            <w:vAlign w:val="bottom"/>
            <w:gridSpan w:val="7"/>
          </w:tcPr>
          <w:p>
            <w:pPr>
              <w:spacing w:after="0" w:line="40" w:lineRule="exact"/>
              <w:rPr>
                <w:sz w:val="20"/>
                <w:szCs w:val="20"/>
                <w:color w:val="auto"/>
              </w:rPr>
            </w:pPr>
            <w:r>
              <w:rPr>
                <w:rFonts w:ascii="Arial" w:cs="Arial" w:eastAsia="Arial" w:hAnsi="Arial"/>
                <w:sz w:val="4"/>
                <w:szCs w:val="4"/>
                <w:color w:val="FFFFFF"/>
              </w:rPr>
              <w:t>CAREFULLY IN THEIR ENTIRETY BECAUSE THEY WILL CONTAIN IMPORTANT INFORMATION ABOUT THE PROPOSED TRANSACTION.</w:t>
            </w: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Investors and security holders can obtain free copies of the Registration Statement and Joint Proxy Statement/Prospectus and other documents filed with the SEC by each of PFLT and MCGC through the web site</w:t>
            </w: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maintained by the SEC at www.sec.gov. Free copies of the Registration Statement and Joint Proxy Statement/Prospectus and other documents filed with the SEC can also be obtained on PFLT’s website at</w:t>
            </w:r>
          </w:p>
        </w:tc>
        <w:tc>
          <w:tcPr>
            <w:tcW w:w="0" w:type="dxa"/>
            <w:vAlign w:val="bottom"/>
          </w:tcPr>
          <w:p>
            <w:pPr>
              <w:spacing w:after="0" w:line="20" w:lineRule="exact"/>
              <w:rPr>
                <w:sz w:val="1"/>
                <w:szCs w:val="1"/>
                <w:color w:val="auto"/>
              </w:rPr>
            </w:pPr>
          </w:p>
        </w:tc>
      </w:tr>
      <w:tr>
        <w:trPr>
          <w:trHeight w:val="39"/>
        </w:trPr>
        <w:tc>
          <w:tcPr>
            <w:tcW w:w="4420" w:type="dxa"/>
            <w:vAlign w:val="bottom"/>
            <w:gridSpan w:val="5"/>
          </w:tcPr>
          <w:p>
            <w:pPr>
              <w:spacing w:after="0" w:line="40" w:lineRule="exact"/>
              <w:rPr>
                <w:sz w:val="20"/>
                <w:szCs w:val="20"/>
                <w:color w:val="auto"/>
              </w:rPr>
            </w:pPr>
            <w:r>
              <w:rPr>
                <w:rFonts w:ascii="Arial" w:cs="Arial" w:eastAsia="Arial" w:hAnsi="Arial"/>
                <w:sz w:val="4"/>
                <w:szCs w:val="4"/>
                <w:color w:val="FFFFFF"/>
              </w:rPr>
              <w:t>www.pennantpark.com or on MCG’s website at www.mcgcapital.com.</w:t>
            </w:r>
          </w:p>
        </w:tc>
        <w:tc>
          <w:tcPr>
            <w:tcW w:w="8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580" w:type="dxa"/>
            <w:vAlign w:val="bottom"/>
            <w:gridSpan w:val="2"/>
          </w:tcPr>
          <w:p>
            <w:pPr>
              <w:ind w:left="80"/>
              <w:spacing w:after="0" w:line="40" w:lineRule="exact"/>
              <w:rPr>
                <w:sz w:val="20"/>
                <w:szCs w:val="20"/>
                <w:color w:val="auto"/>
              </w:rPr>
            </w:pPr>
            <w:r>
              <w:rPr>
                <w:rFonts w:ascii="Arial" w:cs="Arial" w:eastAsia="Arial" w:hAnsi="Arial"/>
                <w:sz w:val="4"/>
                <w:szCs w:val="4"/>
                <w:color w:val="FFFFFF"/>
              </w:rPr>
              <w:t>ROXY SOLICITATION</w:t>
            </w: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9"/>
          </w:tcPr>
          <w:p>
            <w:pPr>
              <w:spacing w:after="0" w:line="40" w:lineRule="exact"/>
              <w:rPr>
                <w:sz w:val="20"/>
                <w:szCs w:val="20"/>
                <w:color w:val="auto"/>
              </w:rPr>
            </w:pPr>
            <w:r>
              <w:rPr>
                <w:rFonts w:ascii="Arial" w:cs="Arial" w:eastAsia="Arial" w:hAnsi="Arial"/>
                <w:sz w:val="4"/>
                <w:szCs w:val="4"/>
                <w:color w:val="FFFFFF"/>
              </w:rPr>
              <w:t>PFLT and MCGC and their respective directors, executive officers and certain other members of management and employees may be deemed to be participants in the solicitation of proxies from PFLT and MCGC</w:t>
            </w:r>
          </w:p>
        </w:tc>
        <w:tc>
          <w:tcPr>
            <w:tcW w:w="0" w:type="dxa"/>
            <w:vAlign w:val="bottom"/>
          </w:tcPr>
          <w:p>
            <w:pPr>
              <w:spacing w:after="0" w:line="20" w:lineRule="exact"/>
              <w:rPr>
                <w:sz w:val="1"/>
                <w:szCs w:val="1"/>
                <w:color w:val="auto"/>
              </w:rPr>
            </w:pPr>
          </w:p>
        </w:tc>
      </w:tr>
      <w:tr>
        <w:trPr>
          <w:trHeight w:val="0"/>
        </w:trPr>
        <w:tc>
          <w:tcPr>
            <w:tcW w:w="2580" w:type="dxa"/>
            <w:vAlign w:val="bottom"/>
            <w:gridSpan w:val="2"/>
          </w:tcPr>
          <w:p>
            <w:pPr>
              <w:spacing w:after="0" w:line="78" w:lineRule="exact"/>
              <w:rPr>
                <w:sz w:val="20"/>
                <w:szCs w:val="20"/>
                <w:color w:val="auto"/>
              </w:rPr>
            </w:pPr>
            <w:r>
              <w:rPr>
                <w:rFonts w:ascii="Arial" w:cs="Arial" w:eastAsia="Arial" w:hAnsi="Arial"/>
                <w:sz w:val="8"/>
                <w:szCs w:val="8"/>
                <w:color w:val="FFFFFF"/>
              </w:rPr>
              <w:t>stockholders in respect of the proposed</w:t>
            </w:r>
          </w:p>
        </w:tc>
        <w:tc>
          <w:tcPr>
            <w:tcW w:w="8840" w:type="dxa"/>
            <w:vAlign w:val="bottom"/>
            <w:gridSpan w:val="7"/>
          </w:tcPr>
          <w:p>
            <w:pPr>
              <w:jc w:val="right"/>
              <w:ind w:right="418"/>
              <w:spacing w:after="0" w:line="78" w:lineRule="exact"/>
              <w:rPr>
                <w:sz w:val="20"/>
                <w:szCs w:val="20"/>
                <w:color w:val="auto"/>
              </w:rPr>
            </w:pPr>
            <w:r>
              <w:rPr>
                <w:rFonts w:ascii="Arial" w:cs="Arial" w:eastAsia="Arial" w:hAnsi="Arial"/>
                <w:sz w:val="8"/>
                <w:szCs w:val="8"/>
                <w:color w:val="FFFFFF"/>
              </w:rPr>
              <w:t>. Information regarding the persons who may, under the rules of the SEC, be considered participants in the solicitation of the PFLT and MCGC shareholders in</w:t>
            </w:r>
          </w:p>
        </w:tc>
        <w:tc>
          <w:tcPr>
            <w:tcW w:w="0" w:type="dxa"/>
            <w:vAlign w:val="bottom"/>
          </w:tcPr>
          <w:p>
            <w:pPr>
              <w:spacing w:after="0" w:line="20" w:lineRule="exact"/>
              <w:rPr>
                <w:sz w:val="1"/>
                <w:szCs w:val="1"/>
                <w:color w:val="auto"/>
              </w:rPr>
            </w:pPr>
          </w:p>
        </w:tc>
      </w:tr>
    </w:tbl>
    <w:p>
      <w:pPr>
        <w:ind w:right="140"/>
        <w:spacing w:after="0" w:line="211" w:lineRule="auto"/>
        <w:rPr>
          <w:sz w:val="20"/>
          <w:szCs w:val="20"/>
          <w:color w:val="auto"/>
        </w:rPr>
      </w:pPr>
      <w:r>
        <w:rPr>
          <w:rFonts w:ascii="Arial" w:cs="Arial" w:eastAsia="Arial" w:hAnsi="Arial"/>
          <w:sz w:val="4"/>
          <w:szCs w:val="4"/>
          <w:color w:val="FFFFFF"/>
        </w:rPr>
        <w:t>connection with the proposed acquisition,transactionPFLT’executive officers and directors and MCGC’s executive officers and directors is set forth in the Registration Statement on Form N-14, filed with the SEC on May 18, 2015, as amended on June 16, 2015. You can obtain free copies of these documents from PFLT and MCGC in the manner set forth above.</w:t>
      </w:r>
    </w:p>
    <w:p>
      <w:pPr>
        <w:ind w:right="100"/>
        <w:spacing w:after="0"/>
        <w:rPr>
          <w:sz w:val="20"/>
          <w:szCs w:val="20"/>
          <w:color w:val="auto"/>
        </w:rPr>
      </w:pPr>
      <w:r>
        <w:rPr>
          <w:rFonts w:ascii="Arial" w:cs="Arial" w:eastAsia="Arial" w:hAnsi="Arial"/>
          <w:sz w:val="5"/>
          <w:szCs w:val="5"/>
          <w:color w:val="FFFFFF"/>
        </w:rPr>
        <w:t>This presentation does not constitute an offer to sell or the solicitation of an offer to buy nor will there be any sale of securities in any jurisdiction in which such offer, solicitation or sale would be unlawful prior to the registration or qualification under the securities laws of such jurisdiction. A registration statement relating to these securities has been filed with and declared effective by the Securities and Exchange Commission. Investors are advised to carefully consider the investment objectives, risks and charges and expenses of PFLT before investing in its securities.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FFFFFF"/>
        </w:rPr>
        <w:t>1</w:t>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FFFFFF"/>
        </w:rPr>
        <w:t>2Section I. Proposed Transaction &amp; Rationale</w:t>
      </w:r>
    </w:p>
    <w:p>
      <w:pPr>
        <w:sectPr>
          <w:pgSz w:w="11900" w:h="16838" w:orient="portrait"/>
          <w:cols w:equalWidth="0" w:num="1">
            <w:col w:w="10219"/>
          </w:cols>
          <w:pgMar w:left="2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The Acquisition</w:t>
      </w:r>
    </w:p>
    <w:p>
      <w:pPr>
        <w:ind w:left="340" w:right="1439" w:hanging="325"/>
        <w:spacing w:after="0" w:line="182" w:lineRule="auto"/>
        <w:rPr>
          <w:sz w:val="20"/>
          <w:szCs w:val="20"/>
          <w:color w:val="auto"/>
        </w:rPr>
      </w:pPr>
      <w:r>
        <w:rPr>
          <w:rFonts w:ascii="Arial" w:cs="Arial" w:eastAsia="Arial" w:hAnsi="Arial"/>
          <w:sz w:val="9"/>
          <w:szCs w:val="9"/>
          <w:color w:val="FFFFFF"/>
          <w:vertAlign w:val="superscript"/>
        </w:rPr>
        <w:t>PFLT</w:t>
      </w:r>
      <w:r>
        <w:rPr>
          <w:rFonts w:ascii="Arial" w:cs="Arial" w:eastAsia="Arial" w:hAnsi="Arial"/>
          <w:sz w:val="7"/>
          <w:szCs w:val="7"/>
          <w:color w:val="FFFFFF"/>
        </w:rPr>
        <w:t xml:space="preserve"> was founded in 2011 to provide middle market senior secured floating rate loans to our sponsor and corporate clients and attractive and stable returns to investors has performed well since inception</w:t>
      </w:r>
    </w:p>
    <w:p>
      <w:pPr>
        <w:ind w:right="3379"/>
        <w:spacing w:after="0"/>
        <w:rPr>
          <w:sz w:val="20"/>
          <w:szCs w:val="20"/>
          <w:color w:val="auto"/>
        </w:rPr>
      </w:pPr>
      <w:r>
        <w:rPr>
          <w:rFonts w:ascii="Arial" w:cs="Arial" w:eastAsia="Arial" w:hAnsi="Arial"/>
          <w:sz w:val="8"/>
          <w:szCs w:val="8"/>
          <w:color w:val="FFFFFF"/>
        </w:rPr>
        <w:t>The acquisition of MCGC should enable PFLT to better capture the middle market opportunity for our borrowers and shareholders More relevant for borrowers due to broader platform</w:t>
      </w:r>
    </w:p>
    <w:p>
      <w:pPr>
        <w:spacing w:after="0" w:line="194" w:lineRule="auto"/>
        <w:rPr>
          <w:sz w:val="20"/>
          <w:szCs w:val="20"/>
          <w:color w:val="auto"/>
        </w:rPr>
      </w:pPr>
      <w:r>
        <w:rPr>
          <w:rFonts w:ascii="Arial" w:cs="Arial" w:eastAsia="Arial" w:hAnsi="Arial"/>
          <w:sz w:val="6"/>
          <w:szCs w:val="6"/>
          <w:color w:val="FFFFFF"/>
        </w:rPr>
        <w:t>Econ</w:t>
      </w:r>
      <w:r>
        <w:rPr>
          <w:rFonts w:ascii="Arial" w:cs="Arial" w:eastAsia="Arial" w:hAnsi="Arial"/>
          <w:sz w:val="7"/>
          <w:szCs w:val="7"/>
          <w:color w:val="FFFFFF"/>
          <w:vertAlign w:val="subscript"/>
        </w:rPr>
        <w:t>Approximately</w:t>
      </w:r>
      <w:r>
        <w:rPr>
          <w:rFonts w:ascii="Arial" w:cs="Arial" w:eastAsia="Arial" w:hAnsi="Arial"/>
          <w:sz w:val="6"/>
          <w:szCs w:val="6"/>
          <w:color w:val="FFFFFF"/>
        </w:rPr>
        <w:t>Largermiesfloatofandscaleliquidity for shareholders</w:t>
      </w:r>
    </w:p>
    <w:p>
      <w:pPr>
        <w:ind w:left="840"/>
        <w:spacing w:after="0" w:line="205" w:lineRule="auto"/>
        <w:rPr>
          <w:sz w:val="20"/>
          <w:szCs w:val="20"/>
          <w:color w:val="auto"/>
        </w:rPr>
      </w:pPr>
      <w:r>
        <w:rPr>
          <w:rFonts w:ascii="Arial" w:cs="Arial" w:eastAsia="Arial" w:hAnsi="Arial"/>
          <w:sz w:val="2"/>
          <w:szCs w:val="2"/>
          <w:color w:val="FFFFFF"/>
        </w:rPr>
        <w:t xml:space="preserve">70% of MCGC’s </w:t>
      </w:r>
      <w:r>
        <w:rPr>
          <w:rFonts w:ascii="Arial" w:cs="Arial" w:eastAsia="Arial" w:hAnsi="Arial"/>
          <w:sz w:val="4"/>
          <w:szCs w:val="4"/>
          <w:color w:val="FFFFFF"/>
          <w:vertAlign w:val="subscript"/>
        </w:rPr>
        <w:t>assets</w:t>
      </w:r>
      <w:r>
        <w:rPr>
          <w:rFonts w:ascii="Arial" w:cs="Arial" w:eastAsia="Arial" w:hAnsi="Arial"/>
          <w:sz w:val="2"/>
          <w:szCs w:val="2"/>
          <w:color w:val="FFFFFF"/>
        </w:rPr>
        <w:t xml:space="preserve"> are cash as of April 1, 2015</w:t>
      </w:r>
    </w:p>
    <w:p>
      <w:pPr>
        <w:spacing w:after="0" w:line="205" w:lineRule="auto"/>
        <w:rPr>
          <w:sz w:val="20"/>
          <w:szCs w:val="20"/>
          <w:color w:val="auto"/>
        </w:rPr>
      </w:pPr>
      <w:r>
        <w:rPr>
          <w:rFonts w:ascii="Arial" w:cs="Arial" w:eastAsia="Arial" w:hAnsi="Arial"/>
          <w:sz w:val="4"/>
          <w:szCs w:val="4"/>
          <w:color w:val="FFFFFF"/>
        </w:rPr>
        <w:t>PFLT has valued each of MCGC’ four remaining investments and is comfortable with current marks</w:t>
      </w:r>
    </w:p>
    <w:p>
      <w:pPr>
        <w:ind w:right="3059"/>
        <w:spacing w:after="0"/>
        <w:rPr>
          <w:sz w:val="20"/>
          <w:szCs w:val="20"/>
          <w:color w:val="auto"/>
        </w:rPr>
      </w:pPr>
      <w:r>
        <w:rPr>
          <w:rFonts w:ascii="Arial" w:cs="Arial" w:eastAsia="Arial" w:hAnsi="Arial"/>
          <w:sz w:val="11"/>
          <w:szCs w:val="11"/>
          <w:color w:val="FFFFFF"/>
        </w:rPr>
        <w:t>All four investments are debt investments that have debt / EBITDA ratios below 4.0x, which is consistent with PFLT’s existing portfolio 3</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Transaction Summary</w:t>
      </w:r>
    </w:p>
    <w:p>
      <w:pPr>
        <w:spacing w:after="0" w:line="182" w:lineRule="auto"/>
        <w:rPr>
          <w:sz w:val="20"/>
          <w:szCs w:val="20"/>
          <w:color w:val="auto"/>
        </w:rPr>
      </w:pPr>
      <w:r>
        <w:rPr>
          <w:rFonts w:ascii="Arial" w:cs="Arial" w:eastAsia="Arial" w:hAnsi="Arial"/>
          <w:sz w:val="9"/>
          <w:szCs w:val="9"/>
          <w:color w:val="FFFFFF"/>
        </w:rPr>
        <w:t>Consideration:Aggregate•$175 million</w:t>
      </w:r>
    </w:p>
    <w:p>
      <w:pPr>
        <w:spacing w:after="0" w:line="205" w:lineRule="auto"/>
        <w:rPr>
          <w:sz w:val="20"/>
          <w:szCs w:val="20"/>
          <w:color w:val="auto"/>
        </w:rPr>
      </w:pPr>
      <w:r>
        <w:rPr>
          <w:rFonts w:ascii="Arial" w:cs="Arial" w:eastAsia="Arial" w:hAnsi="Arial"/>
          <w:sz w:val="4"/>
          <w:szCs w:val="4"/>
          <w:color w:val="FFFFFF"/>
          <w:vertAlign w:val="subscript"/>
        </w:rPr>
        <w:t>Estimated</w:t>
      </w:r>
      <w:r>
        <w:rPr>
          <w:rFonts w:ascii="Arial" w:cs="Arial" w:eastAsia="Arial" w:hAnsi="Arial"/>
          <w:sz w:val="2"/>
          <w:szCs w:val="2"/>
          <w:color w:val="FFFFFF"/>
        </w:rPr>
        <w:t>•$167millionConsiderationinPFLTcommon stock ($4.521 per MCGC share)</w:t>
      </w:r>
    </w:p>
    <w:p>
      <w:pPr>
        <w:ind w:right="5019"/>
        <w:spacing w:after="0" w:line="204" w:lineRule="auto"/>
        <w:rPr>
          <w:sz w:val="20"/>
          <w:szCs w:val="20"/>
          <w:color w:val="auto"/>
        </w:rPr>
      </w:pPr>
      <w:r>
        <w:rPr>
          <w:rFonts w:ascii="Arial" w:cs="Arial" w:eastAsia="Arial" w:hAnsi="Arial"/>
          <w:sz w:val="8"/>
          <w:szCs w:val="8"/>
          <w:color w:val="FFFFFF"/>
        </w:rPr>
        <w:t>Mix Closing: • $8 million in cash contribution from PennantPark Investment Advisers, LLC (the “Adviser”) ($0.226 per MCGC share)</w:t>
      </w:r>
    </w:p>
    <w:p>
      <w:pPr>
        <w:spacing w:after="0" w:line="206" w:lineRule="auto"/>
        <w:rPr>
          <w:sz w:val="20"/>
          <w:szCs w:val="20"/>
          <w:color w:val="auto"/>
        </w:rPr>
      </w:pPr>
      <w:r>
        <w:rPr>
          <w:rFonts w:ascii="Arial" w:cs="Arial" w:eastAsia="Arial" w:hAnsi="Arial"/>
          <w:sz w:val="4"/>
          <w:szCs w:val="4"/>
          <w:color w:val="FFFFFF"/>
        </w:rPr>
        <w:t>• Floating, based on value of $4.521 per share of MCGC common stock</w:t>
      </w:r>
    </w:p>
    <w:p>
      <w:pPr>
        <w:ind w:right="5039"/>
        <w:spacing w:after="0"/>
        <w:rPr>
          <w:sz w:val="20"/>
          <w:szCs w:val="20"/>
          <w:color w:val="auto"/>
        </w:rPr>
      </w:pPr>
      <w:r>
        <w:rPr>
          <w:rFonts w:ascii="Arial" w:cs="Arial" w:eastAsia="Arial" w:hAnsi="Arial"/>
          <w:sz w:val="5"/>
          <w:szCs w:val="5"/>
          <w:color w:val="FFFFFF"/>
        </w:rPr>
        <w:t>Exchange Ratio: • PFLT common stock to be valued at the greater of NAV and the 10 day volume-weighted average price (“VWAP”) per share of PFLT common stock prior to the second</w:t>
      </w:r>
    </w:p>
    <w:p>
      <w:pPr>
        <w:spacing w:after="0" w:line="189" w:lineRule="auto"/>
        <w:rPr>
          <w:sz w:val="20"/>
          <w:szCs w:val="20"/>
          <w:color w:val="auto"/>
        </w:rPr>
      </w:pPr>
      <w:r>
        <w:rPr>
          <w:rFonts w:ascii="Arial" w:cs="Arial" w:eastAsia="Arial" w:hAnsi="Arial"/>
          <w:sz w:val="11"/>
          <w:szCs w:val="11"/>
          <w:color w:val="FFFFFF"/>
        </w:rPr>
        <w:t>trading day prior to closing</w:t>
      </w:r>
    </w:p>
    <w:p>
      <w:pPr>
        <w:spacing w:after="0" w:line="205" w:lineRule="auto"/>
        <w:rPr>
          <w:sz w:val="20"/>
          <w:szCs w:val="20"/>
          <w:color w:val="auto"/>
        </w:rPr>
      </w:pPr>
      <w:r>
        <w:rPr>
          <w:rFonts w:ascii="Arial" w:cs="Arial" w:eastAsia="Arial" w:hAnsi="Arial"/>
          <w:sz w:val="4"/>
          <w:szCs w:val="4"/>
          <w:color w:val="FFFFFF"/>
        </w:rPr>
        <w:t>paid•$0.226bytheperAdvisershareof MCGC common stock (approximately $8 million in the aggregate),</w:t>
      </w:r>
    </w:p>
    <w:p>
      <w:pPr>
        <w:ind w:right="4699"/>
        <w:spacing w:after="0" w:line="234" w:lineRule="auto"/>
        <w:rPr>
          <w:sz w:val="20"/>
          <w:szCs w:val="20"/>
          <w:color w:val="auto"/>
        </w:rPr>
      </w:pPr>
      <w:r>
        <w:rPr>
          <w:rFonts w:ascii="Arial" w:cs="Arial" w:eastAsia="Arial" w:hAnsi="Arial"/>
          <w:sz w:val="6"/>
          <w:szCs w:val="6"/>
          <w:color w:val="FFFFFF"/>
        </w:rPr>
        <w:t xml:space="preserve">Cash Consideration: • The </w:t>
      </w:r>
      <w:r>
        <w:rPr>
          <w:rFonts w:ascii="Arial" w:cs="Arial" w:eastAsia="Arial" w:hAnsi="Arial"/>
          <w:sz w:val="7"/>
          <w:szCs w:val="7"/>
          <w:color w:val="FFFFFF"/>
          <w:vertAlign w:val="subscript"/>
        </w:rPr>
        <w:t>Adviser</w:t>
      </w:r>
      <w:r>
        <w:rPr>
          <w:rFonts w:ascii="Arial" w:cs="Arial" w:eastAsia="Arial" w:hAnsi="Arial"/>
          <w:sz w:val="6"/>
          <w:szCs w:val="6"/>
          <w:color w:val="FFFFFF"/>
        </w:rPr>
        <w:t xml:space="preserve"> will contribute up to an additional $0.25 per PFLT share issued in this transaction to the extent PFLT’ 10 day VWAP as calculated above is less than PFLT</w:t>
      </w:r>
    </w:p>
    <w:p>
      <w:pPr>
        <w:spacing w:after="0" w:line="205" w:lineRule="auto"/>
        <w:rPr>
          <w:sz w:val="20"/>
          <w:szCs w:val="20"/>
          <w:color w:val="auto"/>
        </w:rPr>
      </w:pPr>
      <w:r>
        <w:rPr>
          <w:rFonts w:ascii="Arial" w:cs="Arial" w:eastAsia="Arial" w:hAnsi="Arial"/>
          <w:sz w:val="4"/>
          <w:szCs w:val="4"/>
          <w:color w:val="FFFFFF"/>
        </w:rPr>
        <w:t>NAV(1)</w:t>
      </w:r>
    </w:p>
    <w:p>
      <w:pPr>
        <w:spacing w:after="0" w:line="205" w:lineRule="auto"/>
        <w:rPr>
          <w:sz w:val="20"/>
          <w:szCs w:val="20"/>
          <w:color w:val="auto"/>
        </w:rPr>
      </w:pPr>
      <w:r>
        <w:rPr>
          <w:rFonts w:ascii="Arial" w:cs="Arial" w:eastAsia="Arial" w:hAnsi="Arial"/>
          <w:sz w:val="4"/>
          <w:szCs w:val="4"/>
          <w:color w:val="FFFFFF"/>
        </w:rPr>
        <w:t>Governance: • The Adviser to remain as external manager of the combined company</w:t>
      </w:r>
    </w:p>
    <w:p>
      <w:pPr>
        <w:spacing w:after="0" w:line="205" w:lineRule="auto"/>
        <w:rPr>
          <w:sz w:val="20"/>
          <w:szCs w:val="20"/>
          <w:color w:val="auto"/>
        </w:rPr>
      </w:pPr>
      <w:r>
        <w:rPr>
          <w:rFonts w:ascii="Arial" w:cs="Arial" w:eastAsia="Arial" w:hAnsi="Arial"/>
          <w:sz w:val="4"/>
          <w:szCs w:val="4"/>
          <w:color w:val="FFFFFF"/>
        </w:rPr>
        <w:t>• PFLT and MCGC shareholder meetings each scheduled for August 14, 2015</w:t>
      </w:r>
    </w:p>
    <w:p>
      <w:pPr>
        <w:ind w:right="4839"/>
        <w:spacing w:after="0" w:line="182" w:lineRule="auto"/>
        <w:rPr>
          <w:sz w:val="20"/>
          <w:szCs w:val="20"/>
          <w:color w:val="auto"/>
        </w:rPr>
      </w:pPr>
      <w:r>
        <w:rPr>
          <w:rFonts w:ascii="Arial" w:cs="Arial" w:eastAsia="Arial" w:hAnsi="Arial"/>
          <w:sz w:val="9"/>
          <w:szCs w:val="9"/>
          <w:color w:val="FFFFFF"/>
        </w:rPr>
        <w:t>Timing to Close: • Closing expected to occur promptly thereafter if required shareholder approvals are received</w:t>
      </w:r>
    </w:p>
    <w:p>
      <w:pPr>
        <w:spacing w:after="0" w:line="182" w:lineRule="auto"/>
        <w:rPr>
          <w:sz w:val="20"/>
          <w:szCs w:val="20"/>
          <w:color w:val="auto"/>
        </w:rPr>
      </w:pPr>
      <w:r>
        <w:rPr>
          <w:rFonts w:ascii="Arial" w:cs="Arial" w:eastAsia="Arial" w:hAnsi="Arial"/>
          <w:sz w:val="9"/>
          <w:szCs w:val="9"/>
          <w:color w:val="FFFFFF"/>
        </w:rPr>
        <w:t>Required Approvals: • Approval of both MCGC and PFLT stockholders</w:t>
      </w:r>
    </w:p>
    <w:p>
      <w:pPr>
        <w:spacing w:after="0"/>
        <w:rPr>
          <w:sz w:val="20"/>
          <w:szCs w:val="20"/>
          <w:color w:val="auto"/>
        </w:rPr>
      </w:pPr>
      <w:r>
        <w:rPr>
          <w:rFonts w:ascii="Arial" w:cs="Arial" w:eastAsia="Arial" w:hAnsi="Arial"/>
          <w:sz w:val="13"/>
          <w:szCs w:val="13"/>
          <w:color w:val="FFFFFF"/>
        </w:rPr>
        <w:t>4(1) PFLT NAV to reflect estimated $2.4 mil in transaction expenses</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Key Benefits of Combination and Synergies</w:t>
      </w:r>
    </w:p>
    <w:p>
      <w:pPr>
        <w:ind w:left="80"/>
        <w:spacing w:after="0" w:line="204" w:lineRule="auto"/>
        <w:rPr>
          <w:sz w:val="20"/>
          <w:szCs w:val="20"/>
          <w:color w:val="auto"/>
        </w:rPr>
      </w:pPr>
      <w:r>
        <w:rPr>
          <w:rFonts w:ascii="Arial" w:cs="Arial" w:eastAsia="Arial" w:hAnsi="Arial"/>
          <w:sz w:val="4"/>
          <w:szCs w:val="4"/>
          <w:color w:val="FFFFFF"/>
        </w:rPr>
        <w:t>AlmostEliminatesdoublesduplicativemarketpubliccapitalization,companycreatingexpensesmore float and liquidity for shareholders</w:t>
      </w:r>
    </w:p>
    <w:p>
      <w:pPr>
        <w:ind w:left="100"/>
        <w:spacing w:after="0" w:line="205" w:lineRule="auto"/>
        <w:rPr>
          <w:sz w:val="20"/>
          <w:szCs w:val="20"/>
          <w:color w:val="auto"/>
        </w:rPr>
      </w:pPr>
      <w:r>
        <w:rPr>
          <w:rFonts w:ascii="Arial" w:cs="Arial" w:eastAsia="Arial" w:hAnsi="Arial"/>
          <w:sz w:val="4"/>
          <w:szCs w:val="4"/>
          <w:color w:val="FFFFFF"/>
        </w:rPr>
        <w:t>Increases scale and competitive relevance with financial sponsors and other borrowers</w:t>
      </w:r>
    </w:p>
    <w:p>
      <w:pPr>
        <w:ind w:left="100" w:right="4599"/>
        <w:spacing w:after="0"/>
        <w:rPr>
          <w:sz w:val="20"/>
          <w:szCs w:val="20"/>
          <w:color w:val="auto"/>
        </w:rPr>
      </w:pPr>
      <w:r>
        <w:rPr>
          <w:rFonts w:ascii="Arial" w:cs="Arial" w:eastAsia="Arial" w:hAnsi="Arial"/>
          <w:sz w:val="5"/>
          <w:szCs w:val="5"/>
          <w:color w:val="FFFFFF"/>
        </w:rPr>
        <w:t>Larger asset base enables greater diversification within the overall portfolio as well as economies of scale Enhanced scale benefiting float and liquidity while spreading fixed costs over a larger asset base</w:t>
      </w:r>
    </w:p>
    <w:p>
      <w:pPr>
        <w:spacing w:after="0" w:line="209" w:lineRule="auto"/>
        <w:rPr>
          <w:sz w:val="20"/>
          <w:szCs w:val="20"/>
          <w:color w:val="auto"/>
        </w:rPr>
      </w:pPr>
      <w:r>
        <w:rPr>
          <w:rFonts w:ascii="Arial" w:cs="Arial" w:eastAsia="Arial" w:hAnsi="Arial"/>
          <w:sz w:val="6"/>
          <w:szCs w:val="6"/>
          <w:color w:val="FFFFFF"/>
          <w:vertAlign w:val="superscript"/>
        </w:rPr>
        <w:t>?</w:t>
      </w:r>
      <w:r>
        <w:rPr>
          <w:rFonts w:ascii="Arial" w:cs="Arial" w:eastAsia="Arial" w:hAnsi="Arial"/>
          <w:sz w:val="3"/>
          <w:szCs w:val="3"/>
          <w:color w:val="FFFFFF"/>
        </w:rPr>
        <w:t xml:space="preserve"> Raises additional equity capital without NAV dilution to PFLT shareholders (before typical deal expenses)</w:t>
      </w:r>
    </w:p>
    <w:p>
      <w:pPr>
        <w:ind w:right="3159" w:firstLine="91"/>
        <w:spacing w:after="0" w:line="234" w:lineRule="auto"/>
        <w:rPr>
          <w:sz w:val="20"/>
          <w:szCs w:val="20"/>
          <w:color w:val="auto"/>
        </w:rPr>
      </w:pPr>
      <w:r>
        <w:rPr>
          <w:rFonts w:ascii="Arial" w:cs="Arial" w:eastAsia="Arial" w:hAnsi="Arial"/>
          <w:sz w:val="6"/>
          <w:szCs w:val="6"/>
          <w:color w:val="FFFFFF"/>
        </w:rPr>
        <w:t xml:space="preserve">Permits MCGC </w:t>
      </w:r>
      <w:r>
        <w:rPr>
          <w:rFonts w:ascii="Arial" w:cs="Arial" w:eastAsia="Arial" w:hAnsi="Arial"/>
          <w:sz w:val="7"/>
          <w:szCs w:val="7"/>
          <w:color w:val="FFFFFF"/>
          <w:vertAlign w:val="subscript"/>
        </w:rPr>
        <w:t>stockholders</w:t>
      </w:r>
      <w:r>
        <w:rPr>
          <w:rFonts w:ascii="Arial" w:cs="Arial" w:eastAsia="Arial" w:hAnsi="Arial"/>
          <w:sz w:val="6"/>
          <w:szCs w:val="6"/>
          <w:color w:val="FFFFFF"/>
        </w:rPr>
        <w:t xml:space="preserve"> to maintain ongoing participation in the combined company and resume monthly dividend participation Shareholders will continue benefit from a proven credit manager that has had a track record of consistent and growing dividends</w:t>
      </w:r>
    </w:p>
    <w:p>
      <w:pPr>
        <w:spacing w:after="0"/>
        <w:rPr>
          <w:sz w:val="20"/>
          <w:szCs w:val="20"/>
          <w:color w:val="auto"/>
        </w:rPr>
      </w:pPr>
      <w:r>
        <w:rPr>
          <w:rFonts w:ascii="Arial" w:cs="Arial" w:eastAsia="Arial" w:hAnsi="Arial"/>
          <w:sz w:val="13"/>
          <w:szCs w:val="13"/>
          <w:color w:val="FFFFFF"/>
        </w:rPr>
        <w:t>5</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480" w:type="dxa"/>
            <w:vAlign w:val="bottom"/>
          </w:tcPr>
          <w:p>
            <w:pPr>
              <w:ind w:left="260"/>
              <w:spacing w:after="0"/>
              <w:rPr>
                <w:sz w:val="20"/>
                <w:szCs w:val="20"/>
                <w:color w:val="auto"/>
              </w:rPr>
            </w:pPr>
            <w:r>
              <w:rPr>
                <w:rFonts w:ascii="Arial" w:cs="Arial" w:eastAsia="Arial" w:hAnsi="Arial"/>
                <w:sz w:val="13"/>
                <w:szCs w:val="13"/>
                <w:color w:val="FFFFFF"/>
                <w:w w:val="93"/>
              </w:rPr>
              <w:t>and MCGC Combined</w:t>
            </w:r>
          </w:p>
        </w:tc>
        <w:tc>
          <w:tcPr>
            <w:tcW w:w="4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560" w:type="dxa"/>
            <w:vAlign w:val="bottom"/>
            <w:gridSpan w:val="2"/>
          </w:tcPr>
          <w:p>
            <w:pPr>
              <w:spacing w:after="0" w:line="40" w:lineRule="exact"/>
              <w:rPr>
                <w:sz w:val="20"/>
                <w:szCs w:val="20"/>
                <w:color w:val="auto"/>
              </w:rPr>
            </w:pPr>
            <w:r>
              <w:rPr>
                <w:rFonts w:ascii="Arial" w:cs="Arial" w:eastAsia="Arial" w:hAnsi="Arial"/>
                <w:sz w:val="4"/>
                <w:szCs w:val="4"/>
                <w:color w:val="FFFFFF"/>
              </w:rPr>
              <w:t>PFLT MCGC</w:t>
            </w:r>
          </w:p>
        </w:tc>
        <w:tc>
          <w:tcPr>
            <w:tcW w:w="4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Externally managed by PennantPark ? Internally managed</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$336 million investment portfolio at value on balance sheet ? $50 million investment portfolio on balance sheet</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71 portfolio companies across 21 different industries on ? Cash position of $116 million</w:t>
            </w:r>
          </w:p>
        </w:tc>
        <w:tc>
          <w:tcPr>
            <w:tcW w:w="0" w:type="dxa"/>
            <w:vAlign w:val="bottom"/>
          </w:tcPr>
          <w:p>
            <w:pPr>
              <w:spacing w:after="0" w:line="20" w:lineRule="exact"/>
              <w:rPr>
                <w:sz w:val="1"/>
                <w:szCs w:val="1"/>
                <w:color w:val="auto"/>
              </w:rPr>
            </w:pPr>
          </w:p>
        </w:tc>
      </w:tr>
      <w:tr>
        <w:trPr>
          <w:trHeight w:val="39"/>
        </w:trPr>
        <w:tc>
          <w:tcPr>
            <w:tcW w:w="5940" w:type="dxa"/>
            <w:vAlign w:val="bottom"/>
            <w:gridSpan w:val="3"/>
          </w:tcPr>
          <w:p>
            <w:pPr>
              <w:spacing w:after="0" w:line="40" w:lineRule="exact"/>
              <w:rPr>
                <w:sz w:val="20"/>
                <w:szCs w:val="20"/>
                <w:color w:val="auto"/>
              </w:rPr>
            </w:pPr>
            <w:r>
              <w:rPr>
                <w:rFonts w:ascii="Arial" w:cs="Arial" w:eastAsia="Arial" w:hAnsi="Arial"/>
                <w:sz w:val="4"/>
                <w:szCs w:val="4"/>
                <w:color w:val="FFFFFF"/>
              </w:rPr>
              <w:t>balance sheet ? Portfolio of 4 debt securities with debt / EBITDA ratios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Average investment size of $4.7 million under 4.0x</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96% floating rate investments ? Has been in the process of monetizing its portfolio and</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PennantPark Investment Advisers, LLC has deployed over buying back tock via a December 2014 tender offer</w:t>
            </w:r>
          </w:p>
        </w:tc>
        <w:tc>
          <w:tcPr>
            <w:tcW w:w="0" w:type="dxa"/>
            <w:vAlign w:val="bottom"/>
          </w:tcPr>
          <w:p>
            <w:pPr>
              <w:spacing w:after="0" w:line="20" w:lineRule="exact"/>
              <w:rPr>
                <w:sz w:val="1"/>
                <w:szCs w:val="1"/>
                <w:color w:val="auto"/>
              </w:rPr>
            </w:pPr>
          </w:p>
        </w:tc>
      </w:tr>
      <w:tr>
        <w:trPr>
          <w:trHeight w:val="39"/>
        </w:trPr>
        <w:tc>
          <w:tcPr>
            <w:tcW w:w="5940" w:type="dxa"/>
            <w:vAlign w:val="bottom"/>
            <w:gridSpan w:val="3"/>
          </w:tcPr>
          <w:p>
            <w:pPr>
              <w:spacing w:after="0" w:line="40" w:lineRule="exact"/>
              <w:rPr>
                <w:sz w:val="20"/>
                <w:szCs w:val="20"/>
                <w:color w:val="auto"/>
              </w:rPr>
            </w:pPr>
            <w:r>
              <w:rPr>
                <w:rFonts w:ascii="Arial" w:cs="Arial" w:eastAsia="Arial" w:hAnsi="Arial"/>
                <w:sz w:val="4"/>
                <w:szCs w:val="4"/>
                <w:color w:val="FFFFFF"/>
              </w:rPr>
              <w:t>$4.4 billion across nearly 360 companies since 2007 ? Announced that it is exploring strategic alternatives on</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$200 million credit facility at L+200 February 9, 2015</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Monthly dividends of $0.095 per share ? Founded in 1998, went public in 2001 and is</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8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Lead r in the externally managed BDC space as measured headquartered in Arlington, VA</w:t>
            </w:r>
          </w:p>
        </w:tc>
        <w:tc>
          <w:tcPr>
            <w:tcW w:w="0" w:type="dxa"/>
            <w:vAlign w:val="bottom"/>
          </w:tcPr>
          <w:p>
            <w:pPr>
              <w:spacing w:after="0" w:line="20" w:lineRule="exact"/>
              <w:rPr>
                <w:sz w:val="1"/>
                <w:szCs w:val="1"/>
                <w:color w:val="auto"/>
              </w:rPr>
            </w:pPr>
          </w:p>
        </w:tc>
      </w:tr>
      <w:tr>
        <w:trPr>
          <w:trHeight w:val="39"/>
        </w:trPr>
        <w:tc>
          <w:tcPr>
            <w:tcW w:w="5940" w:type="dxa"/>
            <w:vAlign w:val="bottom"/>
            <w:gridSpan w:val="3"/>
          </w:tcPr>
          <w:p>
            <w:pPr>
              <w:spacing w:after="0" w:line="40" w:lineRule="exact"/>
              <w:rPr>
                <w:sz w:val="20"/>
                <w:szCs w:val="20"/>
                <w:color w:val="auto"/>
              </w:rPr>
            </w:pPr>
            <w:r>
              <w:rPr>
                <w:rFonts w:ascii="Arial" w:cs="Arial" w:eastAsia="Arial" w:hAnsi="Arial"/>
                <w:sz w:val="4"/>
                <w:szCs w:val="4"/>
                <w:color w:val="FFFFFF"/>
              </w:rPr>
              <w:t>by expense ratio and efficiency ratio</w:t>
            </w:r>
          </w:p>
        </w:tc>
        <w:tc>
          <w:tcPr>
            <w:tcW w:w="0" w:type="dxa"/>
            <w:vAlign w:val="bottom"/>
          </w:tcPr>
          <w:p>
            <w:pPr>
              <w:spacing w:after="0" w:line="20" w:lineRule="exact"/>
              <w:rPr>
                <w:sz w:val="1"/>
                <w:szCs w:val="1"/>
                <w:color w:val="auto"/>
              </w:rPr>
            </w:pPr>
          </w:p>
        </w:tc>
      </w:tr>
      <w:tr>
        <w:trPr>
          <w:trHeight w:val="39"/>
        </w:trPr>
        <w:tc>
          <w:tcPr>
            <w:tcW w:w="1560" w:type="dxa"/>
            <w:vAlign w:val="bottom"/>
            <w:gridSpan w:val="2"/>
          </w:tcPr>
          <w:p>
            <w:pPr>
              <w:spacing w:after="0" w:line="40" w:lineRule="exact"/>
              <w:rPr>
                <w:sz w:val="20"/>
                <w:szCs w:val="20"/>
                <w:color w:val="auto"/>
              </w:rPr>
            </w:pPr>
            <w:r>
              <w:rPr>
                <w:rFonts w:ascii="Arial" w:cs="Arial" w:eastAsia="Arial" w:hAnsi="Arial"/>
                <w:sz w:val="4"/>
                <w:szCs w:val="4"/>
                <w:color w:val="FFFFFF"/>
              </w:rPr>
              <w:t>PFLT and MCGC</w:t>
            </w:r>
          </w:p>
        </w:tc>
        <w:tc>
          <w:tcPr>
            <w:tcW w:w="4380" w:type="dxa"/>
            <w:vAlign w:val="bottom"/>
            <w:vMerge w:val="restart"/>
          </w:tcPr>
          <w:p>
            <w:pPr>
              <w:ind w:left="40"/>
              <w:spacing w:after="0" w:line="38" w:lineRule="exact"/>
              <w:rPr>
                <w:sz w:val="20"/>
                <w:szCs w:val="20"/>
                <w:color w:val="auto"/>
              </w:rPr>
            </w:pPr>
            <w:r>
              <w:rPr>
                <w:rFonts w:ascii="Arial" w:cs="Arial" w:eastAsia="Arial" w:hAnsi="Arial"/>
                <w:sz w:val="4"/>
                <w:szCs w:val="4"/>
                <w:color w:val="FFFFFF"/>
              </w:rPr>
              <w:t>and greater trading liquidity for investors</w:t>
            </w:r>
          </w:p>
        </w:tc>
        <w:tc>
          <w:tcPr>
            <w:tcW w:w="0" w:type="dxa"/>
            <w:vAlign w:val="bottom"/>
          </w:tcPr>
          <w:p>
            <w:pPr>
              <w:spacing w:after="0" w:line="20" w:lineRule="exact"/>
              <w:rPr>
                <w:sz w:val="1"/>
                <w:szCs w:val="1"/>
                <w:color w:val="auto"/>
              </w:rPr>
            </w:pPr>
          </w:p>
        </w:tc>
      </w:tr>
      <w:tr>
        <w:trPr>
          <w:trHeight w:val="0"/>
        </w:trPr>
        <w:tc>
          <w:tcPr>
            <w:tcW w:w="80" w:type="dxa"/>
            <w:vAlign w:val="bottom"/>
          </w:tcPr>
          <w:p>
            <w:pPr>
              <w:spacing w:after="0" w:line="20" w:lineRule="exact"/>
              <w:rPr>
                <w:sz w:val="1"/>
                <w:szCs w:val="1"/>
                <w:color w:val="auto"/>
              </w:rPr>
            </w:pPr>
          </w:p>
        </w:tc>
        <w:tc>
          <w:tcPr>
            <w:tcW w:w="1480" w:type="dxa"/>
            <w:vAlign w:val="bottom"/>
          </w:tcPr>
          <w:p>
            <w:pPr>
              <w:ind w:left="20"/>
              <w:spacing w:after="0" w:line="78" w:lineRule="exact"/>
              <w:rPr>
                <w:sz w:val="20"/>
                <w:szCs w:val="20"/>
                <w:color w:val="auto"/>
              </w:rPr>
            </w:pPr>
            <w:r>
              <w:rPr>
                <w:rFonts w:ascii="Arial" w:cs="Arial" w:eastAsia="Arial" w:hAnsi="Arial"/>
                <w:sz w:val="8"/>
                <w:szCs w:val="8"/>
                <w:color w:val="FFFFFF"/>
              </w:rPr>
              <w:t>Larger market</w:t>
            </w:r>
          </w:p>
        </w:tc>
        <w:tc>
          <w:tcPr>
            <w:tcW w:w="4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
        <w:spacing w:after="0" w:line="211" w:lineRule="auto"/>
        <w:rPr>
          <w:sz w:val="20"/>
          <w:szCs w:val="20"/>
          <w:color w:val="auto"/>
        </w:rPr>
      </w:pPr>
      <w:r>
        <w:rPr>
          <w:rFonts w:ascii="Arial" w:cs="Arial" w:eastAsia="Arial" w:hAnsi="Arial"/>
          <w:sz w:val="2"/>
          <w:szCs w:val="2"/>
          <w:color w:val="FFFFFF"/>
        </w:rPr>
        <w:t>Cont</w:t>
      </w:r>
      <w:r>
        <w:rPr>
          <w:rFonts w:ascii="Arial" w:cs="Arial" w:eastAsia="Arial" w:hAnsi="Arial"/>
          <w:sz w:val="4"/>
          <w:szCs w:val="4"/>
          <w:color w:val="FFFFFF"/>
          <w:vertAlign w:val="subscript"/>
        </w:rPr>
        <w:t>limination</w:t>
      </w:r>
      <w:r>
        <w:rPr>
          <w:rFonts w:ascii="Arial" w:cs="Arial" w:eastAsia="Arial" w:hAnsi="Arial"/>
          <w:sz w:val="2"/>
          <w:szCs w:val="2"/>
          <w:color w:val="FFFFFF"/>
        </w:rPr>
        <w:t>uedfocuscapitalizationmiddlemarket senior loans</w:t>
      </w:r>
    </w:p>
    <w:p>
      <w:pPr>
        <w:spacing w:after="0" w:line="182" w:lineRule="auto"/>
        <w:rPr>
          <w:sz w:val="20"/>
          <w:szCs w:val="20"/>
          <w:color w:val="auto"/>
        </w:rPr>
      </w:pPr>
      <w:r>
        <w:rPr>
          <w:rFonts w:ascii="Arial" w:cs="Arial" w:eastAsia="Arial" w:hAnsi="Arial"/>
          <w:sz w:val="9"/>
          <w:szCs w:val="9"/>
          <w:color w:val="FFFFFF"/>
          <w:vertAlign w:val="subscript"/>
        </w:rPr>
        <w:t>? Externally</w:t>
      </w:r>
      <w:r>
        <w:rPr>
          <w:rFonts w:ascii="Arial" w:cs="Arial" w:eastAsia="Arial" w:hAnsi="Arial"/>
          <w:sz w:val="7"/>
          <w:szCs w:val="7"/>
          <w:color w:val="FFFFFF"/>
        </w:rPr>
        <w:t xml:space="preserve"> managedofMCGC’sbyPennantParkcostburden associated with being a standalone public entity</w:t>
      </w:r>
    </w:p>
    <w:p>
      <w:pPr>
        <w:spacing w:after="0"/>
        <w:rPr>
          <w:sz w:val="20"/>
          <w:szCs w:val="20"/>
          <w:color w:val="auto"/>
        </w:rPr>
      </w:pPr>
      <w:r>
        <w:rPr>
          <w:rFonts w:ascii="Arial" w:cs="Arial" w:eastAsia="Arial" w:hAnsi="Arial"/>
          <w:sz w:val="13"/>
          <w:szCs w:val="13"/>
          <w:color w:val="FFFFFF"/>
        </w:rPr>
        <w:t>6Note: as of 3/31/15.</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80" w:type="dxa"/>
            <w:vAlign w:val="bottom"/>
            <w:gridSpan w:val="3"/>
          </w:tcPr>
          <w:p>
            <w:pPr>
              <w:spacing w:after="0"/>
              <w:rPr>
                <w:sz w:val="20"/>
                <w:szCs w:val="20"/>
                <w:color w:val="auto"/>
              </w:rPr>
            </w:pPr>
            <w:r>
              <w:rPr>
                <w:rFonts w:ascii="Arial" w:cs="Arial" w:eastAsia="Arial" w:hAnsi="Arial"/>
                <w:sz w:val="13"/>
                <w:szCs w:val="13"/>
                <w:color w:val="FFFFFF"/>
                <w:w w:val="96"/>
              </w:rPr>
              <w:t>Value to MCGC Shareholders</w:t>
            </w:r>
          </w:p>
        </w:tc>
        <w:tc>
          <w:tcPr>
            <w:tcW w:w="340" w:type="dxa"/>
            <w:vAlign w:val="bottom"/>
          </w:tcPr>
          <w:p>
            <w:pPr>
              <w:spacing w:after="0"/>
              <w:rPr>
                <w:sz w:val="12"/>
                <w:szCs w:val="12"/>
                <w:color w:val="auto"/>
              </w:rPr>
            </w:pPr>
          </w:p>
        </w:tc>
        <w:tc>
          <w:tcPr>
            <w:tcW w:w="4240" w:type="dxa"/>
            <w:vAlign w:val="bottom"/>
          </w:tcPr>
          <w:p>
            <w:pPr>
              <w:spacing w:after="0"/>
              <w:rPr>
                <w:sz w:val="12"/>
                <w:szCs w:val="12"/>
                <w:color w:val="auto"/>
              </w:rPr>
            </w:pP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PFLT has a shareholder friendly expense structure</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 One of the lowest cost BDCs relative to asset base(1)</w:t>
            </w:r>
          </w:p>
        </w:tc>
      </w:tr>
      <w:tr>
        <w:trPr>
          <w:trHeight w:val="39"/>
        </w:trPr>
        <w:tc>
          <w:tcPr>
            <w:tcW w:w="6260" w:type="dxa"/>
            <w:vAlign w:val="bottom"/>
            <w:gridSpan w:val="5"/>
          </w:tcPr>
          <w:p>
            <w:pPr>
              <w:ind w:left="80"/>
              <w:spacing w:after="0" w:line="40" w:lineRule="exact"/>
              <w:rPr>
                <w:sz w:val="20"/>
                <w:szCs w:val="20"/>
                <w:color w:val="auto"/>
              </w:rPr>
            </w:pPr>
            <w:r>
              <w:rPr>
                <w:rFonts w:ascii="Arial" w:cs="Arial" w:eastAsia="Arial" w:hAnsi="Arial"/>
                <w:sz w:val="4"/>
                <w:szCs w:val="4"/>
                <w:color w:val="FFFFFF"/>
              </w:rPr>
              <w:t>FLT has the highest annual and total returns among the floating rate-focused BDCs(2)</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Partnership with Best – W  the only floating rate BDC in 2014 to have positive returns at 8%</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In-Class Manager ? PFLT’asexternal manager has experience with public vehicles since 2007 (PNNT’s IPO)</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Funded $4.4 billion in 360 companies since inception across PennantPark entities(3)</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 145 different sponsor clients since inception across PennantPark entities(3)</w:t>
            </w:r>
          </w:p>
        </w:tc>
      </w:tr>
      <w:tr>
        <w:trPr>
          <w:trHeight w:val="39"/>
        </w:trPr>
        <w:tc>
          <w:tcPr>
            <w:tcW w:w="1680" w:type="dxa"/>
            <w:vAlign w:val="bottom"/>
            <w:gridSpan w:val="3"/>
          </w:tcPr>
          <w:p>
            <w:pPr>
              <w:spacing w:after="0" w:line="40" w:lineRule="exact"/>
              <w:rPr>
                <w:sz w:val="20"/>
                <w:szCs w:val="20"/>
                <w:color w:val="auto"/>
              </w:rPr>
            </w:pPr>
            <w:r>
              <w:rPr>
                <w:rFonts w:ascii="Arial" w:cs="Arial" w:eastAsia="Arial" w:hAnsi="Arial"/>
                <w:sz w:val="4"/>
                <w:szCs w:val="4"/>
                <w:color w:val="FFFFFF"/>
              </w:rPr>
              <w:t>Floating rate loans help protect</w:t>
            </w:r>
          </w:p>
        </w:tc>
        <w:tc>
          <w:tcPr>
            <w:tcW w:w="340" w:type="dxa"/>
            <w:vAlign w:val="bottom"/>
          </w:tcPr>
          <w:p>
            <w:pPr>
              <w:spacing w:after="0"/>
              <w:rPr>
                <w:sz w:val="3"/>
                <w:szCs w:val="3"/>
                <w:color w:val="auto"/>
              </w:rPr>
            </w:pPr>
          </w:p>
        </w:tc>
        <w:tc>
          <w:tcPr>
            <w:tcW w:w="4240" w:type="dxa"/>
            <w:vAlign w:val="bottom"/>
          </w:tcPr>
          <w:p>
            <w:pPr>
              <w:ind w:left="60"/>
              <w:spacing w:after="0" w:line="40" w:lineRule="exact"/>
              <w:rPr>
                <w:sz w:val="20"/>
                <w:szCs w:val="20"/>
                <w:color w:val="auto"/>
              </w:rPr>
            </w:pPr>
            <w:r>
              <w:rPr>
                <w:rFonts w:ascii="Arial" w:cs="Arial" w:eastAsia="Arial" w:hAnsi="Arial"/>
                <w:sz w:val="4"/>
                <w:szCs w:val="4"/>
                <w:color w:val="FFFFFF"/>
              </w:rPr>
              <w:t>inflation and rising interest rates</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Strategic Reorientation ? PFLT hasagainstdiversified and defensive portfolio with a weighted average cash interest coverage</w:t>
            </w:r>
          </w:p>
        </w:tc>
      </w:tr>
      <w:tr>
        <w:trPr>
          <w:trHeight w:val="39"/>
        </w:trPr>
        <w:tc>
          <w:tcPr>
            <w:tcW w:w="2020" w:type="dxa"/>
            <w:vAlign w:val="bottom"/>
            <w:gridSpan w:val="4"/>
          </w:tcPr>
          <w:p>
            <w:pPr>
              <w:spacing w:after="0" w:line="40" w:lineRule="exact"/>
              <w:rPr>
                <w:sz w:val="20"/>
                <w:szCs w:val="20"/>
                <w:color w:val="auto"/>
              </w:rPr>
            </w:pPr>
            <w:r>
              <w:rPr>
                <w:rFonts w:ascii="Arial" w:cs="Arial" w:eastAsia="Arial" w:hAnsi="Arial"/>
                <w:sz w:val="4"/>
                <w:szCs w:val="4"/>
                <w:color w:val="FFFFFF"/>
              </w:rPr>
              <w:t>into Attractive Floating of 3.1x(3)</w:t>
            </w:r>
          </w:p>
        </w:tc>
        <w:tc>
          <w:tcPr>
            <w:tcW w:w="4240" w:type="dxa"/>
            <w:vAlign w:val="bottom"/>
          </w:tcPr>
          <w:p>
            <w:pPr>
              <w:spacing w:after="0"/>
              <w:rPr>
                <w:sz w:val="3"/>
                <w:szCs w:val="3"/>
                <w:color w:val="auto"/>
              </w:rPr>
            </w:pPr>
          </w:p>
        </w:tc>
      </w:tr>
      <w:tr>
        <w:trPr>
          <w:trHeight w:val="39"/>
        </w:trPr>
        <w:tc>
          <w:tcPr>
            <w:tcW w:w="460" w:type="dxa"/>
            <w:vAlign w:val="bottom"/>
            <w:gridSpan w:val="2"/>
          </w:tcPr>
          <w:p>
            <w:pPr>
              <w:spacing w:after="0" w:line="40" w:lineRule="exact"/>
              <w:rPr>
                <w:sz w:val="20"/>
                <w:szCs w:val="20"/>
                <w:color w:val="auto"/>
              </w:rPr>
            </w:pPr>
            <w:r>
              <w:rPr>
                <w:rFonts w:ascii="Arial" w:cs="Arial" w:eastAsia="Arial" w:hAnsi="Arial"/>
                <w:sz w:val="4"/>
                <w:szCs w:val="4"/>
                <w:color w:val="FFFFFF"/>
              </w:rPr>
              <w:t>Rate</w:t>
            </w:r>
          </w:p>
        </w:tc>
        <w:tc>
          <w:tcPr>
            <w:tcW w:w="5800" w:type="dxa"/>
            <w:vAlign w:val="bottom"/>
            <w:gridSpan w:val="3"/>
          </w:tcPr>
          <w:p>
            <w:pPr>
              <w:ind w:left="220"/>
              <w:spacing w:after="0" w:line="40" w:lineRule="exact"/>
              <w:rPr>
                <w:sz w:val="20"/>
                <w:szCs w:val="20"/>
                <w:color w:val="auto"/>
              </w:rPr>
            </w:pPr>
            <w:r>
              <w:rPr>
                <w:rFonts w:ascii="Arial" w:cs="Arial" w:eastAsia="Arial" w:hAnsi="Arial"/>
                <w:sz w:val="4"/>
                <w:szCs w:val="4"/>
                <w:color w:val="FFFFFF"/>
              </w:rPr>
              <w:t>? Senior secured loans have strong capital preservation attributes</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PFLTMarkethassolid dividend track record, paying monthly dividends of $0.095 per share</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Receiving PFLT shares represents attractive currency as the company provides investors with</w:t>
            </w: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capital preservation and current income</w:t>
            </w:r>
          </w:p>
        </w:tc>
      </w:tr>
      <w:tr>
        <w:trPr>
          <w:trHeight w:val="39"/>
        </w:trPr>
        <w:tc>
          <w:tcPr>
            <w:tcW w:w="1680" w:type="dxa"/>
            <w:vAlign w:val="bottom"/>
            <w:gridSpan w:val="3"/>
          </w:tcPr>
          <w:p>
            <w:pPr>
              <w:spacing w:after="0" w:line="40" w:lineRule="exact"/>
              <w:rPr>
                <w:sz w:val="20"/>
                <w:szCs w:val="20"/>
                <w:color w:val="auto"/>
              </w:rPr>
            </w:pPr>
            <w:r>
              <w:rPr>
                <w:rFonts w:ascii="Arial" w:cs="Arial" w:eastAsia="Arial" w:hAnsi="Arial"/>
                <w:sz w:val="4"/>
                <w:szCs w:val="4"/>
                <w:color w:val="FFFFFF"/>
              </w:rPr>
              <w:t>Attractive Entry Point</w:t>
            </w:r>
          </w:p>
        </w:tc>
        <w:tc>
          <w:tcPr>
            <w:tcW w:w="34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39"/>
        </w:trPr>
        <w:tc>
          <w:tcPr>
            <w:tcW w:w="6260" w:type="dxa"/>
            <w:vAlign w:val="bottom"/>
            <w:gridSpan w:val="5"/>
          </w:tcPr>
          <w:p>
            <w:pPr>
              <w:spacing w:after="0" w:line="40" w:lineRule="exact"/>
              <w:rPr>
                <w:sz w:val="20"/>
                <w:szCs w:val="20"/>
                <w:color w:val="auto"/>
              </w:rPr>
            </w:pPr>
            <w:r>
              <w:rPr>
                <w:rFonts w:ascii="Arial" w:cs="Arial" w:eastAsia="Arial" w:hAnsi="Arial"/>
                <w:sz w:val="4"/>
                <w:szCs w:val="4"/>
                <w:color w:val="FFFFFF"/>
              </w:rPr>
              <w:t>into PFLT from ? MCGC shareholders can benefit from appreciation of stock price and PFLT has increased</w:t>
            </w:r>
          </w:p>
        </w:tc>
      </w:tr>
      <w:tr>
        <w:trPr>
          <w:trHeight w:val="39"/>
        </w:trPr>
        <w:tc>
          <w:tcPr>
            <w:tcW w:w="1680" w:type="dxa"/>
            <w:vAlign w:val="bottom"/>
            <w:gridSpan w:val="3"/>
          </w:tcPr>
          <w:p>
            <w:pPr>
              <w:spacing w:after="0" w:line="40" w:lineRule="exact"/>
              <w:rPr>
                <w:sz w:val="20"/>
                <w:szCs w:val="20"/>
                <w:color w:val="auto"/>
              </w:rPr>
            </w:pPr>
            <w:r>
              <w:rPr>
                <w:rFonts w:ascii="Arial" w:cs="Arial" w:eastAsia="Arial" w:hAnsi="Arial"/>
                <w:sz w:val="4"/>
                <w:szCs w:val="4"/>
                <w:color w:val="FFFFFF"/>
              </w:rPr>
              <w:t>Valuation Perspective</w:t>
            </w:r>
          </w:p>
        </w:tc>
        <w:tc>
          <w:tcPr>
            <w:tcW w:w="340" w:type="dxa"/>
            <w:vAlign w:val="bottom"/>
          </w:tcPr>
          <w:p>
            <w:pPr>
              <w:ind w:left="40"/>
              <w:spacing w:after="0" w:line="40" w:lineRule="exact"/>
              <w:rPr>
                <w:sz w:val="20"/>
                <w:szCs w:val="20"/>
                <w:color w:val="auto"/>
              </w:rPr>
            </w:pPr>
            <w:r>
              <w:rPr>
                <w:rFonts w:ascii="Arial" w:cs="Arial" w:eastAsia="Arial" w:hAnsi="Arial"/>
                <w:sz w:val="4"/>
                <w:szCs w:val="4"/>
                <w:color w:val="FFFFFF"/>
              </w:rPr>
              <w:t>since</w:t>
            </w:r>
          </w:p>
        </w:tc>
        <w:tc>
          <w:tcPr>
            <w:tcW w:w="4240" w:type="dxa"/>
            <w:vAlign w:val="bottom"/>
          </w:tcPr>
          <w:p>
            <w:pPr>
              <w:spacing w:after="0"/>
              <w:rPr>
                <w:sz w:val="3"/>
                <w:szCs w:val="3"/>
                <w:color w:val="auto"/>
              </w:rPr>
            </w:pPr>
          </w:p>
        </w:tc>
      </w:tr>
      <w:tr>
        <w:trPr>
          <w:trHeight w:val="39"/>
        </w:trPr>
        <w:tc>
          <w:tcPr>
            <w:tcW w:w="6260" w:type="dxa"/>
            <w:vAlign w:val="bottom"/>
            <w:gridSpan w:val="5"/>
          </w:tcPr>
          <w:p>
            <w:pPr>
              <w:ind w:left="80"/>
              <w:spacing w:after="0" w:line="40" w:lineRule="exact"/>
              <w:rPr>
                <w:sz w:val="20"/>
                <w:szCs w:val="20"/>
                <w:color w:val="auto"/>
              </w:rPr>
            </w:pPr>
            <w:r>
              <w:rPr>
                <w:rFonts w:ascii="Arial" w:cs="Arial" w:eastAsia="Arial" w:hAnsi="Arial"/>
                <w:sz w:val="4"/>
                <w:szCs w:val="4"/>
                <w:color w:val="FFFFFF"/>
              </w:rPr>
              <w:t>5.8% premium to MCGC’dividendsstock priceinceptionApril 28, 2015</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6120" w:type="dxa"/>
            <w:vAlign w:val="bottom"/>
            <w:gridSpan w:val="4"/>
          </w:tcPr>
          <w:p>
            <w:pPr>
              <w:spacing w:after="0" w:line="40" w:lineRule="exact"/>
              <w:rPr>
                <w:sz w:val="20"/>
                <w:szCs w:val="20"/>
                <w:color w:val="auto"/>
              </w:rPr>
            </w:pPr>
            <w:r>
              <w:rPr>
                <w:rFonts w:ascii="Arial" w:cs="Arial" w:eastAsia="Arial" w:hAnsi="Arial"/>
                <w:sz w:val="4"/>
                <w:szCs w:val="4"/>
                <w:color w:val="FFFFFF"/>
              </w:rPr>
              <w:t>SNL Financial as of most recent quarterly financials.</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1540" w:type="dxa"/>
            <w:vAlign w:val="bottom"/>
            <w:gridSpan w:val="2"/>
          </w:tcPr>
          <w:p>
            <w:pPr>
              <w:spacing w:after="0" w:line="40" w:lineRule="exact"/>
              <w:rPr>
                <w:sz w:val="20"/>
                <w:szCs w:val="20"/>
                <w:color w:val="auto"/>
              </w:rPr>
            </w:pPr>
            <w:r>
              <w:rPr>
                <w:rFonts w:ascii="Arial" w:cs="Arial" w:eastAsia="Arial" w:hAnsi="Arial"/>
                <w:sz w:val="4"/>
                <w:szCs w:val="4"/>
                <w:color w:val="FFFFFF"/>
              </w:rPr>
              <w:t>FactSet as of 7/8/15.</w:t>
            </w:r>
          </w:p>
        </w:tc>
        <w:tc>
          <w:tcPr>
            <w:tcW w:w="34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1540" w:type="dxa"/>
            <w:vAlign w:val="bottom"/>
            <w:gridSpan w:val="2"/>
          </w:tcPr>
          <w:p>
            <w:pPr>
              <w:spacing w:after="0" w:line="40" w:lineRule="exact"/>
              <w:rPr>
                <w:sz w:val="20"/>
                <w:szCs w:val="20"/>
                <w:color w:val="auto"/>
              </w:rPr>
            </w:pPr>
            <w:r>
              <w:rPr>
                <w:rFonts w:ascii="Arial" w:cs="Arial" w:eastAsia="Arial" w:hAnsi="Arial"/>
                <w:sz w:val="4"/>
                <w:szCs w:val="4"/>
                <w:color w:val="FFFFFF"/>
              </w:rPr>
              <w:t>As of 3/31/15.</w:t>
            </w:r>
          </w:p>
        </w:tc>
        <w:tc>
          <w:tcPr>
            <w:tcW w:w="34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165"/>
        </w:trPr>
        <w:tc>
          <w:tcPr>
            <w:tcW w:w="140" w:type="dxa"/>
            <w:vAlign w:val="bottom"/>
          </w:tcPr>
          <w:p>
            <w:pPr>
              <w:spacing w:after="0"/>
              <w:rPr>
                <w:sz w:val="20"/>
                <w:szCs w:val="20"/>
                <w:color w:val="auto"/>
              </w:rPr>
            </w:pPr>
            <w:r>
              <w:rPr>
                <w:rFonts w:ascii="Arial" w:cs="Arial" w:eastAsia="Arial" w:hAnsi="Arial"/>
                <w:sz w:val="13"/>
                <w:szCs w:val="13"/>
                <w:color w:val="FFFFFF"/>
              </w:rPr>
              <w:t>7</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40" w:type="dxa"/>
            <w:vAlign w:val="bottom"/>
          </w:tcPr>
          <w:p>
            <w:pPr>
              <w:spacing w:after="0"/>
              <w:rPr>
                <w:sz w:val="14"/>
                <w:szCs w:val="14"/>
                <w:color w:val="auto"/>
              </w:rPr>
            </w:pPr>
          </w:p>
        </w:tc>
      </w:tr>
    </w:tbl>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Demonstrated Ability to Deploy Capital</w:t>
      </w:r>
    </w:p>
    <w:p>
      <w:pPr>
        <w:ind w:right="3899"/>
        <w:spacing w:after="0" w:line="182" w:lineRule="auto"/>
        <w:rPr>
          <w:sz w:val="20"/>
          <w:szCs w:val="20"/>
          <w:color w:val="auto"/>
        </w:rPr>
      </w:pPr>
      <w:r>
        <w:rPr>
          <w:rFonts w:ascii="Arial" w:cs="Arial" w:eastAsia="Arial" w:hAnsi="Arial"/>
          <w:sz w:val="9"/>
          <w:szCs w:val="9"/>
          <w:color w:val="FFFFFF"/>
        </w:rPr>
        <w:t>? PFLT has demonstrated an ability to quickly ramp assets, while maintaining strong credit quality, after equity offerings PFLT Portfolio Size</w:t>
      </w:r>
    </w:p>
    <w:p>
      <w:pPr>
        <w:spacing w:after="0" w:line="205" w:lineRule="auto"/>
        <w:rPr>
          <w:sz w:val="20"/>
          <w:szCs w:val="20"/>
          <w:color w:val="auto"/>
        </w:rPr>
      </w:pPr>
      <w:r>
        <w:rPr>
          <w:rFonts w:ascii="Arial" w:cs="Arial" w:eastAsia="Arial" w:hAnsi="Arial"/>
          <w:sz w:val="4"/>
          <w:szCs w:val="4"/>
          <w:color w:val="FFFFFF"/>
        </w:rPr>
        <w:t>($ in millions)</w:t>
      </w:r>
    </w:p>
    <w:p>
      <w:pPr>
        <w:ind w:left="80"/>
        <w:spacing w:after="0" w:line="189" w:lineRule="auto"/>
        <w:rPr>
          <w:sz w:val="20"/>
          <w:szCs w:val="20"/>
          <w:color w:val="auto"/>
        </w:rPr>
      </w:pPr>
      <w:r>
        <w:rPr>
          <w:rFonts w:ascii="Arial" w:cs="Arial" w:eastAsia="Arial" w:hAnsi="Arial"/>
          <w:sz w:val="13"/>
          <w:szCs w:val="13"/>
          <w:color w:val="FFFFFF"/>
          <w:vertAlign w:val="superscript"/>
        </w:rPr>
        <w:t>40050</w:t>
      </w:r>
      <w:r>
        <w:rPr>
          <w:rFonts w:ascii="Arial" w:cs="Arial" w:eastAsia="Arial" w:hAnsi="Arial"/>
          <w:sz w:val="8"/>
          <w:szCs w:val="8"/>
          <w:color w:val="FFFFFF"/>
        </w:rPr>
        <w:t xml:space="preserve"> Ramp after two follow-on offerings</w:t>
      </w:r>
    </w:p>
    <w:p>
      <w:pPr>
        <w:spacing w:after="0" w:line="189" w:lineRule="auto"/>
        <w:rPr>
          <w:sz w:val="20"/>
          <w:szCs w:val="20"/>
          <w:color w:val="auto"/>
        </w:rPr>
      </w:pPr>
      <w:r>
        <w:rPr>
          <w:rFonts w:ascii="Arial" w:cs="Arial" w:eastAsia="Arial" w:hAnsi="Arial"/>
          <w:sz w:val="13"/>
          <w:szCs w:val="13"/>
          <w:color w:val="FFFFFF"/>
        </w:rPr>
        <w:t>$300250</w:t>
      </w:r>
    </w:p>
    <w:p>
      <w:pPr>
        <w:spacing w:after="0" w:line="206" w:lineRule="auto"/>
        <w:rPr>
          <w:sz w:val="20"/>
          <w:szCs w:val="20"/>
          <w:color w:val="auto"/>
        </w:rPr>
      </w:pPr>
      <w:r>
        <w:rPr>
          <w:rFonts w:ascii="Arial" w:cs="Arial" w:eastAsia="Arial" w:hAnsi="Arial"/>
          <w:sz w:val="4"/>
          <w:szCs w:val="4"/>
          <w:color w:val="FFFFFF"/>
        </w:rPr>
        <w:t>Ramp after $100MM IPO</w:t>
      </w:r>
    </w:p>
    <w:p>
      <w:pPr>
        <w:ind w:left="80"/>
        <w:spacing w:after="0" w:line="182" w:lineRule="auto"/>
        <w:rPr>
          <w:sz w:val="20"/>
          <w:szCs w:val="20"/>
          <w:color w:val="auto"/>
        </w:rPr>
      </w:pPr>
      <w:r>
        <w:rPr>
          <w:rFonts w:ascii="Arial" w:cs="Arial" w:eastAsia="Arial" w:hAnsi="Arial"/>
          <w:sz w:val="7"/>
          <w:szCs w:val="7"/>
          <w:color w:val="FFFFFF"/>
        </w:rPr>
        <w:t>1200</w:t>
      </w:r>
      <w:r>
        <w:rPr>
          <w:rFonts w:ascii="Arial" w:cs="Arial" w:eastAsia="Arial" w:hAnsi="Arial"/>
          <w:sz w:val="9"/>
          <w:szCs w:val="9"/>
          <w:color w:val="FFFFFF"/>
          <w:vertAlign w:val="subscript"/>
        </w:rPr>
        <w:t>50</w:t>
      </w:r>
    </w:p>
    <w:p>
      <w:pPr>
        <w:spacing w:after="0" w:line="182" w:lineRule="auto"/>
        <w:rPr>
          <w:sz w:val="20"/>
          <w:szCs w:val="20"/>
          <w:color w:val="auto"/>
        </w:rPr>
      </w:pPr>
      <w:r>
        <w:rPr>
          <w:rFonts w:ascii="Arial" w:cs="Arial" w:eastAsia="Arial" w:hAnsi="Arial"/>
          <w:sz w:val="9"/>
          <w:szCs w:val="9"/>
          <w:color w:val="FFFFFF"/>
        </w:rPr>
        <w:t>$500</w:t>
      </w:r>
    </w:p>
    <w:p>
      <w:pPr>
        <w:ind w:right="3719"/>
        <w:spacing w:after="0" w:line="182" w:lineRule="auto"/>
        <w:rPr>
          <w:sz w:val="20"/>
          <w:szCs w:val="20"/>
          <w:color w:val="auto"/>
        </w:rPr>
      </w:pPr>
      <w:r>
        <w:rPr>
          <w:rFonts w:ascii="Arial" w:cs="Arial" w:eastAsia="Arial" w:hAnsi="Arial"/>
          <w:sz w:val="9"/>
          <w:szCs w:val="9"/>
          <w:color w:val="FFFFFF"/>
        </w:rPr>
        <w:t>Jun-11 Sep-11 Dec-11 Mar-12 Jun-12 Sep-12 Dec-12 Mar-13 Jun-13 Sep-13 Dec-13 Mar-14 Jun-14 Sep-14 Dec-14 Mar-15 Total Portfolio Size</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Increased Relevance in Senior Secured Middle Market</w:t>
      </w:r>
    </w:p>
    <w:p>
      <w:pPr>
        <w:spacing w:after="0" w:line="204" w:lineRule="auto"/>
        <w:rPr>
          <w:sz w:val="20"/>
          <w:szCs w:val="20"/>
          <w:color w:val="auto"/>
        </w:rPr>
      </w:pPr>
      <w:r>
        <w:rPr>
          <w:rFonts w:ascii="Arial" w:cs="Arial" w:eastAsia="Arial" w:hAnsi="Arial"/>
          <w:sz w:val="8"/>
          <w:szCs w:val="8"/>
          <w:color w:val="FFFFFF"/>
        </w:rPr>
        <w:t>? Through the proposed acquisition of MCGC, PFLT will be able to become more relevant with financial sponsors and borrowers and have a greater opportunity to identify high quality assets in a large market Middle Market Origination Volume by Quarter vs. PFLT Portfolio Size</w:t>
      </w:r>
    </w:p>
    <w:p>
      <w:pPr>
        <w:ind w:left="80"/>
        <w:spacing w:after="0" w:line="206" w:lineRule="auto"/>
        <w:rPr>
          <w:sz w:val="20"/>
          <w:szCs w:val="20"/>
          <w:color w:val="auto"/>
        </w:rPr>
      </w:pPr>
      <w:r>
        <w:rPr>
          <w:rFonts w:ascii="Arial" w:cs="Arial" w:eastAsia="Arial" w:hAnsi="Arial"/>
          <w:sz w:val="4"/>
          <w:szCs w:val="4"/>
          <w:color w:val="FFFFFF"/>
          <w:vertAlign w:val="subscript"/>
        </w:rPr>
        <w:t>5</w:t>
      </w:r>
      <w:r>
        <w:rPr>
          <w:rFonts w:ascii="Arial" w:cs="Arial" w:eastAsia="Arial" w:hAnsi="Arial"/>
          <w:sz w:val="2"/>
          <w:szCs w:val="2"/>
          <w:color w:val="FFFFFF"/>
        </w:rPr>
        <w:t>6</w:t>
      </w:r>
    </w:p>
    <w:p>
      <w:pPr>
        <w:ind w:left="80"/>
        <w:spacing w:after="0" w:line="205" w:lineRule="auto"/>
        <w:rPr>
          <w:sz w:val="20"/>
          <w:szCs w:val="20"/>
          <w:color w:val="auto"/>
        </w:rPr>
      </w:pPr>
      <w:r>
        <w:rPr>
          <w:rFonts w:ascii="Arial" w:cs="Arial" w:eastAsia="Arial" w:hAnsi="Arial"/>
          <w:sz w:val="4"/>
          <w:szCs w:val="4"/>
          <w:color w:val="FFFFFF"/>
        </w:rPr>
        <w:t>4</w:t>
      </w:r>
    </w:p>
    <w:p>
      <w:pPr>
        <w:ind w:left="80"/>
        <w:spacing w:after="0" w:line="205" w:lineRule="auto"/>
        <w:rPr>
          <w:sz w:val="20"/>
          <w:szCs w:val="20"/>
          <w:color w:val="auto"/>
        </w:rPr>
      </w:pPr>
      <w:r>
        <w:rPr>
          <w:rFonts w:ascii="Arial" w:cs="Arial" w:eastAsia="Arial" w:hAnsi="Arial"/>
          <w:sz w:val="4"/>
          <w:szCs w:val="4"/>
          <w:color w:val="FFFFFF"/>
        </w:rPr>
        <w:t>3</w:t>
      </w:r>
    </w:p>
    <w:p>
      <w:pPr>
        <w:ind w:left="80"/>
        <w:spacing w:after="0" w:line="205" w:lineRule="auto"/>
        <w:rPr>
          <w:sz w:val="20"/>
          <w:szCs w:val="20"/>
          <w:color w:val="auto"/>
        </w:rPr>
      </w:pPr>
      <w:r>
        <w:rPr>
          <w:rFonts w:ascii="Arial" w:cs="Arial" w:eastAsia="Arial" w:hAnsi="Arial"/>
          <w:sz w:val="4"/>
          <w:szCs w:val="4"/>
          <w:color w:val="FFFFFF"/>
        </w:rPr>
        <w:t>2</w:t>
      </w:r>
    </w:p>
    <w:p>
      <w:pPr>
        <w:spacing w:after="0" w:line="182" w:lineRule="auto"/>
        <w:rPr>
          <w:sz w:val="20"/>
          <w:szCs w:val="20"/>
          <w:color w:val="auto"/>
        </w:rPr>
      </w:pPr>
      <w:r>
        <w:rPr>
          <w:rFonts w:ascii="Arial" w:cs="Arial" w:eastAsia="Arial" w:hAnsi="Arial"/>
          <w:sz w:val="9"/>
          <w:szCs w:val="9"/>
          <w:color w:val="FFFFFF"/>
        </w:rPr>
        <w:t>$1,000</w:t>
      </w:r>
    </w:p>
    <w:p>
      <w:pPr>
        <w:ind w:left="80"/>
        <w:spacing w:after="0" w:line="182" w:lineRule="auto"/>
        <w:rPr>
          <w:sz w:val="20"/>
          <w:szCs w:val="20"/>
          <w:color w:val="auto"/>
        </w:rPr>
      </w:pPr>
      <w:r>
        <w:rPr>
          <w:rFonts w:ascii="Arial" w:cs="Arial" w:eastAsia="Arial" w:hAnsi="Arial"/>
          <w:sz w:val="9"/>
          <w:szCs w:val="9"/>
          <w:color w:val="FFFFFF"/>
        </w:rPr>
        <w:t>-</w:t>
      </w:r>
    </w:p>
    <w:p>
      <w:pPr>
        <w:spacing w:after="0" w:line="182" w:lineRule="auto"/>
        <w:rPr>
          <w:sz w:val="20"/>
          <w:szCs w:val="20"/>
          <w:color w:val="auto"/>
        </w:rPr>
      </w:pPr>
      <w:r>
        <w:rPr>
          <w:rFonts w:ascii="Arial" w:cs="Arial" w:eastAsia="Arial" w:hAnsi="Arial"/>
          <w:sz w:val="9"/>
          <w:szCs w:val="9"/>
          <w:color w:val="FFFFFF"/>
        </w:rPr>
        <w:t>Mid2Q11-Market3Q114Q11Volume1Q12PFLT2Q12Portfolio3Q12 4Q12Size 1Q13 2Q13 3Q13 4Q13 1Q14 2Q14 3Q14 4Q14 1Q15</w:t>
      </w:r>
    </w:p>
    <w:p>
      <w:pPr>
        <w:spacing w:after="0"/>
        <w:rPr>
          <w:sz w:val="20"/>
          <w:szCs w:val="20"/>
          <w:color w:val="auto"/>
        </w:rPr>
      </w:pPr>
      <w:r>
        <w:rPr>
          <w:rFonts w:ascii="Arial" w:cs="Arial" w:eastAsia="Arial" w:hAnsi="Arial"/>
          <w:sz w:val="13"/>
          <w:szCs w:val="13"/>
          <w:color w:val="FFFFFF"/>
        </w:rPr>
        <w:t>9Note: Mid-market defined as issuers with EBITDA of $50 million or less. Source: S&amp;P, represents senior secured loans.</w:t>
      </w:r>
    </w:p>
    <w:p>
      <w:pPr>
        <w:sectPr>
          <w:pgSz w:w="11900" w:h="16838" w:orient="portrait"/>
          <w:cols w:equalWidth="0" w:num="1">
            <w:col w:w="10900"/>
          </w:cols>
          <w:pgMar w:left="240" w:top="1440" w:right="7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Expense Ratio Comparisons</w:t>
      </w:r>
    </w:p>
    <w:p>
      <w:pPr>
        <w:spacing w:after="0" w:line="204"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 xml:space="preserve"> PFLT offers current MCGC shareholders a friendly expense structure</w:t>
      </w:r>
    </w:p>
    <w:p>
      <w:pPr>
        <w:ind w:right="3340" w:firstLine="91"/>
        <w:spacing w:after="0"/>
        <w:rPr>
          <w:sz w:val="20"/>
          <w:szCs w:val="20"/>
          <w:color w:val="auto"/>
        </w:rPr>
      </w:pPr>
      <w:r>
        <w:rPr>
          <w:rFonts w:ascii="Arial" w:cs="Arial" w:eastAsia="Arial" w:hAnsi="Arial"/>
          <w:sz w:val="9"/>
          <w:szCs w:val="9"/>
          <w:color w:val="FFFFFF"/>
        </w:rPr>
        <w:t>In terms of non-interest expense efficiencies, PFLT is a leader in the externally managed BDC space as measured by expense ratio and efficiency ratio Expense Ratio Efficiency Ratio</w:t>
      </w:r>
    </w:p>
    <w:p>
      <w:pPr>
        <w:spacing w:after="0" w:line="193" w:lineRule="auto"/>
        <w:rPr>
          <w:sz w:val="20"/>
          <w:szCs w:val="20"/>
          <w:color w:val="auto"/>
        </w:rPr>
      </w:pPr>
      <w:r>
        <w:rPr>
          <w:rFonts w:ascii="Arial" w:cs="Arial" w:eastAsia="Arial" w:hAnsi="Arial"/>
          <w:sz w:val="10"/>
          <w:szCs w:val="10"/>
          <w:color w:val="FFFFFF"/>
        </w:rPr>
        <w:t>ACSFNon-InterestTCPC ExpensesEfficiency =</w:t>
      </w:r>
    </w:p>
    <w:p>
      <w:pPr>
        <w:spacing w:after="0" w:line="207" w:lineRule="auto"/>
        <w:rPr>
          <w:sz w:val="20"/>
          <w:szCs w:val="20"/>
          <w:color w:val="auto"/>
        </w:rPr>
      </w:pPr>
      <w:r>
        <w:rPr>
          <w:rFonts w:ascii="Arial" w:cs="Arial" w:eastAsia="Arial" w:hAnsi="Arial"/>
          <w:sz w:val="4"/>
          <w:szCs w:val="4"/>
          <w:color w:val="FFFFFF"/>
        </w:rPr>
        <w:t>TCPCSUNS =ExpenseACSF RatioNon-Interest+ Expenses ABDC Net Interest Non-Interest</w:t>
      </w:r>
    </w:p>
    <w:p>
      <w:pPr>
        <w:spacing w:after="0" w:line="205" w:lineRule="auto"/>
        <w:rPr>
          <w:sz w:val="20"/>
          <w:szCs w:val="20"/>
          <w:color w:val="auto"/>
        </w:rPr>
      </w:pPr>
      <w:r>
        <w:rPr>
          <w:rFonts w:ascii="Arial" w:cs="Arial" w:eastAsia="Arial" w:hAnsi="Arial"/>
          <w:sz w:val="4"/>
          <w:szCs w:val="4"/>
          <w:color w:val="FFFFFF"/>
        </w:rPr>
        <w:t>Ratio Average Assets Income Income</w:t>
      </w:r>
    </w:p>
    <w:p>
      <w:pPr>
        <w:spacing w:after="0" w:line="205" w:lineRule="auto"/>
        <w:rPr>
          <w:sz w:val="20"/>
          <w:szCs w:val="20"/>
          <w:color w:val="auto"/>
        </w:rPr>
      </w:pPr>
      <w:r>
        <w:rPr>
          <w:rFonts w:ascii="Arial" w:cs="Arial" w:eastAsia="Arial" w:hAnsi="Arial"/>
          <w:sz w:val="4"/>
          <w:szCs w:val="4"/>
          <w:color w:val="FFFFFF"/>
        </w:rPr>
        <w:t>PFLT SUNS</w:t>
      </w:r>
    </w:p>
    <w:p>
      <w:pPr>
        <w:spacing w:after="0" w:line="205" w:lineRule="auto"/>
        <w:rPr>
          <w:sz w:val="20"/>
          <w:szCs w:val="20"/>
          <w:color w:val="auto"/>
        </w:rPr>
      </w:pPr>
      <w:r>
        <w:rPr>
          <w:rFonts w:ascii="Arial" w:cs="Arial" w:eastAsia="Arial" w:hAnsi="Arial"/>
          <w:sz w:val="4"/>
          <w:szCs w:val="4"/>
          <w:color w:val="FFFFFF"/>
        </w:rPr>
        <w:t>SLRC GSBD</w:t>
      </w:r>
    </w:p>
    <w:p>
      <w:pPr>
        <w:spacing w:after="0" w:line="182" w:lineRule="auto"/>
        <w:rPr>
          <w:sz w:val="20"/>
          <w:szCs w:val="20"/>
          <w:color w:val="auto"/>
        </w:rPr>
      </w:pPr>
      <w:r>
        <w:rPr>
          <w:rFonts w:ascii="Arial" w:cs="Arial" w:eastAsia="Arial" w:hAnsi="Arial"/>
          <w:sz w:val="9"/>
          <w:szCs w:val="9"/>
          <w:color w:val="FFFFFF"/>
          <w:vertAlign w:val="superscript"/>
        </w:rPr>
        <w:t>G</w:t>
      </w:r>
      <w:r>
        <w:rPr>
          <w:rFonts w:ascii="Arial" w:cs="Arial" w:eastAsia="Arial" w:hAnsi="Arial"/>
          <w:sz w:val="7"/>
          <w:szCs w:val="7"/>
          <w:color w:val="FFFFFF"/>
        </w:rPr>
        <w:t>ABDC TSLXPFL</w:t>
      </w:r>
    </w:p>
    <w:p>
      <w:pPr>
        <w:spacing w:after="0" w:line="205" w:lineRule="auto"/>
        <w:rPr>
          <w:sz w:val="20"/>
          <w:szCs w:val="20"/>
          <w:color w:val="auto"/>
        </w:rPr>
      </w:pPr>
      <w:r>
        <w:rPr>
          <w:rFonts w:ascii="Arial" w:cs="Arial" w:eastAsia="Arial" w:hAnsi="Arial"/>
          <w:sz w:val="4"/>
          <w:szCs w:val="4"/>
          <w:color w:val="FFFFFF"/>
        </w:rPr>
        <w:t>TICC TICC</w:t>
      </w:r>
    </w:p>
    <w:p>
      <w:pPr>
        <w:spacing w:after="0" w:line="205" w:lineRule="auto"/>
        <w:rPr>
          <w:sz w:val="20"/>
          <w:szCs w:val="20"/>
          <w:color w:val="auto"/>
        </w:rPr>
      </w:pPr>
      <w:r>
        <w:rPr>
          <w:rFonts w:ascii="Arial" w:cs="Arial" w:eastAsia="Arial" w:hAnsi="Arial"/>
          <w:sz w:val="4"/>
          <w:szCs w:val="4"/>
          <w:color w:val="FFFFFF"/>
        </w:rPr>
        <w:t>GSBD NMFC</w:t>
      </w:r>
    </w:p>
    <w:p>
      <w:pPr>
        <w:spacing w:after="0" w:line="205" w:lineRule="auto"/>
        <w:rPr>
          <w:sz w:val="20"/>
          <w:szCs w:val="20"/>
          <w:color w:val="auto"/>
        </w:rPr>
      </w:pPr>
      <w:r>
        <w:rPr>
          <w:rFonts w:ascii="Arial" w:cs="Arial" w:eastAsia="Arial" w:hAnsi="Arial"/>
          <w:sz w:val="4"/>
          <w:szCs w:val="4"/>
          <w:color w:val="FFFFFF"/>
        </w:rPr>
        <w:t>FSFR CMFN</w:t>
      </w:r>
    </w:p>
    <w:p>
      <w:pPr>
        <w:spacing w:after="0" w:line="205" w:lineRule="auto"/>
        <w:rPr>
          <w:sz w:val="20"/>
          <w:szCs w:val="20"/>
          <w:color w:val="auto"/>
        </w:rPr>
      </w:pPr>
      <w:r>
        <w:rPr>
          <w:rFonts w:ascii="Arial" w:cs="Arial" w:eastAsia="Arial" w:hAnsi="Arial"/>
          <w:sz w:val="4"/>
          <w:szCs w:val="4"/>
          <w:color w:val="FFFFFF"/>
        </w:rPr>
        <w:t>CMFN FSFR</w:t>
      </w:r>
    </w:p>
    <w:p>
      <w:pPr>
        <w:spacing w:after="0" w:line="182" w:lineRule="auto"/>
        <w:rPr>
          <w:sz w:val="20"/>
          <w:szCs w:val="20"/>
          <w:color w:val="auto"/>
        </w:rPr>
      </w:pPr>
      <w:r>
        <w:rPr>
          <w:rFonts w:ascii="Arial" w:cs="Arial" w:eastAsia="Arial" w:hAnsi="Arial"/>
          <w:sz w:val="9"/>
          <w:szCs w:val="9"/>
          <w:color w:val="FFFFFF"/>
        </w:rPr>
        <w:t>NMFC GBDC</w:t>
      </w:r>
    </w:p>
    <w:p>
      <w:pPr>
        <w:jc w:val="right"/>
        <w:ind w:right="10600"/>
        <w:spacing w:after="0" w:line="206" w:lineRule="auto"/>
        <w:rPr>
          <w:sz w:val="20"/>
          <w:szCs w:val="20"/>
          <w:color w:val="auto"/>
        </w:rPr>
      </w:pPr>
      <w:r>
        <w:rPr>
          <w:rFonts w:ascii="Arial" w:cs="Arial" w:eastAsia="Arial" w:hAnsi="Arial"/>
          <w:sz w:val="4"/>
          <w:szCs w:val="4"/>
          <w:color w:val="FFFFFF"/>
          <w:vertAlign w:val="subscript"/>
        </w:rPr>
        <w:t>GAIN</w:t>
      </w:r>
      <w:r>
        <w:rPr>
          <w:rFonts w:ascii="Arial" w:cs="Arial" w:eastAsia="Arial" w:hAnsi="Arial"/>
          <w:sz w:val="2"/>
          <w:szCs w:val="2"/>
          <w:color w:val="FFFFFF"/>
        </w:rPr>
        <w:t>CPT PNNTSLRC</w:t>
      </w:r>
    </w:p>
    <w:p>
      <w:pPr>
        <w:spacing w:after="0" w:line="205" w:lineRule="auto"/>
        <w:rPr>
          <w:sz w:val="20"/>
          <w:szCs w:val="20"/>
          <w:color w:val="auto"/>
        </w:rPr>
      </w:pPr>
      <w:r>
        <w:rPr>
          <w:rFonts w:ascii="Arial" w:cs="Arial" w:eastAsia="Arial" w:hAnsi="Arial"/>
          <w:sz w:val="4"/>
          <w:szCs w:val="4"/>
          <w:color w:val="FFFFFF"/>
        </w:rPr>
        <w:t>OFS MCC</w:t>
      </w:r>
    </w:p>
    <w:p>
      <w:pPr>
        <w:spacing w:after="0" w:line="204" w:lineRule="auto"/>
        <w:rPr>
          <w:sz w:val="20"/>
          <w:szCs w:val="20"/>
          <w:color w:val="auto"/>
        </w:rPr>
      </w:pPr>
      <w:r>
        <w:rPr>
          <w:rFonts w:ascii="Arial" w:cs="Arial" w:eastAsia="Arial" w:hAnsi="Arial"/>
          <w:sz w:val="4"/>
          <w:szCs w:val="4"/>
          <w:color w:val="FFFFFF"/>
          <w:vertAlign w:val="superscript"/>
        </w:rPr>
        <w:t>FSC</w:t>
      </w:r>
    </w:p>
    <w:p>
      <w:pPr>
        <w:ind w:left="80"/>
        <w:spacing w:after="0" w:line="205" w:lineRule="auto"/>
        <w:rPr>
          <w:sz w:val="20"/>
          <w:szCs w:val="20"/>
          <w:color w:val="auto"/>
        </w:rPr>
      </w:pPr>
      <w:r>
        <w:rPr>
          <w:rFonts w:ascii="Arial" w:cs="Arial" w:eastAsia="Arial" w:hAnsi="Arial"/>
          <w:sz w:val="4"/>
          <w:szCs w:val="4"/>
          <w:color w:val="FFFFFF"/>
        </w:rPr>
        <w:t>ULLTPVGGAIN</w:t>
      </w:r>
    </w:p>
    <w:p>
      <w:pPr>
        <w:jc w:val="right"/>
        <w:ind w:right="10580"/>
        <w:spacing w:after="0" w:line="182" w:lineRule="auto"/>
        <w:rPr>
          <w:sz w:val="20"/>
          <w:szCs w:val="20"/>
          <w:color w:val="auto"/>
        </w:rPr>
      </w:pPr>
      <w:r>
        <w:rPr>
          <w:rFonts w:ascii="Arial" w:cs="Arial" w:eastAsia="Arial" w:hAnsi="Arial"/>
          <w:sz w:val="9"/>
          <w:szCs w:val="9"/>
          <w:color w:val="FFFFFF"/>
          <w:vertAlign w:val="subscript"/>
        </w:rPr>
        <w:t>GLAD</w:t>
      </w:r>
      <w:r>
        <w:rPr>
          <w:rFonts w:ascii="Arial" w:cs="Arial" w:eastAsia="Arial" w:hAnsi="Arial"/>
          <w:sz w:val="7"/>
          <w:szCs w:val="7"/>
          <w:color w:val="FFFFFF"/>
        </w:rPr>
        <w:t>ARS FDUS</w:t>
      </w:r>
    </w:p>
    <w:p>
      <w:pPr>
        <w:jc w:val="right"/>
        <w:ind w:right="10540"/>
        <w:spacing w:after="0" w:line="182" w:lineRule="auto"/>
        <w:rPr>
          <w:sz w:val="20"/>
          <w:szCs w:val="20"/>
          <w:color w:val="auto"/>
        </w:rPr>
      </w:pPr>
      <w:r>
        <w:rPr>
          <w:rFonts w:ascii="Arial" w:cs="Arial" w:eastAsia="Arial" w:hAnsi="Arial"/>
          <w:sz w:val="9"/>
          <w:szCs w:val="9"/>
          <w:color w:val="FFFFFF"/>
        </w:rPr>
        <w:t>TSLX FULLTCRD</w:t>
      </w:r>
    </w:p>
    <w:p>
      <w:pPr>
        <w:spacing w:after="0" w:line="206" w:lineRule="auto"/>
        <w:rPr>
          <w:sz w:val="20"/>
          <w:szCs w:val="20"/>
          <w:color w:val="auto"/>
        </w:rPr>
      </w:pPr>
      <w:r>
        <w:rPr>
          <w:rFonts w:ascii="Arial" w:cs="Arial" w:eastAsia="Arial" w:hAnsi="Arial"/>
          <w:sz w:val="4"/>
          <w:szCs w:val="4"/>
          <w:color w:val="FFFFFF"/>
        </w:rPr>
        <w:t>TPVGPNNT CostHigherMRCCGARSCostHigher</w:t>
      </w:r>
    </w:p>
    <w:p>
      <w:pPr>
        <w:spacing w:after="0" w:line="205" w:lineRule="auto"/>
        <w:rPr>
          <w:sz w:val="20"/>
          <w:szCs w:val="20"/>
          <w:color w:val="auto"/>
        </w:rPr>
      </w:pPr>
      <w:r>
        <w:rPr>
          <w:rFonts w:ascii="Arial" w:cs="Arial" w:eastAsia="Arial" w:hAnsi="Arial"/>
          <w:sz w:val="4"/>
          <w:szCs w:val="4"/>
          <w:color w:val="FFFFFF"/>
        </w:rPr>
        <w:t>FDUS Structures GLAD Structures</w:t>
      </w:r>
    </w:p>
    <w:p>
      <w:pPr>
        <w:spacing w:after="0" w:line="189" w:lineRule="auto"/>
        <w:rPr>
          <w:sz w:val="20"/>
          <w:szCs w:val="20"/>
          <w:color w:val="auto"/>
        </w:rPr>
      </w:pPr>
      <w:r>
        <w:rPr>
          <w:rFonts w:ascii="Arial" w:cs="Arial" w:eastAsia="Arial" w:hAnsi="Arial"/>
          <w:sz w:val="13"/>
          <w:szCs w:val="13"/>
          <w:color w:val="FFFFFF"/>
        </w:rPr>
        <w:t>SARWHFFSCHCAP</w:t>
      </w:r>
    </w:p>
    <w:p>
      <w:pPr>
        <w:spacing w:after="0" w:line="206" w:lineRule="auto"/>
        <w:rPr>
          <w:sz w:val="20"/>
          <w:szCs w:val="20"/>
          <w:color w:val="auto"/>
        </w:rPr>
      </w:pPr>
      <w:r>
        <w:rPr>
          <w:rFonts w:ascii="Arial" w:cs="Arial" w:eastAsia="Arial" w:hAnsi="Arial"/>
          <w:sz w:val="4"/>
          <w:szCs w:val="4"/>
          <w:color w:val="FFFFFF"/>
        </w:rPr>
        <w:t>MCC SCM</w:t>
      </w:r>
    </w:p>
    <w:p>
      <w:pPr>
        <w:spacing w:after="0" w:line="182" w:lineRule="auto"/>
        <w:rPr>
          <w:sz w:val="20"/>
          <w:szCs w:val="20"/>
          <w:color w:val="auto"/>
        </w:rPr>
      </w:pPr>
      <w:r>
        <w:rPr>
          <w:rFonts w:ascii="Arial" w:cs="Arial" w:eastAsia="Arial" w:hAnsi="Arial"/>
          <w:sz w:val="9"/>
          <w:szCs w:val="9"/>
          <w:color w:val="FFFFFF"/>
        </w:rPr>
        <w:t>SCMTCRDWHFCPTA</w:t>
      </w:r>
    </w:p>
    <w:p>
      <w:pPr>
        <w:spacing w:after="0" w:line="205" w:lineRule="auto"/>
        <w:rPr>
          <w:sz w:val="20"/>
          <w:szCs w:val="20"/>
          <w:color w:val="auto"/>
        </w:rPr>
      </w:pPr>
      <w:r>
        <w:rPr>
          <w:rFonts w:ascii="Arial" w:cs="Arial" w:eastAsia="Arial" w:hAnsi="Arial"/>
          <w:sz w:val="4"/>
          <w:szCs w:val="4"/>
          <w:color w:val="FFFFFF"/>
        </w:rPr>
        <w:t>MRCC OFS</w:t>
      </w:r>
    </w:p>
    <w:p>
      <w:pPr>
        <w:spacing w:after="0" w:line="182" w:lineRule="auto"/>
        <w:rPr>
          <w:sz w:val="20"/>
          <w:szCs w:val="20"/>
          <w:color w:val="auto"/>
        </w:rPr>
      </w:pPr>
      <w:r>
        <w:rPr>
          <w:rFonts w:ascii="Arial" w:cs="Arial" w:eastAsia="Arial" w:hAnsi="Arial"/>
          <w:sz w:val="9"/>
          <w:szCs w:val="9"/>
          <w:color w:val="FFFFFF"/>
        </w:rPr>
        <w:t>BKCCHRZN HRZNSAR</w:t>
      </w:r>
    </w:p>
    <w:p>
      <w:pPr>
        <w:spacing w:after="0" w:line="206" w:lineRule="auto"/>
        <w:rPr>
          <w:sz w:val="20"/>
          <w:szCs w:val="20"/>
          <w:color w:val="auto"/>
        </w:rPr>
      </w:pPr>
      <w:r>
        <w:rPr>
          <w:rFonts w:ascii="Arial" w:cs="Arial" w:eastAsia="Arial" w:hAnsi="Arial"/>
          <w:sz w:val="4"/>
          <w:szCs w:val="4"/>
          <w:color w:val="FFFFFF"/>
        </w:rPr>
        <w:t>OHAIHCAP OHAIBKCC</w:t>
      </w:r>
    </w:p>
    <w:p>
      <w:pPr>
        <w:spacing w:after="0" w:line="205" w:lineRule="auto"/>
        <w:rPr>
          <w:sz w:val="20"/>
          <w:szCs w:val="20"/>
          <w:color w:val="auto"/>
        </w:rPr>
      </w:pPr>
      <w:r>
        <w:rPr>
          <w:rFonts w:ascii="Arial" w:cs="Arial" w:eastAsia="Arial" w:hAnsi="Arial"/>
          <w:sz w:val="4"/>
          <w:szCs w:val="4"/>
          <w:color w:val="FFFFFF"/>
        </w:rPr>
        <w:t>0% 1% 2% 3% 4% 5% 6% 7% 0% 10% 20% 30% 40% 50% 60% 70% 80% 90%</w:t>
      </w:r>
    </w:p>
    <w:p>
      <w:pPr>
        <w:ind w:left="560" w:right="3260" w:hanging="559"/>
        <w:spacing w:after="0" w:line="234" w:lineRule="auto"/>
        <w:rPr>
          <w:sz w:val="20"/>
          <w:szCs w:val="20"/>
          <w:color w:val="auto"/>
        </w:rPr>
      </w:pPr>
      <w:r>
        <w:rPr>
          <w:rFonts w:ascii="Arial" w:cs="Arial" w:eastAsia="Arial" w:hAnsi="Arial"/>
          <w:sz w:val="7"/>
          <w:szCs w:val="7"/>
          <w:color w:val="FFFFFF"/>
          <w:vertAlign w:val="superscript"/>
        </w:rPr>
        <w:t>Mkt. Cap.</w:t>
      </w:r>
      <w:r>
        <w:rPr>
          <w:rFonts w:ascii="Arial" w:cs="Arial" w:eastAsia="Arial" w:hAnsi="Arial"/>
          <w:sz w:val="6"/>
          <w:szCs w:val="6"/>
          <w:color w:val="FFFFFF"/>
        </w:rPr>
        <w:t xml:space="preserve"> Between $500M and $1B Mkt. Cap. Between $200M and $500M Mkt. Cap. Between $500M and $1B Mkt. Cap. Between $200M and $500M Less Than $200M Floating Rate Snr. Secured Vehicles Mkt. Cap. Less Than $200M Floating Rate Snr. Secured Vehicles</w:t>
      </w:r>
    </w:p>
    <w:p>
      <w:pPr>
        <w:spacing w:after="0" w:line="182" w:lineRule="auto"/>
        <w:rPr>
          <w:sz w:val="20"/>
          <w:szCs w:val="20"/>
          <w:color w:val="auto"/>
        </w:rPr>
      </w:pPr>
      <w:r>
        <w:rPr>
          <w:rFonts w:ascii="Arial" w:cs="Arial" w:eastAsia="Arial" w:hAnsi="Arial"/>
          <w:sz w:val="9"/>
          <w:szCs w:val="9"/>
          <w:color w:val="FFFFFF"/>
        </w:rPr>
        <w:t>Note: Includes all externally-managed BDCs that are paying a regular cash dividend. Excludes BDCs with market capitalizations over $1Bn and those that have not filed financials in 2015. Source: SNL Financial for 3/31/15 LTM.</w:t>
      </w:r>
    </w:p>
    <w:p>
      <w:pPr>
        <w:spacing w:after="0"/>
        <w:rPr>
          <w:sz w:val="20"/>
          <w:szCs w:val="20"/>
          <w:color w:val="auto"/>
        </w:rPr>
      </w:pPr>
      <w:r>
        <w:rPr>
          <w:rFonts w:ascii="Arial" w:cs="Arial" w:eastAsia="Arial" w:hAnsi="Arial"/>
          <w:sz w:val="13"/>
          <w:szCs w:val="13"/>
          <w:color w:val="FFFFFF"/>
        </w:rPr>
        <w:t>10</w:t>
      </w:r>
    </w:p>
    <w:p>
      <w:pPr>
        <w:sectPr>
          <w:pgSz w:w="11900" w:h="16838" w:orient="portrait"/>
          <w:cols w:equalWidth="0" w:num="1">
            <w:col w:w="11300"/>
          </w:cols>
          <w:pgMar w:left="2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1"/>
          <w:szCs w:val="11"/>
          <w:color w:val="FFFFFF"/>
        </w:rPr>
        <w:t>11Section II. PFLT’s Value Proposition</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gridSpan w:val="2"/>
          </w:tcPr>
          <w:p>
            <w:pPr>
              <w:ind w:left="80"/>
              <w:spacing w:after="0"/>
              <w:rPr>
                <w:sz w:val="20"/>
                <w:szCs w:val="20"/>
                <w:color w:val="auto"/>
              </w:rPr>
            </w:pPr>
            <w:r>
              <w:rPr>
                <w:rFonts w:ascii="Arial" w:cs="Arial" w:eastAsia="Arial" w:hAnsi="Arial"/>
                <w:sz w:val="13"/>
                <w:szCs w:val="13"/>
                <w:color w:val="FFFFFF"/>
              </w:rPr>
              <w:t>FLT Part of an Established Credit Platform</w:t>
            </w:r>
          </w:p>
        </w:tc>
      </w:tr>
      <w:tr>
        <w:trPr>
          <w:trHeight w:val="39"/>
        </w:trPr>
        <w:tc>
          <w:tcPr>
            <w:tcW w:w="2680" w:type="dxa"/>
            <w:vAlign w:val="bottom"/>
            <w:gridSpan w:val="2"/>
          </w:tcPr>
          <w:p>
            <w:pPr>
              <w:spacing w:after="0" w:line="40" w:lineRule="exact"/>
              <w:rPr>
                <w:sz w:val="20"/>
                <w:szCs w:val="20"/>
                <w:color w:val="auto"/>
              </w:rPr>
            </w:pPr>
            <w:r>
              <w:rPr>
                <w:rFonts w:ascii="Arial" w:cs="Arial" w:eastAsia="Arial" w:hAnsi="Arial"/>
                <w:sz w:val="4"/>
                <w:szCs w:val="4"/>
                <w:color w:val="FFFFFF"/>
              </w:rPr>
              <w:t>PennantPark Investment Advisers, LLC</w:t>
            </w:r>
          </w:p>
        </w:tc>
      </w:tr>
      <w:tr>
        <w:trPr>
          <w:trHeight w:val="39"/>
        </w:trPr>
        <w:tc>
          <w:tcPr>
            <w:tcW w:w="1000" w:type="dxa"/>
            <w:vAlign w:val="bottom"/>
          </w:tcPr>
          <w:p>
            <w:pPr>
              <w:ind w:left="760"/>
              <w:spacing w:after="0" w:line="40" w:lineRule="exact"/>
              <w:rPr>
                <w:sz w:val="20"/>
                <w:szCs w:val="20"/>
                <w:color w:val="auto"/>
              </w:rPr>
            </w:pPr>
            <w:r>
              <w:rPr>
                <w:rFonts w:ascii="Arial" w:cs="Arial" w:eastAsia="Arial" w:hAnsi="Arial"/>
                <w:sz w:val="4"/>
                <w:szCs w:val="4"/>
                <w:color w:val="FFFFFF"/>
              </w:rPr>
              <w:t>FL</w:t>
            </w:r>
          </w:p>
        </w:tc>
        <w:tc>
          <w:tcPr>
            <w:tcW w:w="1680" w:type="dxa"/>
            <w:vAlign w:val="bottom"/>
          </w:tcPr>
          <w:p>
            <w:pPr>
              <w:spacing w:after="0"/>
              <w:rPr>
                <w:sz w:val="3"/>
                <w:szCs w:val="3"/>
                <w:color w:val="auto"/>
              </w:rPr>
            </w:pPr>
          </w:p>
        </w:tc>
      </w:tr>
      <w:tr>
        <w:trPr>
          <w:trHeight w:val="39"/>
        </w:trPr>
        <w:tc>
          <w:tcPr>
            <w:tcW w:w="2680" w:type="dxa"/>
            <w:vAlign w:val="bottom"/>
            <w:gridSpan w:val="2"/>
          </w:tcPr>
          <w:p>
            <w:pPr>
              <w:spacing w:after="0" w:line="40" w:lineRule="exact"/>
              <w:rPr>
                <w:sz w:val="20"/>
                <w:szCs w:val="20"/>
                <w:color w:val="auto"/>
              </w:rPr>
            </w:pPr>
            <w:r>
              <w:rPr>
                <w:rFonts w:ascii="Arial" w:cs="Arial" w:eastAsia="Arial" w:hAnsi="Arial"/>
                <w:sz w:val="4"/>
                <w:szCs w:val="4"/>
                <w:color w:val="FFFFFF"/>
              </w:rPr>
              <w:t>NASDAQ: “PNNT”</w:t>
            </w:r>
          </w:p>
        </w:tc>
      </w:tr>
      <w:tr>
        <w:trPr>
          <w:trHeight w:val="39"/>
        </w:trPr>
        <w:tc>
          <w:tcPr>
            <w:tcW w:w="1000" w:type="dxa"/>
            <w:vAlign w:val="bottom"/>
          </w:tcPr>
          <w:p>
            <w:pPr>
              <w:spacing w:after="0"/>
              <w:rPr>
                <w:sz w:val="3"/>
                <w:szCs w:val="3"/>
                <w:color w:val="auto"/>
              </w:rPr>
            </w:pPr>
          </w:p>
        </w:tc>
        <w:tc>
          <w:tcPr>
            <w:tcW w:w="1680" w:type="dxa"/>
            <w:vAlign w:val="bottom"/>
          </w:tcPr>
          <w:p>
            <w:pPr>
              <w:jc w:val="right"/>
              <w:ind w:right="1518"/>
              <w:spacing w:after="0" w:line="40" w:lineRule="exact"/>
              <w:rPr>
                <w:sz w:val="20"/>
                <w:szCs w:val="20"/>
                <w:color w:val="auto"/>
              </w:rPr>
            </w:pPr>
            <w:r>
              <w:rPr>
                <w:rFonts w:ascii="Arial" w:cs="Arial" w:eastAsia="Arial" w:hAnsi="Arial"/>
                <w:sz w:val="4"/>
                <w:szCs w:val="4"/>
                <w:color w:val="FFFFFF"/>
              </w:rPr>
              <w:t>11</w:t>
            </w:r>
          </w:p>
        </w:tc>
      </w:tr>
      <w:tr>
        <w:trPr>
          <w:trHeight w:val="39"/>
        </w:trPr>
        <w:tc>
          <w:tcPr>
            <w:tcW w:w="2680" w:type="dxa"/>
            <w:vAlign w:val="bottom"/>
            <w:gridSpan w:val="2"/>
          </w:tcPr>
          <w:p>
            <w:pPr>
              <w:spacing w:after="0" w:line="40" w:lineRule="exact"/>
              <w:rPr>
                <w:sz w:val="20"/>
                <w:szCs w:val="20"/>
                <w:color w:val="auto"/>
              </w:rPr>
            </w:pPr>
            <w:r>
              <w:rPr>
                <w:rFonts w:ascii="Arial" w:cs="Arial" w:eastAsia="Arial" w:hAnsi="Arial"/>
                <w:sz w:val="4"/>
                <w:szCs w:val="4"/>
                <w:color w:val="FFFFFF"/>
              </w:rPr>
              <w:t>IPO Date: April 2007</w:t>
            </w:r>
          </w:p>
        </w:tc>
      </w:tr>
      <w:tr>
        <w:trPr>
          <w:trHeight w:val="39"/>
        </w:trPr>
        <w:tc>
          <w:tcPr>
            <w:tcW w:w="2680" w:type="dxa"/>
            <w:vAlign w:val="bottom"/>
            <w:gridSpan w:val="2"/>
          </w:tcPr>
          <w:p>
            <w:pPr>
              <w:spacing w:after="0" w:line="40" w:lineRule="exact"/>
              <w:rPr>
                <w:sz w:val="20"/>
                <w:szCs w:val="20"/>
                <w:color w:val="auto"/>
              </w:rPr>
            </w:pPr>
            <w:r>
              <w:rPr>
                <w:rFonts w:ascii="Arial" w:cs="Arial" w:eastAsia="Arial" w:hAnsi="Arial"/>
                <w:sz w:val="4"/>
                <w:szCs w:val="4"/>
                <w:color w:val="FFFFFF"/>
              </w:rPr>
              <w:t>Subordinated Debt,</w:t>
            </w: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Common and</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2nd Lien Secured</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Common and</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Preferred Equity</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Debt</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2nd Lien Secured</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Preferred Equity</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Debt</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1st Lien Senior</w:t>
            </w:r>
          </w:p>
        </w:tc>
        <w:tc>
          <w:tcPr>
            <w:tcW w:w="1680" w:type="dxa"/>
            <w:vAlign w:val="bottom"/>
          </w:tcPr>
          <w:p>
            <w:pPr>
              <w:spacing w:after="0"/>
              <w:rPr>
                <w:sz w:val="3"/>
                <w:szCs w:val="3"/>
                <w:color w:val="auto"/>
              </w:rPr>
            </w:pPr>
          </w:p>
        </w:tc>
      </w:tr>
      <w:tr>
        <w:trPr>
          <w:trHeight w:val="39"/>
        </w:trPr>
        <w:tc>
          <w:tcPr>
            <w:tcW w:w="1000" w:type="dxa"/>
            <w:vAlign w:val="bottom"/>
          </w:tcPr>
          <w:p>
            <w:pPr>
              <w:ind w:left="80"/>
              <w:spacing w:after="0" w:line="40" w:lineRule="exact"/>
              <w:rPr>
                <w:sz w:val="20"/>
                <w:szCs w:val="20"/>
                <w:color w:val="auto"/>
              </w:rPr>
            </w:pPr>
            <w:r>
              <w:rPr>
                <w:rFonts w:ascii="Arial" w:cs="Arial" w:eastAsia="Arial" w:hAnsi="Arial"/>
                <w:sz w:val="4"/>
                <w:szCs w:val="4"/>
                <w:color w:val="FFFFFF"/>
              </w:rPr>
              <w:t>ecured Debt</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Subordinated Debt</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1st Lien Senior</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Secured Debt</w:t>
            </w:r>
          </w:p>
        </w:tc>
        <w:tc>
          <w:tcPr>
            <w:tcW w:w="1680" w:type="dxa"/>
            <w:vAlign w:val="bottom"/>
          </w:tcPr>
          <w:p>
            <w:pPr>
              <w:spacing w:after="0"/>
              <w:rPr>
                <w:sz w:val="3"/>
                <w:szCs w:val="3"/>
                <w:color w:val="auto"/>
              </w:rPr>
            </w:pPr>
          </w:p>
        </w:tc>
      </w:tr>
      <w:tr>
        <w:trPr>
          <w:trHeight w:val="39"/>
        </w:trPr>
        <w:tc>
          <w:tcPr>
            <w:tcW w:w="1000" w:type="dxa"/>
            <w:vAlign w:val="bottom"/>
          </w:tcPr>
          <w:p>
            <w:pPr>
              <w:spacing w:after="0" w:line="40" w:lineRule="exact"/>
              <w:rPr>
                <w:sz w:val="20"/>
                <w:szCs w:val="20"/>
                <w:color w:val="auto"/>
              </w:rPr>
            </w:pPr>
            <w:r>
              <w:rPr>
                <w:rFonts w:ascii="Arial" w:cs="Arial" w:eastAsia="Arial" w:hAnsi="Arial"/>
                <w:sz w:val="4"/>
                <w:szCs w:val="4"/>
                <w:color w:val="FFFFFF"/>
              </w:rPr>
              <w:t>As of 3/31/2015</w:t>
            </w:r>
          </w:p>
        </w:tc>
        <w:tc>
          <w:tcPr>
            <w:tcW w:w="1680" w:type="dxa"/>
            <w:vAlign w:val="bottom"/>
          </w:tcPr>
          <w:p>
            <w:pPr>
              <w:spacing w:after="0"/>
              <w:rPr>
                <w:sz w:val="3"/>
                <w:szCs w:val="3"/>
                <w:color w:val="auto"/>
              </w:rPr>
            </w:pPr>
          </w:p>
        </w:tc>
      </w:tr>
      <w:tr>
        <w:trPr>
          <w:trHeight w:val="39"/>
        </w:trPr>
        <w:tc>
          <w:tcPr>
            <w:tcW w:w="2680" w:type="dxa"/>
            <w:vAlign w:val="bottom"/>
            <w:gridSpan w:val="2"/>
          </w:tcPr>
          <w:p>
            <w:pPr>
              <w:spacing w:after="0" w:line="40" w:lineRule="exact"/>
              <w:rPr>
                <w:sz w:val="20"/>
                <w:szCs w:val="20"/>
                <w:color w:val="auto"/>
              </w:rPr>
            </w:pPr>
            <w:r>
              <w:rPr>
                <w:rFonts w:ascii="Arial" w:cs="Arial" w:eastAsia="Arial" w:hAnsi="Arial"/>
                <w:sz w:val="4"/>
                <w:szCs w:val="4"/>
                <w:color w:val="FFFFFF"/>
              </w:rPr>
              <w:t>Established Investment Platform</w:t>
            </w:r>
          </w:p>
        </w:tc>
      </w:tr>
      <w:tr>
        <w:trPr>
          <w:trHeight w:val="39"/>
        </w:trPr>
        <w:tc>
          <w:tcPr>
            <w:tcW w:w="2680" w:type="dxa"/>
            <w:vAlign w:val="bottom"/>
            <w:gridSpan w:val="2"/>
          </w:tcPr>
          <w:p>
            <w:pPr>
              <w:spacing w:after="0" w:line="40" w:lineRule="exact"/>
              <w:rPr>
                <w:sz w:val="20"/>
                <w:szCs w:val="20"/>
                <w:color w:val="auto"/>
              </w:rPr>
            </w:pPr>
            <w:r>
              <w:rPr>
                <w:rFonts w:ascii="Arial" w:cs="Arial" w:eastAsia="Arial" w:hAnsi="Arial"/>
                <w:sz w:val="4"/>
                <w:szCs w:val="4"/>
                <w:color w:val="FFFFFF"/>
              </w:rPr>
              <w:t>PennantPark Investment Advisers founded in 2007</w:t>
            </w:r>
          </w:p>
        </w:tc>
      </w:tr>
      <w:tr>
        <w:trPr>
          <w:trHeight w:val="0"/>
        </w:trPr>
        <w:tc>
          <w:tcPr>
            <w:tcW w:w="2680" w:type="dxa"/>
            <w:vAlign w:val="bottom"/>
            <w:gridSpan w:val="2"/>
          </w:tcPr>
          <w:p>
            <w:pPr>
              <w:spacing w:after="0" w:line="78" w:lineRule="exact"/>
              <w:rPr>
                <w:sz w:val="20"/>
                <w:szCs w:val="20"/>
                <w:color w:val="auto"/>
              </w:rPr>
            </w:pPr>
            <w:r>
              <w:rPr>
                <w:rFonts w:ascii="Arial" w:cs="Arial" w:eastAsia="Arial" w:hAnsi="Arial"/>
                <w:sz w:val="8"/>
                <w:szCs w:val="8"/>
                <w:color w:val="FFFFFF"/>
              </w:rPr>
              <w:t>Deep expertise   he middle market</w:t>
            </w:r>
          </w:p>
        </w:tc>
      </w:tr>
    </w:tbl>
    <w:p>
      <w:pPr>
        <w:ind w:left="420"/>
        <w:spacing w:after="0" w:line="24" w:lineRule="auto"/>
        <w:rPr>
          <w:sz w:val="20"/>
          <w:szCs w:val="20"/>
          <w:color w:val="auto"/>
        </w:rPr>
      </w:pPr>
      <w:r>
        <w:rPr>
          <w:rFonts w:ascii="Arial" w:cs="Arial" w:eastAsia="Arial" w:hAnsi="Arial"/>
          <w:sz w:val="1"/>
          <w:szCs w:val="1"/>
          <w:color w:val="FFFFFF"/>
        </w:rPr>
        <w:t>investment</w:t>
      </w:r>
    </w:p>
    <w:p>
      <w:pPr>
        <w:spacing w:after="0" w:line="182" w:lineRule="auto"/>
        <w:tabs>
          <w:tab w:leader="none" w:pos="1000" w:val="left"/>
        </w:tabs>
        <w:rPr>
          <w:sz w:val="20"/>
          <w:szCs w:val="20"/>
          <w:color w:val="auto"/>
        </w:rPr>
      </w:pPr>
      <w:r>
        <w:rPr>
          <w:rFonts w:ascii="Arial" w:cs="Arial" w:eastAsia="Arial" w:hAnsi="Arial"/>
          <w:sz w:val="9"/>
          <w:szCs w:val="9"/>
          <w:color w:val="FFFFFF"/>
        </w:rPr>
        <w:t>tradedLongermodel</w:t>
      </w:r>
      <w:r>
        <w:rPr>
          <w:sz w:val="20"/>
          <w:szCs w:val="20"/>
          <w:color w:val="auto"/>
        </w:rPr>
        <w:tab/>
      </w:r>
      <w:r>
        <w:rPr>
          <w:rFonts w:ascii="Arial" w:cs="Arial" w:eastAsia="Arial" w:hAnsi="Arial"/>
          <w:sz w:val="9"/>
          <w:szCs w:val="9"/>
          <w:color w:val="FFFFFF"/>
        </w:rPr>
        <w:t>horizon with attractive publicly</w:t>
      </w:r>
    </w:p>
    <w:p>
      <w:pPr>
        <w:spacing w:after="0" w:line="182" w:lineRule="auto"/>
        <w:rPr>
          <w:sz w:val="20"/>
          <w:szCs w:val="20"/>
          <w:color w:val="auto"/>
        </w:rPr>
      </w:pPr>
      <w:r>
        <w:rPr>
          <w:rFonts w:ascii="Arial" w:cs="Arial" w:eastAsia="Arial" w:hAnsi="Arial"/>
          <w:sz w:val="9"/>
          <w:szCs w:val="9"/>
          <w:color w:val="FFFFFF"/>
        </w:rPr>
        <w:t>PennantParkFunded$4.4Bnentitiesin360 companies since inception across</w:t>
      </w:r>
    </w:p>
    <w:p>
      <w:pPr>
        <w:spacing w:after="0" w:line="206" w:lineRule="auto"/>
        <w:rPr>
          <w:sz w:val="20"/>
          <w:szCs w:val="20"/>
          <w:color w:val="auto"/>
        </w:rPr>
      </w:pPr>
      <w:r>
        <w:rPr>
          <w:rFonts w:ascii="Arial" w:cs="Arial" w:eastAsia="Arial" w:hAnsi="Arial"/>
          <w:sz w:val="4"/>
          <w:szCs w:val="4"/>
          <w:color w:val="FFFFFF"/>
        </w:rPr>
        <w:t>PennantPark145different entitiessponsor clients since inception across</w:t>
      </w:r>
    </w:p>
    <w:p>
      <w:pPr>
        <w:spacing w:after="0" w:line="205" w:lineRule="auto"/>
        <w:rPr>
          <w:sz w:val="20"/>
          <w:szCs w:val="20"/>
          <w:color w:val="auto"/>
        </w:rPr>
      </w:pPr>
      <w:r>
        <w:rPr>
          <w:rFonts w:ascii="Arial" w:cs="Arial" w:eastAsia="Arial" w:hAnsi="Arial"/>
          <w:sz w:val="4"/>
          <w:szCs w:val="4"/>
          <w:color w:val="FFFFFF"/>
          <w:vertAlign w:val="superscript"/>
        </w:rPr>
        <w:t>Value</w:t>
      </w:r>
      <w:r>
        <w:rPr>
          <w:rFonts w:ascii="Arial" w:cs="Arial" w:eastAsia="Arial" w:hAnsi="Arial"/>
          <w:sz w:val="2"/>
          <w:szCs w:val="2"/>
          <w:color w:val="FFFFFF"/>
        </w:rPr>
        <w:t xml:space="preserve"> Oriented Investment Philosophy</w:t>
      </w:r>
    </w:p>
    <w:p>
      <w:pPr>
        <w:ind w:left="340"/>
        <w:spacing w:after="0" w:line="182" w:lineRule="auto"/>
        <w:rPr>
          <w:sz w:val="20"/>
          <w:szCs w:val="20"/>
          <w:color w:val="auto"/>
        </w:rPr>
      </w:pPr>
      <w:r>
        <w:rPr>
          <w:rFonts w:ascii="Arial" w:cs="Arial" w:eastAsia="Arial" w:hAnsi="Arial"/>
          <w:sz w:val="9"/>
          <w:szCs w:val="9"/>
          <w:color w:val="FFFFFF"/>
        </w:rPr>
        <w:t>oriented with a focus on capital preservation</w:t>
      </w:r>
    </w:p>
    <w:p>
      <w:pPr>
        <w:spacing w:after="0" w:line="205" w:lineRule="auto"/>
        <w:rPr>
          <w:sz w:val="20"/>
          <w:szCs w:val="20"/>
          <w:color w:val="auto"/>
        </w:rPr>
      </w:pPr>
      <w:r>
        <w:rPr>
          <w:rFonts w:ascii="Arial" w:cs="Arial" w:eastAsia="Arial" w:hAnsi="Arial"/>
          <w:sz w:val="4"/>
          <w:szCs w:val="4"/>
          <w:color w:val="FFFFFF"/>
          <w:vertAlign w:val="superscript"/>
        </w:rPr>
        <w:t>perform</w:t>
      </w:r>
      <w:r>
        <w:rPr>
          <w:rFonts w:ascii="Arial" w:cs="Arial" w:eastAsia="Arial" w:hAnsi="Arial"/>
          <w:sz w:val="2"/>
          <w:szCs w:val="2"/>
          <w:color w:val="FFFFFF"/>
        </w:rPr>
        <w:t>ProprietaryDisciplined</w:t>
      </w:r>
      <w:r>
        <w:rPr>
          <w:rFonts w:ascii="Arial" w:cs="Arial" w:eastAsia="Arial" w:hAnsi="Arial"/>
          <w:sz w:val="4"/>
          <w:szCs w:val="4"/>
          <w:color w:val="FFFFFF"/>
          <w:vertAlign w:val="superscript"/>
        </w:rPr>
        <w:t>nce</w:t>
      </w:r>
      <w:r>
        <w:rPr>
          <w:rFonts w:ascii="Arial" w:cs="Arial" w:eastAsia="Arial" w:hAnsi="Arial"/>
          <w:sz w:val="2"/>
          <w:szCs w:val="2"/>
          <w:color w:val="FFFFFF"/>
        </w:rPr>
        <w:t>investment approach with strong credit</w:t>
      </w:r>
    </w:p>
    <w:p>
      <w:pPr>
        <w:ind w:left="620"/>
        <w:spacing w:after="0" w:line="182" w:lineRule="auto"/>
        <w:rPr>
          <w:sz w:val="20"/>
          <w:szCs w:val="20"/>
          <w:color w:val="auto"/>
        </w:rPr>
      </w:pPr>
      <w:r>
        <w:rPr>
          <w:rFonts w:ascii="Arial" w:cs="Arial" w:eastAsia="Arial" w:hAnsi="Arial"/>
          <w:sz w:val="9"/>
          <w:szCs w:val="9"/>
          <w:color w:val="FFFFFF"/>
        </w:rPr>
        <w:t>origination, research, and evaluation</w:t>
      </w:r>
    </w:p>
    <w:p>
      <w:pPr>
        <w:spacing w:after="0" w:line="205" w:lineRule="auto"/>
        <w:rPr>
          <w:sz w:val="20"/>
          <w:szCs w:val="20"/>
          <w:color w:val="auto"/>
        </w:rPr>
      </w:pPr>
      <w:r>
        <w:rPr>
          <w:rFonts w:ascii="Arial" w:cs="Arial" w:eastAsia="Arial" w:hAnsi="Arial"/>
          <w:sz w:val="4"/>
          <w:szCs w:val="4"/>
          <w:color w:val="FFFFFF"/>
        </w:rPr>
        <w:t>andTeamrelationshipsapproach– institutionalized investment process</w:t>
      </w:r>
    </w:p>
    <w:p>
      <w:pPr>
        <w:spacing w:after="0" w:line="182" w:lineRule="auto"/>
        <w:rPr>
          <w:sz w:val="20"/>
          <w:szCs w:val="20"/>
          <w:color w:val="auto"/>
        </w:rPr>
      </w:pPr>
      <w:r>
        <w:rPr>
          <w:rFonts w:ascii="Arial" w:cs="Arial" w:eastAsia="Arial" w:hAnsi="Arial"/>
          <w:sz w:val="9"/>
          <w:szCs w:val="9"/>
          <w:color w:val="FFFFFF"/>
        </w:rPr>
        <w:t>Established long-term trust with clients and investors</w:t>
      </w:r>
    </w:p>
    <w:p>
      <w:pPr>
        <w:spacing w:after="0"/>
        <w:rPr>
          <w:sz w:val="20"/>
          <w:szCs w:val="20"/>
          <w:color w:val="auto"/>
        </w:rPr>
      </w:pPr>
      <w:r>
        <w:rPr>
          <w:rFonts w:ascii="Arial" w:cs="Arial" w:eastAsia="Arial" w:hAnsi="Arial"/>
          <w:sz w:val="11"/>
          <w:szCs w:val="11"/>
          <w:color w:val="FFFFFF"/>
        </w:rPr>
        <w:t>12Source: PFLT 10-Q (Dated 5/6/2015), PNNT 10-Q (Dated 5/6/2015), PFLT Investor Presentation (Dated 3/31/2015)</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6420" w:type="dxa"/>
            <w:vAlign w:val="bottom"/>
            <w:gridSpan w:val="4"/>
          </w:tcPr>
          <w:p>
            <w:pPr>
              <w:spacing w:after="0"/>
              <w:rPr>
                <w:sz w:val="20"/>
                <w:szCs w:val="20"/>
                <w:color w:val="auto"/>
              </w:rPr>
            </w:pPr>
            <w:r>
              <w:rPr>
                <w:rFonts w:ascii="Arial" w:cs="Arial" w:eastAsia="Arial" w:hAnsi="Arial"/>
                <w:sz w:val="13"/>
                <w:szCs w:val="13"/>
                <w:color w:val="FFFFFF"/>
              </w:rPr>
              <w:t>FLT has a Compelling Track Record</w:t>
            </w:r>
          </w:p>
        </w:tc>
        <w:tc>
          <w:tcPr>
            <w:tcW w:w="0" w:type="dxa"/>
            <w:vAlign w:val="bottom"/>
          </w:tcPr>
          <w:p>
            <w:pPr>
              <w:spacing w:after="0"/>
              <w:rPr>
                <w:sz w:val="1"/>
                <w:szCs w:val="1"/>
                <w:color w:val="auto"/>
              </w:rPr>
            </w:pPr>
          </w:p>
        </w:tc>
      </w:tr>
      <w:tr>
        <w:trPr>
          <w:trHeight w:val="39"/>
        </w:trPr>
        <w:tc>
          <w:tcPr>
            <w:tcW w:w="6500" w:type="dxa"/>
            <w:vAlign w:val="bottom"/>
            <w:gridSpan w:val="5"/>
          </w:tcPr>
          <w:p>
            <w:pPr>
              <w:spacing w:after="0" w:line="40" w:lineRule="exact"/>
              <w:rPr>
                <w:sz w:val="20"/>
                <w:szCs w:val="20"/>
                <w:color w:val="auto"/>
              </w:rPr>
            </w:pPr>
            <w:r>
              <w:rPr>
                <w:rFonts w:ascii="Arial" w:cs="Arial" w:eastAsia="Arial" w:hAnsi="Arial"/>
                <w:sz w:val="4"/>
                <w:szCs w:val="4"/>
                <w:color w:val="FFFFFF"/>
              </w:rPr>
              <w:t>Portfolio Size and Debt Yield</w:t>
            </w:r>
          </w:p>
        </w:tc>
        <w:tc>
          <w:tcPr>
            <w:tcW w:w="0" w:type="dxa"/>
            <w:vAlign w:val="bottom"/>
          </w:tcPr>
          <w:p>
            <w:pPr>
              <w:spacing w:after="0" w:line="20" w:lineRule="exact"/>
              <w:rPr>
                <w:sz w:val="1"/>
                <w:szCs w:val="1"/>
                <w:color w:val="auto"/>
              </w:rPr>
            </w:pPr>
          </w:p>
        </w:tc>
      </w:tr>
      <w:tr>
        <w:trPr>
          <w:trHeight w:val="39"/>
        </w:trPr>
        <w:tc>
          <w:tcPr>
            <w:tcW w:w="6500" w:type="dxa"/>
            <w:vAlign w:val="bottom"/>
            <w:gridSpan w:val="5"/>
          </w:tcPr>
          <w:p>
            <w:pPr>
              <w:spacing w:after="0" w:line="40" w:lineRule="exact"/>
              <w:rPr>
                <w:sz w:val="20"/>
                <w:szCs w:val="20"/>
                <w:color w:val="auto"/>
              </w:rPr>
            </w:pPr>
            <w:r>
              <w:rPr>
                <w:rFonts w:ascii="Arial" w:cs="Arial" w:eastAsia="Arial" w:hAnsi="Arial"/>
                <w:sz w:val="4"/>
                <w:szCs w:val="4"/>
                <w:color w:val="FFFFFF"/>
              </w:rPr>
              <w:t>($ in millions)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vMerge w:val="restart"/>
          </w:tcPr>
          <w:p>
            <w:pPr>
              <w:jc w:val="right"/>
              <w:spacing w:after="0" w:line="79" w:lineRule="exact"/>
              <w:rPr>
                <w:sz w:val="20"/>
                <w:szCs w:val="20"/>
                <w:color w:val="auto"/>
              </w:rPr>
            </w:pPr>
            <w:r>
              <w:rPr>
                <w:rFonts w:ascii="Arial" w:cs="Arial" w:eastAsia="Arial" w:hAnsi="Arial"/>
                <w:sz w:val="9"/>
                <w:szCs w:val="9"/>
                <w:color w:val="FFFFFF"/>
              </w:rPr>
              <w:t>400</w:t>
            </w: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10%</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9%</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50</w:t>
            </w: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8%</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300</w:t>
            </w: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7%</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50</w:t>
            </w: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6%</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200</w:t>
            </w: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5%</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vMerge w:val="restart"/>
          </w:tcPr>
          <w:p>
            <w:pPr>
              <w:jc w:val="right"/>
              <w:spacing w:after="0" w:line="79" w:lineRule="exact"/>
              <w:rPr>
                <w:sz w:val="20"/>
                <w:szCs w:val="20"/>
                <w:color w:val="auto"/>
              </w:rPr>
            </w:pPr>
            <w:r>
              <w:rPr>
                <w:rFonts w:ascii="Arial" w:cs="Arial" w:eastAsia="Arial" w:hAnsi="Arial"/>
                <w:sz w:val="9"/>
                <w:szCs w:val="9"/>
                <w:color w:val="FFFFFF"/>
              </w:rPr>
              <w:t>150</w:t>
            </w: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4%</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220" w:type="dxa"/>
            <w:vAlign w:val="bottom"/>
            <w:gridSpan w:val="2"/>
          </w:tcPr>
          <w:p>
            <w:pPr>
              <w:ind w:left="20"/>
              <w:spacing w:after="0" w:line="40" w:lineRule="exact"/>
              <w:rPr>
                <w:sz w:val="20"/>
                <w:szCs w:val="20"/>
                <w:color w:val="auto"/>
              </w:rPr>
            </w:pPr>
            <w:r>
              <w:rPr>
                <w:rFonts w:ascii="Arial" w:cs="Arial" w:eastAsia="Arial" w:hAnsi="Arial"/>
                <w:sz w:val="4"/>
                <w:szCs w:val="4"/>
                <w:color w:val="FFFFFF"/>
              </w:rPr>
              <w:t>3%</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40" w:type="dxa"/>
            <w:vAlign w:val="bottom"/>
          </w:tcPr>
          <w:p>
            <w:pPr>
              <w:spacing w:after="0" w:line="40" w:lineRule="exact"/>
              <w:rPr>
                <w:sz w:val="20"/>
                <w:szCs w:val="20"/>
                <w:color w:val="auto"/>
              </w:rPr>
            </w:pPr>
            <w:r>
              <w:rPr>
                <w:rFonts w:ascii="Arial" w:cs="Arial" w:eastAsia="Arial" w:hAnsi="Arial"/>
                <w:sz w:val="4"/>
                <w:szCs w:val="4"/>
                <w:color w:val="FFFFFF"/>
              </w:rPr>
              <w:t>50</w:t>
            </w:r>
          </w:p>
        </w:tc>
        <w:tc>
          <w:tcPr>
            <w:tcW w:w="200" w:type="dxa"/>
            <w:vAlign w:val="bottom"/>
            <w:gridSpan w:val="2"/>
          </w:tcPr>
          <w:p>
            <w:pPr>
              <w:jc w:val="right"/>
              <w:spacing w:after="0" w:line="40" w:lineRule="exact"/>
              <w:rPr>
                <w:sz w:val="20"/>
                <w:szCs w:val="20"/>
                <w:color w:val="auto"/>
              </w:rPr>
            </w:pPr>
            <w:r>
              <w:rPr>
                <w:rFonts w:ascii="Arial" w:cs="Arial" w:eastAsia="Arial" w:hAnsi="Arial"/>
                <w:sz w:val="4"/>
                <w:szCs w:val="4"/>
                <w:color w:val="FFFFFF"/>
              </w:rPr>
              <w:t>2%</w:t>
            </w:r>
          </w:p>
        </w:tc>
        <w:tc>
          <w:tcPr>
            <w:tcW w:w="6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20" w:type="dxa"/>
            <w:vAlign w:val="bottom"/>
            <w:gridSpan w:val="2"/>
          </w:tcPr>
          <w:p>
            <w:pPr>
              <w:spacing w:after="0" w:line="40" w:lineRule="exact"/>
              <w:rPr>
                <w:sz w:val="20"/>
                <w:szCs w:val="20"/>
                <w:color w:val="auto"/>
              </w:rPr>
            </w:pPr>
            <w:r>
              <w:rPr>
                <w:rFonts w:ascii="Arial" w:cs="Arial" w:eastAsia="Arial" w:hAnsi="Arial"/>
                <w:sz w:val="4"/>
                <w:szCs w:val="4"/>
                <w:color w:val="FFFFFF"/>
              </w:rPr>
              <w:t>$0</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500" w:type="dxa"/>
            <w:vAlign w:val="bottom"/>
            <w:gridSpan w:val="5"/>
          </w:tcPr>
          <w:p>
            <w:pPr>
              <w:spacing w:after="0" w:line="40" w:lineRule="exact"/>
              <w:rPr>
                <w:sz w:val="20"/>
                <w:szCs w:val="20"/>
                <w:color w:val="auto"/>
              </w:rPr>
            </w:pPr>
            <w:r>
              <w:rPr>
                <w:rFonts w:ascii="Arial" w:cs="Arial" w:eastAsia="Arial" w:hAnsi="Arial"/>
                <w:sz w:val="4"/>
                <w:szCs w:val="4"/>
                <w:color w:val="FFFFFF"/>
              </w:rPr>
              <w:t>Jun1%- Sep-11 Dec-11 Mar-12 Jun-12 Sep-12 Dec-12 Mar-13 Jun-13 Sep-13 Dec-13 Mar-14 Jun-14 Sep-14 Dec-14 Mar-15</w:t>
            </w:r>
          </w:p>
        </w:tc>
        <w:tc>
          <w:tcPr>
            <w:tcW w:w="0" w:type="dxa"/>
            <w:vAlign w:val="bottom"/>
          </w:tcPr>
          <w:p>
            <w:pPr>
              <w:spacing w:after="0" w:line="20" w:lineRule="exact"/>
              <w:rPr>
                <w:sz w:val="1"/>
                <w:szCs w:val="1"/>
                <w:color w:val="auto"/>
              </w:rPr>
            </w:pPr>
          </w:p>
        </w:tc>
      </w:tr>
      <w:tr>
        <w:trPr>
          <w:trHeight w:val="39"/>
        </w:trPr>
        <w:tc>
          <w:tcPr>
            <w:tcW w:w="6500" w:type="dxa"/>
            <w:vAlign w:val="bottom"/>
            <w:gridSpan w:val="5"/>
          </w:tcPr>
          <w:p>
            <w:pPr>
              <w:spacing w:after="0" w:line="40" w:lineRule="exact"/>
              <w:rPr>
                <w:sz w:val="20"/>
                <w:szCs w:val="20"/>
                <w:color w:val="auto"/>
              </w:rPr>
            </w:pPr>
            <w:r>
              <w:rPr>
                <w:rFonts w:ascii="Arial" w:cs="Arial" w:eastAsia="Arial" w:hAnsi="Arial"/>
                <w:sz w:val="4"/>
                <w:szCs w:val="4"/>
                <w:color w:val="FFFFFF"/>
              </w:rPr>
              <w:t>Total Portfolio Yield on Portfolio</w:t>
            </w:r>
          </w:p>
        </w:tc>
        <w:tc>
          <w:tcPr>
            <w:tcW w:w="0" w:type="dxa"/>
            <w:vAlign w:val="bottom"/>
          </w:tcPr>
          <w:p>
            <w:pPr>
              <w:spacing w:after="0" w:line="20" w:lineRule="exact"/>
              <w:rPr>
                <w:sz w:val="1"/>
                <w:szCs w:val="1"/>
                <w:color w:val="auto"/>
              </w:rPr>
            </w:pPr>
          </w:p>
        </w:tc>
      </w:tr>
      <w:tr>
        <w:trPr>
          <w:trHeight w:val="39"/>
        </w:trPr>
        <w:tc>
          <w:tcPr>
            <w:tcW w:w="6500" w:type="dxa"/>
            <w:vAlign w:val="bottom"/>
            <w:gridSpan w:val="5"/>
          </w:tcPr>
          <w:p>
            <w:pPr>
              <w:spacing w:after="0" w:line="40" w:lineRule="exact"/>
              <w:rPr>
                <w:sz w:val="20"/>
                <w:szCs w:val="20"/>
                <w:color w:val="auto"/>
              </w:rPr>
            </w:pPr>
            <w:r>
              <w:rPr>
                <w:rFonts w:ascii="Arial" w:cs="Arial" w:eastAsia="Arial" w:hAnsi="Arial"/>
                <w:sz w:val="4"/>
                <w:szCs w:val="4"/>
                <w:color w:val="FFFFFF"/>
              </w:rPr>
              <w:t>Monthly Dividends (cents per share)</w:t>
            </w:r>
          </w:p>
        </w:tc>
        <w:tc>
          <w:tcPr>
            <w:tcW w:w="0" w:type="dxa"/>
            <w:vAlign w:val="bottom"/>
          </w:tcPr>
          <w:p>
            <w:pPr>
              <w:spacing w:after="0" w:line="20" w:lineRule="exact"/>
              <w:rPr>
                <w:sz w:val="1"/>
                <w:szCs w:val="1"/>
                <w:color w:val="auto"/>
              </w:rPr>
            </w:pPr>
          </w:p>
        </w:tc>
      </w:tr>
      <w:tr>
        <w:trPr>
          <w:trHeight w:val="39"/>
        </w:trPr>
        <w:tc>
          <w:tcPr>
            <w:tcW w:w="420" w:type="dxa"/>
            <w:vAlign w:val="bottom"/>
            <w:gridSpan w:val="4"/>
          </w:tcPr>
          <w:p>
            <w:pPr>
              <w:spacing w:after="0" w:line="40" w:lineRule="exact"/>
              <w:rPr>
                <w:sz w:val="20"/>
                <w:szCs w:val="20"/>
                <w:color w:val="auto"/>
              </w:rPr>
            </w:pPr>
            <w:r>
              <w:rPr>
                <w:rFonts w:ascii="Arial" w:cs="Arial" w:eastAsia="Arial" w:hAnsi="Arial"/>
                <w:sz w:val="4"/>
                <w:szCs w:val="4"/>
                <w:color w:val="FFFFFF"/>
              </w:rPr>
              <w:t>10 9.50</w:t>
            </w:r>
          </w:p>
        </w:tc>
        <w:tc>
          <w:tcPr>
            <w:tcW w:w="6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500" w:type="dxa"/>
            <w:vAlign w:val="bottom"/>
            <w:gridSpan w:val="5"/>
          </w:tcPr>
          <w:p>
            <w:pPr>
              <w:spacing w:after="0" w:line="40" w:lineRule="exact"/>
              <w:rPr>
                <w:sz w:val="20"/>
                <w:szCs w:val="20"/>
                <w:color w:val="auto"/>
              </w:rPr>
            </w:pPr>
            <w:r>
              <w:rPr>
                <w:rFonts w:ascii="Arial" w:cs="Arial" w:eastAsia="Arial" w:hAnsi="Arial"/>
                <w:sz w:val="4"/>
                <w:szCs w:val="4"/>
                <w:color w:val="FFFFFF"/>
              </w:rPr>
              <w:t>8.75 9.00</w:t>
            </w:r>
          </w:p>
        </w:tc>
        <w:tc>
          <w:tcPr>
            <w:tcW w:w="0" w:type="dxa"/>
            <w:vAlign w:val="bottom"/>
          </w:tcPr>
          <w:p>
            <w:pPr>
              <w:spacing w:after="0" w:line="20" w:lineRule="exact"/>
              <w:rPr>
                <w:sz w:val="1"/>
                <w:szCs w:val="1"/>
                <w:color w:val="auto"/>
              </w:rPr>
            </w:pPr>
          </w:p>
        </w:tc>
      </w:tr>
      <w:tr>
        <w:trPr>
          <w:trHeight w:val="39"/>
        </w:trPr>
        <w:tc>
          <w:tcPr>
            <w:tcW w:w="420" w:type="dxa"/>
            <w:vAlign w:val="bottom"/>
            <w:gridSpan w:val="4"/>
          </w:tcPr>
          <w:p>
            <w:pPr>
              <w:spacing w:after="0" w:line="40" w:lineRule="exact"/>
              <w:rPr>
                <w:sz w:val="20"/>
                <w:szCs w:val="20"/>
                <w:color w:val="auto"/>
              </w:rPr>
            </w:pPr>
            <w:r>
              <w:rPr>
                <w:rFonts w:ascii="Arial" w:cs="Arial" w:eastAsia="Arial" w:hAnsi="Arial"/>
                <w:sz w:val="4"/>
                <w:szCs w:val="4"/>
                <w:color w:val="FFFFFF"/>
              </w:rPr>
              <w:t>9 8.50</w:t>
            </w:r>
          </w:p>
        </w:tc>
        <w:tc>
          <w:tcPr>
            <w:tcW w:w="6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8</w:t>
            </w:r>
          </w:p>
        </w:tc>
        <w:tc>
          <w:tcPr>
            <w:tcW w:w="6420" w:type="dxa"/>
            <w:vAlign w:val="bottom"/>
            <w:gridSpan w:val="4"/>
          </w:tcPr>
          <w:p>
            <w:pPr>
              <w:spacing w:after="0" w:line="40" w:lineRule="exact"/>
              <w:rPr>
                <w:sz w:val="20"/>
                <w:szCs w:val="20"/>
                <w:color w:val="auto"/>
              </w:rPr>
            </w:pPr>
            <w:r>
              <w:rPr>
                <w:rFonts w:ascii="Arial" w:cs="Arial" w:eastAsia="Arial" w:hAnsi="Arial"/>
                <w:sz w:val="4"/>
                <w:szCs w:val="4"/>
                <w:color w:val="FFFFFF"/>
              </w:rPr>
              <w:t>.00 8.25</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80" w:type="dxa"/>
            <w:vAlign w:val="bottom"/>
          </w:tcPr>
          <w:p>
            <w:pPr>
              <w:ind w:left="40"/>
              <w:spacing w:after="0" w:line="40" w:lineRule="exact"/>
              <w:rPr>
                <w:sz w:val="20"/>
                <w:szCs w:val="20"/>
                <w:color w:val="auto"/>
              </w:rPr>
            </w:pPr>
            <w:r>
              <w:rPr>
                <w:rFonts w:ascii="Arial" w:cs="Arial" w:eastAsia="Arial" w:hAnsi="Arial"/>
                <w:sz w:val="4"/>
                <w:szCs w:val="4"/>
                <w:color w:val="FFFFFF"/>
              </w:rPr>
              <w:t>7.00 7.50</w:t>
            </w:r>
          </w:p>
        </w:tc>
        <w:tc>
          <w:tcPr>
            <w:tcW w:w="0" w:type="dxa"/>
            <w:vAlign w:val="bottom"/>
          </w:tcPr>
          <w:p>
            <w:pPr>
              <w:spacing w:after="0" w:line="20" w:lineRule="exact"/>
              <w:rPr>
                <w:sz w:val="1"/>
                <w:szCs w:val="1"/>
                <w:color w:val="auto"/>
              </w:rPr>
            </w:pPr>
          </w:p>
        </w:tc>
      </w:tr>
      <w:tr>
        <w:trPr>
          <w:trHeight w:val="52"/>
        </w:trPr>
        <w:tc>
          <w:tcPr>
            <w:tcW w:w="80" w:type="dxa"/>
            <w:vAlign w:val="bottom"/>
          </w:tcPr>
          <w:p>
            <w:pPr>
              <w:spacing w:after="0" w:line="53" w:lineRule="exact"/>
              <w:rPr>
                <w:sz w:val="20"/>
                <w:szCs w:val="20"/>
                <w:color w:val="auto"/>
              </w:rPr>
            </w:pPr>
            <w:r>
              <w:rPr>
                <w:rFonts w:ascii="Arial" w:cs="Arial" w:eastAsia="Arial" w:hAnsi="Arial"/>
                <w:sz w:val="5"/>
                <w:szCs w:val="5"/>
                <w:color w:val="FFFFFF"/>
              </w:rPr>
              <w:t>7</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80" w:type="dxa"/>
            <w:vAlign w:val="bottom"/>
          </w:tcPr>
          <w:p>
            <w:pPr>
              <w:ind w:left="40"/>
              <w:spacing w:after="0" w:line="53" w:lineRule="exact"/>
              <w:rPr>
                <w:sz w:val="20"/>
                <w:szCs w:val="20"/>
                <w:color w:val="auto"/>
              </w:rPr>
            </w:pPr>
            <w:r>
              <w:rPr>
                <w:rFonts w:ascii="Arial" w:cs="Arial" w:eastAsia="Arial" w:hAnsi="Arial"/>
                <w:sz w:val="5"/>
                <w:szCs w:val="5"/>
                <w:color w:val="FFFFFF"/>
              </w:rPr>
              <w:t>6.00</w:t>
            </w:r>
          </w:p>
        </w:tc>
        <w:tc>
          <w:tcPr>
            <w:tcW w:w="0" w:type="dxa"/>
            <w:vAlign w:val="bottom"/>
          </w:tcPr>
          <w:p>
            <w:pPr>
              <w:spacing w:after="0"/>
              <w:rPr>
                <w:sz w:val="1"/>
                <w:szCs w:val="1"/>
                <w:color w:val="auto"/>
              </w:rPr>
            </w:pPr>
          </w:p>
        </w:tc>
      </w:tr>
      <w:tr>
        <w:trPr>
          <w:trHeight w:val="52"/>
        </w:trPr>
        <w:tc>
          <w:tcPr>
            <w:tcW w:w="80" w:type="dxa"/>
            <w:vAlign w:val="bottom"/>
          </w:tcPr>
          <w:p>
            <w:pPr>
              <w:spacing w:after="0" w:line="53" w:lineRule="exact"/>
              <w:rPr>
                <w:sz w:val="20"/>
                <w:szCs w:val="20"/>
                <w:color w:val="auto"/>
              </w:rPr>
            </w:pPr>
            <w:r>
              <w:rPr>
                <w:rFonts w:ascii="Arial" w:cs="Arial" w:eastAsia="Arial" w:hAnsi="Arial"/>
                <w:sz w:val="5"/>
                <w:szCs w:val="5"/>
                <w:color w:val="FFFFFF"/>
              </w:rPr>
              <w:t>6</w:t>
            </w: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80" w:type="dxa"/>
            <w:vAlign w:val="bottom"/>
          </w:tcPr>
          <w:p>
            <w:pPr>
              <w:ind w:left="40"/>
              <w:spacing w:after="0" w:line="53" w:lineRule="exact"/>
              <w:rPr>
                <w:sz w:val="20"/>
                <w:szCs w:val="20"/>
                <w:color w:val="auto"/>
              </w:rPr>
            </w:pPr>
            <w:r>
              <w:rPr>
                <w:rFonts w:ascii="Arial" w:cs="Arial" w:eastAsia="Arial" w:hAnsi="Arial"/>
                <w:sz w:val="5"/>
                <w:szCs w:val="5"/>
                <w:color w:val="FFFFFF"/>
              </w:rPr>
              <w:t>5.00</w:t>
            </w:r>
          </w:p>
        </w:tc>
        <w:tc>
          <w:tcPr>
            <w:tcW w:w="0" w:type="dxa"/>
            <w:vAlign w:val="bottom"/>
          </w:tcPr>
          <w:p>
            <w:pPr>
              <w:spacing w:after="0"/>
              <w:rPr>
                <w:sz w:val="1"/>
                <w:szCs w:val="1"/>
                <w:color w:val="auto"/>
              </w:rPr>
            </w:pPr>
          </w:p>
        </w:tc>
      </w:tr>
      <w:tr>
        <w:trPr>
          <w:trHeight w:val="135"/>
        </w:trPr>
        <w:tc>
          <w:tcPr>
            <w:tcW w:w="80" w:type="dxa"/>
            <w:vAlign w:val="bottom"/>
          </w:tcPr>
          <w:p>
            <w:pPr>
              <w:spacing w:after="0" w:line="136" w:lineRule="exact"/>
              <w:rPr>
                <w:sz w:val="20"/>
                <w:szCs w:val="20"/>
                <w:color w:val="auto"/>
              </w:rPr>
            </w:pPr>
            <w:r>
              <w:rPr>
                <w:rFonts w:ascii="Arial" w:cs="Arial" w:eastAsia="Arial" w:hAnsi="Arial"/>
                <w:sz w:val="13"/>
                <w:szCs w:val="13"/>
                <w:color w:val="FFFFFF"/>
                <w:w w:val="82"/>
              </w:rPr>
              <w:t>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FFFFFF"/>
                <w:w w:val="82"/>
              </w:rPr>
              <w:t>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20"/>
                <w:szCs w:val="20"/>
                <w:color w:val="auto"/>
              </w:rPr>
            </w:pPr>
            <w:r>
              <w:rPr>
                <w:rFonts w:ascii="Arial" w:cs="Arial" w:eastAsia="Arial" w:hAnsi="Arial"/>
                <w:sz w:val="13"/>
                <w:szCs w:val="13"/>
                <w:color w:val="FFFFFF"/>
                <w:w w:val="82"/>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20"/>
                <w:szCs w:val="20"/>
                <w:color w:val="auto"/>
              </w:rPr>
            </w:pPr>
            <w:r>
              <w:rPr>
                <w:rFonts w:ascii="Arial" w:cs="Arial" w:eastAsia="Arial" w:hAnsi="Arial"/>
                <w:sz w:val="13"/>
                <w:szCs w:val="13"/>
                <w:color w:val="FFFFFF"/>
                <w:w w:val="82"/>
              </w:rPr>
              <w:t>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20"/>
                <w:szCs w:val="20"/>
                <w:color w:val="auto"/>
              </w:rPr>
            </w:pPr>
            <w:r>
              <w:rPr>
                <w:rFonts w:ascii="Arial" w:cs="Arial" w:eastAsia="Arial" w:hAnsi="Arial"/>
                <w:sz w:val="13"/>
                <w:szCs w:val="13"/>
                <w:color w:val="FFFFFF"/>
                <w:w w:val="82"/>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auto"/>
        <w:rPr>
          <w:sz w:val="20"/>
          <w:szCs w:val="20"/>
          <w:color w:val="auto"/>
        </w:rPr>
      </w:pPr>
      <w:r>
        <w:rPr>
          <w:rFonts w:ascii="Arial" w:cs="Arial" w:eastAsia="Arial" w:hAnsi="Arial"/>
          <w:sz w:val="10"/>
          <w:szCs w:val="10"/>
          <w:color w:val="FFFFFF"/>
        </w:rPr>
        <w:t>0</w:t>
      </w:r>
    </w:p>
    <w:p>
      <w:pPr>
        <w:jc w:val="both"/>
        <w:ind w:right="3719"/>
        <w:spacing w:after="0"/>
        <w:rPr>
          <w:sz w:val="20"/>
          <w:szCs w:val="20"/>
          <w:color w:val="auto"/>
        </w:rPr>
      </w:pPr>
      <w:r>
        <w:rPr>
          <w:rFonts w:ascii="Arial" w:cs="Arial" w:eastAsia="Arial" w:hAnsi="Arial"/>
          <w:sz w:val="8"/>
          <w:szCs w:val="8"/>
          <w:color w:val="FFFFFF"/>
        </w:rPr>
        <w:t>Jun-11 Sep-11 Dec-11 Mar-12 Jun-12 Sep-12 Dec-12 Mar-13 Jun-13 Sep-13 Dec-13 Mar-14 Jun-14 Sep-14 Dec-14 Mar-15 Source: PFLT Investor Presentation (Dated 3/31/2015)</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FFFFFF"/>
        </w:rPr>
        <w:t>13Note: Monthly distributions for April, May, and June 2015 were also $0.095</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ConservativeThePFLTAdvantageRiskManagement</w:t>
      </w:r>
    </w:p>
    <w:p>
      <w:pPr>
        <w:ind w:left="100"/>
        <w:spacing w:after="0" w:line="182" w:lineRule="auto"/>
        <w:rPr>
          <w:sz w:val="20"/>
          <w:szCs w:val="20"/>
          <w:color w:val="auto"/>
        </w:rPr>
      </w:pPr>
      <w:r>
        <w:rPr>
          <w:rFonts w:ascii="Arial" w:cs="Arial" w:eastAsia="Arial" w:hAnsi="Arial"/>
          <w:sz w:val="9"/>
          <w:szCs w:val="9"/>
          <w:color w:val="FFFFFF"/>
          <w:vertAlign w:val="subscript"/>
        </w:rPr>
        <w:t>Weighted Average</w:t>
      </w:r>
      <w:r>
        <w:rPr>
          <w:rFonts w:ascii="Arial" w:cs="Arial" w:eastAsia="Arial" w:hAnsi="Arial"/>
          <w:sz w:val="7"/>
          <w:szCs w:val="7"/>
          <w:color w:val="FFFFFF"/>
        </w:rPr>
        <w:t xml:space="preserve"> cash interest coverage of 3.1x</w:t>
      </w:r>
    </w:p>
    <w:p>
      <w:pPr>
        <w:ind w:left="100"/>
        <w:spacing w:after="0" w:line="205" w:lineRule="auto"/>
        <w:rPr>
          <w:sz w:val="20"/>
          <w:szCs w:val="20"/>
          <w:color w:val="auto"/>
        </w:rPr>
      </w:pPr>
      <w:r>
        <w:rPr>
          <w:rFonts w:ascii="Arial" w:cs="Arial" w:eastAsia="Arial" w:hAnsi="Arial"/>
          <w:sz w:val="4"/>
          <w:szCs w:val="4"/>
          <w:color w:val="FFFFFF"/>
        </w:rPr>
        <w:t>83% of PFLT portfoliodebt is/ EBITDA1stLien SeniorthroughSecuredPFLTsecurityDebt of 4.0x</w:t>
      </w:r>
    </w:p>
    <w:p>
      <w:pPr>
        <w:ind w:left="100" w:right="1679" w:hanging="90"/>
        <w:spacing w:after="0"/>
        <w:rPr>
          <w:sz w:val="20"/>
          <w:szCs w:val="20"/>
          <w:color w:val="auto"/>
        </w:rPr>
      </w:pPr>
      <w:r>
        <w:rPr>
          <w:rFonts w:ascii="Arial" w:cs="Arial" w:eastAsia="Arial" w:hAnsi="Arial"/>
          <w:sz w:val="7"/>
          <w:szCs w:val="7"/>
          <w:color w:val="FFFFFF"/>
          <w:vertAlign w:val="superscript"/>
        </w:rPr>
        <w:t>?</w:t>
      </w:r>
      <w:r>
        <w:rPr>
          <w:rFonts w:ascii="Arial" w:cs="Arial" w:eastAsia="Arial" w:hAnsi="Arial"/>
          <w:sz w:val="6"/>
          <w:szCs w:val="6"/>
          <w:color w:val="FFFFFF"/>
        </w:rPr>
        <w:t xml:space="preserve"> Since inception four years ago, PFLT has had only one non-accrual at a cost of $2.2 million. So far, PFLT has recovered 97 cents on the dollar on this investment PennantPark entities have had only 9 non-accruals out of 360 investments since inception eight years ago despite the recession and credit crisis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FFFFFF"/>
        </w:rPr>
        <w:t>14Note: as of 3/31/15.</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gridSpan w:val="3"/>
          </w:tcPr>
          <w:p>
            <w:pPr>
              <w:spacing w:after="0"/>
              <w:rPr>
                <w:sz w:val="20"/>
                <w:szCs w:val="20"/>
                <w:color w:val="auto"/>
              </w:rPr>
            </w:pPr>
            <w:r>
              <w:rPr>
                <w:rFonts w:ascii="Arial" w:cs="Arial" w:eastAsia="Arial" w:hAnsi="Arial"/>
                <w:sz w:val="13"/>
                <w:szCs w:val="13"/>
                <w:color w:val="FFFFFF"/>
              </w:rPr>
              <w:t>Overall Portfolio as of 3/31/2015</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Highly Diversified Industry Mix</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BANKING, FINANCE, MEDIA: DIVERSIFIED AND</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CHEMICALS, PLASTICS</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INSURANCE &amp; REAL ESTANDTE PRODUCTION</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RUBBER</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3940" w:type="dxa"/>
            <w:vAlign w:val="bottom"/>
            <w:gridSpan w:val="2"/>
          </w:tcPr>
          <w:p>
            <w:pPr>
              <w:ind w:left="20"/>
              <w:spacing w:after="0" w:line="40" w:lineRule="exact"/>
              <w:rPr>
                <w:sz w:val="20"/>
                <w:szCs w:val="20"/>
                <w:color w:val="auto"/>
              </w:rPr>
            </w:pPr>
            <w:r>
              <w:rPr>
                <w:rFonts w:ascii="Arial" w:cs="Arial" w:eastAsia="Arial" w:hAnsi="Arial"/>
                <w:sz w:val="4"/>
                <w:szCs w:val="4"/>
                <w:color w:val="FFFFFF"/>
              </w:rPr>
              <w:t>2% WHOLESALE</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3940" w:type="dxa"/>
            <w:vAlign w:val="bottom"/>
            <w:gridSpan w:val="2"/>
          </w:tcPr>
          <w:p>
            <w:pPr>
              <w:ind w:left="20"/>
              <w:spacing w:after="0" w:line="40" w:lineRule="exact"/>
              <w:rPr>
                <w:sz w:val="20"/>
                <w:szCs w:val="20"/>
                <w:color w:val="auto"/>
              </w:rPr>
            </w:pPr>
            <w:r>
              <w:rPr>
                <w:rFonts w:ascii="Arial" w:cs="Arial" w:eastAsia="Arial" w:hAnsi="Arial"/>
                <w:sz w:val="4"/>
                <w:szCs w:val="4"/>
                <w:color w:val="FFFFFF"/>
              </w:rPr>
              <w:t>3% OTHER</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3940" w:type="dxa"/>
            <w:vAlign w:val="bottom"/>
            <w:gridSpan w:val="2"/>
          </w:tcPr>
          <w:p>
            <w:pPr>
              <w:ind w:left="20"/>
              <w:spacing w:after="0" w:line="40" w:lineRule="exact"/>
              <w:rPr>
                <w:sz w:val="20"/>
                <w:szCs w:val="20"/>
                <w:color w:val="auto"/>
              </w:rPr>
            </w:pPr>
            <w:r>
              <w:rPr>
                <w:rFonts w:ascii="Arial" w:cs="Arial" w:eastAsia="Arial" w:hAnsi="Arial"/>
                <w:sz w:val="4"/>
                <w:szCs w:val="4"/>
                <w:color w:val="FFFFFF"/>
              </w:rPr>
              <w:t>(2)</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HIGH TECH INDUSTRIES CONSTRUCTION AND BUILDING</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OTHER</w:t>
            </w:r>
          </w:p>
        </w:tc>
      </w:tr>
      <w:tr>
        <w:trPr>
          <w:trHeight w:val="79"/>
        </w:trPr>
        <w:tc>
          <w:tcPr>
            <w:tcW w:w="260" w:type="dxa"/>
            <w:vAlign w:val="bottom"/>
            <w:gridSpan w:val="2"/>
          </w:tcPr>
          <w:p>
            <w:pPr>
              <w:spacing w:after="0" w:line="79" w:lineRule="exact"/>
              <w:rPr>
                <w:sz w:val="20"/>
                <w:szCs w:val="20"/>
                <w:color w:val="auto"/>
              </w:rPr>
            </w:pPr>
            <w:r>
              <w:rPr>
                <w:rFonts w:ascii="Arial" w:cs="Arial" w:eastAsia="Arial" w:hAnsi="Arial"/>
                <w:sz w:val="9"/>
                <w:szCs w:val="9"/>
                <w:color w:val="FFFFFF"/>
              </w:rPr>
              <w:t>13%</w:t>
            </w:r>
          </w:p>
        </w:tc>
        <w:tc>
          <w:tcPr>
            <w:tcW w:w="3880" w:type="dxa"/>
            <w:vAlign w:val="bottom"/>
          </w:tcPr>
          <w:p>
            <w:pPr>
              <w:jc w:val="right"/>
              <w:ind w:right="3655"/>
              <w:spacing w:after="0" w:line="79" w:lineRule="exact"/>
              <w:rPr>
                <w:sz w:val="20"/>
                <w:szCs w:val="20"/>
                <w:color w:val="auto"/>
              </w:rPr>
            </w:pPr>
            <w:r>
              <w:rPr>
                <w:rFonts w:ascii="Arial" w:cs="Arial" w:eastAsia="Arial" w:hAnsi="Arial"/>
                <w:sz w:val="9"/>
                <w:szCs w:val="9"/>
                <w:color w:val="FFFFFF"/>
              </w:rPr>
              <w:t>3%</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BUSINESS SERVICES CONSUMER GOODS:</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11% NON-DURABLE</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60" w:type="dxa"/>
            <w:vAlign w:val="bottom"/>
          </w:tcPr>
          <w:p>
            <w:pPr>
              <w:spacing w:after="0"/>
              <w:rPr>
                <w:sz w:val="3"/>
                <w:szCs w:val="3"/>
                <w:color w:val="auto"/>
              </w:rPr>
            </w:pPr>
          </w:p>
        </w:tc>
        <w:tc>
          <w:tcPr>
            <w:tcW w:w="3880" w:type="dxa"/>
            <w:vAlign w:val="bottom"/>
          </w:tcPr>
          <w:p>
            <w:pPr>
              <w:spacing w:after="0"/>
              <w:rPr>
                <w:sz w:val="3"/>
                <w:szCs w:val="3"/>
                <w:color w:val="auto"/>
              </w:rPr>
            </w:pPr>
          </w:p>
        </w:tc>
      </w:tr>
      <w:tr>
        <w:trPr>
          <w:trHeight w:val="39"/>
        </w:trPr>
        <w:tc>
          <w:tcPr>
            <w:tcW w:w="4140" w:type="dxa"/>
            <w:vAlign w:val="bottom"/>
            <w:gridSpan w:val="3"/>
          </w:tcPr>
          <w:p>
            <w:pPr>
              <w:ind w:left="100"/>
              <w:spacing w:after="0" w:line="40" w:lineRule="exact"/>
              <w:rPr>
                <w:sz w:val="20"/>
                <w:szCs w:val="20"/>
                <w:color w:val="auto"/>
              </w:rPr>
            </w:pPr>
            <w:r>
              <w:rPr>
                <w:rFonts w:ascii="Arial" w:cs="Arial" w:eastAsia="Arial" w:hAnsi="Arial"/>
                <w:sz w:val="4"/>
                <w:szCs w:val="4"/>
                <w:color w:val="FFFFFF"/>
              </w:rPr>
              <w:t>EROSPACE AND DEFENSE</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AUTOMOTIVE 4%</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5%</w:t>
            </w:r>
          </w:p>
        </w:tc>
        <w:tc>
          <w:tcPr>
            <w:tcW w:w="60" w:type="dxa"/>
            <w:vAlign w:val="bottom"/>
          </w:tcPr>
          <w:p>
            <w:pPr>
              <w:spacing w:after="0"/>
              <w:rPr>
                <w:sz w:val="3"/>
                <w:szCs w:val="3"/>
                <w:color w:val="auto"/>
              </w:rPr>
            </w:pPr>
          </w:p>
        </w:tc>
        <w:tc>
          <w:tcPr>
            <w:tcW w:w="3880" w:type="dxa"/>
            <w:vAlign w:val="bottom"/>
          </w:tcPr>
          <w:p>
            <w:pPr>
              <w:spacing w:after="0"/>
              <w:rPr>
                <w:sz w:val="3"/>
                <w:szCs w:val="3"/>
                <w:color w:val="auto"/>
              </w:rPr>
            </w:pP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HEALTHCARE AND RETAIL</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PHARMACEUTICALS 7%</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9%</w:t>
            </w:r>
          </w:p>
        </w:tc>
        <w:tc>
          <w:tcPr>
            <w:tcW w:w="60" w:type="dxa"/>
            <w:vAlign w:val="bottom"/>
          </w:tcPr>
          <w:p>
            <w:pPr>
              <w:spacing w:after="0"/>
              <w:rPr>
                <w:sz w:val="3"/>
                <w:szCs w:val="3"/>
                <w:color w:val="auto"/>
              </w:rPr>
            </w:pPr>
          </w:p>
        </w:tc>
        <w:tc>
          <w:tcPr>
            <w:tcW w:w="3880" w:type="dxa"/>
            <w:vAlign w:val="bottom"/>
          </w:tcPr>
          <w:p>
            <w:pPr>
              <w:spacing w:after="0"/>
              <w:rPr>
                <w:sz w:val="3"/>
                <w:szCs w:val="3"/>
                <w:color w:val="auto"/>
              </w:rPr>
            </w:pP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CONSUMER SERVICES MEDIA: ADVERTISING,</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8% PRINTING AND PUBLISHING</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7%</w:t>
            </w:r>
          </w:p>
        </w:tc>
        <w:tc>
          <w:tcPr>
            <w:tcW w:w="60" w:type="dxa"/>
            <w:vAlign w:val="bottom"/>
          </w:tcPr>
          <w:p>
            <w:pPr>
              <w:spacing w:after="0"/>
              <w:rPr>
                <w:sz w:val="3"/>
                <w:szCs w:val="3"/>
                <w:color w:val="auto"/>
              </w:rPr>
            </w:pPr>
          </w:p>
        </w:tc>
        <w:tc>
          <w:tcPr>
            <w:tcW w:w="3880" w:type="dxa"/>
            <w:vAlign w:val="bottom"/>
          </w:tcPr>
          <w:p>
            <w:pPr>
              <w:spacing w:after="0"/>
              <w:rPr>
                <w:sz w:val="3"/>
                <w:szCs w:val="3"/>
                <w:color w:val="auto"/>
              </w:rPr>
            </w:pP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HOTEL, GAMING AND LEISURE CONSUMER GOODS: DURABLE</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8%</w:t>
            </w:r>
          </w:p>
        </w:tc>
        <w:tc>
          <w:tcPr>
            <w:tcW w:w="3940" w:type="dxa"/>
            <w:vAlign w:val="bottom"/>
            <w:gridSpan w:val="2"/>
          </w:tcPr>
          <w:p>
            <w:pPr>
              <w:ind w:left="20"/>
              <w:spacing w:after="0" w:line="40" w:lineRule="exact"/>
              <w:rPr>
                <w:sz w:val="20"/>
                <w:szCs w:val="20"/>
                <w:color w:val="auto"/>
              </w:rPr>
            </w:pPr>
            <w:r>
              <w:rPr>
                <w:rFonts w:ascii="Arial" w:cs="Arial" w:eastAsia="Arial" w:hAnsi="Arial"/>
                <w:sz w:val="4"/>
                <w:szCs w:val="4"/>
                <w:color w:val="FFFFFF"/>
              </w:rPr>
              <w:t>7%</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Portfolio Mix</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SUBORDINATED DEBT,</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PREFERRED AND COMMON</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EQUITY 2ND LIEN SECURED DEBT</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394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14%</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1ST LIEN SENIOR SECURED</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DEBT</w:t>
            </w:r>
          </w:p>
        </w:tc>
      </w:tr>
      <w:tr>
        <w:trPr>
          <w:trHeight w:val="39"/>
        </w:trPr>
        <w:tc>
          <w:tcPr>
            <w:tcW w:w="260" w:type="dxa"/>
            <w:vAlign w:val="bottom"/>
            <w:gridSpan w:val="2"/>
          </w:tcPr>
          <w:p>
            <w:pPr>
              <w:spacing w:after="0" w:line="40" w:lineRule="exact"/>
              <w:rPr>
                <w:sz w:val="20"/>
                <w:szCs w:val="20"/>
                <w:color w:val="auto"/>
              </w:rPr>
            </w:pPr>
            <w:r>
              <w:rPr>
                <w:rFonts w:ascii="Arial" w:cs="Arial" w:eastAsia="Arial" w:hAnsi="Arial"/>
                <w:sz w:val="4"/>
                <w:szCs w:val="4"/>
                <w:color w:val="FFFFFF"/>
              </w:rPr>
              <w:t>83%</w:t>
            </w:r>
          </w:p>
        </w:tc>
        <w:tc>
          <w:tcPr>
            <w:tcW w:w="3880" w:type="dxa"/>
            <w:vAlign w:val="bottom"/>
          </w:tcPr>
          <w:p>
            <w:pPr>
              <w:spacing w:after="0"/>
              <w:rPr>
                <w:sz w:val="3"/>
                <w:szCs w:val="3"/>
                <w:color w:val="auto"/>
              </w:rPr>
            </w:pP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Total Portfolio: $336 million</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Portfolio Overview</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71 Different Companies Average Investment Size: $4.7 million</w:t>
            </w:r>
          </w:p>
        </w:tc>
      </w:tr>
      <w:tr>
        <w:trPr>
          <w:trHeight w:val="39"/>
        </w:trPr>
        <w:tc>
          <w:tcPr>
            <w:tcW w:w="260" w:type="dxa"/>
            <w:vAlign w:val="bottom"/>
            <w:gridSpan w:val="2"/>
          </w:tcPr>
          <w:p>
            <w:pPr>
              <w:spacing w:after="0" w:line="40" w:lineRule="exact"/>
              <w:rPr>
                <w:sz w:val="20"/>
                <w:szCs w:val="20"/>
                <w:color w:val="auto"/>
              </w:rPr>
            </w:pPr>
            <w:r>
              <w:rPr>
                <w:rFonts w:ascii="Arial" w:cs="Arial" w:eastAsia="Arial" w:hAnsi="Arial"/>
                <w:sz w:val="4"/>
                <w:szCs w:val="4"/>
                <w:color w:val="FFFFFF"/>
              </w:rPr>
              <w:t>96%</w:t>
            </w:r>
          </w:p>
        </w:tc>
        <w:tc>
          <w:tcPr>
            <w:tcW w:w="3880" w:type="dxa"/>
            <w:vAlign w:val="bottom"/>
          </w:tcPr>
          <w:p>
            <w:pPr>
              <w:jc w:val="right"/>
              <w:ind w:right="975"/>
              <w:spacing w:after="0" w:line="40" w:lineRule="exact"/>
              <w:rPr>
                <w:sz w:val="20"/>
                <w:szCs w:val="20"/>
                <w:color w:val="auto"/>
              </w:rPr>
            </w:pPr>
            <w:r>
              <w:rPr>
                <w:rFonts w:ascii="Arial" w:cs="Arial" w:eastAsia="Arial" w:hAnsi="Arial"/>
                <w:sz w:val="4"/>
                <w:szCs w:val="4"/>
                <w:color w:val="FFFFFF"/>
              </w:rPr>
              <w:t>rate investments (including 91% with  floor)</w:t>
            </w:r>
          </w:p>
        </w:tc>
      </w:tr>
      <w:tr>
        <w:trPr>
          <w:trHeight w:val="39"/>
        </w:trPr>
        <w:tc>
          <w:tcPr>
            <w:tcW w:w="4140" w:type="dxa"/>
            <w:vAlign w:val="bottom"/>
            <w:gridSpan w:val="3"/>
          </w:tcPr>
          <w:p>
            <w:pPr>
              <w:spacing w:after="0" w:line="40" w:lineRule="exact"/>
              <w:rPr>
                <w:sz w:val="20"/>
                <w:szCs w:val="20"/>
                <w:color w:val="auto"/>
              </w:rPr>
            </w:pPr>
            <w:r>
              <w:rPr>
                <w:rFonts w:ascii="Arial" w:cs="Arial" w:eastAsia="Arial" w:hAnsi="Arial"/>
                <w:sz w:val="4"/>
                <w:szCs w:val="4"/>
                <w:color w:val="FFFFFF"/>
              </w:rPr>
              <w:t>YieldFloatingCost on Source: Company Financial Statements.</w:t>
            </w:r>
          </w:p>
        </w:tc>
      </w:tr>
      <w:tr>
        <w:trPr>
          <w:trHeight w:val="0"/>
        </w:trPr>
        <w:tc>
          <w:tcPr>
            <w:tcW w:w="200" w:type="dxa"/>
            <w:vAlign w:val="bottom"/>
          </w:tcPr>
          <w:p>
            <w:pPr>
              <w:spacing w:after="0"/>
              <w:rPr>
                <w:sz w:val="20"/>
                <w:szCs w:val="20"/>
                <w:color w:val="auto"/>
              </w:rPr>
            </w:pPr>
            <w:r>
              <w:rPr>
                <w:rFonts w:ascii="Arial" w:cs="Arial" w:eastAsia="Arial" w:hAnsi="Arial"/>
                <w:sz w:val="2"/>
                <w:szCs w:val="2"/>
                <w:color w:val="FFFFFF"/>
              </w:rPr>
              <w:t>(1)</w:t>
            </w:r>
          </w:p>
        </w:tc>
        <w:tc>
          <w:tcPr>
            <w:tcW w:w="60" w:type="dxa"/>
            <w:vAlign w:val="bottom"/>
          </w:tcPr>
          <w:p>
            <w:pPr>
              <w:spacing w:after="0" w:line="20" w:lineRule="exact"/>
              <w:rPr>
                <w:sz w:val="1"/>
                <w:szCs w:val="1"/>
                <w:color w:val="auto"/>
              </w:rPr>
            </w:pPr>
          </w:p>
        </w:tc>
        <w:tc>
          <w:tcPr>
            <w:tcW w:w="3880" w:type="dxa"/>
            <w:vAlign w:val="bottom"/>
          </w:tcPr>
          <w:p>
            <w:pPr>
              <w:jc w:val="right"/>
              <w:spacing w:after="0"/>
              <w:rPr>
                <w:sz w:val="20"/>
                <w:szCs w:val="20"/>
                <w:color w:val="auto"/>
              </w:rPr>
            </w:pPr>
            <w:r>
              <w:rPr>
                <w:rFonts w:ascii="Arial" w:cs="Arial" w:eastAsia="Arial" w:hAnsi="Arial"/>
                <w:sz w:val="2"/>
                <w:szCs w:val="2"/>
                <w:color w:val="FFFFFF"/>
              </w:rPr>
              <w:t>Based on a $0.095 monthly dividend and closing price on 03/31/2015.</w:t>
            </w:r>
          </w:p>
        </w:tc>
      </w:tr>
    </w:tbl>
    <w:p>
      <w:pPr>
        <w:spacing w:after="0" w:line="223" w:lineRule="auto"/>
        <w:rPr>
          <w:sz w:val="20"/>
          <w:szCs w:val="20"/>
          <w:color w:val="auto"/>
        </w:rPr>
      </w:pPr>
      <w:r>
        <w:rPr>
          <w:rFonts w:ascii="Arial" w:cs="Arial" w:eastAsia="Arial" w:hAnsi="Arial"/>
          <w:sz w:val="5"/>
          <w:szCs w:val="5"/>
          <w:color w:val="FFFFFF"/>
        </w:rPr>
        <w:t>(2) Total of 21 industries. “Other” includes: Beverage, Food and Tobacco / Media: Broadcasting and Subscription / Metals and Mining / Telecommunications</w:t>
      </w:r>
    </w:p>
    <w:p>
      <w:pPr>
        <w:spacing w:after="0"/>
        <w:rPr>
          <w:sz w:val="20"/>
          <w:szCs w:val="20"/>
          <w:color w:val="auto"/>
        </w:rPr>
      </w:pPr>
      <w:r>
        <w:rPr>
          <w:rFonts w:ascii="Arial" w:cs="Arial" w:eastAsia="Arial" w:hAnsi="Arial"/>
          <w:sz w:val="13"/>
          <w:szCs w:val="13"/>
          <w:color w:val="FFFFFF"/>
        </w:rPr>
        <w:t>15Debt Portfolio: 8.4%</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2"/>
          </w:tcPr>
          <w:p>
            <w:pPr>
              <w:spacing w:after="0"/>
              <w:rPr>
                <w:sz w:val="20"/>
                <w:szCs w:val="20"/>
                <w:color w:val="auto"/>
              </w:rPr>
            </w:pPr>
            <w:r>
              <w:rPr>
                <w:rFonts w:ascii="Arial" w:cs="Arial" w:eastAsia="Arial" w:hAnsi="Arial"/>
                <w:sz w:val="13"/>
                <w:szCs w:val="13"/>
                <w:color w:val="FFFFFF"/>
              </w:rPr>
              <w:t>PFLT Post Acquisition</w:t>
            </w:r>
          </w:p>
        </w:tc>
        <w:tc>
          <w:tcPr>
            <w:tcW w:w="4160" w:type="dxa"/>
            <w:vAlign w:val="bottom"/>
            <w:vMerge w:val="restart"/>
          </w:tcPr>
          <w:p>
            <w:pPr>
              <w:ind w:left="140"/>
              <w:spacing w:after="0"/>
              <w:rPr>
                <w:sz w:val="20"/>
                <w:szCs w:val="20"/>
                <w:color w:val="auto"/>
              </w:rPr>
            </w:pPr>
            <w:r>
              <w:rPr>
                <w:rFonts w:ascii="Arial" w:cs="Arial" w:eastAsia="Arial" w:hAnsi="Arial"/>
                <w:sz w:val="13"/>
                <w:szCs w:val="13"/>
                <w:color w:val="FFFFFF"/>
              </w:rPr>
              <w:t>senior secured loans</w:t>
            </w:r>
          </w:p>
        </w:tc>
        <w:tc>
          <w:tcPr>
            <w:tcW w:w="0" w:type="dxa"/>
            <w:vAlign w:val="bottom"/>
          </w:tcPr>
          <w:p>
            <w:pPr>
              <w:spacing w:after="0"/>
              <w:rPr>
                <w:sz w:val="1"/>
                <w:szCs w:val="1"/>
                <w:color w:val="auto"/>
              </w:rPr>
            </w:pPr>
          </w:p>
        </w:tc>
      </w:tr>
      <w:tr>
        <w:trPr>
          <w:trHeight w:val="39"/>
        </w:trPr>
        <w:tc>
          <w:tcPr>
            <w:tcW w:w="1360" w:type="dxa"/>
            <w:vAlign w:val="bottom"/>
            <w:gridSpan w:val="2"/>
          </w:tcPr>
          <w:p>
            <w:pPr>
              <w:ind w:left="220"/>
              <w:spacing w:after="0" w:line="40" w:lineRule="exact"/>
              <w:rPr>
                <w:sz w:val="20"/>
                <w:szCs w:val="20"/>
                <w:color w:val="auto"/>
              </w:rPr>
            </w:pPr>
            <w:r>
              <w:rPr>
                <w:rFonts w:ascii="Arial" w:cs="Arial" w:eastAsia="Arial" w:hAnsi="Arial"/>
                <w:sz w:val="4"/>
                <w:szCs w:val="4"/>
                <w:color w:val="FFFFFF"/>
              </w:rPr>
              <w:t>leader in middle</w:t>
            </w:r>
          </w:p>
        </w:tc>
        <w:tc>
          <w:tcPr>
            <w:tcW w:w="4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520" w:type="dxa"/>
            <w:vAlign w:val="bottom"/>
            <w:gridSpan w:val="3"/>
          </w:tcPr>
          <w:p>
            <w:pPr>
              <w:ind w:left="200"/>
              <w:spacing w:after="0" w:line="40" w:lineRule="exact"/>
              <w:rPr>
                <w:sz w:val="20"/>
                <w:szCs w:val="20"/>
                <w:color w:val="auto"/>
              </w:rPr>
            </w:pPr>
            <w:r>
              <w:rPr>
                <w:rFonts w:ascii="Arial" w:cs="Arial" w:eastAsia="Arial" w:hAnsi="Arial"/>
                <w:sz w:val="4"/>
                <w:szCs w:val="4"/>
                <w:color w:val="FFFFFF"/>
              </w:rPr>
              <w:t>n ability to leveragemarketproven track record of capital preservation and current income for shareholders</w:t>
            </w:r>
          </w:p>
        </w:tc>
        <w:tc>
          <w:tcPr>
            <w:tcW w:w="0" w:type="dxa"/>
            <w:vAlign w:val="bottom"/>
          </w:tcPr>
          <w:p>
            <w:pPr>
              <w:spacing w:after="0" w:line="20" w:lineRule="exact"/>
              <w:rPr>
                <w:sz w:val="1"/>
                <w:szCs w:val="1"/>
                <w:color w:val="auto"/>
              </w:rPr>
            </w:pPr>
          </w:p>
        </w:tc>
      </w:tr>
      <w:tr>
        <w:trPr>
          <w:trHeight w:val="0"/>
        </w:trPr>
        <w:tc>
          <w:tcPr>
            <w:tcW w:w="820" w:type="dxa"/>
            <w:vAlign w:val="bottom"/>
          </w:tcPr>
          <w:p>
            <w:pPr>
              <w:ind w:left="100"/>
              <w:spacing w:after="0" w:line="78" w:lineRule="exact"/>
              <w:rPr>
                <w:sz w:val="20"/>
                <w:szCs w:val="20"/>
                <w:color w:val="auto"/>
              </w:rPr>
            </w:pPr>
            <w:r>
              <w:rPr>
                <w:rFonts w:ascii="Arial" w:cs="Arial" w:eastAsia="Arial" w:hAnsi="Arial"/>
                <w:sz w:val="8"/>
                <w:szCs w:val="8"/>
                <w:color w:val="FFFFFF"/>
              </w:rPr>
              <w:t>Ability to</w:t>
            </w:r>
          </w:p>
        </w:tc>
        <w:tc>
          <w:tcPr>
            <w:tcW w:w="4700" w:type="dxa"/>
            <w:vAlign w:val="bottom"/>
            <w:gridSpan w:val="2"/>
          </w:tcPr>
          <w:p>
            <w:pPr>
              <w:ind w:left="240"/>
              <w:spacing w:after="0" w:line="78" w:lineRule="exact"/>
              <w:rPr>
                <w:sz w:val="20"/>
                <w:szCs w:val="20"/>
                <w:color w:val="auto"/>
              </w:rPr>
            </w:pPr>
            <w:r>
              <w:rPr>
                <w:rFonts w:ascii="Arial" w:cs="Arial" w:eastAsia="Arial" w:hAnsi="Arial"/>
                <w:sz w:val="8"/>
                <w:szCs w:val="8"/>
                <w:color w:val="FFFFFF"/>
              </w:rPr>
              <w:t>more share and become more relevant to our clients</w:t>
            </w:r>
          </w:p>
        </w:tc>
        <w:tc>
          <w:tcPr>
            <w:tcW w:w="0" w:type="dxa"/>
            <w:vAlign w:val="bottom"/>
          </w:tcPr>
          <w:p>
            <w:pPr>
              <w:spacing w:after="0" w:line="20" w:lineRule="exact"/>
              <w:rPr>
                <w:sz w:val="1"/>
                <w:szCs w:val="1"/>
                <w:color w:val="auto"/>
              </w:rPr>
            </w:pPr>
          </w:p>
        </w:tc>
      </w:tr>
    </w:tbl>
    <w:p>
      <w:pPr>
        <w:ind w:left="640"/>
        <w:spacing w:after="0" w:line="24" w:lineRule="auto"/>
        <w:rPr>
          <w:sz w:val="20"/>
          <w:szCs w:val="20"/>
          <w:color w:val="auto"/>
        </w:rPr>
      </w:pPr>
      <w:r>
        <w:rPr>
          <w:rFonts w:ascii="Arial" w:cs="Arial" w:eastAsia="Arial" w:hAnsi="Arial"/>
          <w:sz w:val="1"/>
          <w:szCs w:val="1"/>
          <w:color w:val="FFFFFF"/>
        </w:rPr>
        <w:t>capture</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CombinedRampupinbusinessprudentwillmannerhave lowconsistentfeesandwitheliminatehistoricalduplicativeperformancepublicandcompanymarket opportunitycosts</w:t>
      </w:r>
    </w:p>
    <w:p>
      <w:pPr>
        <w:spacing w:after="0"/>
        <w:rPr>
          <w:sz w:val="20"/>
          <w:szCs w:val="20"/>
          <w:color w:val="auto"/>
        </w:rPr>
      </w:pPr>
      <w:r>
        <w:rPr>
          <w:rFonts w:ascii="Arial" w:cs="Arial" w:eastAsia="Arial" w:hAnsi="Arial"/>
          <w:sz w:val="13"/>
          <w:szCs w:val="13"/>
          <w:color w:val="FFFFFF"/>
        </w:rPr>
        <w:t>16Greater liquidity and float for shareholders</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2019-12-20T22:34:38Z</dcterms:created>
  <dcterms:modified xsi:type="dcterms:W3CDTF">2019-12-20T22:34:38Z</dcterms:modified>
</cp:coreProperties>
</file>