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August 09, 2012</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39" w:lineRule="exact"/>
        <w:rPr>
          <w:sz w:val="24"/>
          <w:szCs w:val="24"/>
          <w:color w:val="auto"/>
        </w:rPr>
      </w:pPr>
    </w:p>
    <w:p>
      <w:pPr>
        <w:ind w:left="40" w:right="60"/>
        <w:spacing w:after="0"/>
        <w:rPr>
          <w:sz w:val="20"/>
          <w:szCs w:val="20"/>
          <w:color w:val="auto"/>
        </w:rPr>
      </w:pPr>
      <w:r>
        <w:rPr>
          <w:rFonts w:ascii="Arial" w:cs="Arial" w:eastAsia="Arial" w:hAnsi="Arial"/>
          <w:sz w:val="22"/>
          <w:szCs w:val="22"/>
          <w:color w:val="auto"/>
        </w:rPr>
        <w:t>On August 9, 2012, PennantPark Floating Rate Capital Ltd. issued a press release announcing its financial results for the quarter ended June 30, 2012. A copy of the press release is furnished as Exhibit 99.1 to this report pursuant to Item 2.02 on Form 8-K and Regulation FD.</w:t>
      </w:r>
    </w:p>
    <w:p>
      <w:pPr>
        <w:spacing w:after="0" w:line="213" w:lineRule="exact"/>
        <w:rPr>
          <w:sz w:val="24"/>
          <w:szCs w:val="24"/>
          <w:color w:val="auto"/>
        </w:rPr>
      </w:pPr>
    </w:p>
    <w:p>
      <w:pPr>
        <w:ind w:left="40" w:right="80"/>
        <w:spacing w:after="0" w:line="236" w:lineRule="auto"/>
        <w:rPr>
          <w:sz w:val="20"/>
          <w:szCs w:val="20"/>
          <w:color w:val="auto"/>
        </w:rPr>
      </w:pPr>
      <w:r>
        <w:rPr>
          <w:rFonts w:ascii="Arial" w:cs="Arial" w:eastAsia="Arial" w:hAnsi="Arial"/>
          <w:sz w:val="22"/>
          <w:szCs w:val="22"/>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under the Exchange Act, except as shall be expressly set forth by specific reference in such filing.</w:t>
      </w:r>
    </w:p>
    <w:p>
      <w:pPr>
        <w:spacing w:after="0" w:line="181"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4"/>
          <w:szCs w:val="24"/>
          <w:color w:val="auto"/>
        </w:rPr>
      </w:pPr>
    </w:p>
    <w:p>
      <w:pPr>
        <w:spacing w:after="0" w:line="249" w:lineRule="exact"/>
        <w:rPr>
          <w:sz w:val="24"/>
          <w:szCs w:val="24"/>
          <w:color w:val="auto"/>
        </w:rPr>
      </w:pPr>
    </w:p>
    <w:p>
      <w:pPr>
        <w:ind w:left="700" w:right="8880" w:hanging="652"/>
        <w:spacing w:after="0" w:line="280" w:lineRule="auto"/>
        <w:tabs>
          <w:tab w:leader="none" w:pos="35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700" w:right="7800" w:hanging="652"/>
        <w:spacing w:after="0" w:line="230" w:lineRule="auto"/>
        <w:tabs>
          <w:tab w:leader="none" w:pos="37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700" w:right="8260" w:hanging="652"/>
        <w:spacing w:after="0" w:line="230" w:lineRule="auto"/>
        <w:tabs>
          <w:tab w:leader="none" w:pos="34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60" w:hanging="312"/>
        <w:spacing w:after="0" w:line="230" w:lineRule="auto"/>
        <w:tabs>
          <w:tab w:leader="none" w:pos="36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4"/>
          <w:szCs w:val="24"/>
          <w:color w:val="auto"/>
        </w:rPr>
      </w:pPr>
    </w:p>
    <w:p>
      <w:pPr>
        <w:ind w:left="700"/>
        <w:spacing w:after="0"/>
        <w:tabs>
          <w:tab w:leader="none" w:pos="144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August 09, 2012</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132715</wp:posOffset>
            </wp:positionV>
            <wp:extent cx="70808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890"/>
                    </a:xfrm>
                    <a:prstGeom prst="rect">
                      <a:avLst/>
                    </a:prstGeom>
                    <a:noFill/>
                  </pic:spPr>
                </pic:pic>
              </a:graphicData>
            </a:graphic>
          </wp:anchor>
        </w:drawing>
      </w:r>
    </w:p>
    <w:p>
      <w:pPr>
        <w:sectPr>
          <w:pgSz w:w="11900" w:h="16838" w:orient="portrait"/>
          <w:cols w:equalWidth="0" w:num="1">
            <w:col w:w="11200"/>
          </w:cols>
          <w:pgMar w:left="320" w:top="828" w:right="379" w:bottom="0" w:gutter="0" w:footer="0" w:header="0"/>
        </w:sectPr>
      </w:pPr>
    </w:p>
    <w:bookmarkStart w:id="1" w:name="page2"/>
    <w:bookmarkEnd w:id="1"/>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3" w:lineRule="exact"/>
        <w:rPr>
          <w:sz w:val="20"/>
          <w:szCs w:val="20"/>
          <w:color w:val="auto"/>
        </w:rPr>
      </w:pPr>
    </w:p>
    <w:p>
      <w:pPr>
        <w:ind w:right="1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840" w:type="dxa"/>
            <w:vAlign w:val="bottom"/>
          </w:tcPr>
          <w:p>
            <w:pPr>
              <w:spacing w:after="0"/>
              <w:rPr>
                <w:sz w:val="20"/>
                <w:szCs w:val="20"/>
                <w:color w:val="auto"/>
              </w:rPr>
            </w:pPr>
            <w:r>
              <w:rPr>
                <w:rFonts w:ascii="Arial" w:cs="Arial" w:eastAsia="Arial" w:hAnsi="Arial"/>
                <w:sz w:val="22"/>
                <w:szCs w:val="22"/>
                <w:color w:val="auto"/>
              </w:rPr>
              <w:t>Dated: August 09, 2012</w:t>
            </w:r>
          </w:p>
        </w:tc>
        <w:tc>
          <w:tcPr>
            <w:tcW w:w="6780" w:type="dxa"/>
            <w:vAlign w:val="bottom"/>
            <w:gridSpan w:val="3"/>
          </w:tcPr>
          <w:p>
            <w:pPr>
              <w:ind w:left="178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840" w:type="dxa"/>
            <w:vAlign w:val="bottom"/>
          </w:tcPr>
          <w:p>
            <w:pPr>
              <w:spacing w:after="0"/>
              <w:rPr>
                <w:sz w:val="24"/>
                <w:szCs w:val="24"/>
                <w:color w:val="auto"/>
              </w:rPr>
            </w:pPr>
          </w:p>
        </w:tc>
        <w:tc>
          <w:tcPr>
            <w:tcW w:w="6780" w:type="dxa"/>
            <w:vAlign w:val="bottom"/>
            <w:gridSpan w:val="3"/>
          </w:tcPr>
          <w:p>
            <w:pPr>
              <w:ind w:left="1780"/>
              <w:spacing w:after="0"/>
              <w:rPr>
                <w:sz w:val="20"/>
                <w:szCs w:val="20"/>
                <w:color w:val="auto"/>
              </w:rPr>
            </w:pPr>
            <w:r>
              <w:rPr>
                <w:rFonts w:ascii="Arial" w:cs="Arial" w:eastAsia="Arial" w:hAnsi="Arial"/>
                <w:sz w:val="22"/>
                <w:szCs w:val="22"/>
                <w:color w:val="auto"/>
              </w:rPr>
              <w:t>By: /s/ Aviv Efrat</w:t>
            </w:r>
          </w:p>
        </w:tc>
      </w:tr>
      <w:tr>
        <w:trPr>
          <w:trHeight w:val="20"/>
        </w:trPr>
        <w:tc>
          <w:tcPr>
            <w:tcW w:w="38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840" w:type="dxa"/>
            <w:vAlign w:val="bottom"/>
          </w:tcPr>
          <w:p>
            <w:pPr>
              <w:spacing w:after="0"/>
              <w:rPr>
                <w:sz w:val="21"/>
                <w:szCs w:val="21"/>
                <w:color w:val="auto"/>
              </w:rPr>
            </w:pPr>
          </w:p>
        </w:tc>
        <w:tc>
          <w:tcPr>
            <w:tcW w:w="6780" w:type="dxa"/>
            <w:vAlign w:val="bottom"/>
            <w:gridSpan w:val="3"/>
          </w:tcPr>
          <w:p>
            <w:pPr>
              <w:ind w:left="202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840" w:type="dxa"/>
            <w:vAlign w:val="bottom"/>
          </w:tcPr>
          <w:p>
            <w:pPr>
              <w:spacing w:after="0"/>
              <w:rPr>
                <w:sz w:val="23"/>
                <w:szCs w:val="23"/>
                <w:color w:val="auto"/>
              </w:rPr>
            </w:pPr>
          </w:p>
        </w:tc>
        <w:tc>
          <w:tcPr>
            <w:tcW w:w="6780" w:type="dxa"/>
            <w:vAlign w:val="bottom"/>
            <w:gridSpan w:val="3"/>
          </w:tcPr>
          <w:p>
            <w:pPr>
              <w:ind w:left="204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7"/>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32"/>
              <w:spacing w:after="0"/>
              <w:rPr>
                <w:sz w:val="20"/>
                <w:szCs w:val="20"/>
                <w:color w:val="auto"/>
              </w:rPr>
            </w:pPr>
            <w:r>
              <w:rPr>
                <w:rFonts w:ascii="Arial" w:cs="Arial" w:eastAsia="Arial" w:hAnsi="Arial"/>
                <w:sz w:val="22"/>
                <w:szCs w:val="22"/>
                <w:color w:val="auto"/>
                <w:w w:val="89"/>
              </w:rPr>
              <w:t>August 09, 2012</w:t>
            </w:r>
          </w:p>
        </w:tc>
        <w:tc>
          <w:tcPr>
            <w:tcW w:w="0" w:type="dxa"/>
            <w:vAlign w:val="bottom"/>
          </w:tcPr>
          <w:p>
            <w:pPr>
              <w:spacing w:after="0"/>
              <w:rPr>
                <w:sz w:val="1"/>
                <w:szCs w:val="1"/>
                <w:color w:val="auto"/>
              </w:rPr>
            </w:pPr>
          </w:p>
        </w:tc>
      </w:tr>
      <w:tr>
        <w:trPr>
          <w:trHeight w:val="121"/>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1" w:right="4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Floating Rate Capital Ltd. Announces Financial Results for the Quarter Ended June 30, 2012</w:t>
      </w:r>
    </w:p>
    <w:p>
      <w:pPr>
        <w:spacing w:after="0" w:line="213" w:lineRule="exact"/>
        <w:rPr>
          <w:sz w:val="20"/>
          <w:szCs w:val="20"/>
          <w:color w:val="auto"/>
        </w:rPr>
      </w:pPr>
    </w:p>
    <w:p>
      <w:pPr>
        <w:ind w:right="360"/>
        <w:spacing w:after="0" w:line="250" w:lineRule="auto"/>
        <w:rPr>
          <w:sz w:val="20"/>
          <w:szCs w:val="20"/>
          <w:color w:val="auto"/>
        </w:rPr>
      </w:pPr>
      <w:r>
        <w:rPr>
          <w:rFonts w:ascii="Arial" w:cs="Arial" w:eastAsia="Arial" w:hAnsi="Arial"/>
          <w:sz w:val="22"/>
          <w:szCs w:val="22"/>
          <w:color w:val="auto"/>
        </w:rPr>
        <w:t>NEW YORK, NY -- (Marketwire - August 09, 2012) - PennantPark Floating Rate Capital Ltd. (NASDAQ: PFLT) announced today financial results for its third fiscal quarter ended June 30, 2012.</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HIGHLIGHTS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Quarter Ended June 30, 2012</w:t>
      </w:r>
    </w:p>
    <w:p>
      <w:pPr>
        <w:spacing w:after="0" w:line="238" w:lineRule="auto"/>
        <w:rPr>
          <w:sz w:val="20"/>
          <w:szCs w:val="20"/>
          <w:color w:val="auto"/>
        </w:rPr>
      </w:pPr>
      <w:r>
        <w:rPr>
          <w:rFonts w:ascii="Courier New" w:cs="Courier New" w:eastAsia="Courier New" w:hAnsi="Courier New"/>
          <w:sz w:val="18"/>
          <w:szCs w:val="18"/>
          <w:color w:val="auto"/>
        </w:rPr>
        <w:t>($ in millions,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580" w:type="dxa"/>
            <w:vAlign w:val="bottom"/>
            <w:gridSpan w:val="2"/>
          </w:tcPr>
          <w:p>
            <w:pPr>
              <w:spacing w:after="0"/>
              <w:rPr>
                <w:sz w:val="20"/>
                <w:szCs w:val="20"/>
                <w:color w:val="auto"/>
              </w:rPr>
            </w:pPr>
            <w:r>
              <w:rPr>
                <w:rFonts w:ascii="Courier New" w:cs="Courier New" w:eastAsia="Courier New" w:hAnsi="Courier New"/>
                <w:sz w:val="18"/>
                <w:szCs w:val="18"/>
                <w:color w:val="auto"/>
              </w:rPr>
              <w:t>Assets and Liabilities:</w:t>
            </w: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55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Investment portfolio</w:t>
            </w:r>
          </w:p>
        </w:tc>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155.0</w:t>
            </w:r>
          </w:p>
        </w:tc>
      </w:tr>
      <w:tr>
        <w:trPr>
          <w:trHeight w:val="203"/>
        </w:trPr>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Net assets</w:t>
            </w:r>
          </w:p>
        </w:tc>
        <w:tc>
          <w:tcPr>
            <w:tcW w:w="4300" w:type="dxa"/>
            <w:vAlign w:val="bottom"/>
          </w:tcPr>
          <w:p>
            <w:pPr>
              <w:spacing w:after="0"/>
              <w:rPr>
                <w:sz w:val="17"/>
                <w:szCs w:val="17"/>
                <w:color w:val="auto"/>
              </w:rPr>
            </w:pPr>
          </w:p>
        </w:tc>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95.5</w:t>
            </w:r>
          </w:p>
        </w:tc>
      </w:tr>
      <w:tr>
        <w:trPr>
          <w:trHeight w:val="203"/>
        </w:trPr>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asset</w:t>
            </w:r>
          </w:p>
        </w:tc>
        <w:tc>
          <w:tcPr>
            <w:tcW w:w="4300" w:type="dxa"/>
            <w:vAlign w:val="bottom"/>
          </w:tcPr>
          <w:p>
            <w:pPr>
              <w:spacing w:after="0" w:line="203" w:lineRule="exact"/>
              <w:rPr>
                <w:sz w:val="20"/>
                <w:szCs w:val="20"/>
                <w:color w:val="auto"/>
              </w:rPr>
            </w:pPr>
            <w:r>
              <w:rPr>
                <w:rFonts w:ascii="Courier New" w:cs="Courier New" w:eastAsia="Courier New" w:hAnsi="Courier New"/>
                <w:sz w:val="18"/>
                <w:szCs w:val="18"/>
                <w:color w:val="auto"/>
              </w:rPr>
              <w:t>value per share</w:t>
            </w:r>
          </w:p>
        </w:tc>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13.94</w:t>
            </w:r>
          </w:p>
        </w:tc>
      </w:tr>
      <w:tr>
        <w:trPr>
          <w:trHeight w:val="203"/>
        </w:trPr>
        <w:tc>
          <w:tcPr>
            <w:tcW w:w="55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Credit Facility (cost $54.4)</w:t>
            </w:r>
          </w:p>
        </w:tc>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54.1</w:t>
            </w:r>
          </w:p>
        </w:tc>
      </w:tr>
      <w:tr>
        <w:trPr>
          <w:trHeight w:val="405"/>
        </w:trPr>
        <w:tc>
          <w:tcPr>
            <w:tcW w:w="5580" w:type="dxa"/>
            <w:vAlign w:val="bottom"/>
            <w:gridSpan w:val="2"/>
          </w:tcPr>
          <w:p>
            <w:pPr>
              <w:spacing w:after="0"/>
              <w:rPr>
                <w:sz w:val="20"/>
                <w:szCs w:val="20"/>
                <w:color w:val="auto"/>
              </w:rPr>
            </w:pPr>
            <w:r>
              <w:rPr>
                <w:rFonts w:ascii="Courier New" w:cs="Courier New" w:eastAsia="Courier New" w:hAnsi="Courier New"/>
                <w:sz w:val="18"/>
                <w:szCs w:val="18"/>
                <w:color w:val="auto"/>
              </w:rPr>
              <w:t>Yield on debt investments at quarter-end</w:t>
            </w:r>
          </w:p>
        </w:tc>
        <w:tc>
          <w:tcPr>
            <w:tcW w:w="7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8.6%</w:t>
            </w:r>
          </w:p>
        </w:tc>
      </w:tr>
      <w:tr>
        <w:trPr>
          <w:trHeight w:val="203"/>
        </w:trPr>
        <w:tc>
          <w:tcPr>
            <w:tcW w:w="5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Operating Results:</w:t>
            </w: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55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55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 per share</w:t>
            </w:r>
          </w:p>
        </w:tc>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0.27</w:t>
            </w:r>
          </w:p>
        </w:tc>
      </w:tr>
      <w:tr>
        <w:trPr>
          <w:trHeight w:val="203"/>
        </w:trPr>
        <w:tc>
          <w:tcPr>
            <w:tcW w:w="55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Distributions declared per share</w:t>
            </w:r>
          </w:p>
        </w:tc>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0.235</w:t>
            </w:r>
          </w:p>
        </w:tc>
      </w:tr>
      <w:tr>
        <w:trPr>
          <w:trHeight w:val="405"/>
        </w:trPr>
        <w:tc>
          <w:tcPr>
            <w:tcW w:w="5580" w:type="dxa"/>
            <w:vAlign w:val="bottom"/>
            <w:gridSpan w:val="2"/>
          </w:tcPr>
          <w:p>
            <w:pPr>
              <w:spacing w:after="0"/>
              <w:rPr>
                <w:sz w:val="20"/>
                <w:szCs w:val="20"/>
                <w:color w:val="auto"/>
              </w:rPr>
            </w:pPr>
            <w:r>
              <w:rPr>
                <w:rFonts w:ascii="Courier New" w:cs="Courier New" w:eastAsia="Courier New" w:hAnsi="Courier New"/>
                <w:sz w:val="18"/>
                <w:szCs w:val="18"/>
                <w:color w:val="auto"/>
              </w:rPr>
              <w:t>Portfolio Activity:</w:t>
            </w: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Purchases</w:t>
            </w:r>
          </w:p>
        </w:tc>
        <w:tc>
          <w:tcPr>
            <w:tcW w:w="4300" w:type="dxa"/>
            <w:vAlign w:val="bottom"/>
          </w:tcPr>
          <w:p>
            <w:pPr>
              <w:spacing w:after="0" w:line="203" w:lineRule="exact"/>
              <w:rPr>
                <w:sz w:val="20"/>
                <w:szCs w:val="20"/>
                <w:color w:val="auto"/>
              </w:rPr>
            </w:pPr>
            <w:r>
              <w:rPr>
                <w:rFonts w:ascii="Courier New" w:cs="Courier New" w:eastAsia="Courier New" w:hAnsi="Courier New"/>
                <w:sz w:val="18"/>
                <w:szCs w:val="18"/>
                <w:color w:val="auto"/>
              </w:rPr>
              <w:t>of investments</w:t>
            </w:r>
          </w:p>
        </w:tc>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27.7</w:t>
            </w:r>
          </w:p>
        </w:tc>
      </w:tr>
      <w:tr>
        <w:trPr>
          <w:trHeight w:val="203"/>
        </w:trPr>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Sales and</w:t>
            </w:r>
          </w:p>
        </w:tc>
        <w:tc>
          <w:tcPr>
            <w:tcW w:w="4300" w:type="dxa"/>
            <w:vAlign w:val="bottom"/>
          </w:tcPr>
          <w:p>
            <w:pPr>
              <w:spacing w:after="0" w:line="203" w:lineRule="exact"/>
              <w:rPr>
                <w:sz w:val="20"/>
                <w:szCs w:val="20"/>
                <w:color w:val="auto"/>
              </w:rPr>
            </w:pPr>
            <w:r>
              <w:rPr>
                <w:rFonts w:ascii="Courier New" w:cs="Courier New" w:eastAsia="Courier New" w:hAnsi="Courier New"/>
                <w:sz w:val="18"/>
                <w:szCs w:val="18"/>
                <w:color w:val="auto"/>
              </w:rPr>
              <w:t>repayments of investments</w:t>
            </w:r>
          </w:p>
        </w:tc>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15.4</w:t>
            </w:r>
          </w:p>
        </w:tc>
      </w:tr>
      <w:tr>
        <w:trPr>
          <w:trHeight w:val="405"/>
        </w:trPr>
        <w:tc>
          <w:tcPr>
            <w:tcW w:w="128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4300" w:type="dxa"/>
            <w:vAlign w:val="bottom"/>
          </w:tcPr>
          <w:p>
            <w:pPr>
              <w:spacing w:after="0"/>
              <w:rPr>
                <w:sz w:val="20"/>
                <w:szCs w:val="20"/>
                <w:color w:val="auto"/>
              </w:rPr>
            </w:pPr>
            <w:r>
              <w:rPr>
                <w:rFonts w:ascii="Courier New" w:cs="Courier New" w:eastAsia="Courier New" w:hAnsi="Courier New"/>
                <w:sz w:val="18"/>
                <w:szCs w:val="18"/>
                <w:color w:val="auto"/>
              </w:rPr>
              <w:t>new portfolio companies invested</w:t>
            </w:r>
          </w:p>
        </w:tc>
        <w:tc>
          <w:tcPr>
            <w:tcW w:w="700" w:type="dxa"/>
            <w:vAlign w:val="bottom"/>
          </w:tcPr>
          <w:p>
            <w:pPr>
              <w:spacing w:after="0"/>
              <w:rPr>
                <w:sz w:val="24"/>
                <w:szCs w:val="24"/>
                <w:color w:val="auto"/>
              </w:rPr>
            </w:pP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11</w:t>
            </w:r>
          </w:p>
        </w:tc>
      </w:tr>
      <w:tr>
        <w:trPr>
          <w:trHeight w:val="203"/>
        </w:trPr>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w:t>
            </w:r>
          </w:p>
        </w:tc>
        <w:tc>
          <w:tcPr>
            <w:tcW w:w="4300" w:type="dxa"/>
            <w:vAlign w:val="bottom"/>
          </w:tcPr>
          <w:p>
            <w:pPr>
              <w:spacing w:after="0" w:line="203" w:lineRule="exact"/>
              <w:rPr>
                <w:sz w:val="20"/>
                <w:szCs w:val="20"/>
                <w:color w:val="auto"/>
              </w:rPr>
            </w:pPr>
            <w:r>
              <w:rPr>
                <w:rFonts w:ascii="Courier New" w:cs="Courier New" w:eastAsia="Courier New" w:hAnsi="Courier New"/>
                <w:sz w:val="18"/>
                <w:szCs w:val="18"/>
                <w:color w:val="auto"/>
              </w:rPr>
              <w:t>existing portfolio companies invested</w:t>
            </w:r>
          </w:p>
        </w:tc>
        <w:tc>
          <w:tcPr>
            <w:tcW w:w="70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1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w:t>
            </w:r>
          </w:p>
        </w:tc>
        <w:tc>
          <w:tcPr>
            <w:tcW w:w="4300" w:type="dxa"/>
            <w:vAlign w:val="bottom"/>
          </w:tcPr>
          <w:p>
            <w:pPr>
              <w:spacing w:after="0" w:line="203" w:lineRule="exact"/>
              <w:rPr>
                <w:sz w:val="20"/>
                <w:szCs w:val="20"/>
                <w:color w:val="auto"/>
              </w:rPr>
            </w:pPr>
            <w:r>
              <w:rPr>
                <w:rFonts w:ascii="Courier New" w:cs="Courier New" w:eastAsia="Courier New" w:hAnsi="Courier New"/>
                <w:sz w:val="18"/>
                <w:szCs w:val="18"/>
                <w:color w:val="auto"/>
              </w:rPr>
              <w:t>portfolio companies at quarter-end</w:t>
            </w:r>
          </w:p>
        </w:tc>
        <w:tc>
          <w:tcPr>
            <w:tcW w:w="70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w:t>
            </w:r>
          </w:p>
        </w:tc>
      </w:tr>
    </w:tbl>
    <w:p>
      <w:pPr>
        <w:spacing w:after="0" w:line="3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AT 10:00 A.M. ET ON AUGUST 10, 2012</w:t>
      </w:r>
    </w:p>
    <w:p>
      <w:pPr>
        <w:spacing w:after="0" w:line="212"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PennantPark Floating Rate Capital Ltd. ("we," "our," "us" or "Company") will host a conference call at 10:00 a.m. (Eastern Time) on Friday, August 10, 2012 to discuss its quarterly financial results. All interested parties are welcome to participate. You can access the conference call by dialing (888) 503-8171 approximately 5-10 minutes prior to the call. International callers should dial (719) 325-2456. All callers should reference PennantPark Floating Rate Capital Ltd. An archived replay of the call will be available through August 24, 2012 by calling (888) 203-1112. International callers please dial (719) 457-0820. For all phone replays, please reference conference ID #6044905.</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PORTFOLIO AND INVESTMENT ACTIVITY</w:t>
      </w:r>
    </w:p>
    <w:p>
      <w:pPr>
        <w:spacing w:after="0" w:line="212" w:lineRule="exact"/>
        <w:rPr>
          <w:sz w:val="20"/>
          <w:szCs w:val="20"/>
          <w:color w:val="auto"/>
        </w:rPr>
      </w:pPr>
    </w:p>
    <w:p>
      <w:pPr>
        <w:ind w:right="100"/>
        <w:spacing w:after="0" w:line="234" w:lineRule="auto"/>
        <w:rPr>
          <w:sz w:val="20"/>
          <w:szCs w:val="20"/>
          <w:color w:val="auto"/>
        </w:rPr>
      </w:pPr>
      <w:r>
        <w:rPr>
          <w:rFonts w:ascii="Arial" w:cs="Arial" w:eastAsia="Arial" w:hAnsi="Arial"/>
          <w:sz w:val="22"/>
          <w:szCs w:val="22"/>
          <w:color w:val="auto"/>
        </w:rPr>
        <w:t>As of June 30, 2012, our portfolio totaled $155.0 million and consisted of $136.8 million of senior secured loans, $7.1 million of second lien secured debt and $11.1 million of subordinated debt, preferred and common equity investments. Our portfolio consisted of 86% floating rate investments (including 82% with a London Interbank Offered Rate, LIBOR, or prime floor) and 14% fixed-rate investments. Overall, the portfolio had net unrealized depreciation of less than $1.7 million. Our portfolio consisted of 58 companies with an average investment size of $2.7 million, had a weighted average yield on debt investments of 8.6% and was invested 88% in senior secured loans, 5% in second lien secured debt and 7% in subordinated debt, preferred and common equity investments.</w:t>
      </w:r>
    </w:p>
    <w:p>
      <w:pPr>
        <w:spacing w:after="0" w:line="191" w:lineRule="exact"/>
        <w:rPr>
          <w:sz w:val="20"/>
          <w:szCs w:val="20"/>
          <w:color w:val="auto"/>
        </w:rPr>
      </w:pPr>
    </w:p>
    <w:p>
      <w:pPr>
        <w:ind w:right="240"/>
        <w:spacing w:after="0" w:line="234" w:lineRule="auto"/>
        <w:rPr>
          <w:sz w:val="20"/>
          <w:szCs w:val="20"/>
          <w:color w:val="auto"/>
        </w:rPr>
      </w:pPr>
      <w:r>
        <w:rPr>
          <w:rFonts w:ascii="Arial" w:cs="Arial" w:eastAsia="Arial" w:hAnsi="Arial"/>
          <w:sz w:val="22"/>
          <w:szCs w:val="22"/>
          <w:color w:val="auto"/>
        </w:rPr>
        <w:t>As of September 30, 2011, our portfolio totaled $110.7 million and consisted of $94.3 million of senior secured loans, $9.3 million of second lien secured debt and $7.1 million of subordinated debt, preferred and common equity investments. Our portfolio consisted of 84% floating rate investments (including 78% with a LIBOR or prime floor) and 16% fixed-rate investments. Overall, the portfolio had net unrealized depreciation of $4.1 million. Our overall portfolio consisted of 38 companies with an average investment size of $2.9 million, had a weighted average yield on debt investments of 8.0% and was invested 85% in senior secured loans, 9% in second lien secured debt and 6% in subordinated debt, and preferred and common equity investments.</w:t>
      </w:r>
    </w:p>
    <w:p>
      <w:pPr>
        <w:spacing w:after="0" w:line="191"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For the three months ended June 30, 2012, we invested $27.7 million in 11 new and two existing portfolio companies with a weighted average yield on debt investments of 9.3%. Sales and repayments of investments totaled $15.4 million for the same period. For the nine months ended June 30, 2012, we invested $99.9 million in 36 new and four existing portfolio companies with a weighted average yield on debt investments of 9.2%. Sales and repayments of investments totaled $57.0 million for the same period. For the period from March 4, 2011 (Commencement of Operations) to June 30, 2011, we invested $114.8 million in 38 new companies with a weighted average yield on debt investments of 7.5%. Sales and repayments of investments for the period from March 4, 2011 (Commencement of Operations) to June 30, 2011 totaled $27.8 million.</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2" w:lineRule="exact"/>
        <w:rPr>
          <w:sz w:val="20"/>
          <w:szCs w:val="20"/>
          <w:color w:val="auto"/>
        </w:rPr>
      </w:pPr>
    </w:p>
    <w:p>
      <w:pPr>
        <w:ind w:right="440"/>
        <w:spacing w:after="0" w:line="250" w:lineRule="auto"/>
        <w:rPr>
          <w:sz w:val="20"/>
          <w:szCs w:val="20"/>
          <w:color w:val="auto"/>
        </w:rPr>
      </w:pPr>
      <w:r>
        <w:rPr>
          <w:rFonts w:ascii="Arial" w:cs="Arial" w:eastAsia="Arial" w:hAnsi="Arial"/>
          <w:sz w:val="22"/>
          <w:szCs w:val="22"/>
          <w:color w:val="auto"/>
        </w:rPr>
        <w:t>Set forth below are the results of operations for the three and nine months ended June 30, 2012 and the period from March 4, 2011 (Commencement of Operations) to June 30, 2011.</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Income</w:t>
      </w:r>
    </w:p>
    <w:p>
      <w:pPr>
        <w:sectPr>
          <w:pgSz w:w="11900" w:h="16838" w:orient="portrait"/>
          <w:cols w:equalWidth="0" w:num="1">
            <w:col w:w="11240"/>
          </w:cols>
          <w:pgMar w:left="320" w:top="111" w:right="339" w:bottom="0" w:gutter="0" w:footer="0" w:header="0"/>
        </w:sectPr>
      </w:pPr>
    </w:p>
    <w:bookmarkStart w:id="3" w:name="page4"/>
    <w:bookmarkEnd w:id="3"/>
    <w:p>
      <w:pPr>
        <w:spacing w:after="0" w:line="35"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Investment income for the three and nine months ended June 30, 2012 was $3.2 million and $8.6 million, respectively, and was primarily attributable to $2.7 million and $7.0 million from senior secured loans, $0.2 million and $0.8 million from second lien secured debt investments and $0.3 million and $0.8 million from subordinated debt investments, respectively. Investment income for the period from March 4, 2011 (Commencement of Operations) to June 30, 2011 was $0.9 million and was primarily attributable to senior secured loans.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w:t>
      </w:r>
    </w:p>
    <w:p>
      <w:pPr>
        <w:spacing w:after="0" w:line="212"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Expenses for the three and nine months ended June 30, 2012 totaled $1.4 million and $3.8 million, respectively. Base management fees for the same period totaled $0.4 million and $1.1 million, performance-based incentive fees totaled $(0.1) million and $0.1 million, our senior secured revolving credit facility, or the Credit Facility, expenses totaled $0.7 million and $1.3 million (including $0.3 million of non-recurring expenses) and general and administrative expenses totaled $0.4 million and $1.4 million, respectively. Expenses for the period from March 4, 2011 (Commencement of Operations) to June 30, 2011, totaled $1.8 million. Base management fee for the same period totaled $0.1 million, performance-based incentive fees totaled $0.1 million (none of which is currently payable), debt issuance costs (non-recurring) totaled $1.3 million, and general and administrative expenses totaled $0.3 million.</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Investment Income</w:t>
      </w:r>
    </w:p>
    <w:p>
      <w:pPr>
        <w:spacing w:after="0" w:line="212" w:lineRule="exact"/>
        <w:rPr>
          <w:sz w:val="20"/>
          <w:szCs w:val="20"/>
          <w:color w:val="auto"/>
        </w:rPr>
      </w:pPr>
    </w:p>
    <w:p>
      <w:pPr>
        <w:ind w:right="200"/>
        <w:spacing w:after="0"/>
        <w:rPr>
          <w:sz w:val="20"/>
          <w:szCs w:val="20"/>
          <w:color w:val="auto"/>
        </w:rPr>
      </w:pPr>
      <w:r>
        <w:rPr>
          <w:rFonts w:ascii="Arial" w:cs="Arial" w:eastAsia="Arial" w:hAnsi="Arial"/>
          <w:sz w:val="22"/>
          <w:szCs w:val="22"/>
          <w:color w:val="auto"/>
        </w:rPr>
        <w:t>Net investment income totaled $1.8 million and $4.8 million, or $0.27 and $0.70 per share, for the three and nine months ended June 30, 2012, respectively. Net investment loss totaled $0.9 million, or $0.13 per share, for the period from March 4, 2011 (Commencement of Operations) to June 30, 2011.</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Realized Gains or Losses</w:t>
      </w:r>
    </w:p>
    <w:p>
      <w:pPr>
        <w:spacing w:after="0" w:line="212"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color w:val="auto"/>
        </w:rPr>
        <w:t>Sales and repayments of investments for the three and nine months ended June 30, 2012 totaled $15.4 million and $57.0 million and realized gains totaled $0.2 million and $0.6 million, respectively, due to sales and repayments of our debt investments. Sales and repayments of investments for the period from March 4, 2011 (Commencement of Operations) to June 30, 2011 totaled $27.8 million and realized gains totaled $0.3 million due to sales of debt investments.</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Unrealized Appreciation or Depreciation on Investments and Credit Facility</w:t>
      </w:r>
    </w:p>
    <w:p>
      <w:pPr>
        <w:spacing w:after="0" w:line="212" w:lineRule="exact"/>
        <w:rPr>
          <w:sz w:val="20"/>
          <w:szCs w:val="20"/>
          <w:color w:val="auto"/>
        </w:rPr>
      </w:pPr>
    </w:p>
    <w:p>
      <w:pPr>
        <w:jc w:val="both"/>
        <w:ind w:right="160"/>
        <w:spacing w:after="0" w:line="287" w:lineRule="auto"/>
        <w:rPr>
          <w:sz w:val="20"/>
          <w:szCs w:val="20"/>
          <w:color w:val="auto"/>
        </w:rPr>
      </w:pPr>
      <w:r>
        <w:rPr>
          <w:rFonts w:ascii="Arial" w:cs="Arial" w:eastAsia="Arial" w:hAnsi="Arial"/>
          <w:sz w:val="19"/>
          <w:szCs w:val="19"/>
          <w:color w:val="auto"/>
        </w:rPr>
        <w:t>For the three and nine months ended June 30, 2012, we reported unrealized (depreciation) appreciation on investments of $(1.7) million and $2.4 million, respectively. As of June 30, 2012 and September 30, 2011, net unrealized depreciation on investments totaled $1.7 million and $4.1 million, respectively. For the period from March 4, 2011 (Commencement of Operations) to June 30, 2011, our investments had net unrealized depreciation of approximately $0.1 million.</w:t>
      </w:r>
    </w:p>
    <w:p>
      <w:pPr>
        <w:spacing w:after="0" w:line="143"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For the three and nine months ended June 30, 2012, our long-term Credit Facility had a change in unrealized depreciation of less than $0.1 million and $0.3 million, respectively. As of June 30, 2012 and September 30, 2011, net unrealized depreciation on our long-term Credit Facility totaled $0.3 million and zero,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Increase in Net Assets Resulting from Operations</w:t>
      </w:r>
    </w:p>
    <w:p>
      <w:pPr>
        <w:spacing w:after="0" w:line="212" w:lineRule="exact"/>
        <w:rPr>
          <w:sz w:val="20"/>
          <w:szCs w:val="20"/>
          <w:color w:val="auto"/>
        </w:rPr>
      </w:pPr>
    </w:p>
    <w:p>
      <w:pPr>
        <w:ind w:right="60"/>
        <w:spacing w:after="0" w:line="287" w:lineRule="auto"/>
        <w:rPr>
          <w:sz w:val="20"/>
          <w:szCs w:val="20"/>
          <w:color w:val="auto"/>
        </w:rPr>
      </w:pPr>
      <w:r>
        <w:rPr>
          <w:rFonts w:ascii="Arial" w:cs="Arial" w:eastAsia="Arial" w:hAnsi="Arial"/>
          <w:sz w:val="19"/>
          <w:szCs w:val="19"/>
          <w:color w:val="auto"/>
        </w:rPr>
        <w:t>Net increase in net assets resulting from operations totaled $0.4 million and $8.0 million, or $0.06 and $1.17 per share, for the three and nine months ended June 30, 2012, respectively. Net decrease in net assets resulting from operations totaled $0.7 million, or $0.10 per share, for the period from March 4, 2011 (Commencement of Operations) to June 30, 2011. This increase in net assets from operations was due to the continued growth in net investment income as a result of growth in our portfolio.</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Our liquidity and capital resources are derived from our public offering, our Credit Facility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Credit Facility, the rotation of our portfolio and proceeds from public and private offerings of securities to finance our investment objectives.</w:t>
      </w:r>
    </w:p>
    <w:p>
      <w:pPr>
        <w:spacing w:after="0" w:line="187" w:lineRule="exact"/>
        <w:rPr>
          <w:sz w:val="20"/>
          <w:szCs w:val="20"/>
          <w:color w:val="auto"/>
        </w:rPr>
      </w:pPr>
    </w:p>
    <w:p>
      <w:pPr>
        <w:jc w:val="both"/>
        <w:ind w:right="160"/>
        <w:spacing w:after="0" w:line="328" w:lineRule="auto"/>
        <w:rPr>
          <w:sz w:val="20"/>
          <w:szCs w:val="20"/>
          <w:color w:val="auto"/>
        </w:rPr>
      </w:pPr>
      <w:r>
        <w:rPr>
          <w:rFonts w:ascii="Arial" w:cs="Arial" w:eastAsia="Arial" w:hAnsi="Arial"/>
          <w:sz w:val="19"/>
          <w:szCs w:val="19"/>
          <w:color w:val="auto"/>
        </w:rPr>
        <w:t>On June 30, 2012 and September 30, 2011, we had outstanding borrowings of $54.4 million and $24.7 million under our Credit Facility, with a weighted average interest rate of 2.72% and 2.53% excluding the 0.50% undrawn commitment fee, respectively.</w:t>
      </w:r>
    </w:p>
    <w:p>
      <w:pPr>
        <w:spacing w:after="0" w:line="105" w:lineRule="exact"/>
        <w:rPr>
          <w:sz w:val="20"/>
          <w:szCs w:val="20"/>
          <w:color w:val="auto"/>
        </w:rPr>
      </w:pPr>
    </w:p>
    <w:p>
      <w:pPr>
        <w:ind w:right="360"/>
        <w:spacing w:after="0"/>
        <w:rPr>
          <w:sz w:val="20"/>
          <w:szCs w:val="20"/>
          <w:color w:val="auto"/>
        </w:rPr>
      </w:pPr>
      <w:r>
        <w:rPr>
          <w:rFonts w:ascii="Arial" w:cs="Arial" w:eastAsia="Arial" w:hAnsi="Arial"/>
          <w:sz w:val="22"/>
          <w:szCs w:val="22"/>
          <w:color w:val="auto"/>
        </w:rPr>
        <w:t>Our operating activities used cash of $28.9 million for the nine months ended June 30, 2012 primarily due to investments and offset by repayments. Our financing activities provided cash of $25.2 million for the same period primarily due to net draws under the Credit Facility.</w:t>
      </w:r>
    </w:p>
    <w:p>
      <w:pPr>
        <w:spacing w:after="0" w:line="186" w:lineRule="exact"/>
        <w:rPr>
          <w:sz w:val="20"/>
          <w:szCs w:val="20"/>
          <w:color w:val="auto"/>
        </w:rPr>
      </w:pPr>
    </w:p>
    <w:p>
      <w:pPr>
        <w:ind w:right="260"/>
        <w:spacing w:after="0" w:line="282" w:lineRule="auto"/>
        <w:rPr>
          <w:sz w:val="20"/>
          <w:szCs w:val="20"/>
          <w:color w:val="auto"/>
        </w:rPr>
      </w:pPr>
      <w:r>
        <w:rPr>
          <w:rFonts w:ascii="Arial" w:cs="Arial" w:eastAsia="Arial" w:hAnsi="Arial"/>
          <w:sz w:val="19"/>
          <w:szCs w:val="19"/>
          <w:color w:val="auto"/>
        </w:rPr>
        <w:t>For the period March 4, 2011 (Commencement of Operations) to June 30, 2011, we generated operating cash flows primarily from interest earned on debt investments and dispositions of investments. Our primary use of funds from operations during the same period consisted of investments in portfolio companies, payments of fees, and other operating expenses we incurred. Our operating activities used cash of $86.9 million for the period March 4, 2011 (Commencement of Operations) to June 30, 2011, and our financing activities provided cash of $97.3 million for the same period, primarily from our common stock offering.</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ectPr>
          <w:pgSz w:w="11900" w:h="16874" w:orient="portrait"/>
          <w:cols w:equalWidth="0" w:num="1">
            <w:col w:w="11220"/>
          </w:cols>
          <w:pgMar w:left="320" w:top="118" w:right="359" w:bottom="0" w:gutter="0" w:footer="0" w:header="0"/>
        </w:sectPr>
      </w:pPr>
    </w:p>
    <w:bookmarkStart w:id="4" w:name="page5"/>
    <w:bookmarkEnd w:id="4"/>
    <w:p>
      <w:pPr>
        <w:spacing w:after="0" w:line="248" w:lineRule="auto"/>
        <w:rPr>
          <w:sz w:val="20"/>
          <w:szCs w:val="20"/>
          <w:color w:val="auto"/>
        </w:rPr>
      </w:pPr>
      <w:r>
        <w:rPr>
          <w:rFonts w:ascii="Arial" w:cs="Arial" w:eastAsia="Arial" w:hAnsi="Arial"/>
          <w:sz w:val="21"/>
          <w:szCs w:val="21"/>
          <w:color w:val="auto"/>
        </w:rPr>
        <w:t>During the three and nine months ended June 30, 2012, we declared to stockholders distributions of $0.235 and $0.670 per share, respectively, for total distributions of $1.6 million and $4.6 million, respectively. For the period from March 4, 2011 (Commencement of Operations) to June 30, 2011, we declared distributions of $0.05 per share, for total distributions of $0.3 million. Distributions are paid from taxable earnings and may include a return of capital and/or capital gains. The specific tax characteristics of the distributions will be reported to stockholders on Form 1099-DIV after the end of the calendar year and in our periodic reports filed with the Securities and Exchange Commission.</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12" w:lineRule="exact"/>
        <w:rPr>
          <w:sz w:val="20"/>
          <w:szCs w:val="20"/>
          <w:color w:val="auto"/>
        </w:rPr>
      </w:pPr>
    </w:p>
    <w:p>
      <w:pPr>
        <w:ind w:right="240"/>
        <w:spacing w:after="0" w:line="250" w:lineRule="auto"/>
        <w:rPr>
          <w:sz w:val="20"/>
          <w:szCs w:val="20"/>
          <w:color w:val="auto"/>
        </w:rPr>
      </w:pPr>
      <w:r>
        <w:rPr>
          <w:rFonts w:ascii="Arial" w:cs="Arial" w:eastAsia="Arial" w:hAnsi="Arial"/>
          <w:sz w:val="22"/>
          <w:szCs w:val="22"/>
          <w:color w:val="auto"/>
        </w:rPr>
        <w:t>The Company makes available on its website its report on Form 10-Q filed with the Securities and Exchange Commission and stockholders may find the report on its website at www.pennantpark.com.</w:t>
      </w:r>
    </w:p>
    <w:p>
      <w:pPr>
        <w:spacing w:after="0" w:line="396" w:lineRule="exact"/>
        <w:rPr>
          <w:sz w:val="20"/>
          <w:szCs w:val="20"/>
          <w:color w:val="auto"/>
        </w:rPr>
      </w:pPr>
    </w:p>
    <w:p>
      <w:pPr>
        <w:jc w:val="center"/>
        <w:ind w:right="3260"/>
        <w:spacing w:after="0"/>
        <w:rPr>
          <w:sz w:val="20"/>
          <w:szCs w:val="20"/>
          <w:color w:val="auto"/>
        </w:rPr>
      </w:pPr>
      <w:r>
        <w:rPr>
          <w:rFonts w:ascii="Courier New" w:cs="Courier New" w:eastAsia="Courier New" w:hAnsi="Courier New"/>
          <w:sz w:val="18"/>
          <w:szCs w:val="18"/>
          <w:color w:val="auto"/>
        </w:rPr>
        <w:t>PENNANTPARK FLOATING RATE CAPITAL LTD. AND SUBSIDIARY</w:t>
      </w:r>
    </w:p>
    <w:p>
      <w:pPr>
        <w:jc w:val="center"/>
        <w:ind w:right="3260"/>
        <w:spacing w:after="0" w:line="238" w:lineRule="auto"/>
        <w:rPr>
          <w:sz w:val="20"/>
          <w:szCs w:val="20"/>
          <w:color w:val="auto"/>
        </w:rPr>
      </w:pPr>
      <w:r>
        <w:rPr>
          <w:rFonts w:ascii="Courier New" w:cs="Courier New" w:eastAsia="Courier New" w:hAnsi="Courier New"/>
          <w:sz w:val="18"/>
          <w:szCs w:val="18"/>
          <w:color w:val="auto"/>
        </w:rPr>
        <w:t>CONSOLIDATED STATEMENTS OF ASSETS AND LIABILITIES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20" w:type="dxa"/>
            <w:vAlign w:val="bottom"/>
            <w:gridSpan w:val="2"/>
          </w:tcPr>
          <w:p>
            <w:pPr>
              <w:spacing w:after="0"/>
              <w:rPr>
                <w:sz w:val="20"/>
                <w:szCs w:val="20"/>
                <w:color w:val="auto"/>
              </w:rPr>
            </w:pPr>
            <w:r>
              <w:rPr>
                <w:rFonts w:ascii="Courier New" w:cs="Courier New" w:eastAsia="Courier New" w:hAnsi="Courier New"/>
                <w:sz w:val="18"/>
                <w:szCs w:val="18"/>
                <w:color w:val="auto"/>
              </w:rPr>
              <w:t>June 30, 2012</w:t>
            </w:r>
          </w:p>
        </w:tc>
        <w:tc>
          <w:tcPr>
            <w:tcW w:w="15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September 30,</w:t>
            </w:r>
          </w:p>
        </w:tc>
      </w:tr>
      <w:tr>
        <w:trPr>
          <w:trHeight w:val="203"/>
        </w:trPr>
        <w:tc>
          <w:tcPr>
            <w:tcW w:w="3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(unaudited)</w:t>
            </w:r>
          </w:p>
        </w:tc>
        <w:tc>
          <w:tcPr>
            <w:tcW w:w="260" w:type="dxa"/>
            <w:vAlign w:val="bottom"/>
          </w:tcPr>
          <w:p>
            <w:pPr>
              <w:spacing w:after="0"/>
              <w:rPr>
                <w:sz w:val="17"/>
                <w:szCs w:val="17"/>
                <w:color w:val="auto"/>
              </w:rPr>
            </w:pPr>
          </w:p>
        </w:tc>
        <w:tc>
          <w:tcPr>
            <w:tcW w:w="1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2011</w:t>
            </w:r>
          </w:p>
        </w:tc>
      </w:tr>
      <w:tr>
        <w:trPr>
          <w:trHeight w:val="203"/>
        </w:trPr>
        <w:tc>
          <w:tcPr>
            <w:tcW w:w="3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Investments at fair value</w:t>
            </w: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49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Non-controlled, non-affiliated investments,</w:t>
            </w: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at fair value</w:t>
            </w: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49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(cost--$156,728,980 and $114,829,621,</w:t>
            </w: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respectively)</w:t>
            </w:r>
          </w:p>
        </w:tc>
        <w:tc>
          <w:tcPr>
            <w:tcW w:w="1260" w:type="dxa"/>
            <w:vAlign w:val="bottom"/>
          </w:tcPr>
          <w:p>
            <w:pPr>
              <w:spacing w:after="0"/>
              <w:rPr>
                <w:sz w:val="17"/>
                <w:szCs w:val="17"/>
                <w:color w:val="auto"/>
              </w:rPr>
            </w:pPr>
          </w:p>
        </w:tc>
        <w:tc>
          <w:tcPr>
            <w:tcW w:w="15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$ 154,979,350</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$ 110,724,241</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equivalents</w:t>
            </w: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3,328,639</w:t>
            </w:r>
          </w:p>
        </w:tc>
        <w:tc>
          <w:tcPr>
            <w:tcW w:w="2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6,987,450</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receivable</w:t>
            </w: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1,022,489</w:t>
            </w:r>
          </w:p>
        </w:tc>
        <w:tc>
          <w:tcPr>
            <w:tcW w:w="2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732,695</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Receivable for investments sold</w:t>
            </w: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2,467,500</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 and other assets</w:t>
            </w: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282,061</w:t>
            </w:r>
          </w:p>
        </w:tc>
        <w:tc>
          <w:tcPr>
            <w:tcW w:w="2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163,374</w:t>
            </w:r>
          </w:p>
        </w:tc>
      </w:tr>
      <w:tr>
        <w:trPr>
          <w:trHeight w:val="203"/>
        </w:trPr>
        <w:tc>
          <w:tcPr>
            <w:tcW w:w="3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3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assets</w:t>
            </w:r>
          </w:p>
        </w:tc>
        <w:tc>
          <w:tcPr>
            <w:tcW w:w="1260" w:type="dxa"/>
            <w:vAlign w:val="bottom"/>
          </w:tcPr>
          <w:p>
            <w:pPr>
              <w:spacing w:after="0"/>
              <w:rPr>
                <w:sz w:val="17"/>
                <w:szCs w:val="17"/>
                <w:color w:val="auto"/>
              </w:rPr>
            </w:pPr>
          </w:p>
        </w:tc>
        <w:tc>
          <w:tcPr>
            <w:tcW w:w="15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159,612,539</w:t>
            </w:r>
          </w:p>
        </w:tc>
        <w:tc>
          <w:tcPr>
            <w:tcW w:w="2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121,075,260</w:t>
            </w:r>
          </w:p>
        </w:tc>
      </w:tr>
      <w:tr>
        <w:trPr>
          <w:trHeight w:val="203"/>
        </w:trPr>
        <w:tc>
          <w:tcPr>
            <w:tcW w:w="3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w:t>
            </w: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Distributions payable</w:t>
            </w: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548,053</w:t>
            </w:r>
          </w:p>
        </w:tc>
        <w:tc>
          <w:tcPr>
            <w:tcW w:w="2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479,547</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Payable for investments purchased</w:t>
            </w: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8,230,000</w:t>
            </w:r>
          </w:p>
        </w:tc>
        <w:tc>
          <w:tcPr>
            <w:tcW w:w="2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990,000</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Unfunded investments</w:t>
            </w: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2,323,250</w:t>
            </w:r>
          </w:p>
        </w:tc>
      </w:tr>
      <w:tr>
        <w:trPr>
          <w:trHeight w:val="203"/>
        </w:trPr>
        <w:tc>
          <w:tcPr>
            <w:tcW w:w="4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Credit Facility payable (cost--$54,400,000 and</w:t>
            </w: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$24,650,000, respectively)</w:t>
            </w: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54,128,000</w:t>
            </w:r>
          </w:p>
        </w:tc>
        <w:tc>
          <w:tcPr>
            <w:tcW w:w="2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24,650,000</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Interest payable on Credit Facility</w:t>
            </w: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406,862</w:t>
            </w:r>
          </w:p>
        </w:tc>
        <w:tc>
          <w:tcPr>
            <w:tcW w:w="2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150,246</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Management fee payable</w:t>
            </w: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383,673</w:t>
            </w:r>
          </w:p>
        </w:tc>
        <w:tc>
          <w:tcPr>
            <w:tcW w:w="2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266,432</w:t>
            </w:r>
          </w:p>
        </w:tc>
      </w:tr>
      <w:tr>
        <w:trPr>
          <w:trHeight w:val="203"/>
        </w:trPr>
        <w:tc>
          <w:tcPr>
            <w:tcW w:w="4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Performance-based incentive fees payable</w:t>
            </w:r>
          </w:p>
        </w:tc>
        <w:tc>
          <w:tcPr>
            <w:tcW w:w="3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18,074</w:t>
            </w:r>
          </w:p>
        </w:tc>
        <w:tc>
          <w:tcPr>
            <w:tcW w:w="2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other expenses</w:t>
            </w: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398,070</w:t>
            </w:r>
          </w:p>
        </w:tc>
        <w:tc>
          <w:tcPr>
            <w:tcW w:w="2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143,680</w:t>
            </w:r>
          </w:p>
        </w:tc>
      </w:tr>
      <w:tr>
        <w:trPr>
          <w:trHeight w:val="203"/>
        </w:trPr>
        <w:tc>
          <w:tcPr>
            <w:tcW w:w="3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3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64,112,732</w:t>
            </w:r>
          </w:p>
        </w:tc>
        <w:tc>
          <w:tcPr>
            <w:tcW w:w="2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29,003,155</w:t>
            </w:r>
          </w:p>
        </w:tc>
      </w:tr>
      <w:tr>
        <w:trPr>
          <w:trHeight w:val="202"/>
        </w:trPr>
        <w:tc>
          <w:tcPr>
            <w:tcW w:w="3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Assets</w:t>
            </w: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4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Common stock, 6,850,667 shares are issued and</w:t>
            </w: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outstanding.</w:t>
            </w: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4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Par value $0.001 per share and 100,000,000</w:t>
            </w: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shares authorized.</w:t>
            </w: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6,851</w:t>
            </w:r>
          </w:p>
        </w:tc>
        <w:tc>
          <w:tcPr>
            <w:tcW w:w="2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6,851</w:t>
            </w:r>
          </w:p>
        </w:tc>
      </w:tr>
      <w:tr>
        <w:trPr>
          <w:trHeight w:val="203"/>
        </w:trPr>
        <w:tc>
          <w:tcPr>
            <w:tcW w:w="4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Paid-in capital in excess of par value</w:t>
            </w:r>
          </w:p>
        </w:tc>
        <w:tc>
          <w:tcPr>
            <w:tcW w:w="3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97,251,174</w:t>
            </w:r>
          </w:p>
        </w:tc>
        <w:tc>
          <w:tcPr>
            <w:tcW w:w="2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97,251,174</w:t>
            </w:r>
          </w:p>
        </w:tc>
      </w:tr>
      <w:tr>
        <w:trPr>
          <w:trHeight w:val="203"/>
        </w:trPr>
        <w:tc>
          <w:tcPr>
            <w:tcW w:w="4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Distributions in excess of net investment</w:t>
            </w: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w:t>
            </w: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(1,216,181)</w:t>
            </w:r>
          </w:p>
        </w:tc>
        <w:tc>
          <w:tcPr>
            <w:tcW w:w="26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(1,392,528)</w:t>
            </w:r>
          </w:p>
        </w:tc>
      </w:tr>
      <w:tr>
        <w:trPr>
          <w:trHeight w:val="203"/>
        </w:trPr>
        <w:tc>
          <w:tcPr>
            <w:tcW w:w="4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Accumulated net realized gain on investments</w:t>
            </w:r>
          </w:p>
        </w:tc>
        <w:tc>
          <w:tcPr>
            <w:tcW w:w="3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935,593</w:t>
            </w:r>
          </w:p>
        </w:tc>
        <w:tc>
          <w:tcPr>
            <w:tcW w:w="2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311,988</w:t>
            </w:r>
          </w:p>
        </w:tc>
      </w:tr>
      <w:tr>
        <w:trPr>
          <w:trHeight w:val="203"/>
        </w:trPr>
        <w:tc>
          <w:tcPr>
            <w:tcW w:w="4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Net unrealized depreciation on investments</w:t>
            </w:r>
          </w:p>
        </w:tc>
        <w:tc>
          <w:tcPr>
            <w:tcW w:w="32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(1,749,630)</w:t>
            </w:r>
          </w:p>
        </w:tc>
        <w:tc>
          <w:tcPr>
            <w:tcW w:w="26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(4,105,380)</w:t>
            </w:r>
          </w:p>
        </w:tc>
      </w:tr>
      <w:tr>
        <w:trPr>
          <w:trHeight w:val="203"/>
        </w:trPr>
        <w:tc>
          <w:tcPr>
            <w:tcW w:w="4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Net unrealized appreciation on Credit Facility</w:t>
            </w:r>
          </w:p>
        </w:tc>
        <w:tc>
          <w:tcPr>
            <w:tcW w:w="32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272,000</w:t>
            </w:r>
          </w:p>
        </w:tc>
        <w:tc>
          <w:tcPr>
            <w:tcW w:w="26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3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net assets</w:t>
            </w:r>
          </w:p>
        </w:tc>
        <w:tc>
          <w:tcPr>
            <w:tcW w:w="1260" w:type="dxa"/>
            <w:vAlign w:val="bottom"/>
          </w:tcPr>
          <w:p>
            <w:pPr>
              <w:spacing w:after="0"/>
              <w:rPr>
                <w:sz w:val="17"/>
                <w:szCs w:val="17"/>
                <w:color w:val="auto"/>
              </w:rPr>
            </w:pP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95,499,807</w:t>
            </w:r>
          </w:p>
        </w:tc>
        <w:tc>
          <w:tcPr>
            <w:tcW w:w="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92,072,105</w:t>
            </w:r>
          </w:p>
        </w:tc>
      </w:tr>
      <w:tr>
        <w:trPr>
          <w:trHeight w:val="203"/>
        </w:trPr>
        <w:tc>
          <w:tcPr>
            <w:tcW w:w="3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49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Total liabilities and net assets</w:t>
            </w:r>
          </w:p>
        </w:tc>
        <w:tc>
          <w:tcPr>
            <w:tcW w:w="15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$ 159,612,539</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$ 121,075,260</w:t>
            </w:r>
          </w:p>
        </w:tc>
      </w:tr>
      <w:tr>
        <w:trPr>
          <w:trHeight w:val="203"/>
        </w:trPr>
        <w:tc>
          <w:tcPr>
            <w:tcW w:w="3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 value per share</w:t>
            </w:r>
          </w:p>
        </w:tc>
        <w:tc>
          <w:tcPr>
            <w:tcW w:w="1260" w:type="dxa"/>
            <w:vAlign w:val="bottom"/>
          </w:tcPr>
          <w:p>
            <w:pPr>
              <w:spacing w:after="0"/>
              <w:rPr>
                <w:sz w:val="17"/>
                <w:szCs w:val="17"/>
                <w:color w:val="auto"/>
              </w:rPr>
            </w:pP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13.94</w:t>
            </w:r>
          </w:p>
        </w:tc>
        <w:tc>
          <w:tcPr>
            <w:tcW w:w="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13.44</w:t>
            </w:r>
          </w:p>
        </w:tc>
      </w:tr>
      <w:tr>
        <w:trPr>
          <w:trHeight w:val="203"/>
        </w:trPr>
        <w:tc>
          <w:tcPr>
            <w:tcW w:w="3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810"/>
        </w:trPr>
        <w:tc>
          <w:tcPr>
            <w:tcW w:w="8020" w:type="dxa"/>
            <w:vAlign w:val="bottom"/>
            <w:gridSpan w:val="6"/>
          </w:tcPr>
          <w:p>
            <w:pPr>
              <w:jc w:val="center"/>
              <w:ind w:left="32"/>
              <w:spacing w:after="0"/>
              <w:rPr>
                <w:sz w:val="20"/>
                <w:szCs w:val="20"/>
                <w:color w:val="auto"/>
              </w:rPr>
            </w:pPr>
            <w:r>
              <w:rPr>
                <w:rFonts w:ascii="Courier New" w:cs="Courier New" w:eastAsia="Courier New" w:hAnsi="Courier New"/>
                <w:sz w:val="18"/>
                <w:szCs w:val="18"/>
                <w:color w:val="auto"/>
                <w:w w:val="97"/>
              </w:rPr>
              <w:t>PENNANTPARK FLOATING RATE CAPITAL LTD. AND SUBSIDIARY</w:t>
            </w:r>
          </w:p>
        </w:tc>
      </w:tr>
      <w:tr>
        <w:trPr>
          <w:trHeight w:val="202"/>
        </w:trPr>
        <w:tc>
          <w:tcPr>
            <w:tcW w:w="6480" w:type="dxa"/>
            <w:vAlign w:val="bottom"/>
            <w:gridSpan w:val="4"/>
          </w:tcPr>
          <w:p>
            <w:pPr>
              <w:jc w:val="center"/>
              <w:ind w:left="1572"/>
              <w:spacing w:after="0" w:line="203" w:lineRule="exact"/>
              <w:rPr>
                <w:sz w:val="20"/>
                <w:szCs w:val="20"/>
                <w:color w:val="auto"/>
              </w:rPr>
            </w:pPr>
            <w:r>
              <w:rPr>
                <w:rFonts w:ascii="Courier New" w:cs="Courier New" w:eastAsia="Courier New" w:hAnsi="Courier New"/>
                <w:sz w:val="18"/>
                <w:szCs w:val="18"/>
                <w:color w:val="auto"/>
                <w:w w:val="97"/>
              </w:rPr>
              <w:t>CONSOLIDATED STATEMENTS OF OPERATIONS</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4960" w:type="dxa"/>
            <w:vAlign w:val="bottom"/>
            <w:gridSpan w:val="2"/>
          </w:tcPr>
          <w:p>
            <w:pPr>
              <w:jc w:val="center"/>
              <w:ind w:left="3072"/>
              <w:spacing w:after="0" w:line="203" w:lineRule="exact"/>
              <w:rPr>
                <w:sz w:val="20"/>
                <w:szCs w:val="20"/>
                <w:color w:val="auto"/>
              </w:rPr>
            </w:pPr>
            <w:r>
              <w:rPr>
                <w:rFonts w:ascii="Courier New" w:cs="Courier New" w:eastAsia="Courier New" w:hAnsi="Courier New"/>
                <w:sz w:val="18"/>
                <w:szCs w:val="18"/>
                <w:color w:val="auto"/>
                <w:w w:val="97"/>
              </w:rPr>
              <w:t>(Unaudited)</w:t>
            </w: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05"/>
        </w:trPr>
        <w:tc>
          <w:tcPr>
            <w:tcW w:w="3700" w:type="dxa"/>
            <w:vAlign w:val="bottom"/>
          </w:tcPr>
          <w:p>
            <w:pPr>
              <w:spacing w:after="0"/>
              <w:rPr>
                <w:sz w:val="24"/>
                <w:szCs w:val="24"/>
                <w:color w:val="auto"/>
              </w:rPr>
            </w:pPr>
          </w:p>
        </w:tc>
        <w:tc>
          <w:tcPr>
            <w:tcW w:w="1260" w:type="dxa"/>
            <w:vAlign w:val="bottom"/>
          </w:tcPr>
          <w:p>
            <w:pPr>
              <w:ind w:left="420"/>
              <w:spacing w:after="0"/>
              <w:rPr>
                <w:sz w:val="20"/>
                <w:szCs w:val="20"/>
                <w:color w:val="auto"/>
              </w:rPr>
            </w:pPr>
            <w:r>
              <w:rPr>
                <w:rFonts w:ascii="Courier New" w:cs="Courier New" w:eastAsia="Courier New" w:hAnsi="Courier New"/>
                <w:sz w:val="18"/>
                <w:szCs w:val="18"/>
                <w:color w:val="auto"/>
              </w:rPr>
              <w:t>Three</w:t>
            </w:r>
          </w:p>
        </w:tc>
        <w:tc>
          <w:tcPr>
            <w:tcW w:w="320" w:type="dxa"/>
            <w:vAlign w:val="bottom"/>
          </w:tcPr>
          <w:p>
            <w:pPr>
              <w:spacing w:after="0"/>
              <w:rPr>
                <w:sz w:val="24"/>
                <w:szCs w:val="24"/>
                <w:color w:val="auto"/>
              </w:rPr>
            </w:pPr>
          </w:p>
        </w:tc>
        <w:tc>
          <w:tcPr>
            <w:tcW w:w="1200" w:type="dxa"/>
            <w:vAlign w:val="bottom"/>
          </w:tcPr>
          <w:p>
            <w:pPr>
              <w:ind w:left="300"/>
              <w:spacing w:after="0"/>
              <w:rPr>
                <w:sz w:val="20"/>
                <w:szCs w:val="20"/>
                <w:color w:val="auto"/>
              </w:rPr>
            </w:pPr>
            <w:r>
              <w:rPr>
                <w:rFonts w:ascii="Courier New" w:cs="Courier New" w:eastAsia="Courier New" w:hAnsi="Courier New"/>
                <w:sz w:val="18"/>
                <w:szCs w:val="18"/>
                <w:color w:val="auto"/>
              </w:rPr>
              <w:t>Three</w:t>
            </w:r>
          </w:p>
        </w:tc>
        <w:tc>
          <w:tcPr>
            <w:tcW w:w="260" w:type="dxa"/>
            <w:vAlign w:val="bottom"/>
          </w:tcPr>
          <w:p>
            <w:pPr>
              <w:spacing w:after="0"/>
              <w:rPr>
                <w:sz w:val="24"/>
                <w:szCs w:val="24"/>
                <w:color w:val="auto"/>
              </w:rPr>
            </w:pPr>
          </w:p>
        </w:tc>
        <w:tc>
          <w:tcPr>
            <w:tcW w:w="128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5"/>
              </w:rPr>
              <w:t>Nine Months</w:t>
            </w:r>
          </w:p>
        </w:tc>
      </w:tr>
      <w:tr>
        <w:trPr>
          <w:trHeight w:val="203"/>
        </w:trPr>
        <w:tc>
          <w:tcPr>
            <w:tcW w:w="3700" w:type="dxa"/>
            <w:vAlign w:val="bottom"/>
          </w:tcPr>
          <w:p>
            <w:pPr>
              <w:spacing w:after="0"/>
              <w:rPr>
                <w:sz w:val="17"/>
                <w:szCs w:val="17"/>
                <w:color w:val="auto"/>
              </w:rPr>
            </w:pP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Months Ended</w:t>
            </w:r>
          </w:p>
        </w:tc>
        <w:tc>
          <w:tcPr>
            <w:tcW w:w="15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Months Ended</w:t>
            </w:r>
          </w:p>
        </w:tc>
        <w:tc>
          <w:tcPr>
            <w:tcW w:w="260" w:type="dxa"/>
            <w:vAlign w:val="bottom"/>
          </w:tcPr>
          <w:p>
            <w:pPr>
              <w:spacing w:after="0"/>
              <w:rPr>
                <w:sz w:val="17"/>
                <w:szCs w:val="17"/>
                <w:color w:val="auto"/>
              </w:rPr>
            </w:pPr>
          </w:p>
        </w:tc>
        <w:tc>
          <w:tcPr>
            <w:tcW w:w="1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Ended</w:t>
            </w:r>
          </w:p>
        </w:tc>
      </w:tr>
      <w:tr>
        <w:trPr>
          <w:trHeight w:val="203"/>
        </w:trPr>
        <w:tc>
          <w:tcPr>
            <w:tcW w:w="3700" w:type="dxa"/>
            <w:vAlign w:val="bottom"/>
          </w:tcPr>
          <w:p>
            <w:pPr>
              <w:spacing w:after="0"/>
              <w:rPr>
                <w:sz w:val="17"/>
                <w:szCs w:val="17"/>
                <w:color w:val="auto"/>
              </w:rPr>
            </w:pP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June 30,</w:t>
            </w:r>
          </w:p>
        </w:tc>
        <w:tc>
          <w:tcPr>
            <w:tcW w:w="32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June 30,</w:t>
            </w:r>
          </w:p>
        </w:tc>
        <w:tc>
          <w:tcPr>
            <w:tcW w:w="260" w:type="dxa"/>
            <w:vAlign w:val="bottom"/>
          </w:tcPr>
          <w:p>
            <w:pPr>
              <w:spacing w:after="0"/>
              <w:rPr>
                <w:sz w:val="17"/>
                <w:szCs w:val="17"/>
                <w:color w:val="auto"/>
              </w:rPr>
            </w:pP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June 30,</w:t>
            </w:r>
          </w:p>
        </w:tc>
      </w:tr>
      <w:tr>
        <w:trPr>
          <w:trHeight w:val="203"/>
        </w:trPr>
        <w:tc>
          <w:tcPr>
            <w:tcW w:w="3700" w:type="dxa"/>
            <w:vAlign w:val="bottom"/>
          </w:tcPr>
          <w:p>
            <w:pPr>
              <w:spacing w:after="0"/>
              <w:rPr>
                <w:sz w:val="17"/>
                <w:szCs w:val="17"/>
                <w:color w:val="auto"/>
              </w:rPr>
            </w:pP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2012</w:t>
            </w:r>
          </w:p>
        </w:tc>
        <w:tc>
          <w:tcPr>
            <w:tcW w:w="320" w:type="dxa"/>
            <w:vAlign w:val="bottom"/>
          </w:tcPr>
          <w:p>
            <w:pPr>
              <w:spacing w:after="0"/>
              <w:rPr>
                <w:sz w:val="17"/>
                <w:szCs w:val="17"/>
                <w:color w:val="auto"/>
              </w:rPr>
            </w:pPr>
          </w:p>
        </w:tc>
        <w:tc>
          <w:tcPr>
            <w:tcW w:w="12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2011</w:t>
            </w:r>
          </w:p>
        </w:tc>
        <w:tc>
          <w:tcPr>
            <w:tcW w:w="260" w:type="dxa"/>
            <w:vAlign w:val="bottom"/>
          </w:tcPr>
          <w:p>
            <w:pPr>
              <w:spacing w:after="0"/>
              <w:rPr>
                <w:sz w:val="17"/>
                <w:szCs w:val="17"/>
                <w:color w:val="auto"/>
              </w:rPr>
            </w:pPr>
          </w:p>
        </w:tc>
        <w:tc>
          <w:tcPr>
            <w:tcW w:w="1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2012</w:t>
            </w:r>
          </w:p>
        </w:tc>
      </w:tr>
      <w:tr>
        <w:trPr>
          <w:trHeight w:val="202"/>
        </w:trPr>
        <w:tc>
          <w:tcPr>
            <w:tcW w:w="3700" w:type="dxa"/>
            <w:vAlign w:val="bottom"/>
          </w:tcPr>
          <w:p>
            <w:pPr>
              <w:spacing w:after="0"/>
              <w:rPr>
                <w:sz w:val="17"/>
                <w:szCs w:val="17"/>
                <w:color w:val="auto"/>
              </w:rPr>
            </w:pP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income:</w:t>
            </w: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2"/>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From non-controlled, non-affiliated</w:t>
            </w: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  3,120,180</w:t>
            </w:r>
          </w:p>
        </w:tc>
        <w:tc>
          <w:tcPr>
            <w:tcW w:w="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2"/>
              </w:rPr>
              <w:t>$</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898,719</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8,387,545</w:t>
            </w:r>
          </w:p>
        </w:tc>
      </w:tr>
    </w:tbl>
    <w:p>
      <w:pPr>
        <w:sectPr>
          <w:pgSz w:w="11900" w:h="16838" w:orient="portrait"/>
          <w:cols w:equalWidth="0" w:num="1">
            <w:col w:w="11180"/>
          </w:cols>
          <w:pgMar w:left="320" w:top="118" w:right="39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00" w:type="dxa"/>
            <w:vAlign w:val="bottom"/>
          </w:tcPr>
          <w:p>
            <w:pPr>
              <w:ind w:left="220"/>
              <w:spacing w:after="0"/>
              <w:rPr>
                <w:sz w:val="20"/>
                <w:szCs w:val="20"/>
                <w:color w:val="auto"/>
              </w:rPr>
            </w:pPr>
            <w:r>
              <w:rPr>
                <w:rFonts w:ascii="Courier New" w:cs="Courier New" w:eastAsia="Courier New" w:hAnsi="Courier New"/>
                <w:sz w:val="18"/>
                <w:szCs w:val="18"/>
                <w:color w:val="auto"/>
              </w:rPr>
              <w:t>Other income</w:t>
            </w:r>
          </w:p>
        </w:tc>
        <w:tc>
          <w:tcPr>
            <w:tcW w:w="160" w:type="dxa"/>
            <w:vAlign w:val="bottom"/>
          </w:tcPr>
          <w:p>
            <w:pPr>
              <w:spacing w:after="0"/>
              <w:rPr>
                <w:sz w:val="17"/>
                <w:szCs w:val="17"/>
                <w:color w:val="auto"/>
              </w:rPr>
            </w:pPr>
          </w:p>
        </w:tc>
        <w:tc>
          <w:tcPr>
            <w:tcW w:w="12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80,522</w:t>
            </w:r>
          </w:p>
        </w:tc>
        <w:tc>
          <w:tcPr>
            <w:tcW w:w="260" w:type="dxa"/>
            <w:vAlign w:val="bottom"/>
          </w:tcPr>
          <w:p>
            <w:pPr>
              <w:spacing w:after="0"/>
              <w:rPr>
                <w:sz w:val="17"/>
                <w:szCs w:val="17"/>
                <w:color w:val="auto"/>
              </w:rPr>
            </w:pPr>
          </w:p>
        </w:tc>
        <w:tc>
          <w:tcPr>
            <w:tcW w:w="1200" w:type="dxa"/>
            <w:vAlign w:val="bottom"/>
          </w:tcPr>
          <w:p>
            <w:pPr>
              <w:jc w:val="right"/>
              <w:ind w:right="52"/>
              <w:spacing w:after="0"/>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223,915</w:t>
            </w:r>
          </w:p>
        </w:tc>
      </w:tr>
      <w:tr>
        <w:trPr>
          <w:trHeight w:val="203"/>
        </w:trPr>
        <w:tc>
          <w:tcPr>
            <w:tcW w:w="370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Income</w:t>
            </w:r>
          </w:p>
        </w:tc>
        <w:tc>
          <w:tcPr>
            <w:tcW w:w="160" w:type="dxa"/>
            <w:vAlign w:val="bottom"/>
          </w:tcPr>
          <w:p>
            <w:pPr>
              <w:spacing w:after="0"/>
              <w:rPr>
                <w:sz w:val="17"/>
                <w:szCs w:val="17"/>
                <w:color w:val="auto"/>
              </w:rPr>
            </w:pP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3,200,702</w:t>
            </w:r>
          </w:p>
        </w:tc>
        <w:tc>
          <w:tcPr>
            <w:tcW w:w="260" w:type="dxa"/>
            <w:vAlign w:val="bottom"/>
          </w:tcPr>
          <w:p>
            <w:pPr>
              <w:spacing w:after="0"/>
              <w:rPr>
                <w:sz w:val="17"/>
                <w:szCs w:val="17"/>
                <w:color w:val="auto"/>
              </w:rPr>
            </w:pP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898,719</w:t>
            </w:r>
          </w:p>
        </w:tc>
        <w:tc>
          <w:tcPr>
            <w:tcW w:w="28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8,611,460</w:t>
            </w:r>
          </w:p>
        </w:tc>
      </w:tr>
      <w:tr>
        <w:trPr>
          <w:trHeight w:val="203"/>
        </w:trPr>
        <w:tc>
          <w:tcPr>
            <w:tcW w:w="370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Expenses:</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3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Base management fee</w:t>
            </w:r>
          </w:p>
        </w:tc>
        <w:tc>
          <w:tcPr>
            <w:tcW w:w="160" w:type="dxa"/>
            <w:vAlign w:val="bottom"/>
          </w:tcPr>
          <w:p>
            <w:pPr>
              <w:spacing w:after="0"/>
              <w:rPr>
                <w:sz w:val="17"/>
                <w:szCs w:val="17"/>
                <w:color w:val="auto"/>
              </w:rPr>
            </w:pP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383,673</w:t>
            </w:r>
          </w:p>
        </w:tc>
        <w:tc>
          <w:tcPr>
            <w:tcW w:w="260" w:type="dxa"/>
            <w:vAlign w:val="bottom"/>
          </w:tcPr>
          <w:p>
            <w:pPr>
              <w:spacing w:after="0"/>
              <w:rPr>
                <w:sz w:val="17"/>
                <w:szCs w:val="17"/>
                <w:color w:val="auto"/>
              </w:rPr>
            </w:pP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99,001</w:t>
            </w:r>
          </w:p>
        </w:tc>
        <w:tc>
          <w:tcPr>
            <w:tcW w:w="28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1,069,870</w:t>
            </w:r>
          </w:p>
        </w:tc>
      </w:tr>
      <w:tr>
        <w:trPr>
          <w:trHeight w:val="203"/>
        </w:trPr>
        <w:tc>
          <w:tcPr>
            <w:tcW w:w="3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Performance-base incentive fees</w:t>
            </w:r>
          </w:p>
        </w:tc>
        <w:tc>
          <w:tcPr>
            <w:tcW w:w="1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(117,536)</w:t>
            </w:r>
          </w:p>
        </w:tc>
        <w:tc>
          <w:tcPr>
            <w:tcW w:w="260" w:type="dxa"/>
            <w:vAlign w:val="bottom"/>
          </w:tcPr>
          <w:p>
            <w:pPr>
              <w:spacing w:after="0"/>
              <w:rPr>
                <w:sz w:val="17"/>
                <w:szCs w:val="17"/>
                <w:color w:val="auto"/>
              </w:rPr>
            </w:pP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43,865</w:t>
            </w:r>
          </w:p>
        </w:tc>
        <w:tc>
          <w:tcPr>
            <w:tcW w:w="28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58,204</w:t>
            </w:r>
          </w:p>
        </w:tc>
      </w:tr>
      <w:tr>
        <w:trPr>
          <w:trHeight w:val="203"/>
        </w:trPr>
        <w:tc>
          <w:tcPr>
            <w:tcW w:w="3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and expenses on the</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2"/>
        </w:trPr>
        <w:tc>
          <w:tcPr>
            <w:tcW w:w="3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Credit Facility</w:t>
            </w:r>
          </w:p>
        </w:tc>
        <w:tc>
          <w:tcPr>
            <w:tcW w:w="160" w:type="dxa"/>
            <w:vAlign w:val="bottom"/>
          </w:tcPr>
          <w:p>
            <w:pPr>
              <w:spacing w:after="0"/>
              <w:rPr>
                <w:sz w:val="17"/>
                <w:szCs w:val="17"/>
                <w:color w:val="auto"/>
              </w:rPr>
            </w:pP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409,732</w:t>
            </w:r>
          </w:p>
        </w:tc>
        <w:tc>
          <w:tcPr>
            <w:tcW w:w="260" w:type="dxa"/>
            <w:vAlign w:val="bottom"/>
          </w:tcPr>
          <w:p>
            <w:pPr>
              <w:spacing w:after="0"/>
              <w:rPr>
                <w:sz w:val="17"/>
                <w:szCs w:val="17"/>
                <w:color w:val="auto"/>
              </w:rPr>
            </w:pP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1,031,208</w:t>
            </w:r>
          </w:p>
        </w:tc>
      </w:tr>
      <w:tr>
        <w:trPr>
          <w:trHeight w:val="203"/>
        </w:trPr>
        <w:tc>
          <w:tcPr>
            <w:tcW w:w="3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Administrative services expenses</w:t>
            </w:r>
          </w:p>
        </w:tc>
        <w:tc>
          <w:tcPr>
            <w:tcW w:w="160" w:type="dxa"/>
            <w:vAlign w:val="bottom"/>
          </w:tcPr>
          <w:p>
            <w:pPr>
              <w:spacing w:after="0"/>
              <w:rPr>
                <w:sz w:val="17"/>
                <w:szCs w:val="17"/>
                <w:color w:val="auto"/>
              </w:rPr>
            </w:pP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147,097</w:t>
            </w:r>
          </w:p>
        </w:tc>
        <w:tc>
          <w:tcPr>
            <w:tcW w:w="260" w:type="dxa"/>
            <w:vAlign w:val="bottom"/>
          </w:tcPr>
          <w:p>
            <w:pPr>
              <w:spacing w:after="0"/>
              <w:rPr>
                <w:sz w:val="17"/>
                <w:szCs w:val="17"/>
                <w:color w:val="auto"/>
              </w:rPr>
            </w:pP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84,749</w:t>
            </w:r>
          </w:p>
        </w:tc>
        <w:tc>
          <w:tcPr>
            <w:tcW w:w="28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435,056</w:t>
            </w:r>
          </w:p>
        </w:tc>
      </w:tr>
      <w:tr>
        <w:trPr>
          <w:trHeight w:val="203"/>
        </w:trPr>
        <w:tc>
          <w:tcPr>
            <w:tcW w:w="3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general and administrative</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3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expenses</w:t>
            </w:r>
          </w:p>
        </w:tc>
        <w:tc>
          <w:tcPr>
            <w:tcW w:w="160" w:type="dxa"/>
            <w:vAlign w:val="bottom"/>
          </w:tcPr>
          <w:p>
            <w:pPr>
              <w:spacing w:after="0"/>
              <w:rPr>
                <w:sz w:val="17"/>
                <w:szCs w:val="17"/>
                <w:color w:val="auto"/>
              </w:rPr>
            </w:pP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254,743</w:t>
            </w:r>
          </w:p>
        </w:tc>
        <w:tc>
          <w:tcPr>
            <w:tcW w:w="260" w:type="dxa"/>
            <w:vAlign w:val="bottom"/>
          </w:tcPr>
          <w:p>
            <w:pPr>
              <w:spacing w:after="0"/>
              <w:rPr>
                <w:sz w:val="17"/>
                <w:szCs w:val="17"/>
                <w:color w:val="auto"/>
              </w:rPr>
            </w:pP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218,675</w:t>
            </w:r>
          </w:p>
        </w:tc>
        <w:tc>
          <w:tcPr>
            <w:tcW w:w="28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974,330</w:t>
            </w:r>
          </w:p>
        </w:tc>
      </w:tr>
      <w:tr>
        <w:trPr>
          <w:trHeight w:val="203"/>
        </w:trPr>
        <w:tc>
          <w:tcPr>
            <w:tcW w:w="370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Expenses before Credit Facility</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3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issuance and amendment costs</w:t>
            </w:r>
          </w:p>
        </w:tc>
        <w:tc>
          <w:tcPr>
            <w:tcW w:w="160" w:type="dxa"/>
            <w:vAlign w:val="bottom"/>
          </w:tcPr>
          <w:p>
            <w:pPr>
              <w:spacing w:after="0"/>
              <w:rPr>
                <w:sz w:val="17"/>
                <w:szCs w:val="17"/>
                <w:color w:val="auto"/>
              </w:rPr>
            </w:pP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1,077,709</w:t>
            </w:r>
          </w:p>
        </w:tc>
        <w:tc>
          <w:tcPr>
            <w:tcW w:w="260" w:type="dxa"/>
            <w:vAlign w:val="bottom"/>
          </w:tcPr>
          <w:p>
            <w:pPr>
              <w:spacing w:after="0"/>
              <w:rPr>
                <w:sz w:val="17"/>
                <w:szCs w:val="17"/>
                <w:color w:val="auto"/>
              </w:rPr>
            </w:pP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446,290</w:t>
            </w:r>
          </w:p>
        </w:tc>
        <w:tc>
          <w:tcPr>
            <w:tcW w:w="28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3,568,668</w:t>
            </w:r>
          </w:p>
        </w:tc>
      </w:tr>
      <w:tr>
        <w:trPr>
          <w:trHeight w:val="203"/>
        </w:trPr>
        <w:tc>
          <w:tcPr>
            <w:tcW w:w="3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Credit Facility issuance and</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3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amendment costs</w:t>
            </w:r>
          </w:p>
        </w:tc>
        <w:tc>
          <w:tcPr>
            <w:tcW w:w="160" w:type="dxa"/>
            <w:vAlign w:val="bottom"/>
          </w:tcPr>
          <w:p>
            <w:pPr>
              <w:spacing w:after="0"/>
              <w:rPr>
                <w:sz w:val="17"/>
                <w:szCs w:val="17"/>
                <w:color w:val="auto"/>
              </w:rPr>
            </w:pP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276,500</w:t>
            </w:r>
          </w:p>
        </w:tc>
        <w:tc>
          <w:tcPr>
            <w:tcW w:w="260" w:type="dxa"/>
            <w:vAlign w:val="bottom"/>
          </w:tcPr>
          <w:p>
            <w:pPr>
              <w:spacing w:after="0"/>
              <w:rPr>
                <w:sz w:val="17"/>
                <w:szCs w:val="17"/>
                <w:color w:val="auto"/>
              </w:rPr>
            </w:pP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1,335,735</w:t>
            </w:r>
          </w:p>
        </w:tc>
        <w:tc>
          <w:tcPr>
            <w:tcW w:w="28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276,500</w:t>
            </w:r>
          </w:p>
        </w:tc>
      </w:tr>
      <w:tr>
        <w:trPr>
          <w:trHeight w:val="203"/>
        </w:trPr>
        <w:tc>
          <w:tcPr>
            <w:tcW w:w="370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Expenses</w:t>
            </w:r>
          </w:p>
        </w:tc>
        <w:tc>
          <w:tcPr>
            <w:tcW w:w="160" w:type="dxa"/>
            <w:vAlign w:val="bottom"/>
          </w:tcPr>
          <w:p>
            <w:pPr>
              <w:spacing w:after="0"/>
              <w:rPr>
                <w:sz w:val="17"/>
                <w:szCs w:val="17"/>
                <w:color w:val="auto"/>
              </w:rPr>
            </w:pP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1,354,209</w:t>
            </w:r>
          </w:p>
        </w:tc>
        <w:tc>
          <w:tcPr>
            <w:tcW w:w="260" w:type="dxa"/>
            <w:vAlign w:val="bottom"/>
          </w:tcPr>
          <w:p>
            <w:pPr>
              <w:spacing w:after="0"/>
              <w:rPr>
                <w:sz w:val="17"/>
                <w:szCs w:val="17"/>
                <w:color w:val="auto"/>
              </w:rPr>
            </w:pP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1,782,025</w:t>
            </w:r>
          </w:p>
        </w:tc>
        <w:tc>
          <w:tcPr>
            <w:tcW w:w="28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3,845,168</w:t>
            </w:r>
          </w:p>
        </w:tc>
      </w:tr>
      <w:tr>
        <w:trPr>
          <w:trHeight w:val="203"/>
        </w:trPr>
        <w:tc>
          <w:tcPr>
            <w:tcW w:w="370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 (loss)</w:t>
            </w:r>
          </w:p>
        </w:tc>
        <w:tc>
          <w:tcPr>
            <w:tcW w:w="160" w:type="dxa"/>
            <w:vAlign w:val="bottom"/>
          </w:tcPr>
          <w:p>
            <w:pPr>
              <w:spacing w:after="0"/>
              <w:rPr>
                <w:sz w:val="17"/>
                <w:szCs w:val="17"/>
                <w:color w:val="auto"/>
              </w:rPr>
            </w:pP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1,846,493</w:t>
            </w:r>
          </w:p>
        </w:tc>
        <w:tc>
          <w:tcPr>
            <w:tcW w:w="2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(883,306)</w:t>
            </w:r>
          </w:p>
        </w:tc>
        <w:tc>
          <w:tcPr>
            <w:tcW w:w="28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4,766,292</w:t>
            </w:r>
          </w:p>
        </w:tc>
      </w:tr>
      <w:tr>
        <w:trPr>
          <w:trHeight w:val="203"/>
        </w:trPr>
        <w:tc>
          <w:tcPr>
            <w:tcW w:w="370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Realized and unrealized gain (loss)</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3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on investments and Credit</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3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Facility:</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realized gain on non-</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3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controlled, non-affiliated</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3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160" w:type="dxa"/>
            <w:vAlign w:val="bottom"/>
          </w:tcPr>
          <w:p>
            <w:pPr>
              <w:spacing w:after="0"/>
              <w:rPr>
                <w:sz w:val="17"/>
                <w:szCs w:val="17"/>
                <w:color w:val="auto"/>
              </w:rPr>
            </w:pP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217,718</w:t>
            </w:r>
          </w:p>
        </w:tc>
        <w:tc>
          <w:tcPr>
            <w:tcW w:w="260" w:type="dxa"/>
            <w:vAlign w:val="bottom"/>
          </w:tcPr>
          <w:p>
            <w:pPr>
              <w:spacing w:after="0"/>
              <w:rPr>
                <w:sz w:val="17"/>
                <w:szCs w:val="17"/>
                <w:color w:val="auto"/>
              </w:rPr>
            </w:pP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291,669</w:t>
            </w:r>
          </w:p>
        </w:tc>
        <w:tc>
          <w:tcPr>
            <w:tcW w:w="28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623,605</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change in unrealized</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3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on:</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3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Non-controlled, non-affiliated</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3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investments</w:t>
            </w:r>
          </w:p>
        </w:tc>
        <w:tc>
          <w:tcPr>
            <w:tcW w:w="1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(1,709,804)</w:t>
            </w:r>
          </w:p>
        </w:tc>
        <w:tc>
          <w:tcPr>
            <w:tcW w:w="2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(72,344)</w:t>
            </w:r>
          </w:p>
        </w:tc>
        <w:tc>
          <w:tcPr>
            <w:tcW w:w="28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2,355,750</w:t>
            </w:r>
          </w:p>
        </w:tc>
      </w:tr>
      <w:tr>
        <w:trPr>
          <w:trHeight w:val="203"/>
        </w:trPr>
        <w:tc>
          <w:tcPr>
            <w:tcW w:w="3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Credit Facility depreciation</w:t>
            </w:r>
          </w:p>
        </w:tc>
        <w:tc>
          <w:tcPr>
            <w:tcW w:w="160" w:type="dxa"/>
            <w:vAlign w:val="bottom"/>
          </w:tcPr>
          <w:p>
            <w:pPr>
              <w:spacing w:after="0"/>
              <w:rPr>
                <w:sz w:val="17"/>
                <w:szCs w:val="17"/>
                <w:color w:val="auto"/>
              </w:rPr>
            </w:pP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33,000</w:t>
            </w:r>
          </w:p>
        </w:tc>
        <w:tc>
          <w:tcPr>
            <w:tcW w:w="260" w:type="dxa"/>
            <w:vAlign w:val="bottom"/>
          </w:tcPr>
          <w:p>
            <w:pPr>
              <w:spacing w:after="0"/>
              <w:rPr>
                <w:sz w:val="17"/>
                <w:szCs w:val="17"/>
                <w:color w:val="auto"/>
              </w:rPr>
            </w:pP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28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272,000</w:t>
            </w:r>
          </w:p>
        </w:tc>
      </w:tr>
      <w:tr>
        <w:trPr>
          <w:trHeight w:val="203"/>
        </w:trPr>
        <w:tc>
          <w:tcPr>
            <w:tcW w:w="370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change in unrealized</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3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(appreciation) depreciation on</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3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investments and Credit Facility</w:t>
            </w:r>
          </w:p>
        </w:tc>
        <w:tc>
          <w:tcPr>
            <w:tcW w:w="1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(1,676,804)</w:t>
            </w:r>
          </w:p>
        </w:tc>
        <w:tc>
          <w:tcPr>
            <w:tcW w:w="2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(72,344)</w:t>
            </w:r>
          </w:p>
        </w:tc>
        <w:tc>
          <w:tcPr>
            <w:tcW w:w="28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2,627,750</w:t>
            </w:r>
          </w:p>
        </w:tc>
      </w:tr>
      <w:tr>
        <w:trPr>
          <w:trHeight w:val="203"/>
        </w:trPr>
        <w:tc>
          <w:tcPr>
            <w:tcW w:w="370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realized and unrealized (loss)</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3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gain from investments and Credit</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3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Facility</w:t>
            </w:r>
          </w:p>
        </w:tc>
        <w:tc>
          <w:tcPr>
            <w:tcW w:w="1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(1,459,086)</w:t>
            </w:r>
          </w:p>
        </w:tc>
        <w:tc>
          <w:tcPr>
            <w:tcW w:w="260" w:type="dxa"/>
            <w:vAlign w:val="bottom"/>
          </w:tcPr>
          <w:p>
            <w:pPr>
              <w:spacing w:after="0"/>
              <w:rPr>
                <w:sz w:val="17"/>
                <w:szCs w:val="17"/>
                <w:color w:val="auto"/>
              </w:rPr>
            </w:pP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219,325</w:t>
            </w:r>
          </w:p>
        </w:tc>
        <w:tc>
          <w:tcPr>
            <w:tcW w:w="28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3,251,355</w:t>
            </w:r>
          </w:p>
        </w:tc>
      </w:tr>
      <w:tr>
        <w:trPr>
          <w:trHeight w:val="203"/>
        </w:trPr>
        <w:tc>
          <w:tcPr>
            <w:tcW w:w="370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(decrease) in net</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3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assets resulting from operations</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387,407</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(663,981)</w:t>
            </w:r>
          </w:p>
        </w:tc>
        <w:tc>
          <w:tcPr>
            <w:tcW w:w="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8,017,647</w:t>
            </w:r>
          </w:p>
        </w:tc>
      </w:tr>
      <w:tr>
        <w:trPr>
          <w:trHeight w:val="203"/>
        </w:trPr>
        <w:tc>
          <w:tcPr>
            <w:tcW w:w="370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(decrease) in net</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3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assets resulting from operations</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3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 common share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0.06</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(0.10)</w:t>
            </w:r>
          </w:p>
        </w:tc>
        <w:tc>
          <w:tcPr>
            <w:tcW w:w="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1.17</w:t>
            </w:r>
          </w:p>
        </w:tc>
      </w:tr>
      <w:tr>
        <w:trPr>
          <w:trHeight w:val="202"/>
        </w:trPr>
        <w:tc>
          <w:tcPr>
            <w:tcW w:w="370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700" w:type="dxa"/>
            <w:vAlign w:val="bottom"/>
          </w:tcPr>
          <w:p>
            <w:pPr>
              <w:spacing w:after="0"/>
              <w:rPr>
                <w:sz w:val="20"/>
                <w:szCs w:val="20"/>
                <w:color w:val="auto"/>
              </w:rPr>
            </w:pPr>
            <w:r>
              <w:rPr>
                <w:rFonts w:ascii="Courier New" w:cs="Courier New" w:eastAsia="Courier New" w:hAnsi="Courier New"/>
                <w:sz w:val="18"/>
                <w:szCs w:val="18"/>
                <w:color w:val="auto"/>
              </w:rPr>
              <w:t>Net investment income (loss) per</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3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 share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0.27</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(0.13)</w:t>
            </w:r>
          </w:p>
        </w:tc>
        <w:tc>
          <w:tcPr>
            <w:tcW w:w="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0.70</w:t>
            </w:r>
          </w:p>
        </w:tc>
      </w:tr>
      <w:tr>
        <w:trPr>
          <w:trHeight w:val="203"/>
        </w:trPr>
        <w:tc>
          <w:tcPr>
            <w:tcW w:w="3700" w:type="dxa"/>
            <w:vAlign w:val="bottom"/>
          </w:tcPr>
          <w:p>
            <w:pPr>
              <w:spacing w:after="0"/>
              <w:rPr>
                <w:sz w:val="17"/>
                <w:szCs w:val="17"/>
                <w:color w:val="auto"/>
              </w:rPr>
            </w:pPr>
          </w:p>
        </w:tc>
        <w:tc>
          <w:tcPr>
            <w:tcW w:w="14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3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FLOATING RATE CAPITAL LTD.</w:t>
      </w:r>
    </w:p>
    <w:p>
      <w:pPr>
        <w:spacing w:after="0" w:line="212" w:lineRule="exact"/>
        <w:rPr>
          <w:sz w:val="20"/>
          <w:szCs w:val="20"/>
          <w:color w:val="auto"/>
        </w:rPr>
      </w:pPr>
    </w:p>
    <w:p>
      <w:pPr>
        <w:ind w:right="56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ind w:right="20"/>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50"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 You should not place undue influence on such forward-looking statements as such statements speak only as of the date on which they are made. We do not undertake to update our forward-looking statements unless required by law.</w:t>
      </w:r>
    </w:p>
    <w:p>
      <w:pPr>
        <w:sectPr>
          <w:pgSz w:w="11900" w:h="16838" w:orient="portrait"/>
          <w:cols w:equalWidth="0" w:num="1">
            <w:col w:w="11200"/>
          </w:cols>
          <w:pgMar w:left="320" w:top="136" w:right="379" w:bottom="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PennantPark Floating Rate Capital Ltd.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Reception: (212) 905-1000</w:t>
      </w:r>
    </w:p>
    <w:p>
      <w:pPr>
        <w:spacing w:after="0" w:line="238" w:lineRule="auto"/>
        <w:rPr>
          <w:sz w:val="20"/>
          <w:szCs w:val="20"/>
          <w:color w:val="auto"/>
        </w:rPr>
      </w:pPr>
      <w:r>
        <w:rPr>
          <w:rFonts w:ascii="Courier New" w:cs="Courier New" w:eastAsia="Courier New" w:hAnsi="Courier New"/>
          <w:sz w:val="18"/>
          <w:szCs w:val="18"/>
          <w:color w:val="auto"/>
        </w:rPr>
        <w:t>www.pennantpark.com</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2020-05-05T12:04:17Z</dcterms:created>
  <dcterms:modified xsi:type="dcterms:W3CDTF">2020-05-05T12:04:17Z</dcterms:modified>
</cp:coreProperties>
</file>