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110325.htm"/>
      <w:bookmarkStart w:id="1" w:name="ksf8k_110325"/>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November 4, 2025</w:t>
      </w:r>
    </w:p>
    <w:p>
      <w:pPr>
        <w:pStyle w:val="TextBody"/>
        <w:bidi w:val="0"/>
        <w:jc w:val="center"/>
        <w:rPr/>
      </w:pPr>
      <w:r>
        <w:rPr/>
        <w:t>_______________________________</w:t>
      </w:r>
    </w:p>
    <w:p>
      <w:pPr>
        <w:pStyle w:val="TextBody"/>
        <w:bidi w:val="0"/>
        <w:spacing w:before="120" w:after="283"/>
        <w:jc w:val="center"/>
        <w:rPr>
          <w:b/>
          <w:sz w:val="24"/>
        </w:rPr>
      </w:pPr>
      <w:r>
        <w:rPr>
          <w:b/>
          <w:sz w:val="24"/>
        </w:rPr>
        <w:t>PennantPark Floating Rate Capital Ltd.</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Maryland</w:t>
            </w:r>
          </w:p>
        </w:tc>
        <w:tc>
          <w:tcPr>
            <w:tcW w:w="2210" w:type="dxa"/>
            <w:tcBorders/>
            <w:vAlign w:val="center"/>
          </w:tcPr>
          <w:p>
            <w:pPr>
              <w:pStyle w:val="TableContents"/>
              <w:bidi w:val="0"/>
              <w:spacing w:before="0" w:after="283"/>
              <w:jc w:val="center"/>
              <w:rPr>
                <w:b/>
                <w:sz w:val="20"/>
              </w:rPr>
            </w:pPr>
            <w:r>
              <w:rPr>
                <w:b/>
                <w:sz w:val="20"/>
              </w:rPr>
              <w:t>814-00891</w:t>
            </w:r>
          </w:p>
        </w:tc>
        <w:tc>
          <w:tcPr>
            <w:tcW w:w="2900" w:type="dxa"/>
            <w:tcBorders/>
            <w:vAlign w:val="center"/>
          </w:tcPr>
          <w:p>
            <w:pPr>
              <w:pStyle w:val="TableContents"/>
              <w:bidi w:val="0"/>
              <w:spacing w:before="0" w:after="283"/>
              <w:jc w:val="center"/>
              <w:rPr>
                <w:b/>
                <w:sz w:val="20"/>
              </w:rPr>
            </w:pPr>
            <w:r>
              <w:rPr>
                <w:b/>
                <w:sz w:val="20"/>
              </w:rPr>
              <w:t>27-3794690</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1691 Michigan Avenue</w:t>
      </w:r>
    </w:p>
    <w:p>
      <w:pPr>
        <w:pStyle w:val="TextBody"/>
        <w:bidi w:val="0"/>
        <w:spacing w:before="0" w:after="0"/>
        <w:jc w:val="center"/>
        <w:rPr>
          <w:b/>
          <w:sz w:val="20"/>
        </w:rPr>
      </w:pPr>
      <w:r>
        <w:rPr>
          <w:b/>
          <w:sz w:val="20"/>
        </w:rPr>
        <w:t>Miami Beach, Florida 33139</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(786) 297-9500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r>
              <w:rPr>
                <w:sz w:val="20"/>
              </w:rPr>
              <w:t>Common Stock, par value $0.001 per share</w:t>
            </w:r>
          </w:p>
        </w:tc>
        <w:tc>
          <w:tcPr>
            <w:tcW w:w="1535" w:type="dxa"/>
            <w:tcBorders/>
            <w:tcMar>
              <w:bottom w:w="0" w:type="dxa"/>
            </w:tcMar>
            <w:vAlign w:val="center"/>
          </w:tcPr>
          <w:p>
            <w:pPr>
              <w:pStyle w:val="TableContents"/>
              <w:bidi w:val="0"/>
              <w:spacing w:before="0" w:after="283"/>
              <w:jc w:val="center"/>
              <w:rPr>
                <w:sz w:val="20"/>
              </w:rPr>
            </w:pPr>
            <w:r>
              <w:rPr>
                <w:sz w:val="20"/>
              </w:rPr>
              <w:t>PFLT</w:t>
            </w:r>
          </w:p>
        </w:tc>
        <w:tc>
          <w:tcPr>
            <w:tcW w:w="3575" w:type="dxa"/>
            <w:tcBorders/>
            <w:tcMar>
              <w:bottom w:w="0" w:type="dxa"/>
            </w:tcMar>
            <w:vAlign w:val="center"/>
          </w:tcPr>
          <w:p>
            <w:pPr>
              <w:pStyle w:val="TableContents"/>
              <w:bidi w:val="0"/>
              <w:spacing w:before="0" w:after="283"/>
              <w:jc w:val="center"/>
              <w:rPr>
                <w:sz w:val="20"/>
              </w:rPr>
            </w:pPr>
            <w:r>
              <w:rPr>
                <w:sz w:val="20"/>
              </w:rPr>
              <w:t>The 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7.01. Regulation FD Disclosure.</w:t>
      </w:r>
    </w:p>
    <w:p>
      <w:pPr>
        <w:pStyle w:val="TextBody"/>
        <w:bidi w:val="0"/>
        <w:jc w:val="left"/>
        <w:rPr/>
      </w:pPr>
      <w:r>
        <w:rPr/>
        <w:t> </w:t>
      </w:r>
    </w:p>
    <w:p>
      <w:pPr>
        <w:pStyle w:val="TextBody"/>
        <w:bidi w:val="0"/>
        <w:spacing w:before="0" w:after="0"/>
        <w:jc w:val="left"/>
        <w:rPr>
          <w:sz w:val="20"/>
        </w:rPr>
      </w:pPr>
      <w:r>
        <w:rPr>
          <w:sz w:val="20"/>
        </w:rPr>
        <w:t>On November 4, 2025, PennantPark Floating Rate Capital Ltd. issued a press release announcing its monthly distribution. A copy of the press release is furnished as Exhibit 99.1 to this Form 8-K.</w:t>
      </w:r>
    </w:p>
    <w:p>
      <w:pPr>
        <w:pStyle w:val="TextBody"/>
        <w:bidi w:val="0"/>
        <w:spacing w:before="0" w:after="0"/>
        <w:jc w:val="left"/>
        <w:rPr/>
      </w:pPr>
      <w:r>
        <w:rPr/>
        <w:t> </w:t>
      </w:r>
    </w:p>
    <w:p>
      <w:pPr>
        <w:pStyle w:val="TextBody"/>
        <w:bidi w:val="0"/>
        <w:spacing w:before="0" w:after="0"/>
        <w:jc w:val="left"/>
        <w:rPr>
          <w:sz w:val="20"/>
        </w:rPr>
      </w:pPr>
      <w:r>
        <w:rPr>
          <w:sz w:val="20"/>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pStyle w:val="TextBody"/>
        <w:bidi w:val="0"/>
        <w:spacing w:before="0" w:after="0"/>
        <w:jc w:val="left"/>
        <w:rPr/>
      </w:pPr>
      <w:r>
        <w:rPr/>
        <w:t> </w:t>
      </w:r>
    </w:p>
    <w:p>
      <w:pPr>
        <w:pStyle w:val="TextBody"/>
        <w:bidi w:val="0"/>
        <w:spacing w:before="0" w:after="0"/>
        <w:jc w:val="left"/>
        <w:rPr>
          <w:b/>
          <w:sz w:val="20"/>
        </w:rPr>
      </w:pPr>
      <w:r>
        <w:rPr>
          <w:b/>
          <w:sz w:val="20"/>
        </w:rPr>
        <w:t>Forward-Looking Statements</w:t>
      </w:r>
    </w:p>
    <w:p>
      <w:pPr>
        <w:pStyle w:val="TextBody"/>
        <w:bidi w:val="0"/>
        <w:spacing w:before="0" w:after="0"/>
        <w:jc w:val="left"/>
        <w:rPr/>
      </w:pPr>
      <w:r>
        <w:rPr>
          <w:rStyle w:val="StrongEmphasis"/>
        </w:rPr>
        <w:t> </w:t>
      </w:r>
    </w:p>
    <w:p>
      <w:pPr>
        <w:pStyle w:val="TextBody"/>
        <w:bidi w:val="0"/>
        <w:spacing w:before="0" w:after="0"/>
        <w:jc w:val="left"/>
        <w:rPr>
          <w:sz w:val="20"/>
        </w:rPr>
      </w:pPr>
      <w:r>
        <w:rPr>
          <w:sz w:val="20"/>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pStyle w:val="TextBody"/>
        <w:bidi w:val="0"/>
        <w:jc w:val="left"/>
        <w:rPr/>
      </w:pPr>
      <w:r>
        <w:rPr/>
        <w:t> </w:t>
      </w:r>
    </w:p>
    <w:p>
      <w:pPr>
        <w:pStyle w:val="TextBody"/>
        <w:bidi w:val="0"/>
        <w:spacing w:before="0" w:after="283"/>
        <w:jc w:val="left"/>
        <w:rPr/>
      </w:pPr>
      <w:r>
        <w:rPr>
          <w:rStyle w:val="StrongEmphasis"/>
          <w:sz w:val="20"/>
        </w:rPr>
        <w:t>Item 9.01. Financial Statements and Exhibits.</w:t>
      </w:r>
    </w:p>
    <w:p>
      <w:pPr>
        <w:pStyle w:val="TextBody"/>
        <w:bidi w:val="0"/>
        <w:jc w:val="left"/>
        <w:rPr/>
      </w:pPr>
      <w:r>
        <w:rPr/>
        <w:t> </w:t>
      </w:r>
    </w:p>
    <w:p>
      <w:pPr>
        <w:pStyle w:val="TextBody"/>
        <w:bidi w:val="0"/>
        <w:spacing w:before="0" w:after="0"/>
        <w:jc w:val="left"/>
        <w:rPr/>
      </w:pPr>
      <w:r>
        <w:rPr>
          <w:rStyle w:val="StrongEmphasis"/>
          <w:sz w:val="20"/>
        </w:rPr>
        <w:t>(a)</w:t>
      </w:r>
      <w:r>
        <w:rPr>
          <w:sz w:val="20"/>
        </w:rPr>
        <w:t xml:space="preserve"> </w:t>
      </w:r>
      <w:r>
        <w:rPr>
          <w:rStyle w:val="StrongEmphasis"/>
          <w:sz w:val="20"/>
        </w:rPr>
        <w:t>Financial statements:</w:t>
      </w:r>
    </w:p>
    <w:p>
      <w:pPr>
        <w:pStyle w:val="TextBody"/>
        <w:bidi w:val="0"/>
        <w:spacing w:before="0" w:after="0"/>
        <w:ind w:left="400" w:right="0" w:hanging="0"/>
        <w:jc w:val="left"/>
        <w:rPr>
          <w:sz w:val="20"/>
        </w:rPr>
      </w:pPr>
      <w:r>
        <w:rPr>
          <w:sz w:val="20"/>
        </w:rPr>
        <w:t>None</w:t>
      </w:r>
    </w:p>
    <w:p>
      <w:pPr>
        <w:pStyle w:val="TextBody"/>
        <w:bidi w:val="0"/>
        <w:spacing w:before="0" w:after="0"/>
        <w:ind w:left="400" w:right="0" w:hanging="0"/>
        <w:jc w:val="left"/>
        <w:rPr/>
      </w:pPr>
      <w:r>
        <w:rPr/>
        <w:t> </w:t>
      </w:r>
    </w:p>
    <w:p>
      <w:pPr>
        <w:pStyle w:val="TextBody"/>
        <w:bidi w:val="0"/>
        <w:spacing w:before="0" w:after="0"/>
        <w:jc w:val="left"/>
        <w:rPr>
          <w:b/>
          <w:sz w:val="20"/>
        </w:rPr>
      </w:pPr>
      <w:r>
        <w:rPr>
          <w:b/>
          <w:sz w:val="20"/>
        </w:rPr>
        <w:t>(b) Pro forma financial information:</w:t>
      </w:r>
    </w:p>
    <w:p>
      <w:pPr>
        <w:pStyle w:val="TextBody"/>
        <w:bidi w:val="0"/>
        <w:spacing w:before="0" w:after="0"/>
        <w:ind w:left="400" w:right="0" w:hanging="0"/>
        <w:jc w:val="left"/>
        <w:rPr>
          <w:sz w:val="20"/>
        </w:rPr>
      </w:pPr>
      <w:r>
        <w:rPr>
          <w:sz w:val="20"/>
        </w:rPr>
        <w:t>None</w:t>
      </w:r>
    </w:p>
    <w:p>
      <w:pPr>
        <w:pStyle w:val="TextBody"/>
        <w:bidi w:val="0"/>
        <w:spacing w:before="0" w:after="0"/>
        <w:ind w:left="400" w:right="0" w:hanging="0"/>
        <w:jc w:val="left"/>
        <w:rPr/>
      </w:pPr>
      <w:r>
        <w:rPr/>
        <w:t> </w:t>
      </w:r>
    </w:p>
    <w:p>
      <w:pPr>
        <w:pStyle w:val="TextBody"/>
        <w:bidi w:val="0"/>
        <w:spacing w:before="0" w:after="0"/>
        <w:jc w:val="left"/>
        <w:rPr>
          <w:b/>
          <w:sz w:val="20"/>
        </w:rPr>
      </w:pPr>
      <w:r>
        <w:rPr>
          <w:b/>
          <w:sz w:val="20"/>
        </w:rPr>
        <w:t>(c) Shell company transactions:</w:t>
      </w:r>
    </w:p>
    <w:p>
      <w:pPr>
        <w:pStyle w:val="TextBody"/>
        <w:bidi w:val="0"/>
        <w:spacing w:before="0" w:after="0"/>
        <w:ind w:left="400" w:right="0" w:hanging="0"/>
        <w:jc w:val="left"/>
        <w:rPr>
          <w:sz w:val="20"/>
        </w:rPr>
      </w:pPr>
      <w:r>
        <w:rPr>
          <w:sz w:val="20"/>
        </w:rPr>
        <w:t>None</w:t>
      </w:r>
    </w:p>
    <w:p>
      <w:pPr>
        <w:pStyle w:val="TextBody"/>
        <w:bidi w:val="0"/>
        <w:spacing w:before="0" w:after="0"/>
        <w:ind w:left="400" w:right="0" w:hanging="0"/>
        <w:jc w:val="left"/>
        <w:rPr/>
      </w:pPr>
      <w:r>
        <w:rPr/>
        <w:t> </w:t>
      </w:r>
    </w:p>
    <w:p>
      <w:pPr>
        <w:pStyle w:val="TextBody"/>
        <w:bidi w:val="0"/>
        <w:spacing w:before="0" w:after="0"/>
        <w:jc w:val="left"/>
        <w:rPr>
          <w:b/>
          <w:sz w:val="20"/>
        </w:rPr>
      </w:pPr>
      <w:r>
        <w:rPr>
          <w:b/>
          <w:sz w:val="20"/>
        </w:rPr>
        <w:t>(d) Exhibits</w:t>
      </w:r>
    </w:p>
    <w:p>
      <w:pPr>
        <w:pStyle w:val="TextBody"/>
        <w:bidi w:val="0"/>
        <w:jc w:val="left"/>
        <w:rPr/>
      </w:pPr>
      <w:r>
        <w:rPr/>
        <w:t> </w:t>
      </w:r>
    </w:p>
    <w:tbl>
      <w:tblPr>
        <w:tblW w:w="7060" w:type="dxa"/>
        <w:jc w:val="left"/>
        <w:tblInd w:w="0" w:type="dxa"/>
        <w:tblLayout w:type="fixed"/>
        <w:tblCellMar>
          <w:top w:w="0" w:type="dxa"/>
          <w:left w:w="0" w:type="dxa"/>
          <w:bottom w:w="0" w:type="dxa"/>
          <w:right w:w="0" w:type="dxa"/>
        </w:tblCellMar>
      </w:tblPr>
      <w:tblGrid>
        <w:gridCol w:w="380"/>
        <w:gridCol w:w="60"/>
        <w:gridCol w:w="6620"/>
      </w:tblGrid>
      <w:tr>
        <w:trPr/>
        <w:tc>
          <w:tcPr>
            <w:tcW w:w="3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283"/>
              <w:jc w:val="left"/>
              <w:rPr/>
            </w:pPr>
            <w:hyperlink w:anchor="exh_991.htm">
              <w:r>
                <w:rPr>
                  <w:rStyle w:val="InternetLink"/>
                  <w:sz w:val="20"/>
                </w:rPr>
                <w:t>Press Release of PennantPark Floating Rate Capital Ltd. Dated November 4, 2025</w:t>
              </w:r>
            </w:hyperlink>
          </w:p>
        </w:tc>
      </w:tr>
      <w:tr>
        <w:trPr/>
        <w:tc>
          <w:tcPr>
            <w:tcW w:w="3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jc w:val="left"/>
        <w:rPr/>
      </w:pPr>
      <w:r>
        <w:rPr/>
        <w: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5394" w:type="dxa"/>
        <w:jc w:val="left"/>
        <w:tblInd w:w="0" w:type="dxa"/>
        <w:tblLayout w:type="fixed"/>
        <w:tblCellMar>
          <w:top w:w="0" w:type="dxa"/>
          <w:left w:w="0" w:type="dxa"/>
          <w:bottom w:w="0" w:type="dxa"/>
          <w:right w:w="0" w:type="dxa"/>
        </w:tblCellMar>
      </w:tblPr>
      <w:tblGrid>
        <w:gridCol w:w="2000"/>
        <w:gridCol w:w="383"/>
        <w:gridCol w:w="3011"/>
      </w:tblGrid>
      <w:tr>
        <w:trPr/>
        <w:tc>
          <w:tcPr>
            <w:tcW w:w="2000" w:type="dxa"/>
            <w:tcBorders/>
            <w:vAlign w:val="center"/>
          </w:tcPr>
          <w:p>
            <w:pPr>
              <w:pStyle w:val="TableContents"/>
              <w:bidi w:val="0"/>
              <w:spacing w:before="0" w:after="283"/>
              <w:jc w:val="left"/>
              <w:rPr/>
            </w:pPr>
            <w:r>
              <w:rPr/>
              <w:t> </w:t>
            </w:r>
          </w:p>
        </w:tc>
        <w:tc>
          <w:tcPr>
            <w:tcW w:w="3394" w:type="dxa"/>
            <w:gridSpan w:val="2"/>
            <w:tcBorders/>
            <w:vAlign w:val="center"/>
          </w:tcPr>
          <w:p>
            <w:pPr>
              <w:pStyle w:val="TableContents"/>
              <w:bidi w:val="0"/>
              <w:spacing w:before="0" w:after="283"/>
              <w:jc w:val="left"/>
              <w:rPr>
                <w:b/>
                <w:sz w:val="20"/>
              </w:rPr>
            </w:pPr>
            <w:r>
              <w:rPr>
                <w:b/>
                <w:sz w:val="20"/>
              </w:rPr>
              <w:t>PennantPark Floating Rate Capital Ltd.</w:t>
            </w:r>
          </w:p>
        </w:tc>
      </w:tr>
      <w:tr>
        <w:trPr/>
        <w:tc>
          <w:tcPr>
            <w:tcW w:w="200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sz w:val="20"/>
              </w:rPr>
            </w:pPr>
            <w:r>
              <w:rPr>
                <w:sz w:val="20"/>
              </w:rPr>
              <w:t>Date: November 4, 2025</w:t>
            </w:r>
          </w:p>
        </w:tc>
        <w:tc>
          <w:tcPr>
            <w:tcW w:w="383" w:type="dxa"/>
            <w:tcBorders/>
            <w:vAlign w:val="center"/>
          </w:tcPr>
          <w:p>
            <w:pPr>
              <w:pStyle w:val="TableContents"/>
              <w:bidi w:val="0"/>
              <w:spacing w:before="0" w:after="283"/>
              <w:jc w:val="left"/>
              <w:rPr>
                <w:sz w:val="20"/>
              </w:rPr>
            </w:pPr>
            <w:r>
              <w:rPr>
                <w:sz w:val="20"/>
              </w:rPr>
              <w:t>By: </w:t>
            </w:r>
          </w:p>
        </w:tc>
        <w:tc>
          <w:tcPr>
            <w:tcW w:w="3011" w:type="dxa"/>
            <w:tcBorders/>
            <w:vAlign w:val="center"/>
          </w:tcPr>
          <w:p>
            <w:pPr>
              <w:pStyle w:val="TableContents"/>
              <w:bidi w:val="0"/>
              <w:spacing w:before="0" w:after="283"/>
              <w:jc w:val="left"/>
              <w:rPr>
                <w:sz w:val="20"/>
                <w:u w:val="single"/>
              </w:rPr>
            </w:pPr>
            <w:r>
              <w:rPr>
                <w:sz w:val="20"/>
                <w:u w:val="single"/>
              </w:rPr>
              <w:t>/s/ Richard T. Allorto, Jr.        </w:t>
            </w:r>
          </w:p>
        </w:tc>
      </w:tr>
      <w:tr>
        <w:trPr/>
        <w:tc>
          <w:tcPr>
            <w:tcW w:w="200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20"/>
              </w:rPr>
            </w:pPr>
            <w:r>
              <w:rPr>
                <w:sz w:val="20"/>
              </w:rPr>
              <w:t>Richard T. Allorto, Jr.</w:t>
            </w:r>
          </w:p>
        </w:tc>
      </w:tr>
      <w:tr>
        <w:trPr/>
        <w:tc>
          <w:tcPr>
            <w:tcW w:w="200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20"/>
              </w:rPr>
            </w:pPr>
            <w:r>
              <w:rPr>
                <w:sz w:val="20"/>
              </w:rPr>
              <w:t>Chief Financial Officer &amp; Treasurer</w:t>
            </w:r>
          </w:p>
        </w:tc>
      </w:tr>
      <w:tr>
        <w:trPr/>
        <w:tc>
          <w:tcPr>
            <w:tcW w:w="200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spacing w:before="0" w:after="283"/>
        <w:jc w:val="left"/>
        <w:rPr/>
      </w:pPr>
      <w:r>
        <w:rPr/>
        <w:drawing>
          <wp:inline distT="0" distB="0" distL="0" distR="0">
            <wp:extent cx="1428750"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33375"/>
                    </a:xfrm>
                    <a:prstGeom prst="rect">
                      <a:avLst/>
                    </a:prstGeom>
                  </pic:spPr>
                </pic:pic>
              </a:graphicData>
            </a:graphic>
          </wp:inline>
        </w:drawing>
      </w:r>
    </w:p>
    <w:p>
      <w:pPr>
        <w:pStyle w:val="TextBody"/>
        <w:bidi w:val="0"/>
        <w:jc w:val="center"/>
        <w:rPr/>
      </w:pPr>
      <w:r>
        <w:rPr>
          <w:rStyle w:val="StrongEmphasis"/>
        </w:rPr>
        <w:t>PennantPark Floating Rate Capital Ltd. Announces Monthly Distribution of $0.1025 per Share</w:t>
      </w:r>
    </w:p>
    <w:p>
      <w:pPr>
        <w:pStyle w:val="TextBody"/>
        <w:bidi w:val="0"/>
        <w:jc w:val="both"/>
        <w:rPr/>
      </w:pPr>
      <w:r>
        <w:rPr/>
        <w:t>MIAMI, Nov. 04, 2025 (GLOBE NEWSWIRE) -- PennantPark Floating Rate Capital Ltd. (the "Company") (NYSE: PFLT) declares its monthly distribution for November 2025 of $0.1025 per share, payable on December 1, 2025 to stockholders of record as of November 17, 2025.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pStyle w:val="TextBody"/>
        <w:bidi w:val="0"/>
        <w:jc w:val="both"/>
        <w:rPr/>
      </w:pPr>
      <w:r>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pStyle w:val="TextBody"/>
        <w:bidi w:val="0"/>
        <w:jc w:val="both"/>
        <w:rPr/>
      </w:pPr>
      <w:r>
        <w:rPr/>
        <w:t xml:space="preserve">The specific tax characteristics of this distribution can be found on our website </w:t>
      </w:r>
      <w:r>
        <w:rPr>
          <w:u w:val="single"/>
        </w:rPr>
        <w:t>www.pennantpark.com</w:t>
      </w:r>
      <w:r>
        <w:rPr/>
        <w:t>.</w:t>
      </w:r>
    </w:p>
    <w:p>
      <w:pPr>
        <w:pStyle w:val="TextBody"/>
        <w:bidi w:val="0"/>
        <w:spacing w:before="0" w:after="283"/>
        <w:jc w:val="left"/>
        <w:rPr/>
      </w:pPr>
      <w:r>
        <w:rPr/>
        <w:t>ABOUT PENNANTPARK FLOATING RATE CAPITAL LTD.</w:t>
      </w:r>
    </w:p>
    <w:p>
      <w:pPr>
        <w:pStyle w:val="TextBody"/>
        <w:bidi w:val="0"/>
        <w:jc w:val="both"/>
        <w:rPr/>
      </w:pPr>
      <w:r>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pStyle w:val="TextBody"/>
        <w:bidi w:val="0"/>
        <w:spacing w:before="0" w:after="283"/>
        <w:jc w:val="left"/>
        <w:rPr/>
      </w:pPr>
      <w:r>
        <w:rPr/>
        <w:t>ABOUT PENNANTPARK INVESTMENT ADVISERS, LLC</w:t>
      </w:r>
    </w:p>
    <w:p>
      <w:pPr>
        <w:pStyle w:val="TextBody"/>
        <w:bidi w:val="0"/>
        <w:jc w:val="both"/>
        <w:rPr/>
      </w:pPr>
      <w:r>
        <w:rPr/>
        <w:t>PennantPark Investment Advisers, LLC is a leading middle market credit platform, managing approximately $10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w:t>
      </w:r>
    </w:p>
    <w:p>
      <w:pPr>
        <w:pStyle w:val="TextBody"/>
        <w:bidi w:val="0"/>
        <w:spacing w:before="0" w:after="283"/>
        <w:jc w:val="left"/>
        <w:rPr/>
      </w:pPr>
      <w:r>
        <w:rPr/>
        <w:t>FORWARD-LOOKING STATEMENTS</w:t>
      </w:r>
    </w:p>
    <w:p>
      <w:pPr>
        <w:pStyle w:val="TextBody"/>
        <w:bidi w:val="0"/>
        <w:jc w:val="both"/>
        <w:rPr/>
      </w:pPr>
      <w:r>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pStyle w:val="TextBody"/>
        <w:bidi w:val="0"/>
        <w:jc w:val="both"/>
        <w:rPr/>
      </w:pPr>
      <w:r>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pStyle w:val="TextBody"/>
        <w:bidi w:val="0"/>
        <w:spacing w:before="0" w:after="283"/>
        <w:jc w:val="left"/>
        <w:rPr/>
      </w:pPr>
      <w:r>
        <w:rPr/>
        <w:t>CONTACT:</w:t>
        <w:br/>
        <w:t>Richard T. Allorto, Jr.</w:t>
        <w:br/>
        <w:t>PennantPark Floating Rate Capital Ltd.</w:t>
        <w:br/>
        <w:t>(212) 905-1000</w:t>
        <w:br/>
        <w:t>www.pennantpark.com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1331</Words>
  <Characters>7640</Characters>
  <CharactersWithSpaces>8931</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