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August 4,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On August 4, 2020,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August 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5060" w:type="dxa"/>
            <w:vAlign w:val="bottom"/>
            <w:gridSpan w:val="3"/>
          </w:tcPr>
          <w:p>
            <w:pPr>
              <w:ind w:left="19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500" w:type="dxa"/>
            <w:vAlign w:val="bottom"/>
          </w:tcPr>
          <w:p>
            <w:pPr>
              <w:spacing w:after="0"/>
              <w:rPr>
                <w:sz w:val="20"/>
                <w:szCs w:val="20"/>
                <w:color w:val="auto"/>
              </w:rPr>
            </w:pPr>
            <w:r>
              <w:rPr>
                <w:rFonts w:ascii="Arial" w:cs="Arial" w:eastAsia="Arial" w:hAnsi="Arial"/>
                <w:sz w:val="18"/>
                <w:szCs w:val="18"/>
                <w:color w:val="auto"/>
              </w:rPr>
              <w:t>Date: August 4, 2020</w:t>
            </w:r>
          </w:p>
        </w:tc>
        <w:tc>
          <w:tcPr>
            <w:tcW w:w="5060" w:type="dxa"/>
            <w:vAlign w:val="bottom"/>
            <w:gridSpan w:val="3"/>
          </w:tcPr>
          <w:p>
            <w:pPr>
              <w:ind w:left="1960"/>
              <w:spacing w:after="0"/>
              <w:rPr>
                <w:sz w:val="20"/>
                <w:szCs w:val="20"/>
                <w:color w:val="auto"/>
              </w:rPr>
            </w:pPr>
            <w:r>
              <w:rPr>
                <w:rFonts w:ascii="Arial" w:cs="Arial" w:eastAsia="Arial" w:hAnsi="Arial"/>
                <w:sz w:val="18"/>
                <w:szCs w:val="18"/>
                <w:color w:val="auto"/>
              </w:rPr>
              <w:t>By: /s/ Aviv Efrat</w:t>
            </w:r>
          </w:p>
        </w:tc>
      </w:tr>
      <w:tr>
        <w:trPr>
          <w:trHeight w:val="222"/>
        </w:trPr>
        <w:tc>
          <w:tcPr>
            <w:tcW w:w="3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Aug. 04, 2020 (GLOBE NEWSWIRE) -- PennantPark Floating Rate Capital Ltd. (the "Company") (NASDAQ: PFLT) (TASE: PFLT) declares its monthly distribution for August 2020 of $0.095 per share, payable on September 1, 2020 to stockholders of record as of August 19, 2020.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$3.7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2020-08-05T18:14:27Z</dcterms:created>
  <dcterms:modified xsi:type="dcterms:W3CDTF">2020-08-05T18:14:27Z</dcterms:modified>
</cp:coreProperties>
</file>