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October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814-00891</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40" w:type="dxa"/>
            <w:vAlign w:val="bottom"/>
          </w:tcPr>
          <w:p>
            <w:pPr>
              <w:jc w:val="center"/>
              <w:ind w:left="115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212-905-1000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Underwriting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6, 2021, PennantPark Floating Rate Capital Ltd. (the “Company”) entered into an underwriting agreement (the “Underwriting Agreement”), by and among the Company, PennantPark Investment Advisers, LLC, and Goldman Sachs &amp; Co. LLC, Keefe, Bruyette &amp; Woods, Inc. and Truist Securities, Inc., as representatives of the several underwriters named on Schedule A to the Underwriting Agreement, in connection with the issuance and sale of an additional $85 million aggregate principal amount of the Company’s 4.25% notes due 2026 (the “Add-On Notes,” and the issuance and sale of the Add-On Notes, the “Offering”).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Indenture</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Add-On Notes constitute a further issuance of the $100 million aggregate principal amount of the 4.25% notes due 2026 issued by the Company on March 23, 2021 (the “Existing Notes”) under the Base Indenture, dated March 23, 2021 (the “Base Indenture”), between the Company and American Stock Transfer &amp; Trust Company, LLC (the “Trustee”), as supplemented by the First Supplemental Indenture, dated March 23, 2021, between the Company and the Trustee (the “First Supplemental Indenture,” and together with the Base Indenture, the “Indenture”).</w:t>
      </w:r>
    </w:p>
    <w:p>
      <w:pPr>
        <w:spacing w:after="0" w:line="15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Add-On Notes will be treated as a single series with the Existing Notes under the Indenture and will have the same terms as the Existing Notes, other than the issue date and the offering price. The Add-On Notes will have the same CUSIP number and will be fungible and rank equally with the Existing Notes. Upon issuance of the Add-On Notes, the outstanding aggregate principal amount of the Company’s 4.25% notes due 2026 will be $185 million.</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Add-On Notes will mature on April 1, 2026 and may be redeemed in whole or in part at the Company’s option. The Add-On Notes bear interest at a rate of 4.25% per year payable semi-annually on April 1 and October 1 of each year, commencing April 1, 2022. The Add-On Notes will be the Company’s direct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Company’s current and future unsecured unsubordinated indebtedness, senior to any of the Company’s future indebtedness that expressly states it is subordinated in right of payment to the Add-On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w:t>
      </w:r>
    </w:p>
    <w:p>
      <w:pPr>
        <w:sectPr>
          <w:pgSz w:w="11900" w:h="16838" w:orient="portrait"/>
          <w:cols w:equalWidth="0" w:num="1">
            <w:col w:w="11000"/>
          </w:cols>
          <w:pgMar w:left="440" w:top="270" w:right="459" w:bottom="1440" w:gutter="0" w:footer="0" w:header="0"/>
        </w:sectPr>
      </w:pPr>
    </w:p>
    <w:bookmarkStart w:id="2" w:name="page3"/>
    <w:bookmarkEnd w:id="2"/>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contains certain covenants, including covenants requiring the Company to comply with the asset coverage requirements of Section 18(a) (1)(A), as modified by Section 61(a)(1) and (2) of the Investment Company Act of 1940, as amended, and to provide financial information to the holders of the Add-On Notes and the Trustee if the Company is no longer subject to the reporting requirements under the Securities Exchange Act of 1934, as amended (the “Exchange Act”). These covenants are subject to important limitations and exceptions that are described in the Indenture.</w:t>
      </w:r>
    </w:p>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Notes were offered and sold in an offering registered under the Securities Act of 1933, as amended, pursuant to the Company’s effective shelf registration statement on Form N-2 (Registration No. 333-235532) previously filed with the Securities and Exchange Commission, as supplemented by a preliminary prospectus supplement, dated October 6, 2021, and a final prospectus supplement, dated October 6, 2021. The transaction closed on October 12, 2021. The net proceeds to the Company were approximately $84.4 million, based on the public offering price of 101.45% of the aggregate principal amount of the Add-On Notes, plus accrued and unpaid interest from October 1, 2021 up to, but not including, the date of delivery of the Add-On Notes, after deducting the underwriting discounts and commissions of $1.7 million payable by the Company and estimated offering expenses of approximately $0.2 million payable by the Company. The Company intends to use the net proceeds from the Offering to invest in new or existing portfolio companies or for other general corporate or strategic purposes, including repaying amounts outstanding under its existing indebtedness.</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foregoing descriptions of the Underwriting Agreement, the Base Indenture, the First Supplemental Indenture and the Add-On Notes do not purport to be complete and are qualified in their entirety by reference to the full text of such documents, each of which is filed as an exhibit to this Current Report on Form 8-K and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to this Current Report on Form 8-K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right="60" w:hanging="660"/>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October 6, 2021, by and among the Company, PennantPark Investment Advisers, LLC, and Goldman Sachs &amp;</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Co. LLC, Keefe, Bruyette &amp; Woods, Inc. and Truist Securities, Inc., as representatives of the several underwriters named on Schedule A</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thereto.</w:t>
        </w:r>
      </w:hyperlink>
    </w:p>
    <w:p>
      <w:pPr>
        <w:spacing w:after="0" w:line="76" w:lineRule="exact"/>
        <w:rPr>
          <w:rFonts w:ascii="Arial" w:cs="Arial" w:eastAsia="Arial" w:hAnsi="Arial"/>
          <w:sz w:val="18"/>
          <w:szCs w:val="18"/>
          <w:u w:val="single" w:color="auto"/>
          <w:color w:val="0000EE"/>
        </w:rPr>
      </w:pPr>
    </w:p>
    <w:p>
      <w:pPr>
        <w:ind w:left="660" w:right="440" w:hanging="660"/>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9">
        <w:r>
          <w:rPr>
            <w:rFonts w:ascii="Arial" w:cs="Arial" w:eastAsia="Arial" w:hAnsi="Arial"/>
            <w:sz w:val="16"/>
            <w:szCs w:val="16"/>
            <w:u w:val="single" w:color="auto"/>
            <w:color w:val="0000EE"/>
          </w:rPr>
          <w:t>Indenture, dated as of March 23, 2021, by and between the Company and American Stock Transfer &amp; Trust Company, LLC, as trustee</w:t>
        </w:r>
      </w:hyperlink>
      <w:r>
        <w:rPr>
          <w:rFonts w:ascii="Arial" w:cs="Arial" w:eastAsia="Arial" w:hAnsi="Arial"/>
          <w:sz w:val="16"/>
          <w:szCs w:val="16"/>
          <w:u w:val="single" w:color="auto"/>
          <w:color w:val="0000EE"/>
        </w:rPr>
        <w:t xml:space="preserve"> </w:t>
      </w:r>
      <w:hyperlink r:id="rId19">
        <w:r>
          <w:rPr>
            <w:rFonts w:ascii="Arial" w:cs="Arial" w:eastAsia="Arial" w:hAnsi="Arial"/>
            <w:sz w:val="16"/>
            <w:szCs w:val="16"/>
            <w:u w:val="single" w:color="auto"/>
            <w:color w:val="0000EE"/>
          </w:rPr>
          <w:t>(Incorporated by reference to Exhibit 4.1 to the Company’s Current Report on Form 8-K (File No. 814-00891) filed on March 23, 2021).</w:t>
        </w:r>
      </w:hyperlink>
    </w:p>
    <w:p>
      <w:pPr>
        <w:spacing w:after="0" w:line="16" w:lineRule="exact"/>
        <w:rPr>
          <w:sz w:val="20"/>
          <w:szCs w:val="20"/>
          <w:color w:val="auto"/>
        </w:rPr>
      </w:pPr>
    </w:p>
    <w:p>
      <w:pPr>
        <w:ind w:left="660" w:right="360" w:hanging="660"/>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0">
        <w:r>
          <w:rPr>
            <w:rFonts w:ascii="Arial" w:cs="Arial" w:eastAsia="Arial" w:hAnsi="Arial"/>
            <w:sz w:val="18"/>
            <w:szCs w:val="18"/>
            <w:u w:val="single" w:color="auto"/>
            <w:color w:val="0000EE"/>
          </w:rPr>
          <w:t>First Supplemental Indenture, dated as of March 23, 2021, by and between the Company and American Stock Transfer &amp; Trust Company,</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LLC, as trustee (Incorporated by reference to Exhibit 4.2 to the Company’s Current Report on Form 8-K (File No. 814-00891) filed on</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March 23, 2021).</w:t>
        </w:r>
      </w:hyperlink>
    </w:p>
    <w:p>
      <w:pPr>
        <w:spacing w:after="0" w:line="76"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0">
        <w:r>
          <w:rPr>
            <w:rFonts w:ascii="Arial" w:cs="Arial" w:eastAsia="Arial" w:hAnsi="Arial"/>
            <w:sz w:val="16"/>
            <w:szCs w:val="16"/>
            <w:u w:val="single" w:color="auto"/>
            <w:color w:val="0000EE"/>
          </w:rPr>
          <w:t>Form of 4.25% Notes due 2026 (Incorporated by reference to Exhibit 4.2 hereto).</w:t>
        </w:r>
      </w:hyperlink>
    </w:p>
    <w:p>
      <w:pPr>
        <w:spacing w:after="0" w:line="11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9">
        <w:r>
          <w:rPr>
            <w:rFonts w:ascii="Arial" w:cs="Arial" w:eastAsia="Arial" w:hAnsi="Arial"/>
            <w:sz w:val="16"/>
            <w:szCs w:val="16"/>
            <w:u w:val="single" w:color="auto"/>
            <w:color w:val="0000EE"/>
          </w:rPr>
          <w:t>Opinion of Dechert LLP.</w:t>
        </w:r>
      </w:hyperlink>
    </w:p>
    <w:p>
      <w:pPr>
        <w:spacing w:after="0" w:line="11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53">
        <w:r>
          <w:rPr>
            <w:rFonts w:ascii="Arial" w:cs="Arial" w:eastAsia="Arial" w:hAnsi="Arial"/>
            <w:sz w:val="16"/>
            <w:szCs w:val="16"/>
            <w:u w:val="single" w:color="auto"/>
            <w:color w:val="0000EE"/>
          </w:rPr>
          <w:t>Opinion of Venable LLP.</w:t>
        </w:r>
      </w:hyperlink>
    </w:p>
    <w:p>
      <w:pPr>
        <w:spacing w:after="0" w:line="11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9">
        <w:r>
          <w:rPr>
            <w:rFonts w:ascii="Arial" w:cs="Arial" w:eastAsia="Arial" w:hAnsi="Arial"/>
            <w:sz w:val="16"/>
            <w:szCs w:val="16"/>
            <w:u w:val="single" w:color="auto"/>
            <w:color w:val="0000EE"/>
          </w:rPr>
          <w:t>Consent of Dechert LLP (included in Exhibit 5.1).</w:t>
        </w:r>
      </w:hyperlink>
    </w:p>
    <w:p>
      <w:pPr>
        <w:spacing w:after="0" w:line="11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53">
        <w:r>
          <w:rPr>
            <w:rFonts w:ascii="Arial" w:cs="Arial" w:eastAsia="Arial" w:hAnsi="Arial"/>
            <w:sz w:val="16"/>
            <w:szCs w:val="16"/>
            <w:u w:val="single" w:color="auto"/>
            <w:color w:val="0000EE"/>
          </w:rPr>
          <w:t>Consent of Venable LLP (included in Exhibit 5.2).</w:t>
        </w:r>
      </w:hyperlink>
    </w:p>
    <w:p>
      <w:pPr>
        <w:sectPr>
          <w:pgSz w:w="11900" w:h="16838" w:orient="portrait"/>
          <w:cols w:equalWidth="0" w:num="1">
            <w:col w:w="11000"/>
          </w:cols>
          <w:pgMar w:left="440" w:top="274" w:right="45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Cheung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0880"/>
          </w:cols>
          <w:pgMar w:left="440" w:top="270" w:right="5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374650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PENNANTPARK FLOATING RATE CAPITAL LTD.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$85,000,000 4.25% Notes due 2026</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October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332105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528955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$85,000,000 4.25% Notes due 2026</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PennantPark Floating Rate Capital Ltd., a Maryland corporation (the “Company”), confirms its agreement with Goldman Sachs &amp; Co. LLC (“GS”), Keefe, Bruyette and Woods, Inc. (“KBW”), Truist Securities, Inc. (“TS”) and each of the other underwriters named in Schedule A hereto (collectively, the “Underwriters,” which term shall also include any underwriter substituted as hereinafter provided in Section 10 hereof), for whom each of GS, KBW and TS is acting as a representative (each of GS, KBW and TS in such capacity, a “Representative” and collectively, the “Representatives”), with respect to the sale by the Company and the purchase by the Underwriters, acting severally and not jointly, of $85,000,000 aggregate principal amount of 4.25% Notes due 2026 (the “Securities”).</w:t>
      </w:r>
    </w:p>
    <w:p>
      <w:pPr>
        <w:spacing w:after="0" w:line="19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Securities will be issued under an indenture, dated as of March 23, 2021 (the “Base Indenture”), as supplemented by the First Supplemental Indenture, dated as of the March 23, 2021 (the “First Supplemental Indenture” and, together with the Base Indenture, the “Indenture”) between the Company and American Stock Transfer &amp; Trust Company, LLC, as trustee (the “Trustee”). The Securities will be issued to Cede &amp; Co. as nominee of The Depository Trust Company (“DTC”) pursuant to that certain blanket letter of representations (the “DTC Agreement”) between the Company and DTC. The Indenture has been qualified under the Trust Indenture Act of 1939, as amended (the “Trust Indenture Act”).</w:t>
      </w:r>
    </w:p>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previously issued $100,000,000 in aggregate principal amount of its 4.25% Notes due 2026 under the Indenture (the “</w:t>
      </w:r>
      <w:r>
        <w:rPr>
          <w:rFonts w:ascii="Arial" w:cs="Arial" w:eastAsia="Arial" w:hAnsi="Arial"/>
          <w:sz w:val="18"/>
          <w:szCs w:val="18"/>
          <w:b w:val="1"/>
          <w:bCs w:val="1"/>
          <w:i w:val="1"/>
          <w:i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The Securities offered by the Company constitute an issuance of “Additional Notes” under the Indenture. Except as otherwise described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Disclosure Package (as defined below), the Securities offered by the Company pursuant to this Agreement will be treated as a single series with the Existing Notes under the Indenture, will have the same terms and CUSIP number as the Existing Notes and will be fungible with the Existing Notes for U.S. federal income tax purposes.</w:t>
      </w:r>
    </w:p>
    <w:p>
      <w:pPr>
        <w:sectPr>
          <w:pgSz w:w="11900" w:h="16838" w:orient="portrait"/>
          <w:cols w:equalWidth="0" w:num="1">
            <w:col w:w="11000"/>
          </w:cols>
          <w:pgMar w:left="440" w:top="274" w:right="459" w:bottom="1440" w:gutter="0" w:footer="0" w:header="0"/>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understands that the Underwriters propose to make a public offering of the Securities as soon as the Representatives deem advisable after this Underwriting Agreement (this “Agreement”) has been executed and delivered.</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has filed with the Securities and Exchange Commission (the “Commission”) a shelf registration statement on Form N-2 (File No. 333-235532), relating to the registration of the Securities and certain of the Company’s other securities under the Securities Act of 1933, as amended (the “1933 Act”), which registration statement was declared effective by the Commission on January 29, 2020. The Company has also filed with the Commission a preliminary prospectus supplement, dated October 6, 2021, as such prospectus supplement may be amended (the “Preliminary Prospectus Supplement”), which contains a base prospectus, dated January 29, 2020 (the “Base Prospectus” and, together with the Preliminary Prospectus Supplement, the “Preliminary Prospectus”). Promptly after execution and delivery of this Agreement, the Company will prepare and file a prospectus in accordance with the provisions of Rule 430B (“Rule 430B”) or Rule 430C (“Rule 430C”) of the rules and regulations of the Commission promulgated under the 1933 Act (such provisions, the “1933 Act Regulations”) and Rule 424(b) of the 1933 Act Regulations. The information included or incorporated by reference in such prospectus that was omitted from such registration statement at the time it became effective but that is deemed to be part of such registration statement at the time it became effective pursuant to Rule 430C is herein called the “Rule 430C Information” and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or Rule 430C Information contained in a prospectus subsequently filed with the Commission pursuant to Rule 424(b) under the 1933 Act and deemed to be part of the registration statement and also including any registration statement filed pursuant to Rule 462(b) of the 1933 Act Regulations, is herein called the “Registration Statement.” The final prospectus in the form filed by the Company with the Commission pursuant to Rule 424(b) on or before the second business day after the date hereof (or such earlier time as may be required under the 1933 Act) is herein called the “Prospectus.”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 w:name="page8"/>
    <w:bookmarkEnd w:id="7"/>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Form N-54A Notification of Election to be Subject to Sections 55 through 65 of the Investment Company Act of 1940 Filed Pursuant to Section 54(a) of the Investment Company Act (File No. 814-00891)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The Company has entered into that certain Second Amended and Restated Investment Advisory Agreement, dated as of February 2, 2016 (the “Investment Management Agreement”), with PennantPark Investment Advisers, LLC (the “Adviser”), a Delaware limited liability company registered as an investment adviser under the Investment Advisers Act of 1940, as amended, and the rules and regulations thereunder (collectively, the “Advisers Act”).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“Applicable Time” means 5:00 P.M., New York City time, on October 6, 2021 or such other time as agreed by the Company and the Representatives.</w:t>
      </w:r>
    </w:p>
    <w:p>
      <w:pPr>
        <w:spacing w:after="0" w:line="248"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“General Disclosure Package” means the preliminary prospectus as of the Applicable Time and the information included on Schedule B hereto, all considered together.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left="4" w:right="620" w:firstLine="436"/>
        <w:spacing w:after="0" w:line="277" w:lineRule="auto"/>
        <w:tabs>
          <w:tab w:leader="none" w:pos="689"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w:t>
      </w:r>
      <w:r>
        <w:rPr>
          <w:rFonts w:ascii="Arial" w:cs="Arial" w:eastAsia="Arial" w:hAnsi="Arial"/>
          <w:sz w:val="18"/>
          <w:szCs w:val="18"/>
          <w:color w:val="auto"/>
        </w:rPr>
        <w:t>. The Company represents and warrants to each Underwriter as of the date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and the Closing Time (as defined below) and agrees with each Underwriter, as follows:</w:t>
      </w:r>
    </w:p>
    <w:p>
      <w:pPr>
        <w:spacing w:after="0" w:line="62" w:lineRule="exact"/>
        <w:rPr>
          <w:rFonts w:ascii="Arial" w:cs="Arial" w:eastAsia="Arial" w:hAnsi="Arial"/>
          <w:sz w:val="18"/>
          <w:szCs w:val="18"/>
          <w:color w:val="auto"/>
        </w:rPr>
      </w:pPr>
    </w:p>
    <w:p>
      <w:pPr>
        <w:ind w:left="4" w:right="120" w:hanging="4"/>
        <w:spacing w:after="0" w:line="273"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78" w:lineRule="exact"/>
        <w:rPr>
          <w:sz w:val="20"/>
          <w:szCs w:val="20"/>
          <w:color w:val="auto"/>
        </w:rPr>
      </w:pPr>
    </w:p>
    <w:p>
      <w:pPr>
        <w:ind w:left="4" w:right="80"/>
        <w:spacing w:after="0" w:line="273" w:lineRule="auto"/>
        <w:rPr>
          <w:sz w:val="20"/>
          <w:szCs w:val="20"/>
          <w:color w:val="auto"/>
        </w:rPr>
      </w:pPr>
      <w:r>
        <w:rPr>
          <w:rFonts w:ascii="Arial" w:cs="Arial" w:eastAsia="Arial" w:hAnsi="Arial"/>
          <w:sz w:val="17"/>
          <w:szCs w:val="17"/>
          <w:color w:val="auto"/>
        </w:rPr>
        <w:t>Each of the Registration Statement and any post-effective amendment thereto, at the time it became effective, complied in all material respects with the requirements of the 1933 Act, the 1933 Act Regulations, the 1940 Act and the 1940 Act Regulations. Each preliminary prospectus, the Prospectus and any amendment or supplement thereto, at the time each was filed with the Commission, complied in all material respects with the requirements of the 1933 Act, the 1933 Act Regulations, the 1940 Act and the 1940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8" w:name="page9"/>
    <w:bookmarkEnd w:id="8"/>
    <w:p>
      <w:pPr>
        <w:ind w:left="4" w:hanging="4"/>
        <w:spacing w:after="0" w:line="285"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w:t>
      </w:r>
      <w:r>
        <w:rPr>
          <w:rFonts w:ascii="Arial" w:cs="Arial" w:eastAsia="Arial" w:hAnsi="Arial"/>
          <w:sz w:val="16"/>
          <w:szCs w:val="16"/>
          <w:color w:val="auto"/>
        </w:rPr>
        <w:t>.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w:t>
      </w:r>
    </w:p>
    <w:p>
      <w:pPr>
        <w:spacing w:after="0" w:line="1" w:lineRule="exact"/>
        <w:rPr>
          <w:rFonts w:ascii="Arial" w:cs="Arial" w:eastAsia="Arial" w:hAnsi="Arial"/>
          <w:sz w:val="16"/>
          <w:szCs w:val="16"/>
          <w:color w:val="auto"/>
        </w:rPr>
      </w:pPr>
    </w:p>
    <w:p>
      <w:pPr>
        <w:ind w:left="4" w:right="40" w:hanging="4"/>
        <w:spacing w:after="0" w:line="290"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Registration Statement, (iii) any preliminary prospectus, (iv) the Prospectus, (v) the documents listed on Schedule B hereto, including a Pricing Term Sheet substantially in the form of Annex A hereto and (vi) any electronic road show or other written communications, in each case approved in writing in advance by the Representatives,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and any preliminary or other prospectus deemed to be a part thereof that has not been superseded or modified.</w:t>
      </w:r>
    </w:p>
    <w:p>
      <w:pPr>
        <w:spacing w:after="0" w:line="55" w:lineRule="exact"/>
        <w:rPr>
          <w:rFonts w:ascii="Arial" w:cs="Arial" w:eastAsia="Arial" w:hAnsi="Arial"/>
          <w:sz w:val="16"/>
          <w:szCs w:val="16"/>
          <w:color w:val="auto"/>
        </w:rPr>
      </w:pPr>
    </w:p>
    <w:p>
      <w:pPr>
        <w:ind w:left="4" w:right="180" w:hanging="4"/>
        <w:spacing w:after="0" w:line="263"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Documents Incorporated by Reference</w:t>
      </w:r>
      <w:r>
        <w:rPr>
          <w:rFonts w:ascii="Arial" w:cs="Arial" w:eastAsia="Arial" w:hAnsi="Arial"/>
          <w:sz w:val="18"/>
          <w:szCs w:val="18"/>
          <w:color w:val="auto"/>
        </w:rPr>
        <w:t>. The documents incorporated by reference in each of the Registration Statement, the Prospectus and the preliminary prospectus, when they became effective or were filed with the Commission, as the case may be, conformed or will conform in all material respects to the requirements of the 1934 Act.</w:t>
      </w:r>
    </w:p>
    <w:p>
      <w:pPr>
        <w:spacing w:after="0" w:line="75" w:lineRule="exact"/>
        <w:rPr>
          <w:rFonts w:ascii="Arial" w:cs="Arial" w:eastAsia="Arial" w:hAnsi="Arial"/>
          <w:sz w:val="18"/>
          <w:szCs w:val="18"/>
          <w:color w:val="auto"/>
        </w:rPr>
      </w:pPr>
    </w:p>
    <w:p>
      <w:pPr>
        <w:ind w:left="304" w:hanging="304"/>
        <w:spacing w:after="0"/>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Testing-the-Waters Communications</w:t>
      </w:r>
      <w:r>
        <w:rPr>
          <w:rFonts w:ascii="Arial" w:cs="Arial" w:eastAsia="Arial" w:hAnsi="Arial"/>
          <w:sz w:val="18"/>
          <w:szCs w:val="18"/>
          <w:color w:val="auto"/>
        </w:rPr>
        <w:t>. The Company (i) has not alone engaged in any Testing-the-Waters Communication other than</w:t>
      </w:r>
    </w:p>
    <w:p>
      <w:pPr>
        <w:spacing w:after="0" w:line="23"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and (ii) has not authorized anyone to engage in Testing-the-Waters Communications. The Company has not distributed any Written Testing-the-Waters Communications. “Testing-the-Waters Communication” means any oral or written communication with potential investors undertaken in reliance on Rule 163B under the 1933 Act. “Written Testing-the-Waters Communication” means any Testing-the-Waters Communication that is a written communication within the meaning of Rule 405.</w:t>
      </w:r>
    </w:p>
    <w:p>
      <w:pPr>
        <w:spacing w:after="0" w:line="86" w:lineRule="exact"/>
        <w:rPr>
          <w:sz w:val="20"/>
          <w:szCs w:val="20"/>
          <w:color w:val="auto"/>
        </w:rPr>
      </w:pPr>
    </w:p>
    <w:p>
      <w:pPr>
        <w:ind w:left="4" w:hanging="4"/>
        <w:spacing w:after="0" w:line="270" w:lineRule="auto"/>
        <w:tabs>
          <w:tab w:leader="none" w:pos="259"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any amendment thereto, at its effective time or at the Closing Time,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preliminary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their respective date(s),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9" w:name="page10"/>
    <w:bookmarkEnd w:id="9"/>
    <w:p>
      <w:pPr>
        <w:ind w:left="4"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a Representative expressly for use therein (collectively, the “Underwriter Information”). For purposes of this Agreement, the only Underwriter Information shall be (A) the concession and reallowance amounts appearing in the third paragraph under the heading “Underwriting—Commissions and Discounts,” (B) the information in “Underwriting—Price Stabilization, Short Positions” and (C) the information in “Underwriting—Principal Business Addresses”, in each case, in the Prospectus.</w:t>
      </w:r>
    </w:p>
    <w:p>
      <w:pPr>
        <w:spacing w:after="0" w:line="56" w:lineRule="exact"/>
        <w:rPr>
          <w:sz w:val="20"/>
          <w:szCs w:val="20"/>
          <w:color w:val="auto"/>
        </w:rPr>
      </w:pPr>
    </w:p>
    <w:p>
      <w:pPr>
        <w:ind w:left="4" w:right="160" w:hanging="4"/>
        <w:spacing w:after="0" w:line="301" w:lineRule="auto"/>
        <w:tabs>
          <w:tab w:leader="none" w:pos="30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Company Not Ineligible Issuer</w:t>
      </w:r>
      <w:r>
        <w:rPr>
          <w:rFonts w:ascii="Arial" w:cs="Arial" w:eastAsia="Arial" w:hAnsi="Arial"/>
          <w:sz w:val="16"/>
          <w:szCs w:val="16"/>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49" w:lineRule="exact"/>
        <w:rPr>
          <w:rFonts w:ascii="Arial" w:cs="Arial" w:eastAsia="Arial" w:hAnsi="Arial"/>
          <w:sz w:val="16"/>
          <w:szCs w:val="16"/>
          <w:color w:val="auto"/>
        </w:rPr>
      </w:pPr>
    </w:p>
    <w:p>
      <w:pPr>
        <w:jc w:val="both"/>
        <w:ind w:left="4" w:right="440" w:hanging="4"/>
        <w:spacing w:after="0" w:line="279" w:lineRule="auto"/>
        <w:tabs>
          <w:tab w:leader="none" w:pos="359"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Independent Accountants of the Company</w:t>
      </w:r>
      <w:r>
        <w:rPr>
          <w:rFonts w:ascii="Arial" w:cs="Arial" w:eastAsia="Arial" w:hAnsi="Arial"/>
          <w:sz w:val="17"/>
          <w:szCs w:val="17"/>
          <w:color w:val="auto"/>
        </w:rPr>
        <w:t>. The accountants who audited or reviewed the financial statements and supporting schedules of the Company included or incorporated by reference in the Registration Statement, the General Disclosure Package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63" w:lineRule="exact"/>
        <w:rPr>
          <w:rFonts w:ascii="Arial" w:cs="Arial" w:eastAsia="Arial" w:hAnsi="Arial"/>
          <w:sz w:val="17"/>
          <w:szCs w:val="17"/>
          <w:color w:val="auto"/>
        </w:rPr>
      </w:pPr>
    </w:p>
    <w:p>
      <w:pPr>
        <w:ind w:left="404" w:hanging="404"/>
        <w:spacing w:after="0"/>
        <w:tabs>
          <w:tab w:leader="none" w:pos="40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included or incorporated by reference in the Registration Statement, the General Disclosure</w:t>
      </w:r>
    </w:p>
    <w:p>
      <w:pPr>
        <w:spacing w:after="0" w:line="34" w:lineRule="exact"/>
        <w:rPr>
          <w:rFonts w:ascii="Arial" w:cs="Arial" w:eastAsia="Arial" w:hAnsi="Arial"/>
          <w:sz w:val="17"/>
          <w:szCs w:val="17"/>
          <w:color w:val="auto"/>
        </w:rPr>
      </w:pPr>
    </w:p>
    <w:p>
      <w:pPr>
        <w:ind w:left="4"/>
        <w:spacing w:after="0" w:line="285" w:lineRule="auto"/>
        <w:rPr>
          <w:rFonts w:ascii="Arial" w:cs="Arial" w:eastAsia="Arial" w:hAnsi="Arial"/>
          <w:sz w:val="17"/>
          <w:szCs w:val="17"/>
          <w:color w:val="auto"/>
        </w:rPr>
      </w:pPr>
      <w:r>
        <w:rPr>
          <w:rFonts w:ascii="Arial" w:cs="Arial" w:eastAsia="Arial" w:hAnsi="Arial"/>
          <w:sz w:val="16"/>
          <w:szCs w:val="16"/>
          <w:color w:val="auto"/>
        </w:rPr>
        <w:t>Package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the General Disclosure Package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the General Disclosure Package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0" w:name="page11"/>
    <w:bookmarkEnd w:id="10"/>
    <w:p>
      <w:pPr>
        <w:ind w:left="4" w:right="120" w:hanging="4"/>
        <w:spacing w:after="0" w:line="293" w:lineRule="auto"/>
        <w:tabs>
          <w:tab w:leader="none" w:pos="30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56" w:lineRule="exact"/>
        <w:rPr>
          <w:rFonts w:ascii="Arial" w:cs="Arial" w:eastAsia="Arial" w:hAnsi="Arial"/>
          <w:sz w:val="16"/>
          <w:szCs w:val="16"/>
          <w:color w:val="auto"/>
        </w:rPr>
      </w:pPr>
    </w:p>
    <w:p>
      <w:pPr>
        <w:ind w:left="4" w:right="60" w:hanging="4"/>
        <w:spacing w:after="0" w:line="272" w:lineRule="auto"/>
        <w:tabs>
          <w:tab w:leader="none" w:pos="25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and to enter into this Agreement and perform its obligations under this Agreement, the Investment Management Agreement, the Indenture, the Securities and the DTC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69" w:lineRule="exact"/>
        <w:rPr>
          <w:rFonts w:ascii="Arial" w:cs="Arial" w:eastAsia="Arial" w:hAnsi="Arial"/>
          <w:sz w:val="17"/>
          <w:szCs w:val="17"/>
          <w:color w:val="auto"/>
        </w:rPr>
      </w:pPr>
    </w:p>
    <w:p>
      <w:pPr>
        <w:ind w:left="304" w:hanging="304"/>
        <w:spacing w:after="0"/>
        <w:tabs>
          <w:tab w:leader="none" w:pos="30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Subsidiaries of the Company; Portfolio Companies</w:t>
      </w:r>
      <w:r>
        <w:rPr>
          <w:rFonts w:ascii="Arial" w:cs="Arial" w:eastAsia="Arial" w:hAnsi="Arial"/>
          <w:sz w:val="17"/>
          <w:szCs w:val="17"/>
          <w:color w:val="auto"/>
        </w:rPr>
        <w:t>. The Company’s only subsidiaries that were consolidated with the Company for financial</w:t>
      </w:r>
    </w:p>
    <w:p>
      <w:pPr>
        <w:spacing w:after="0" w:line="34" w:lineRule="exact"/>
        <w:rPr>
          <w:rFonts w:ascii="Arial" w:cs="Arial" w:eastAsia="Arial" w:hAnsi="Arial"/>
          <w:sz w:val="17"/>
          <w:szCs w:val="17"/>
          <w:color w:val="auto"/>
        </w:rPr>
      </w:pPr>
    </w:p>
    <w:p>
      <w:pPr>
        <w:ind w:left="4" w:right="160"/>
        <w:spacing w:after="0" w:line="281" w:lineRule="auto"/>
        <w:rPr>
          <w:rFonts w:ascii="Arial" w:cs="Arial" w:eastAsia="Arial" w:hAnsi="Arial"/>
          <w:sz w:val="17"/>
          <w:szCs w:val="17"/>
          <w:color w:val="auto"/>
        </w:rPr>
      </w:pPr>
      <w:r>
        <w:rPr>
          <w:rFonts w:ascii="Arial" w:cs="Arial" w:eastAsia="Arial" w:hAnsi="Arial"/>
          <w:sz w:val="16"/>
          <w:szCs w:val="16"/>
          <w:color w:val="auto"/>
        </w:rPr>
        <w:t>reporting purposes under GAAP as of June 30, 2021 are those listed on Schedule C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General Disclosure Package and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General Disclosure Package and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w:t>
      </w:r>
    </w:p>
    <w:p>
      <w:pPr>
        <w:spacing w:after="0" w:line="6" w:lineRule="exact"/>
        <w:rPr>
          <w:rFonts w:ascii="Arial" w:cs="Arial" w:eastAsia="Arial" w:hAnsi="Arial"/>
          <w:sz w:val="17"/>
          <w:szCs w:val="17"/>
          <w:color w:val="auto"/>
        </w:rPr>
      </w:pPr>
    </w:p>
    <w:p>
      <w:pPr>
        <w:ind w:left="4"/>
        <w:spacing w:after="0" w:line="273" w:lineRule="auto"/>
        <w:rPr>
          <w:rFonts w:ascii="Arial" w:cs="Arial" w:eastAsia="Arial" w:hAnsi="Arial"/>
          <w:sz w:val="17"/>
          <w:szCs w:val="17"/>
          <w:color w:val="auto"/>
        </w:rPr>
      </w:pPr>
      <w:r>
        <w:rPr>
          <w:rFonts w:ascii="Arial" w:cs="Arial" w:eastAsia="Arial" w:hAnsi="Arial"/>
          <w:sz w:val="17"/>
          <w:szCs w:val="17"/>
          <w:color w:val="auto"/>
        </w:rPr>
        <w:t>(A) the Subsidiaries and (B) those corporations or other entities described in the Registration Statement, General Disclosure Package and the Prospectus under the caption “Portfolio Companies” (each a “Portfolio Company” and collectively the “Portfolio Companies”). Except as otherwise disclosed in the General Disclosure Package and the Prospectus, the Company does not control (as such term is defined in Section 2(a)(9) of the 1940 Act), any of the Portfolio Companies or any corporation or other entity in which it invested since the most recent quarter end.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1" w:name="page12"/>
    <w:bookmarkEnd w:id="11"/>
    <w:p>
      <w:pPr>
        <w:ind w:left="4" w:right="100" w:hanging="4"/>
        <w:spacing w:after="0" w:line="254" w:lineRule="auto"/>
        <w:tabs>
          <w:tab w:leader="none" w:pos="35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Arial" w:cs="Arial" w:eastAsia="Arial" w:hAnsi="Arial"/>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the General Disclosure Package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86" w:lineRule="exact"/>
        <w:rPr>
          <w:rFonts w:ascii="Arial" w:cs="Arial" w:eastAsia="Arial" w:hAnsi="Arial"/>
          <w:sz w:val="18"/>
          <w:szCs w:val="18"/>
          <w:color w:val="auto"/>
        </w:rPr>
      </w:pPr>
    </w:p>
    <w:p>
      <w:pPr>
        <w:ind w:left="404" w:hanging="404"/>
        <w:spacing w:after="0"/>
        <w:tabs>
          <w:tab w:leader="none" w:pos="40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30" w:lineRule="exact"/>
        <w:rPr>
          <w:rFonts w:ascii="Arial" w:cs="Arial" w:eastAsia="Arial" w:hAnsi="Arial"/>
          <w:sz w:val="18"/>
          <w:szCs w:val="18"/>
          <w:color w:val="auto"/>
        </w:rPr>
      </w:pPr>
    </w:p>
    <w:p>
      <w:pPr>
        <w:ind w:left="964" w:right="260" w:hanging="532"/>
        <w:spacing w:after="0" w:line="291"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Base Indenture has been duly authorized, executed and delivered by the Company, and constitutes a valid and binding obligation of the Company, enforceable against the Company in accordance with its terms, except as the enforcement thereof may be subject to</w:t>
      </w:r>
    </w:p>
    <w:p>
      <w:pPr>
        <w:jc w:val="both"/>
        <w:ind w:left="964" w:right="680" w:firstLine="8"/>
        <w:spacing w:after="0" w:line="323" w:lineRule="auto"/>
        <w:tabs>
          <w:tab w:leader="none" w:pos="1179" w:val="left"/>
        </w:tabs>
        <w:numPr>
          <w:ilvl w:val="2"/>
          <w:numId w:val="9"/>
        </w:numPr>
        <w:rPr>
          <w:rFonts w:ascii="Arial" w:cs="Arial" w:eastAsia="Arial" w:hAnsi="Arial"/>
          <w:sz w:val="16"/>
          <w:szCs w:val="16"/>
          <w:color w:val="auto"/>
        </w:rPr>
      </w:pPr>
      <w:r>
        <w:rPr>
          <w:rFonts w:ascii="Arial" w:cs="Arial" w:eastAsia="Arial" w:hAnsi="Arial"/>
          <w:sz w:val="16"/>
          <w:szCs w:val="16"/>
          <w:color w:val="auto"/>
        </w:rPr>
        <w:t>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43" w:lineRule="exact"/>
        <w:rPr>
          <w:rFonts w:ascii="Arial" w:cs="Arial" w:eastAsia="Arial" w:hAnsi="Arial"/>
          <w:sz w:val="16"/>
          <w:szCs w:val="16"/>
          <w:color w:val="auto"/>
        </w:rPr>
      </w:pPr>
    </w:p>
    <w:p>
      <w:pPr>
        <w:ind w:left="964" w:right="60" w:hanging="532"/>
        <w:spacing w:after="0" w:line="301"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First Supplemental Indenture has been duly authorized, executed and delivered by the Company, and constitutes the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62" w:lineRule="exact"/>
        <w:rPr>
          <w:rFonts w:ascii="Arial" w:cs="Arial" w:eastAsia="Arial" w:hAnsi="Arial"/>
          <w:sz w:val="16"/>
          <w:szCs w:val="16"/>
          <w:color w:val="auto"/>
        </w:rPr>
      </w:pPr>
    </w:p>
    <w:p>
      <w:pPr>
        <w:ind w:left="964" w:right="540" w:hanging="532"/>
        <w:spacing w:after="0" w:line="291"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DTC Agreement has been duly authorized, executed and delivered by the Company and is a valid and binding obligation of the Company, enforceable against the Company in accordance with its terms, except as the enforcement thereof may be subject to</w:t>
      </w:r>
    </w:p>
    <w:p>
      <w:pPr>
        <w:jc w:val="both"/>
        <w:ind w:left="964" w:right="680" w:firstLine="8"/>
        <w:spacing w:after="0" w:line="323" w:lineRule="auto"/>
        <w:tabs>
          <w:tab w:leader="none" w:pos="1179" w:val="left"/>
        </w:tabs>
        <w:numPr>
          <w:ilvl w:val="2"/>
          <w:numId w:val="9"/>
        </w:numPr>
        <w:rPr>
          <w:rFonts w:ascii="Arial" w:cs="Arial" w:eastAsia="Arial" w:hAnsi="Arial"/>
          <w:sz w:val="16"/>
          <w:szCs w:val="16"/>
          <w:color w:val="auto"/>
        </w:rPr>
      </w:pPr>
      <w:r>
        <w:rPr>
          <w:rFonts w:ascii="Arial" w:cs="Arial" w:eastAsia="Arial" w:hAnsi="Arial"/>
          <w:sz w:val="16"/>
          <w:szCs w:val="16"/>
          <w:color w:val="auto"/>
        </w:rPr>
        <w:t>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30" w:lineRule="exact"/>
        <w:rPr>
          <w:rFonts w:ascii="Arial" w:cs="Arial" w:eastAsia="Arial" w:hAnsi="Arial"/>
          <w:sz w:val="16"/>
          <w:szCs w:val="16"/>
          <w:color w:val="auto"/>
        </w:rPr>
      </w:pPr>
    </w:p>
    <w:p>
      <w:pPr>
        <w:ind w:left="4" w:hanging="4"/>
        <w:spacing w:after="0" w:line="254" w:lineRule="auto"/>
        <w:tabs>
          <w:tab w:leader="none" w:pos="39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Securities</w:t>
      </w:r>
      <w:r>
        <w:rPr>
          <w:rFonts w:ascii="Arial" w:cs="Arial" w:eastAsia="Arial" w:hAnsi="Arial"/>
          <w:sz w:val="18"/>
          <w:szCs w:val="18"/>
          <w:color w:val="auto"/>
        </w:rPr>
        <w:t>. The Securities to be purchased by the Underwriters from the Company have been duly authorized and, when issued and delivered by the Company and authenticated by the Trustee pursuant to this Agreement and the Indenture relating thereto, against payment of the purchase price set forth herein, will be valid and legally binding obligations of the Company enforceable in accordance with their terms, except as the enforcement thereof may be subject to the effect of (i) bankruptcy, insolvency, reorganization, moratorium or other similar laws now or thereafter in effect relating to creditors’ rights generally and (ii) general principles of equity and the discretion of the court before which any proceeding therefor may be brought, and will be entitled to the benefits of the Indenture relating thereto; and the Securities and the Indenture conform to all statements relating thereto contained in the General Disclosure Package and the Prospectus and such description conforms to the rights set forth in the instruments defining the same.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2" w:name="page13"/>
    <w:bookmarkEnd w:id="12"/>
    <w:p>
      <w:pPr>
        <w:ind w:left="4" w:right="60" w:hanging="4"/>
        <w:spacing w:after="0" w:line="270" w:lineRule="auto"/>
        <w:tabs>
          <w:tab w:leader="none" w:pos="349"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Violations and Defaults</w:t>
      </w:r>
      <w:r>
        <w:rPr>
          <w:rFonts w:ascii="Arial" w:cs="Arial" w:eastAsia="Arial" w:hAnsi="Arial"/>
          <w:sz w:val="17"/>
          <w:szCs w:val="17"/>
          <w:color w:val="auto"/>
        </w:rPr>
        <w:t>. Neither the Company nor any of the Subsidiaries is (A) in violation of its charter, bylaws or similar organizational document, each as amended or supplemented as of the date of this Agreement and the Closing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72" w:lineRule="exact"/>
        <w:rPr>
          <w:rFonts w:ascii="Arial" w:cs="Arial" w:eastAsia="Arial" w:hAnsi="Arial"/>
          <w:sz w:val="17"/>
          <w:szCs w:val="17"/>
          <w:color w:val="auto"/>
        </w:rPr>
      </w:pPr>
    </w:p>
    <w:p>
      <w:pPr>
        <w:ind w:left="4" w:hanging="4"/>
        <w:spacing w:after="0" w:line="286" w:lineRule="auto"/>
        <w:tabs>
          <w:tab w:leader="none" w:pos="399"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delivery and performance of this Agreement, the performance of the Investment Management Agreement, the Indenture, the Securities and the DTC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62" w:lineRule="exact"/>
        <w:rPr>
          <w:rFonts w:ascii="Arial" w:cs="Arial" w:eastAsia="Arial" w:hAnsi="Arial"/>
          <w:sz w:val="16"/>
          <w:szCs w:val="16"/>
          <w:color w:val="auto"/>
        </w:rPr>
      </w:pPr>
    </w:p>
    <w:p>
      <w:pPr>
        <w:ind w:left="4" w:right="140" w:hanging="4"/>
        <w:spacing w:after="0" w:line="277" w:lineRule="auto"/>
        <w:tabs>
          <w:tab w:leader="none" w:pos="44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As of the date hereof, neither the Company nor any of the Subsidiaries has, and as of the Closing Time neither the Company nor any of the Subsidiaries will have, any employees.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3" w:name="page14"/>
    <w:bookmarkEnd w:id="13"/>
    <w:p>
      <w:pPr>
        <w:ind w:left="4" w:hanging="4"/>
        <w:spacing w:after="0" w:line="255" w:lineRule="auto"/>
        <w:tabs>
          <w:tab w:leader="none" w:pos="49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Proceedings</w:t>
      </w:r>
      <w:r>
        <w:rPr>
          <w:rFonts w:ascii="Arial" w:cs="Arial" w:eastAsia="Arial" w:hAnsi="Arial"/>
          <w:sz w:val="18"/>
          <w:szCs w:val="18"/>
          <w:color w:val="auto"/>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Indenture, the Securities or the DTC Agreement or the performance by the Company of its obligations hereunder or thereunder.</w:t>
      </w:r>
    </w:p>
    <w:p>
      <w:pPr>
        <w:spacing w:after="0" w:line="84" w:lineRule="exact"/>
        <w:rPr>
          <w:rFonts w:ascii="Arial" w:cs="Arial" w:eastAsia="Arial" w:hAnsi="Arial"/>
          <w:sz w:val="18"/>
          <w:szCs w:val="18"/>
          <w:color w:val="auto"/>
        </w:rPr>
      </w:pPr>
    </w:p>
    <w:p>
      <w:pPr>
        <w:jc w:val="center"/>
        <w:ind w:left="4" w:right="360" w:hanging="4"/>
        <w:spacing w:after="0" w:line="342" w:lineRule="auto"/>
        <w:tabs>
          <w:tab w:leader="none" w:pos="39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5" w:lineRule="exact"/>
        <w:rPr>
          <w:rFonts w:ascii="Arial" w:cs="Arial" w:eastAsia="Arial" w:hAnsi="Arial"/>
          <w:sz w:val="16"/>
          <w:szCs w:val="16"/>
          <w:color w:val="auto"/>
        </w:rPr>
      </w:pPr>
    </w:p>
    <w:p>
      <w:pPr>
        <w:ind w:left="4" w:hanging="4"/>
        <w:spacing w:after="0" w:line="284" w:lineRule="auto"/>
        <w:tabs>
          <w:tab w:leader="none" w:pos="34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or the Investment Management Agreement, the Indenture, the Securities, the DTC Agreement or the General Disclosure Package and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1940 Act, the 1940 Act Regulations, the Trust Indenture Act, state securities laws or the rules of the Financial Industry Regulatory Authority, Inc. (“FINRA”),</w:t>
      </w:r>
    </w:p>
    <w:p>
      <w:pPr>
        <w:spacing w:after="0" w:line="2"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color w:val="auto"/>
        </w:rPr>
        <w:t>(B)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81" w:lineRule="exact"/>
        <w:rPr>
          <w:rFonts w:ascii="Arial" w:cs="Arial" w:eastAsia="Arial" w:hAnsi="Arial"/>
          <w:sz w:val="16"/>
          <w:szCs w:val="16"/>
          <w:color w:val="auto"/>
        </w:rPr>
      </w:pPr>
    </w:p>
    <w:p>
      <w:pPr>
        <w:ind w:left="4" w:right="40" w:hanging="4"/>
        <w:spacing w:after="0" w:line="289" w:lineRule="auto"/>
        <w:tabs>
          <w:tab w:leader="none" w:pos="39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58" w:lineRule="exact"/>
        <w:rPr>
          <w:rFonts w:ascii="Arial" w:cs="Arial" w:eastAsia="Arial" w:hAnsi="Arial"/>
          <w:sz w:val="16"/>
          <w:szCs w:val="16"/>
          <w:color w:val="auto"/>
        </w:rPr>
      </w:pPr>
    </w:p>
    <w:p>
      <w:pPr>
        <w:ind w:left="4" w:right="160" w:hanging="4"/>
        <w:spacing w:after="0" w:line="296" w:lineRule="auto"/>
        <w:tabs>
          <w:tab w:leader="none" w:pos="44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4" w:name="page15"/>
    <w:bookmarkEnd w:id="14"/>
    <w:p>
      <w:pPr>
        <w:ind w:left="4" w:hanging="4"/>
        <w:spacing w:after="0" w:line="253" w:lineRule="auto"/>
        <w:tabs>
          <w:tab w:leader="none" w:pos="49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Possession of Intellectual Property</w:t>
      </w:r>
      <w:r>
        <w:rPr>
          <w:rFonts w:ascii="Arial" w:cs="Arial" w:eastAsia="Arial" w:hAnsi="Arial"/>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88" w:lineRule="exact"/>
        <w:rPr>
          <w:rFonts w:ascii="Arial" w:cs="Arial" w:eastAsia="Arial" w:hAnsi="Arial"/>
          <w:sz w:val="18"/>
          <w:szCs w:val="18"/>
          <w:color w:val="auto"/>
        </w:rPr>
      </w:pPr>
    </w:p>
    <w:p>
      <w:pPr>
        <w:ind w:left="4" w:right="60" w:hanging="4"/>
        <w:spacing w:after="0" w:line="269" w:lineRule="auto"/>
        <w:tabs>
          <w:tab w:leader="none" w:pos="48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Accounting Controls</w:t>
      </w:r>
      <w:r>
        <w:rPr>
          <w:rFonts w:ascii="Arial" w:cs="Arial" w:eastAsia="Arial" w:hAnsi="Arial"/>
          <w:sz w:val="17"/>
          <w:szCs w:val="17"/>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70" w:lineRule="exact"/>
        <w:rPr>
          <w:rFonts w:ascii="Arial" w:cs="Arial" w:eastAsia="Arial" w:hAnsi="Arial"/>
          <w:sz w:val="17"/>
          <w:szCs w:val="17"/>
          <w:color w:val="auto"/>
        </w:rPr>
      </w:pPr>
    </w:p>
    <w:p>
      <w:pPr>
        <w:ind w:left="4" w:right="100" w:hanging="4"/>
        <w:spacing w:after="0" w:line="273" w:lineRule="auto"/>
        <w:tabs>
          <w:tab w:leader="none" w:pos="43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2020 have been filed, and no assessment in connection therewith has been made against the Company. The Company and the Subsidiaries have filed all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5" w:name="page16"/>
    <w:bookmarkEnd w:id="15"/>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69" w:lineRule="exact"/>
        <w:rPr>
          <w:sz w:val="20"/>
          <w:szCs w:val="20"/>
          <w:color w:val="auto"/>
        </w:rPr>
      </w:pPr>
    </w:p>
    <w:p>
      <w:pPr>
        <w:ind w:left="4" w:right="20" w:hanging="4"/>
        <w:spacing w:after="0" w:line="275" w:lineRule="auto"/>
        <w:tabs>
          <w:tab w:leader="none" w:pos="489"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68" w:lineRule="exact"/>
        <w:rPr>
          <w:rFonts w:ascii="Arial" w:cs="Arial" w:eastAsia="Arial" w:hAnsi="Arial"/>
          <w:sz w:val="17"/>
          <w:szCs w:val="17"/>
          <w:color w:val="auto"/>
        </w:rPr>
      </w:pPr>
    </w:p>
    <w:p>
      <w:pPr>
        <w:ind w:left="4" w:right="120" w:hanging="4"/>
        <w:spacing w:after="0" w:line="263" w:lineRule="auto"/>
        <w:tabs>
          <w:tab w:leader="none" w:pos="53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Securities as herein contemplated and the application of the net proceeds therefrom as described in the Prospectus, will not be required to register as a “management investment company” under the 1940 Act.</w:t>
      </w:r>
    </w:p>
    <w:p>
      <w:pPr>
        <w:spacing w:after="0" w:line="75" w:lineRule="exact"/>
        <w:rPr>
          <w:rFonts w:ascii="Arial" w:cs="Arial" w:eastAsia="Arial" w:hAnsi="Arial"/>
          <w:sz w:val="18"/>
          <w:szCs w:val="18"/>
          <w:color w:val="auto"/>
        </w:rPr>
      </w:pPr>
    </w:p>
    <w:p>
      <w:pPr>
        <w:ind w:left="4" w:right="120" w:hanging="4"/>
        <w:spacing w:after="0" w:line="263" w:lineRule="auto"/>
        <w:tabs>
          <w:tab w:leader="none" w:pos="58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Stabilization and Manipulation</w:t>
      </w:r>
      <w:r>
        <w:rPr>
          <w:rFonts w:ascii="Arial" w:cs="Arial" w:eastAsia="Arial" w:hAnsi="Arial"/>
          <w:sz w:val="18"/>
          <w:szCs w:val="18"/>
          <w:color w:val="auto"/>
        </w:rPr>
        <w:t>. The Company has not taken, nor will it take, directly or indirectly, without giving effect to any activities by the Underwriters, any action designed, or that would reasonably be expected, to cause or result in, or that constitutes, any stabilization or manipulation of the price of the Securities, other than activity permitted pursuant to Rule 10b-18 under the 1934 Act.</w:t>
      </w:r>
    </w:p>
    <w:p>
      <w:pPr>
        <w:spacing w:after="0" w:line="75" w:lineRule="exact"/>
        <w:rPr>
          <w:rFonts w:ascii="Arial" w:cs="Arial" w:eastAsia="Arial" w:hAnsi="Arial"/>
          <w:sz w:val="18"/>
          <w:szCs w:val="18"/>
          <w:color w:val="auto"/>
        </w:rPr>
      </w:pPr>
    </w:p>
    <w:p>
      <w:pPr>
        <w:ind w:left="4" w:hanging="4"/>
        <w:spacing w:after="0" w:line="289"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6" w:name="page17"/>
    <w:bookmarkEnd w:id="16"/>
    <w:p>
      <w:pPr>
        <w:ind w:left="4" w:right="60" w:hanging="4"/>
        <w:spacing w:after="0" w:line="293" w:lineRule="auto"/>
        <w:tabs>
          <w:tab w:leader="none" w:pos="43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Laundering Laws</w:t>
      </w:r>
      <w:r>
        <w:rPr>
          <w:rFonts w:ascii="Arial" w:cs="Arial" w:eastAsia="Arial" w:hAnsi="Arial"/>
          <w:sz w:val="16"/>
          <w:szCs w:val="16"/>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money laundering statutes of the jurisdictions in which the Company and the Subsidiaries conduct business, the rules and regulations thereunder and any other relevant laws, rules, regulations or guidelines, issued, administered or enforced by any Governmental Entity (collectively, the “Money Laundering Laws”); and no action, suit or proceeding by or before any Governmental Entity involving the Company or any of the Subsidiaries with respect to the Money Laundering Laws is pending or, to the best knowledge of the Company, threatened.</w:t>
      </w:r>
    </w:p>
    <w:p>
      <w:pPr>
        <w:spacing w:after="0" w:line="56" w:lineRule="exact"/>
        <w:rPr>
          <w:rFonts w:ascii="Arial" w:cs="Arial" w:eastAsia="Arial" w:hAnsi="Arial"/>
          <w:sz w:val="16"/>
          <w:szCs w:val="16"/>
          <w:color w:val="auto"/>
        </w:rPr>
      </w:pPr>
    </w:p>
    <w:p>
      <w:pPr>
        <w:ind w:left="4" w:hanging="4"/>
        <w:spacing w:after="0" w:line="271" w:lineRule="auto"/>
        <w:tabs>
          <w:tab w:leader="none" w:pos="489"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Her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70" w:lineRule="exact"/>
        <w:rPr>
          <w:rFonts w:ascii="Arial" w:cs="Arial" w:eastAsia="Arial" w:hAnsi="Arial"/>
          <w:sz w:val="17"/>
          <w:szCs w:val="17"/>
          <w:color w:val="auto"/>
        </w:rPr>
      </w:pPr>
    </w:p>
    <w:p>
      <w:pPr>
        <w:ind w:left="544" w:hanging="544"/>
        <w:spacing w:after="0"/>
        <w:tabs>
          <w:tab w:leader="none" w:pos="54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Lending Relationship</w:t>
      </w:r>
      <w:r>
        <w:rPr>
          <w:rFonts w:ascii="Arial" w:cs="Arial" w:eastAsia="Arial" w:hAnsi="Arial"/>
          <w:sz w:val="16"/>
          <w:szCs w:val="16"/>
          <w:color w:val="auto"/>
        </w:rPr>
        <w:t>. Except as disclosed in the Registration Statement, the General Disclosure Package and the Prospectus, the Company</w:t>
      </w:r>
    </w:p>
    <w:p>
      <w:pPr>
        <w:spacing w:after="0" w:line="46" w:lineRule="exact"/>
        <w:rPr>
          <w:sz w:val="20"/>
          <w:szCs w:val="20"/>
          <w:color w:val="auto"/>
        </w:rPr>
      </w:pPr>
    </w:p>
    <w:p>
      <w:pPr>
        <w:ind w:left="4" w:right="180" w:hanging="4"/>
        <w:spacing w:after="0" w:line="260" w:lineRule="auto"/>
        <w:tabs>
          <w:tab w:leader="none" w:pos="2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77" w:lineRule="exact"/>
        <w:rPr>
          <w:sz w:val="20"/>
          <w:szCs w:val="20"/>
          <w:color w:val="auto"/>
        </w:rPr>
      </w:pPr>
    </w:p>
    <w:p>
      <w:pPr>
        <w:jc w:val="both"/>
        <w:ind w:left="4" w:hanging="4"/>
        <w:spacing w:after="0" w:line="286" w:lineRule="auto"/>
        <w:tabs>
          <w:tab w:leader="none" w:pos="589"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or incorporated by reference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w:t>
      </w:r>
    </w:p>
    <w:p>
      <w:pPr>
        <w:spacing w:after="0" w:line="57" w:lineRule="exact"/>
        <w:rPr>
          <w:rFonts w:ascii="Arial" w:cs="Arial" w:eastAsia="Arial" w:hAnsi="Arial"/>
          <w:sz w:val="17"/>
          <w:szCs w:val="17"/>
          <w:color w:val="auto"/>
        </w:rPr>
      </w:pPr>
    </w:p>
    <w:p>
      <w:pPr>
        <w:jc w:val="both"/>
        <w:ind w:left="4" w:right="220" w:hanging="4"/>
        <w:spacing w:after="0" w:line="263"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Ratings</w:t>
      </w:r>
      <w:r>
        <w:rPr>
          <w:rFonts w:ascii="Arial" w:cs="Arial" w:eastAsia="Arial" w:hAnsi="Arial"/>
          <w:sz w:val="18"/>
          <w:szCs w:val="18"/>
          <w:color w:val="auto"/>
        </w:rPr>
        <w:t>. Other than the Company’s 4.3% Series A Notes due 2023, the Company does not have any debt securities or preferred stock that are rated by any “nationally recognized statistical rating agency” (as that term is defined by the Commission for purposes of Section 3(a)(62) of the 1934 Act).</w:t>
      </w:r>
    </w:p>
    <w:p>
      <w:pPr>
        <w:spacing w:after="0" w:line="75" w:lineRule="exact"/>
        <w:rPr>
          <w:rFonts w:ascii="Arial" w:cs="Arial" w:eastAsia="Arial" w:hAnsi="Arial"/>
          <w:sz w:val="18"/>
          <w:szCs w:val="18"/>
          <w:color w:val="auto"/>
        </w:rPr>
      </w:pPr>
    </w:p>
    <w:p>
      <w:pPr>
        <w:ind w:left="4" w:right="180" w:hanging="4"/>
        <w:spacing w:after="0" w:line="263" w:lineRule="auto"/>
        <w:tabs>
          <w:tab w:leader="none" w:pos="52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 party transactions involving the Company, any of the Subsidiaries or any other person required to be described in the Registration Statement, the General Disclosure Package or the Prospectus which have not been described as required.</w:t>
      </w:r>
    </w:p>
    <w:p>
      <w:pPr>
        <w:spacing w:after="0" w:line="75" w:lineRule="exact"/>
        <w:rPr>
          <w:rFonts w:ascii="Arial" w:cs="Arial" w:eastAsia="Arial" w:hAnsi="Arial"/>
          <w:sz w:val="18"/>
          <w:szCs w:val="18"/>
          <w:color w:val="auto"/>
        </w:rPr>
      </w:pPr>
    </w:p>
    <w:p>
      <w:pPr>
        <w:jc w:val="both"/>
        <w:ind w:left="4" w:right="40" w:hanging="4"/>
        <w:spacing w:after="0" w:line="259" w:lineRule="auto"/>
        <w:tabs>
          <w:tab w:leader="none" w:pos="57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Notification of Election</w:t>
      </w:r>
      <w:r>
        <w:rPr>
          <w:rFonts w:ascii="Arial" w:cs="Arial" w:eastAsia="Arial" w:hAnsi="Arial"/>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17" w:name="page18"/>
    <w:bookmarkEnd w:id="17"/>
    <w:p>
      <w:pPr>
        <w:ind w:left="4" w:right="160" w:hanging="4"/>
        <w:spacing w:after="0" w:line="290" w:lineRule="auto"/>
        <w:tabs>
          <w:tab w:leader="none" w:pos="62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Management Agreement</w:t>
      </w:r>
      <w:r>
        <w:rPr>
          <w:rFonts w:ascii="Arial" w:cs="Arial" w:eastAsia="Arial" w:hAnsi="Arial"/>
          <w:sz w:val="16"/>
          <w:szCs w:val="16"/>
          <w:color w:val="auto"/>
        </w:rPr>
        <w:t>. (A) The terms of the Investment Management Agreement, including compensation terms, comply in all material respects with all applicable provisions of the 1940 Act, the 1940 Act Regulations and the Advisers Act and (B) the approvals by the board of directors and the stockholders of the Company of the Investment Management Agreement have been made in accordance with the requirements of Section 15(a) and (c) of the 1940 Act and the 1940 Act Regulations applicable to companies that have elected to be regulated as business development companies under the 1940 Act. The Investment Management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57" w:lineRule="exact"/>
        <w:rPr>
          <w:rFonts w:ascii="Arial" w:cs="Arial" w:eastAsia="Arial" w:hAnsi="Arial"/>
          <w:sz w:val="16"/>
          <w:szCs w:val="16"/>
          <w:color w:val="auto"/>
        </w:rPr>
      </w:pPr>
    </w:p>
    <w:p>
      <w:pPr>
        <w:ind w:left="4" w:hanging="4"/>
        <w:spacing w:after="0" w:line="259" w:lineRule="auto"/>
        <w:tabs>
          <w:tab w:leader="none" w:pos="67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Interested Persons</w:t>
      </w:r>
      <w:r>
        <w:rPr>
          <w:rFonts w:ascii="Arial" w:cs="Arial" w:eastAsia="Arial" w:hAnsi="Arial"/>
          <w:sz w:val="18"/>
          <w:szCs w:val="18"/>
          <w:color w:val="auto"/>
        </w:rPr>
        <w:t>. Except as disclosed in the Registration Statement, the General Disclosure Package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w:t>
      </w:r>
    </w:p>
    <w:p>
      <w:pPr>
        <w:spacing w:after="0" w:line="78" w:lineRule="exact"/>
        <w:rPr>
          <w:rFonts w:ascii="Arial" w:cs="Arial" w:eastAsia="Arial" w:hAnsi="Arial"/>
          <w:sz w:val="18"/>
          <w:szCs w:val="18"/>
          <w:color w:val="auto"/>
        </w:rPr>
      </w:pPr>
    </w:p>
    <w:p>
      <w:pPr>
        <w:ind w:left="4" w:right="160" w:hanging="4"/>
        <w:spacing w:after="0" w:line="273" w:lineRule="auto"/>
        <w:tabs>
          <w:tab w:leader="none" w:pos="579"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Business Development Company</w:t>
      </w:r>
      <w:r>
        <w:rPr>
          <w:rFonts w:ascii="Arial" w:cs="Arial" w:eastAsia="Arial" w:hAnsi="Arial"/>
          <w:sz w:val="17"/>
          <w:szCs w:val="17"/>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70" w:lineRule="exact"/>
        <w:rPr>
          <w:sz w:val="20"/>
          <w:szCs w:val="20"/>
          <w:color w:val="auto"/>
        </w:rPr>
      </w:pPr>
    </w:p>
    <w:p>
      <w:pPr>
        <w:jc w:val="both"/>
        <w:ind w:left="4" w:right="160"/>
        <w:spacing w:after="0" w:line="286" w:lineRule="auto"/>
        <w:rPr>
          <w:sz w:val="20"/>
          <w:szCs w:val="20"/>
          <w:color w:val="auto"/>
        </w:rPr>
      </w:pPr>
      <w:r>
        <w:rPr>
          <w:rFonts w:ascii="Arial" w:cs="Arial" w:eastAsia="Arial" w:hAnsi="Arial"/>
          <w:sz w:val="17"/>
          <w:szCs w:val="17"/>
          <w:color w:val="auto"/>
        </w:rPr>
        <w:t xml:space="preserve">(xl) </w:t>
      </w:r>
      <w:r>
        <w:rPr>
          <w:rFonts w:ascii="Arial" w:cs="Arial" w:eastAsia="Arial" w:hAnsi="Arial"/>
          <w:sz w:val="17"/>
          <w:szCs w:val="17"/>
          <w:u w:val="single" w:color="auto"/>
          <w:color w:val="auto"/>
        </w:rPr>
        <w:t>No Extension of Credit</w:t>
      </w:r>
      <w:r>
        <w:rPr>
          <w:rFonts w:ascii="Arial" w:cs="Arial" w:eastAsia="Arial" w:hAnsi="Arial"/>
          <w:sz w:val="17"/>
          <w:szCs w:val="17"/>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5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Regulated Investment Company</w:t>
      </w:r>
      <w:r>
        <w:rPr>
          <w:rFonts w:ascii="Arial" w:cs="Arial" w:eastAsia="Arial" w:hAnsi="Arial"/>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18" w:name="page19"/>
    <w:bookmarkEnd w:id="18"/>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(xlii) </w:t>
      </w:r>
      <w:r>
        <w:rPr>
          <w:rFonts w:ascii="Arial" w:cs="Arial" w:eastAsia="Arial" w:hAnsi="Arial"/>
          <w:sz w:val="18"/>
          <w:szCs w:val="18"/>
          <w:u w:val="single" w:color="auto"/>
          <w:color w:val="auto"/>
        </w:rPr>
        <w:t>Sarbanes-Oxley Act</w:t>
      </w:r>
      <w:r>
        <w:rPr>
          <w:rFonts w:ascii="Arial" w:cs="Arial" w:eastAsia="Arial" w:hAnsi="Arial"/>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as amended, and the rules and regulations promulgated in connection therewith, including Section 402 related to loans and Sections 302 and 906 related to certifications.</w:t>
      </w:r>
    </w:p>
    <w:p>
      <w:pPr>
        <w:spacing w:after="0" w:line="79"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Forward-Looking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No forward-looking statement (within the meaning of Section 27A of the 1933 Act and Section 21E of the 1934 Act) contained in the Registration Statement, the General Disclosure Package or the Prospectus has been made or reaffirmed without a reasonable basis or has been disclosed other than in good faith.</w:t>
      </w:r>
    </w:p>
    <w:p>
      <w:pPr>
        <w:spacing w:after="0" w:line="76"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 xml:space="preserve">(xliv) </w:t>
      </w:r>
      <w:r>
        <w:rPr>
          <w:rFonts w:ascii="Arial" w:cs="Arial" w:eastAsia="Arial" w:hAnsi="Arial"/>
          <w:sz w:val="18"/>
          <w:szCs w:val="18"/>
          <w:u w:val="single" w:color="auto"/>
          <w:color w:val="auto"/>
        </w:rPr>
        <w:t>Additional Securities</w:t>
      </w:r>
      <w:r>
        <w:rPr>
          <w:rFonts w:ascii="Arial" w:cs="Arial" w:eastAsia="Arial" w:hAnsi="Arial"/>
          <w:sz w:val="18"/>
          <w:szCs w:val="18"/>
          <w:color w:val="auto"/>
        </w:rPr>
        <w:t>. The Securities to be sold pursuant to this Agreement and on the terms set forth on the Pricing Term Sheet in Schedule B attached hereto constitute “Additional Notes” within the meaning of the Indenture, will be treated as a single series of notes with the Existing Notes for all purposes under the Indenture, will have the same terms and CUSIP number as the Existing Notes and will be fungible with the Existing Notes for U.S. federal income tax purposes. Upon the issuance of the Securities, the outstanding aggregate principal amount of the Company’s 4.25% Notes due 2026 will be $185,000,000.</w:t>
      </w:r>
    </w:p>
    <w:p>
      <w:pPr>
        <w:spacing w:after="0" w:line="80" w:lineRule="exact"/>
        <w:rPr>
          <w:sz w:val="20"/>
          <w:szCs w:val="20"/>
          <w:color w:val="auto"/>
        </w:rPr>
      </w:pPr>
    </w:p>
    <w:p>
      <w:pPr>
        <w:ind w:left="4" w:right="480" w:hanging="4"/>
        <w:spacing w:after="0" w:line="277"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Adviser</w:t>
      </w:r>
      <w:r>
        <w:rPr>
          <w:rFonts w:ascii="Arial" w:cs="Arial" w:eastAsia="Arial" w:hAnsi="Arial"/>
          <w:sz w:val="18"/>
          <w:szCs w:val="18"/>
          <w:color w:val="auto"/>
        </w:rPr>
        <w:t>. The Adviser represents to each Underwriter as of the date hereof, the Applicable Time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(as defined below), and agrees with each Underwriter, as follows:</w:t>
      </w:r>
    </w:p>
    <w:p>
      <w:pPr>
        <w:spacing w:after="0" w:line="62" w:lineRule="exact"/>
        <w:rPr>
          <w:sz w:val="20"/>
          <w:szCs w:val="20"/>
          <w:color w:val="auto"/>
        </w:rPr>
      </w:pPr>
    </w:p>
    <w:p>
      <w:pPr>
        <w:ind w:left="4" w:right="20" w:hanging="4"/>
        <w:spacing w:after="0" w:line="257" w:lineRule="auto"/>
        <w:tabs>
          <w:tab w:leader="none" w:pos="21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or incorporated by reference in the Registration Statement, the General Disclosure Package or the Prospectus, there has been no material adverse change in the condition, financial or otherwise, or in the business, financial condition, capitalization, prospects or regulatory status of the Adviser, whether or not arising in the ordinary course of business, or on the ability of the Adviser to carry out its obligations under this Agreement or the Investment Management Agreement (collectively, an “Adviser Material Adverse Effect”).</w:t>
      </w:r>
    </w:p>
    <w:p>
      <w:pPr>
        <w:spacing w:after="0" w:line="79" w:lineRule="exact"/>
        <w:rPr>
          <w:rFonts w:ascii="Arial" w:cs="Arial" w:eastAsia="Arial" w:hAnsi="Arial"/>
          <w:sz w:val="18"/>
          <w:szCs w:val="18"/>
          <w:color w:val="auto"/>
        </w:rPr>
      </w:pPr>
    </w:p>
    <w:p>
      <w:pPr>
        <w:ind w:left="4" w:hanging="4"/>
        <w:spacing w:after="0" w:line="254" w:lineRule="auto"/>
        <w:tabs>
          <w:tab w:leader="none" w:pos="26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The Adviser has been duly organized and is validly existing as a limited partnership, in good standing under the laws of its state of organization and has limited partnership power and authority to own, lease and operate its properties and to conduct its business as described in the Registration Statement, the General Disclosure Package and the Prospectus and to enter into this Agreement and perform its obligations under this Agreement and the Investment Management Agreement; and the Adviser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 Material Adverse Effect.</w:t>
      </w:r>
    </w:p>
    <w:p>
      <w:pPr>
        <w:spacing w:after="0" w:line="86" w:lineRule="exact"/>
        <w:rPr>
          <w:rFonts w:ascii="Arial" w:cs="Arial" w:eastAsia="Arial" w:hAnsi="Arial"/>
          <w:sz w:val="18"/>
          <w:szCs w:val="18"/>
          <w:color w:val="auto"/>
        </w:rPr>
      </w:pPr>
    </w:p>
    <w:p>
      <w:pPr>
        <w:ind w:left="4" w:right="200" w:hanging="4"/>
        <w:spacing w:after="0" w:line="257"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Registration Under Advisers Act</w:t>
      </w:r>
      <w:r>
        <w:rPr>
          <w:rFonts w:ascii="Arial" w:cs="Arial" w:eastAsia="Arial" w:hAnsi="Arial"/>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9" w:name="page20"/>
    <w:bookmarkEnd w:id="19"/>
    <w:p>
      <w:pPr>
        <w:ind w:left="4" w:right="20" w:hanging="4"/>
        <w:spacing w:after="0" w:line="291" w:lineRule="auto"/>
        <w:tabs>
          <w:tab w:leader="none" w:pos="30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Proceedings</w:t>
      </w:r>
      <w:r>
        <w:rPr>
          <w:rFonts w:ascii="Arial" w:cs="Arial" w:eastAsia="Arial" w:hAnsi="Arial"/>
          <w:sz w:val="16"/>
          <w:szCs w:val="16"/>
          <w:color w:val="auto"/>
        </w:rPr>
        <w:t>. Except as disclosed in the Registration Statement, the General Disclosure Package and the Prospectus, there is no action, suit, proceeding or, to the knowledge of the Adviser, inquiry or investigation before or brought by any arbitrator, court, governmental body, regulatory body, administrative agency or other authority, body or agency having jurisdiction over the Adviser or any of its properties, assets or operations now pending or, to the knowledge of the Adviser, threatened, against or affecting the Adviser, which is required to be disclosed in the Registration Statement (other than as disclosed therein) or which would reasonably be expected to result in an Adviser Material Adverse Effect, or which would reasonably be expected to materially and adversely affect the consummation of the transactions contemplated in this Agreement, the Indenture, the Securities or the Investment Management Agreement or the performance by the Adviser of its obligations hereunder or thereunder.</w:t>
      </w:r>
    </w:p>
    <w:p>
      <w:pPr>
        <w:spacing w:after="0" w:line="58" w:lineRule="exact"/>
        <w:rPr>
          <w:rFonts w:ascii="Arial" w:cs="Arial" w:eastAsia="Arial" w:hAnsi="Arial"/>
          <w:sz w:val="16"/>
          <w:szCs w:val="16"/>
          <w:color w:val="auto"/>
        </w:rPr>
      </w:pPr>
    </w:p>
    <w:p>
      <w:pPr>
        <w:ind w:left="4" w:hanging="4"/>
        <w:spacing w:after="0" w:line="272" w:lineRule="auto"/>
        <w:tabs>
          <w:tab w:leader="none" w:pos="25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Absence of Violations and Defaults</w:t>
      </w:r>
      <w:r>
        <w:rPr>
          <w:rFonts w:ascii="Arial" w:cs="Arial" w:eastAsia="Arial" w:hAnsi="Arial"/>
          <w:sz w:val="17"/>
          <w:szCs w:val="17"/>
          <w:color w:val="auto"/>
        </w:rPr>
        <w:t>. The Adviser is not (A) in violation of its limited partnership agreement, (B) in default under any contract, indenture, mortgage, deed of trust, loan or credit agreement, note, lease or other agreement or instrument to which the Adviser is a party or by which it may be bound or to which any of its properties or assets is subject (collectively, the “Adviser Agreements and Instruments”), except for such defaults that would not reasonably be expected, singly or in the aggregate, to result in an Adviser Material Adverse Effect, or (C) in violation of any applicable law, statute, rule, regulation, judgment, order, writ or decree of any arbitrator, court, governmental body, regulatory body, administrative agency or other authority, body or agency having jurisdiction over the Adviser or any of its properties, assets or operations, except for such violations that would not reasonably be expected, singly or in the aggregate, to result in an Adviser Material Adverse Effect.</w:t>
      </w:r>
    </w:p>
    <w:p>
      <w:pPr>
        <w:spacing w:after="0" w:line="69" w:lineRule="exact"/>
        <w:rPr>
          <w:rFonts w:ascii="Arial" w:cs="Arial" w:eastAsia="Arial" w:hAnsi="Arial"/>
          <w:sz w:val="17"/>
          <w:szCs w:val="17"/>
          <w:color w:val="auto"/>
        </w:rPr>
      </w:pPr>
    </w:p>
    <w:p>
      <w:pPr>
        <w:ind w:left="4" w:hanging="4"/>
        <w:spacing w:after="0" w:line="286" w:lineRule="auto"/>
        <w:tabs>
          <w:tab w:leader="none" w:pos="30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delivery and performance of this Agreement, the performance of the Investment Management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Adviser with its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pursuant to, the Adviser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liens, charges or encumbrances that would not reasonably be expected, singly or in the aggregate, to result in an Adviser Material Adverse Effect), nor will such action result in any violation of the provisions of (a) the limited partnership agreement of the Adviser, or (b) any applicable law, statute, rule, regulation, judgment, order, writ or decree of any arbitrator, court, governmental body, regulatory body, administrative agency or other authority, body or agency having jurisdiction over the Adviser or any of its properties, assets or operations except, in the case of (b) above, for any violation that would not reasonably be expected, singly or in the aggregate, to result in an Adviser Material Adverse Effect.</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0" w:name="page21"/>
    <w:bookmarkEnd w:id="20"/>
    <w:p>
      <w:pPr>
        <w:ind w:left="364" w:hanging="364"/>
        <w:spacing w:after="0"/>
        <w:tabs>
          <w:tab w:leader="none" w:pos="36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of this Agreement</w:t>
      </w:r>
      <w:r>
        <w:rPr>
          <w:rFonts w:ascii="Arial" w:cs="Arial" w:eastAsia="Arial" w:hAnsi="Arial"/>
          <w:sz w:val="18"/>
          <w:szCs w:val="18"/>
          <w:color w:val="auto"/>
        </w:rPr>
        <w:t>. This Agreement has been duly authorized, executed and delivered by the Adviser.</w:t>
      </w:r>
    </w:p>
    <w:p>
      <w:pPr>
        <w:spacing w:after="0" w:line="117" w:lineRule="exact"/>
        <w:rPr>
          <w:rFonts w:ascii="Arial" w:cs="Arial" w:eastAsia="Arial" w:hAnsi="Arial"/>
          <w:sz w:val="18"/>
          <w:szCs w:val="18"/>
          <w:color w:val="auto"/>
        </w:rPr>
      </w:pPr>
    </w:p>
    <w:p>
      <w:pPr>
        <w:ind w:left="4" w:right="200" w:hanging="4"/>
        <w:spacing w:after="0" w:line="301" w:lineRule="auto"/>
        <w:tabs>
          <w:tab w:leader="none" w:pos="40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Investment Management Agreement</w:t>
      </w:r>
      <w:r>
        <w:rPr>
          <w:rFonts w:ascii="Arial" w:cs="Arial" w:eastAsia="Arial" w:hAnsi="Arial"/>
          <w:sz w:val="16"/>
          <w:szCs w:val="16"/>
          <w:color w:val="auto"/>
        </w:rPr>
        <w:t>. The Investment Management Agreement has been duly authorized, executed and delivered by the Adviser and is a valid and binding obligation of the Adviser,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49" w:lineRule="exact"/>
        <w:rPr>
          <w:rFonts w:ascii="Arial" w:cs="Arial" w:eastAsia="Arial" w:hAnsi="Arial"/>
          <w:sz w:val="16"/>
          <w:szCs w:val="16"/>
          <w:color w:val="auto"/>
        </w:rPr>
      </w:pPr>
    </w:p>
    <w:p>
      <w:pPr>
        <w:ind w:left="4" w:hanging="4"/>
        <w:spacing w:after="0" w:line="290" w:lineRule="auto"/>
        <w:tabs>
          <w:tab w:leader="none" w:pos="30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court or governmental authority or agency is necessary or required for the performance by the Adviser of its obligations hereunder or, in connection with the offering, the issuance or sale of the Securities hereunder or the consummation of the transactions contemplated by this Agreement, the Indenture, the DTC Agreement, the General Disclosure Package, the Investment Management Agreement or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Trust Indenture Act, state securities laws or the rules of FINRA and (B) where the failure to obtain any such filing, authorization, approval, consent, license, order, registration, qualification or decree would not reasonably be expected, singly or in the aggregate, to result in an Adviser Material Adverse Effect.</w:t>
      </w:r>
    </w:p>
    <w:p>
      <w:pPr>
        <w:spacing w:after="0" w:line="57" w:lineRule="exact"/>
        <w:rPr>
          <w:rFonts w:ascii="Arial" w:cs="Arial" w:eastAsia="Arial" w:hAnsi="Arial"/>
          <w:sz w:val="16"/>
          <w:szCs w:val="16"/>
          <w:color w:val="auto"/>
        </w:rPr>
      </w:pPr>
    </w:p>
    <w:p>
      <w:pPr>
        <w:jc w:val="both"/>
        <w:ind w:left="4" w:right="120" w:hanging="4"/>
        <w:spacing w:after="0" w:line="263"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Description of Adviser</w:t>
      </w:r>
      <w:r>
        <w:rPr>
          <w:rFonts w:ascii="Arial" w:cs="Arial" w:eastAsia="Arial" w:hAnsi="Arial"/>
          <w:sz w:val="18"/>
          <w:szCs w:val="18"/>
          <w:color w:val="auto"/>
        </w:rPr>
        <w:t>. The description of the Adviser contained in the Registration Statement, the General Disclosure Package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75" w:lineRule="exact"/>
        <w:rPr>
          <w:rFonts w:ascii="Arial" w:cs="Arial" w:eastAsia="Arial" w:hAnsi="Arial"/>
          <w:sz w:val="18"/>
          <w:szCs w:val="18"/>
          <w:color w:val="auto"/>
        </w:rPr>
      </w:pPr>
    </w:p>
    <w:p>
      <w:pPr>
        <w:ind w:left="4" w:hanging="4"/>
        <w:spacing w:after="0" w:line="270" w:lineRule="auto"/>
        <w:tabs>
          <w:tab w:leader="none" w:pos="30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Adviser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 Material Adverse Effect. The Adviser is in compliance with the terms and conditions of all such Governmental Licenses, except where the failure so to comply would not reasonably be expected, singly or in the aggregate, to result in an Adviser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 Material Adverse Effect. The Adviser has not received any notice of proceedings relating to the revocation or modification of any such Governmental Licenses which, singly or in the aggregate, if the subject of an unfavorable decision, ruling or finding, would reasonably be expected to result in an Adviser Material Adverse Effect.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1" w:name="page22"/>
    <w:bookmarkEnd w:id="21"/>
    <w:p>
      <w:pPr>
        <w:ind w:left="4" w:right="60" w:hanging="4"/>
        <w:spacing w:after="0" w:line="263" w:lineRule="auto"/>
        <w:tabs>
          <w:tab w:leader="none" w:pos="35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Stabilization and Manipulation</w:t>
      </w:r>
      <w:r>
        <w:rPr>
          <w:rFonts w:ascii="Arial" w:cs="Arial" w:eastAsia="Arial" w:hAnsi="Arial"/>
          <w:sz w:val="18"/>
          <w:szCs w:val="18"/>
          <w:color w:val="auto"/>
        </w:rPr>
        <w:t>. The Adviser has not taken, nor will take, directly or indirectly, without giving effect to any activities by the Underwriters, any action designed, or that would reasonably be expected, to cause or result in, or which constitutes, the stabilization or manipulation of the price of the Securities, other than activity permitted pursuant to Rule 10b-18 under the 1934 Act.</w:t>
      </w:r>
    </w:p>
    <w:p>
      <w:pPr>
        <w:spacing w:after="0" w:line="75" w:lineRule="exact"/>
        <w:rPr>
          <w:rFonts w:ascii="Arial" w:cs="Arial" w:eastAsia="Arial" w:hAnsi="Arial"/>
          <w:sz w:val="18"/>
          <w:szCs w:val="18"/>
          <w:color w:val="auto"/>
        </w:rPr>
      </w:pPr>
    </w:p>
    <w:p>
      <w:pPr>
        <w:ind w:left="4" w:hanging="4"/>
        <w:spacing w:after="0" w:line="290" w:lineRule="auto"/>
        <w:tabs>
          <w:tab w:leader="none" w:pos="40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Adviser or, to the knowledge of the Adviser, any director, officer or employee of the Adviser or any agent, controlled affiliate or other person acting on behalf of the Adviser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the Adviser has conducted its business, in relation to the Company, in compliance with the FCPA and has instituted and maintain policies and procedures designed to ensure, and which are reasonably expected to continue to ensure, continued compliance therewith.</w:t>
      </w:r>
    </w:p>
    <w:p>
      <w:pPr>
        <w:spacing w:after="0" w:line="57" w:lineRule="exact"/>
        <w:rPr>
          <w:rFonts w:ascii="Arial" w:cs="Arial" w:eastAsia="Arial" w:hAnsi="Arial"/>
          <w:sz w:val="16"/>
          <w:szCs w:val="16"/>
          <w:color w:val="auto"/>
        </w:rPr>
      </w:pPr>
    </w:p>
    <w:p>
      <w:pPr>
        <w:ind w:left="4" w:right="140" w:hanging="4"/>
        <w:spacing w:after="0" w:line="257" w:lineRule="auto"/>
        <w:tabs>
          <w:tab w:leader="none" w:pos="39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Adviser are and have been conducted at all times in compliance with applicable financial recordkeeping and reporting requirements of the Money Laundering Laws; and no action, suit or proceeding by or before any arbitrator, court, governmental body, regulatory body, administrative agency or other authority, body or agency having jurisdiction over the Adviser or any of its properties, assets or operations involving the Adviser with respect to the Money Laundering Laws is pending or, to the best knowledge of the Adviser, threatened.</w:t>
      </w:r>
    </w:p>
    <w:p>
      <w:pPr>
        <w:spacing w:after="0" w:line="79" w:lineRule="exact"/>
        <w:rPr>
          <w:rFonts w:ascii="Arial" w:cs="Arial" w:eastAsia="Arial" w:hAnsi="Arial"/>
          <w:sz w:val="18"/>
          <w:szCs w:val="18"/>
          <w:color w:val="auto"/>
        </w:rPr>
      </w:pPr>
    </w:p>
    <w:p>
      <w:pPr>
        <w:ind w:left="4" w:right="140" w:hanging="4"/>
        <w:spacing w:after="0" w:line="291" w:lineRule="auto"/>
        <w:tabs>
          <w:tab w:leader="none" w:pos="34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Adviser or, to the knowledge of the Adviser, any director, officer or employee of the Adviser or any agent, controlled affiliate or other person acting on behalf of the Adviser is a Person, or is controlled by a Person that is, (i) currently the subject or target of Sanctions, or</w:t>
      </w:r>
    </w:p>
    <w:p>
      <w:pPr>
        <w:ind w:left="4" w:right="380" w:hanging="4"/>
        <w:spacing w:after="0" w:line="302" w:lineRule="auto"/>
        <w:tabs>
          <w:tab w:leader="none" w:pos="2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located, organized or resident in a country or territory that is itself the subject of comprehensive Sanctions (currently Crimea, Cuba, Iran, North Korea, and Syria). During the last five years, the Adviser has not knowingly engaged in, and is not now knowingly engaged in, any unauthorized dealings or transactions with any Person that at the time of the dealing or transaction is or was the subject or target of Sanctions.</w:t>
      </w:r>
    </w:p>
    <w:p>
      <w:pPr>
        <w:spacing w:after="0" w:line="47" w:lineRule="exact"/>
        <w:rPr>
          <w:rFonts w:ascii="Arial" w:cs="Arial" w:eastAsia="Arial" w:hAnsi="Arial"/>
          <w:sz w:val="16"/>
          <w:szCs w:val="16"/>
          <w:color w:val="auto"/>
        </w:rPr>
      </w:pPr>
    </w:p>
    <w:p>
      <w:pPr>
        <w:ind w:left="4" w:hanging="4"/>
        <w:spacing w:after="0" w:line="279" w:lineRule="auto"/>
        <w:tabs>
          <w:tab w:leader="none" w:pos="39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Key Employees</w:t>
      </w:r>
      <w:r>
        <w:rPr>
          <w:rFonts w:ascii="Arial" w:cs="Arial" w:eastAsia="Arial" w:hAnsi="Arial"/>
          <w:sz w:val="17"/>
          <w:szCs w:val="17"/>
          <w:color w:val="auto"/>
        </w:rPr>
        <w:t>. 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singly or in the aggregate, to result in an Adviser Material Adverse Effect.</w:t>
      </w:r>
    </w:p>
    <w:p>
      <w:pPr>
        <w:spacing w:after="0" w:line="63" w:lineRule="exact"/>
        <w:rPr>
          <w:rFonts w:ascii="Arial" w:cs="Arial" w:eastAsia="Arial" w:hAnsi="Arial"/>
          <w:sz w:val="17"/>
          <w:szCs w:val="17"/>
          <w:color w:val="auto"/>
        </w:rPr>
      </w:pPr>
    </w:p>
    <w:p>
      <w:pPr>
        <w:ind w:left="4" w:right="80" w:hanging="4"/>
        <w:spacing w:after="0" w:line="308" w:lineRule="auto"/>
        <w:tabs>
          <w:tab w:leader="none" w:pos="44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 Labor Disputes</w:t>
      </w:r>
      <w:r>
        <w:rPr>
          <w:rFonts w:ascii="Arial" w:cs="Arial" w:eastAsia="Arial" w:hAnsi="Arial"/>
          <w:sz w:val="17"/>
          <w:szCs w:val="17"/>
          <w:color w:val="auto"/>
        </w:rPr>
        <w:t>. No labor disturbance by or dispute with employees of the Adviser or any of its subsidiaries exists or, to the knowledge of the Adviser, is contemplated or threatened, and the Adviser is not aware of any existing or imminent labor disturbance by, or dispute with, the</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22" w:name="page23"/>
    <w:bookmarkEnd w:id="22"/>
    <w:p>
      <w:pPr>
        <w:ind w:left="4"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 or any of its or its subsidiaries’ principal suppliers, contractors or customers, except in each case as would not reasonably be expected to result in an Adviser Material Adverse Effect.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(xviii) </w:t>
      </w:r>
      <w:r>
        <w:rPr>
          <w:rFonts w:ascii="Arial" w:cs="Arial" w:eastAsia="Arial" w:hAnsi="Arial"/>
          <w:sz w:val="18"/>
          <w:szCs w:val="18"/>
          <w:u w:val="single" w:color="auto"/>
          <w:color w:val="auto"/>
        </w:rPr>
        <w:t>Accounting Controls</w:t>
      </w:r>
      <w:r>
        <w:rPr>
          <w:rFonts w:ascii="Arial" w:cs="Arial" w:eastAsia="Arial" w:hAnsi="Arial"/>
          <w:sz w:val="18"/>
          <w:szCs w:val="18"/>
          <w:color w:val="auto"/>
        </w:rPr>
        <w:t>. The Adviser maintains a system of internal accounting controls sufficient to provide reasonable assurance that</w:t>
      </w:r>
    </w:p>
    <w:p>
      <w:pPr>
        <w:spacing w:after="0" w:line="23" w:lineRule="exact"/>
        <w:rPr>
          <w:sz w:val="20"/>
          <w:szCs w:val="20"/>
          <w:color w:val="auto"/>
        </w:rPr>
      </w:pPr>
    </w:p>
    <w:p>
      <w:pPr>
        <w:ind w:left="4" w:right="40" w:hanging="4"/>
        <w:spacing w:after="0" w:line="290" w:lineRule="auto"/>
        <w:tabs>
          <w:tab w:leader="none" w:pos="29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transactions effectuated by it under the Investment Management Agreement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56" w:lineRule="exact"/>
        <w:rPr>
          <w:sz w:val="20"/>
          <w:szCs w:val="20"/>
          <w:color w:val="auto"/>
        </w:rPr>
      </w:pPr>
    </w:p>
    <w:p>
      <w:pPr>
        <w:ind w:left="4" w:right="600" w:hanging="4"/>
        <w:spacing w:after="0" w:line="342" w:lineRule="auto"/>
        <w:tabs>
          <w:tab w:leader="none" w:pos="39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Financial Resources</w:t>
      </w:r>
      <w:r>
        <w:rPr>
          <w:rFonts w:ascii="Arial" w:cs="Arial" w:eastAsia="Arial" w:hAnsi="Arial"/>
          <w:sz w:val="16"/>
          <w:szCs w:val="16"/>
          <w:color w:val="auto"/>
        </w:rPr>
        <w:t>. The Adviser has the financial resources available to it necessary for the performance of its services and obligations as contemplated by the Registration Statement, the General Disclosure Package, the Prospectus and the Investment Management Agreement.</w:t>
      </w:r>
    </w:p>
    <w:p>
      <w:pPr>
        <w:spacing w:after="0" w:line="16" w:lineRule="exact"/>
        <w:rPr>
          <w:sz w:val="20"/>
          <w:szCs w:val="20"/>
          <w:color w:val="auto"/>
        </w:rPr>
      </w:pPr>
    </w:p>
    <w:p>
      <w:pPr>
        <w:ind w:left="4" w:hanging="4"/>
        <w:spacing w:after="0" w:line="263" w:lineRule="auto"/>
        <w:tabs>
          <w:tab w:leader="none" w:pos="24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any of the Subsidiaries or the Adviser delivered to a Representative or to</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for the Underwriters shall be deemed a representation and warranty by the Company or the Adviser, as applicable, to each Underwriter as to the matters covered thereby.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96" w:lineRule="auto"/>
        <w:tabs>
          <w:tab w:leader="none" w:pos="24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Securities</w:t>
      </w:r>
      <w:r>
        <w:rPr>
          <w:rFonts w:ascii="Arial" w:cs="Arial" w:eastAsia="Arial" w:hAnsi="Arial"/>
          <w:sz w:val="16"/>
          <w:szCs w:val="16"/>
          <w:color w:val="auto"/>
        </w:rPr>
        <w:t>. On the basis of the representations and warranties herein contained and subject to the terms and conditions herein set forth,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agrees to sell to each Underwriter, severally and not jointly, and each Underwriter, severally and not jointly, agrees to purchase from the Company, at the price (the “Purchase Price”) set forth in Schedule A, the aggregate principal amount of Securities set forth in Schedule A opposite the name of such Underwriter, plus accrued and unpaid interest from October 1, 2021 up to, but not including, the Closing Time, plus any additional aggregate principal amount of Securities which such Underwriter may become obligated to purchase pursuant to the provisions of Section 10 hereof.</w:t>
      </w:r>
    </w:p>
    <w:p>
      <w:pPr>
        <w:spacing w:after="0" w:line="53" w:lineRule="exact"/>
        <w:rPr>
          <w:rFonts w:ascii="Arial" w:cs="Arial" w:eastAsia="Arial" w:hAnsi="Arial"/>
          <w:sz w:val="16"/>
          <w:szCs w:val="16"/>
          <w:color w:val="auto"/>
        </w:rPr>
      </w:pPr>
    </w:p>
    <w:p>
      <w:pPr>
        <w:ind w:left="4" w:right="20" w:hanging="4"/>
        <w:spacing w:after="0" w:line="257"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price for the Securities and delivery of the Securities, shall be made at the offices of Ropes &amp; Gray LLP, 1211 Avenue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Americas, New York, New York 10036, or at such other place as shall be agreed upon by the Representatives and the Company, at 10:00 A.M. (New York City time) on the third business day after the date hereof (unless postponed in accordance with the provisions of Section 10), or such other time not later than ten business days after such date as shall be agreed upon by all of the Representatives and the Company (such time and date of payment and delivery being herein called “Closing Time”).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3" w:name="page24"/>
    <w:bookmarkEnd w:id="23"/>
    <w:p>
      <w:pPr>
        <w:ind w:left="4"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price of the Securities shall be made to the Company by wire transfer of immediately available funds to a bank account designated by the Company against delivery to a Representative through the facilities of the Depositary Trust Company for the respective accounts of the Underwriters of the Securities to be purchased by them. It is understood that each Underwriter has authorized the Representatives, for its account, to accept delivery of, receipt for, and make payment of the purchase price for, the Securities that it has agreed to purchase. The Representatives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70" w:lineRule="exact"/>
        <w:rPr>
          <w:sz w:val="20"/>
          <w:szCs w:val="20"/>
          <w:color w:val="auto"/>
        </w:rPr>
      </w:pPr>
    </w:p>
    <w:p>
      <w:pPr>
        <w:ind w:left="4" w:right="200" w:hanging="4"/>
        <w:spacing w:after="0" w:line="259" w:lineRule="auto"/>
        <w:tabs>
          <w:tab w:leader="none" w:pos="248"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Securities shall be transferred electronically at the Closing Time in such denominations and registered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names as the Representatives may request in writing at least one full business day before the Closing Time. The Securities will be made available for examining and packaging by the Representatives in the City of New York not later than 10:00 A.M. (New York City time) on the business day prior to the Closing Time.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sz w:val="20"/>
          <w:szCs w:val="20"/>
          <w:color w:val="auto"/>
        </w:rPr>
      </w:pPr>
    </w:p>
    <w:p>
      <w:pPr>
        <w:ind w:left="4" w:right="380" w:hanging="4"/>
        <w:spacing w:after="0" w:line="287" w:lineRule="auto"/>
        <w:tabs>
          <w:tab w:leader="none" w:pos="248"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Rule 430B or Rule 430C and Rule 424(b), and will notify each Representative immediately, and confirm the notice in writing, (i) when any post-effective amendment to the Registration Statement shall become effective or any amendment or supplement to the Prospectus shall have been filed,</w:t>
      </w:r>
    </w:p>
    <w:p>
      <w:pPr>
        <w:spacing w:after="0" w:line="2" w:lineRule="exact"/>
        <w:rPr>
          <w:rFonts w:ascii="Arial" w:cs="Arial" w:eastAsia="Arial" w:hAnsi="Arial"/>
          <w:sz w:val="16"/>
          <w:szCs w:val="16"/>
          <w:color w:val="auto"/>
        </w:rPr>
      </w:pPr>
    </w:p>
    <w:p>
      <w:pPr>
        <w:ind w:left="4" w:hanging="4"/>
        <w:spacing w:after="0" w:line="286" w:lineRule="auto"/>
        <w:tabs>
          <w:tab w:leader="none" w:pos="2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within the time period required by Rule 424(b),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61" w:lineRule="exact"/>
        <w:rPr>
          <w:rFonts w:ascii="Arial" w:cs="Arial" w:eastAsia="Arial" w:hAnsi="Arial"/>
          <w:sz w:val="16"/>
          <w:szCs w:val="16"/>
          <w:color w:val="auto"/>
        </w:rPr>
      </w:pPr>
    </w:p>
    <w:p>
      <w:pPr>
        <w:ind w:left="4" w:right="60" w:hanging="4"/>
        <w:spacing w:after="0" w:line="279" w:lineRule="auto"/>
        <w:tabs>
          <w:tab w:leader="none" w:pos="259"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The Company will use its commercially reasonable efforts to comply with the 1933 Act and the 1933</w:t>
      </w:r>
      <w:r>
        <w:rPr>
          <w:rFonts w:ascii="Arial" w:cs="Arial" w:eastAsia="Arial" w:hAnsi="Arial"/>
          <w:sz w:val="17"/>
          <w:szCs w:val="17"/>
          <w:i w:val="1"/>
          <w:iCs w:val="1"/>
          <w:color w:val="auto"/>
        </w:rPr>
        <w:t xml:space="preserve"> </w:t>
      </w:r>
      <w:r>
        <w:rPr>
          <w:rFonts w:ascii="Arial" w:cs="Arial" w:eastAsia="Arial" w:hAnsi="Arial"/>
          <w:sz w:val="17"/>
          <w:szCs w:val="17"/>
          <w:color w:val="auto"/>
        </w:rPr>
        <w:t>Act Regulations so as to permit the completion of the distribution of the Securities as contemplated in this Agreement and in the Registration Statement, the General Disclosure Package and the Prospectus. If at any time when a prospectus relating to the Securities is required by the 1933 Act to be delivered in connection with sales of the Securities, any event shall occur or condition shall exist as a result of which it is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24" w:name="page25"/>
    <w:bookmarkEnd w:id="24"/>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shall give the Representatives notice of its intention to make any such filing from the Applicable Time to the Closing Time and shall furnish the Representatives with copies of any such documents a reasonable amount of time prior to such proposed filing or use, as the case may be.</w:t>
      </w:r>
    </w:p>
    <w:p>
      <w:pPr>
        <w:spacing w:after="0" w:line="74" w:lineRule="exact"/>
        <w:rPr>
          <w:sz w:val="20"/>
          <w:szCs w:val="20"/>
          <w:color w:val="auto"/>
        </w:rPr>
      </w:pPr>
    </w:p>
    <w:p>
      <w:pPr>
        <w:ind w:left="4" w:hanging="4"/>
        <w:spacing w:after="0" w:line="293" w:lineRule="auto"/>
        <w:tabs>
          <w:tab w:leader="none" w:pos="248"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Delivery of Commission Filings</w:t>
      </w:r>
      <w:r>
        <w:rPr>
          <w:rFonts w:ascii="Arial" w:cs="Arial" w:eastAsia="Arial" w:hAnsi="Arial"/>
          <w:sz w:val="16"/>
          <w:szCs w:val="16"/>
          <w:color w:val="auto"/>
        </w:rPr>
        <w:t>. The Company has furnished or, upon written request of the Representative, shall deliver to the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Underwriters, without charge, conformed copies of the Registration Statement, as originally filed, and of each amendment thereto (including exhibits filed therewith) and conformed copies of all consents and certificates of experts, and will also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56" w:lineRule="exact"/>
        <w:rPr>
          <w:rFonts w:ascii="Arial" w:cs="Arial" w:eastAsia="Arial" w:hAnsi="Arial"/>
          <w:sz w:val="16"/>
          <w:szCs w:val="16"/>
          <w:color w:val="auto"/>
        </w:rPr>
      </w:pPr>
    </w:p>
    <w:p>
      <w:pPr>
        <w:ind w:left="4" w:right="20" w:hanging="4"/>
        <w:spacing w:after="0" w:line="273" w:lineRule="auto"/>
        <w:tabs>
          <w:tab w:leader="none" w:pos="259"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Delivery of Prospectuses</w:t>
      </w:r>
      <w:r>
        <w:rPr>
          <w:rFonts w:ascii="Arial" w:cs="Arial" w:eastAsia="Arial" w:hAnsi="Arial"/>
          <w:sz w:val="17"/>
          <w:szCs w:val="17"/>
          <w:color w:val="auto"/>
        </w:rPr>
        <w:t>. The Company has delivered to each Underwriter, without charge, as many copies of each preliminary prospectus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reasonably requested, and the Company hereby consents to the use of such copies for purposes permitted by the 1933 Act. The Company will furnish to each Underwriter, without charge, during the period when a prospectus relating to the Securities is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25" w:name="page26"/>
    <w:bookmarkEnd w:id="25"/>
    <w:p>
      <w:pPr>
        <w:ind w:left="4" w:hanging="4"/>
        <w:spacing w:after="0" w:line="255" w:lineRule="auto"/>
        <w:tabs>
          <w:tab w:leader="none" w:pos="24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Qualifications</w:t>
      </w:r>
      <w:r>
        <w:rPr>
          <w:rFonts w:ascii="Arial" w:cs="Arial" w:eastAsia="Arial" w:hAnsi="Arial"/>
          <w:sz w:val="18"/>
          <w:szCs w:val="18"/>
          <w:color w:val="auto"/>
        </w:rPr>
        <w:t>. The Company will use its commercially reasonable efforts, in cooperation with the Underwriters, to qualify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offering and sale under the applicable securities laws of such states and other jurisdictions (domestic or foreign) as the Representatives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84" w:lineRule="exact"/>
        <w:rPr>
          <w:rFonts w:ascii="Arial" w:cs="Arial" w:eastAsia="Arial" w:hAnsi="Arial"/>
          <w:sz w:val="18"/>
          <w:szCs w:val="18"/>
          <w:color w:val="auto"/>
        </w:rPr>
      </w:pPr>
    </w:p>
    <w:p>
      <w:pPr>
        <w:ind w:left="4" w:right="100" w:hanging="4"/>
        <w:spacing w:after="0" w:line="279" w:lineRule="auto"/>
        <w:tabs>
          <w:tab w:leader="none" w:pos="229"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The Company will make generally available to its securityholders as soon as practicable an earnings statement that satisfies the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63" w:lineRule="exact"/>
        <w:rPr>
          <w:rFonts w:ascii="Arial" w:cs="Arial" w:eastAsia="Arial" w:hAnsi="Arial"/>
          <w:sz w:val="17"/>
          <w:szCs w:val="17"/>
          <w:color w:val="auto"/>
        </w:rPr>
      </w:pPr>
    </w:p>
    <w:p>
      <w:pPr>
        <w:ind w:left="4" w:right="560" w:hanging="4"/>
        <w:spacing w:after="0" w:line="277" w:lineRule="auto"/>
        <w:tabs>
          <w:tab w:leader="none" w:pos="259"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will cooperate with the Representatives and use its commercially reasonable efforts to permit the offered Securities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for clearance and settlement through the facilities of DTC.</w:t>
      </w:r>
    </w:p>
    <w:p>
      <w:pPr>
        <w:spacing w:after="0" w:line="62" w:lineRule="exact"/>
        <w:rPr>
          <w:rFonts w:ascii="Arial" w:cs="Arial" w:eastAsia="Arial" w:hAnsi="Arial"/>
          <w:sz w:val="18"/>
          <w:szCs w:val="18"/>
          <w:color w:val="auto"/>
        </w:rPr>
      </w:pPr>
    </w:p>
    <w:p>
      <w:pPr>
        <w:ind w:left="4" w:right="160" w:hanging="4"/>
        <w:spacing w:after="0" w:line="291" w:lineRule="auto"/>
        <w:tabs>
          <w:tab w:leader="none" w:pos="25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Use of Proceeds; OFAC</w:t>
      </w:r>
      <w:r>
        <w:rPr>
          <w:rFonts w:ascii="Arial" w:cs="Arial" w:eastAsia="Arial" w:hAnsi="Arial"/>
          <w:sz w:val="16"/>
          <w:szCs w:val="16"/>
          <w:color w:val="auto"/>
        </w:rPr>
        <w:t>. The Company will use the net proceeds received by it from the sale of the Securities in the manner specified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General Disclosure Package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58" w:lineRule="exact"/>
        <w:rPr>
          <w:rFonts w:ascii="Arial" w:cs="Arial" w:eastAsia="Arial" w:hAnsi="Arial"/>
          <w:sz w:val="16"/>
          <w:szCs w:val="16"/>
          <w:color w:val="auto"/>
        </w:rPr>
      </w:pPr>
    </w:p>
    <w:p>
      <w:pPr>
        <w:ind w:left="4" w:right="140" w:firstLine="436"/>
        <w:spacing w:after="0" w:line="272" w:lineRule="auto"/>
        <w:tabs>
          <w:tab w:leader="none" w:pos="659"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Clear Market</w:t>
      </w:r>
      <w:r>
        <w:rPr>
          <w:rFonts w:ascii="Arial" w:cs="Arial" w:eastAsia="Arial" w:hAnsi="Arial"/>
          <w:sz w:val="17"/>
          <w:szCs w:val="17"/>
          <w:color w:val="auto"/>
        </w:rPr>
        <w:t>. Through the Closing Time, the Company will not, without the prior written consent of the Representatives, (i)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offer, pledge, sell, contract to sell, sell any option or contract to purchase, purchase any option or contract to sell, grant any option, right or warrant to purchase or otherwise transfer or dispose of any debt securities issued or guaranteed by the Company or any securities convertible into or exercisable or exchangeable for debt securities issued or guaranteed by the Company or file any registration statement under the 1933 Act with respect to any of the foregoing or (ii) enter into any swap or any other agreement or any transaction that transfers, in whole or in part, directly or indirectly, the economic consequence of ownership of debt securities issued or guaranteed by the Company or any such other securities, without the prior written consent of the Representatives on behalf of the Underwriters, other than the Securities to be sold hereunder.</w:t>
      </w:r>
    </w:p>
    <w:p>
      <w:pPr>
        <w:spacing w:after="0" w:line="69" w:lineRule="exact"/>
        <w:rPr>
          <w:sz w:val="20"/>
          <w:szCs w:val="20"/>
          <w:color w:val="auto"/>
        </w:rPr>
      </w:pPr>
    </w:p>
    <w:p>
      <w:pPr>
        <w:jc w:val="both"/>
        <w:ind w:left="4" w:hanging="4"/>
        <w:spacing w:after="0" w:line="263" w:lineRule="auto"/>
        <w:tabs>
          <w:tab w:leader="none" w:pos="21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required to be delivered under the 1933 Act,</w:t>
      </w:r>
      <w:r>
        <w:rPr>
          <w:rFonts w:ascii="Arial" w:cs="Arial" w:eastAsia="Arial" w:hAnsi="Arial"/>
          <w:sz w:val="18"/>
          <w:szCs w:val="18"/>
          <w:i w:val="1"/>
          <w:iCs w:val="1"/>
          <w:color w:val="auto"/>
        </w:rPr>
        <w:t xml:space="preserve"> </w:t>
      </w:r>
      <w:r>
        <w:rPr>
          <w:rFonts w:ascii="Arial" w:cs="Arial" w:eastAsia="Arial" w:hAnsi="Arial"/>
          <w:sz w:val="18"/>
          <w:szCs w:val="18"/>
          <w:color w:val="auto"/>
        </w:rPr>
        <w:t>will file all documents required to be filed with the Commission pursuant to the 1934 Act within the time periods required by the 1934 Act and 1934 Act Regulations.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6" w:name="page27"/>
    <w:bookmarkEnd w:id="26"/>
    <w:p>
      <w:pPr>
        <w:ind w:left="4" w:right="60" w:hanging="4"/>
        <w:spacing w:after="0" w:line="259"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Development Company Status</w:t>
      </w:r>
      <w:r>
        <w:rPr>
          <w:rFonts w:ascii="Arial" w:cs="Arial" w:eastAsia="Arial" w:hAnsi="Arial"/>
          <w:sz w:val="18"/>
          <w:szCs w:val="18"/>
          <w:color w:val="auto"/>
        </w:rPr>
        <w:t>. The Company, during the period of at least two years from the Closing Time, will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78" w:lineRule="exact"/>
        <w:rPr>
          <w:rFonts w:ascii="Arial" w:cs="Arial" w:eastAsia="Arial" w:hAnsi="Arial"/>
          <w:sz w:val="18"/>
          <w:szCs w:val="18"/>
          <w:color w:val="auto"/>
        </w:rPr>
      </w:pPr>
    </w:p>
    <w:p>
      <w:pPr>
        <w:ind w:left="4" w:right="160" w:hanging="4"/>
        <w:spacing w:after="0" w:line="342" w:lineRule="auto"/>
        <w:tabs>
          <w:tab w:leader="none" w:pos="219"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Regulated Investment Company Status</w:t>
      </w:r>
      <w:r>
        <w:rPr>
          <w:rFonts w:ascii="Arial" w:cs="Arial" w:eastAsia="Arial" w:hAnsi="Arial"/>
          <w:sz w:val="16"/>
          <w:szCs w:val="16"/>
          <w:color w:val="auto"/>
        </w:rPr>
        <w:t>. The Company will use its commercially reasonable efforts to maintain its qualification as a regulated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company under Subchapter M of the Code for each full fiscal year during which it is a business development company under the 1940 Act.</w:t>
      </w:r>
    </w:p>
    <w:p>
      <w:pPr>
        <w:spacing w:after="0" w:line="15" w:lineRule="exact"/>
        <w:rPr>
          <w:rFonts w:ascii="Arial" w:cs="Arial" w:eastAsia="Arial" w:hAnsi="Arial"/>
          <w:sz w:val="16"/>
          <w:szCs w:val="16"/>
          <w:color w:val="auto"/>
        </w:rPr>
      </w:pPr>
    </w:p>
    <w:p>
      <w:pPr>
        <w:ind w:left="4" w:right="360" w:hanging="4"/>
        <w:spacing w:after="0" w:line="259" w:lineRule="auto"/>
        <w:tabs>
          <w:tab w:leader="none" w:pos="30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to (i) test procedures and conduct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78" w:lineRule="exact"/>
        <w:rPr>
          <w:rFonts w:ascii="Arial" w:cs="Arial" w:eastAsia="Arial" w:hAnsi="Arial"/>
          <w:sz w:val="18"/>
          <w:szCs w:val="18"/>
          <w:color w:val="auto"/>
        </w:rPr>
      </w:pPr>
    </w:p>
    <w:p>
      <w:pPr>
        <w:ind w:left="4" w:right="40" w:hanging="4"/>
        <w:spacing w:after="0" w:line="269" w:lineRule="auto"/>
        <w:tabs>
          <w:tab w:leader="none" w:pos="259"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Accounting Controls</w:t>
      </w:r>
      <w:r>
        <w:rPr>
          <w:rFonts w:ascii="Arial" w:cs="Arial" w:eastAsia="Arial" w:hAnsi="Arial"/>
          <w:sz w:val="17"/>
          <w:szCs w:val="17"/>
          <w:color w:val="auto"/>
        </w:rPr>
        <w:t>. The Company will use commercially reasonable efforts to establish and maintain a system of internal accounting controls</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77" w:lineRule="exact"/>
        <w:rPr>
          <w:rFonts w:ascii="Arial" w:cs="Arial" w:eastAsia="Arial" w:hAnsi="Arial"/>
          <w:sz w:val="17"/>
          <w:szCs w:val="17"/>
          <w:color w:val="auto"/>
        </w:rPr>
      </w:pPr>
    </w:p>
    <w:p>
      <w:pPr>
        <w:ind w:left="4" w:right="40" w:hanging="4"/>
        <w:spacing w:after="0" w:line="257"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will use commercially reasonable efforts to establish and employ disclosure controls and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79" w:lineRule="exact"/>
        <w:rPr>
          <w:rFonts w:ascii="Arial" w:cs="Arial" w:eastAsia="Arial" w:hAnsi="Arial"/>
          <w:sz w:val="18"/>
          <w:szCs w:val="18"/>
          <w:color w:val="auto"/>
        </w:rPr>
      </w:pPr>
    </w:p>
    <w:p>
      <w:pPr>
        <w:ind w:left="4" w:hanging="4"/>
        <w:spacing w:after="0" w:line="275" w:lineRule="auto"/>
        <w:tabs>
          <w:tab w:leader="none" w:pos="259"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Testing-the-Waters Materials</w:t>
      </w:r>
      <w:r>
        <w:rPr>
          <w:rFonts w:ascii="Arial" w:cs="Arial" w:eastAsia="Arial" w:hAnsi="Arial"/>
          <w:sz w:val="17"/>
          <w:szCs w:val="17"/>
          <w:color w:val="auto"/>
        </w:rPr>
        <w:t>. If at any time following the distribution of any Written Testing-the-Waters Communication there has occurred or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7" w:name="page28"/>
    <w:bookmarkEnd w:id="27"/>
    <w:p>
      <w:pPr>
        <w:ind w:left="4" w:right="80" w:hanging="4"/>
        <w:spacing w:after="0" w:line="291" w:lineRule="auto"/>
        <w:tabs>
          <w:tab w:leader="none" w:pos="259"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w:t>
      </w:r>
      <w:r>
        <w:rPr>
          <w:rFonts w:ascii="Arial" w:cs="Arial" w:eastAsia="Arial" w:hAnsi="Arial"/>
          <w:sz w:val="16"/>
          <w:szCs w:val="16"/>
          <w:color w:val="auto"/>
        </w:rPr>
        <w:t>. The Company represents and agrees that, without the prior consent of the Representatives (i) it will not distribute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offering material other than the Registration Statement, the General Disclosure Package, the Prospectus or the information set forth on Schedule B hereto, and (ii) it has not made and will not make any offer relating to the Securities that would constitute a “free writing prospectus” as defined in Rule 405 under the 1933 Act (other than for the information set forth on Schedule B hereto),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 including</w:t>
      </w:r>
    </w:p>
    <w:p>
      <w:pPr>
        <w:spacing w:after="0" w:line="46" w:lineRule="exact"/>
        <w:rPr>
          <w:sz w:val="20"/>
          <w:szCs w:val="20"/>
          <w:color w:val="auto"/>
        </w:rPr>
      </w:pPr>
    </w:p>
    <w:p>
      <w:pPr>
        <w:ind w:left="4" w:right="40" w:hanging="4"/>
        <w:spacing w:after="0" w:line="267" w:lineRule="auto"/>
        <w:tabs>
          <w:tab w:leader="none" w:pos="21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preparation, printing and filing of the Registration Statement (including financial statements and exhibits) as originally filed and each amendment thereto, (ii) the preparation, printing and delivery to the Underwriters of copies of each preliminary prospectus and the Prospectus and any amendments or supplements thereto, this Agreement, the Indenture, the DTC Agreement and such other documents as may be required in connection with the offering, purchase, sale, issuance or delivery of the Securities,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and the Adviser’s counsel, accountants and other advisors, (v) the qualification of the Securities under securities laws in accordance with the provisions of Section 3(e) hereof, (vi) the fees and expenses of the Trustee for the Securities, (vii) the costs and expenses of the Company relating to investor presentations on any “road show” undertaken in connection with the marketing of the Securities, including without limitation, reasonable and documented expenses associated with the production of road show slides and graphics, fees and expenses of any consultants engaged in connection with the road show presentations, documented travel and lodging expenses of officers of the Company and any such consultants and (viii)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second sentence of Section 1(a)(iv).</w:t>
      </w:r>
    </w:p>
    <w:p>
      <w:pPr>
        <w:spacing w:after="0" w:line="73" w:lineRule="exact"/>
        <w:rPr>
          <w:sz w:val="20"/>
          <w:szCs w:val="20"/>
          <w:color w:val="auto"/>
        </w:rPr>
      </w:pPr>
    </w:p>
    <w:p>
      <w:pPr>
        <w:ind w:left="264" w:hanging="264"/>
        <w:spacing w:after="0"/>
        <w:tabs>
          <w:tab w:leader="none" w:pos="264"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this Agreement is terminated by the Representatives in accordance with the provisions of Section 5 or Section 9(a)(i) or</w:t>
      </w:r>
    </w:p>
    <w:p>
      <w:pPr>
        <w:spacing w:after="0" w:line="46" w:lineRule="exact"/>
        <w:rPr>
          <w:rFonts w:ascii="Arial" w:cs="Arial" w:eastAsia="Arial" w:hAnsi="Arial"/>
          <w:sz w:val="16"/>
          <w:szCs w:val="16"/>
          <w:color w:val="auto"/>
        </w:rPr>
      </w:pPr>
    </w:p>
    <w:p>
      <w:pPr>
        <w:ind w:left="4" w:right="100" w:hanging="4"/>
        <w:spacing w:after="0" w:line="260"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hereof, the Company shall reimburse the Underwriters for all of their reasonable and documented out-of-pocket expenses, including the reasonable and documented fees and disbursements of counsel for the Underwriters.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8" w:name="page29"/>
    <w:bookmarkEnd w:id="28"/>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Company and the Adviser contained herein or in certificates of any officer of the Company, any of the Subsidiaries or the Adviser delivered pursuant to the provisions hereof, to the performance by the Company and the Adviser of their respective covenants and other obligations hereunder, and to the following further conditions:</w:t>
      </w:r>
    </w:p>
    <w:p>
      <w:pPr>
        <w:spacing w:after="0" w:line="79" w:lineRule="exact"/>
        <w:rPr>
          <w:sz w:val="20"/>
          <w:szCs w:val="20"/>
          <w:color w:val="auto"/>
        </w:rPr>
      </w:pPr>
    </w:p>
    <w:p>
      <w:pPr>
        <w:ind w:left="4" w:right="320" w:hanging="4"/>
        <w:spacing w:after="0" w:line="273" w:lineRule="auto"/>
        <w:tabs>
          <w:tab w:leader="none" w:pos="248"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Registration Statement</w:t>
      </w:r>
      <w:r>
        <w:rPr>
          <w:rFonts w:ascii="Arial" w:cs="Arial" w:eastAsia="Arial" w:hAnsi="Arial"/>
          <w:sz w:val="17"/>
          <w:szCs w:val="17"/>
          <w:color w:val="auto"/>
        </w:rPr>
        <w:t>. At the Closing Time, no stop order suspending the effectiveness of the Registration Statement or any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thereto has been issued under the 1933 Act, no order preventing or suspending the use of any preliminary prospectus,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69" w:lineRule="exact"/>
        <w:rPr>
          <w:rFonts w:ascii="Arial" w:cs="Arial" w:eastAsia="Arial" w:hAnsi="Arial"/>
          <w:sz w:val="17"/>
          <w:szCs w:val="17"/>
          <w:color w:val="auto"/>
        </w:rPr>
      </w:pPr>
    </w:p>
    <w:p>
      <w:pPr>
        <w:ind w:left="4" w:right="80" w:hanging="4"/>
        <w:spacing w:after="0" w:line="255" w:lineRule="auto"/>
        <w:tabs>
          <w:tab w:leader="none" w:pos="259"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Opinions of Counsel for Company</w:t>
      </w:r>
      <w:r>
        <w:rPr>
          <w:rFonts w:ascii="Arial" w:cs="Arial" w:eastAsia="Arial" w:hAnsi="Arial"/>
          <w:sz w:val="18"/>
          <w:szCs w:val="18"/>
          <w:color w:val="auto"/>
        </w:rPr>
        <w:t>. At the Closing Time, the Representatives shall have received the favorable opinions,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Dechert LLP, counsel for the Company, and of Venable LLP, counsel for the Company, in form and substance reasonably satisfactory to counsel for the Underwriters, together with signed or reproduced copies of such letters for each of the other Underwriters to the effect set forth in Exhibit A-1 and Exhibit A-2 hereto and to such further effect as counsel to the Underwriters may reasonably request. Such counsels may state that insofar as such opinions involve factual matters, they have relied, to the extent they deem proper, upon certificates of officers of the Company and the Subsidiaries and the Adviser and certificates of public officials.</w:t>
      </w:r>
    </w:p>
    <w:p>
      <w:pPr>
        <w:spacing w:after="0" w:line="84" w:lineRule="exact"/>
        <w:rPr>
          <w:rFonts w:ascii="Arial" w:cs="Arial" w:eastAsia="Arial" w:hAnsi="Arial"/>
          <w:sz w:val="18"/>
          <w:szCs w:val="18"/>
          <w:color w:val="auto"/>
        </w:rPr>
      </w:pPr>
    </w:p>
    <w:p>
      <w:pPr>
        <w:jc w:val="both"/>
        <w:ind w:left="4" w:hanging="4"/>
        <w:spacing w:after="0" w:line="259" w:lineRule="auto"/>
        <w:tabs>
          <w:tab w:leader="none" w:pos="24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favorable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Ropes &amp; Gray LLP, counsel for the Underwriters. Such counsel may also state that, insofar as such opinion involves factual matters, they have relied, to the extent they deem proper, upon certificates of officers and other representatives of the Company and the Subsidiaries and the Adviser and certificates of public officials.</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w:t>
      </w:r>
    </w:p>
    <w:p>
      <w:pPr>
        <w:spacing w:after="0" w:line="117" w:lineRule="exact"/>
        <w:rPr>
          <w:sz w:val="20"/>
          <w:szCs w:val="20"/>
          <w:color w:val="auto"/>
        </w:rPr>
      </w:pPr>
    </w:p>
    <w:p>
      <w:pPr>
        <w:ind w:left="4" w:right="40" w:hanging="4"/>
        <w:spacing w:after="0" w:line="285" w:lineRule="auto"/>
        <w:tabs>
          <w:tab w:leader="none" w:pos="21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At the Closing Time, there shall not have been, since the date hereof or since the respective dates as of which information is given in the Registration Statement, the General Disclosure Package or the Prospectus, any material adverse change in the business, properties, management, financial condition, prospects or results of operations of the Company and the Subsidiaries considered as one enterprise,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(A) there has been no such material adverse change,</w:t>
      </w:r>
    </w:p>
    <w:p>
      <w:pPr>
        <w:spacing w:after="0" w:line="1" w:lineRule="exact"/>
        <w:rPr>
          <w:rFonts w:ascii="Arial" w:cs="Arial" w:eastAsia="Arial" w:hAnsi="Arial"/>
          <w:sz w:val="16"/>
          <w:szCs w:val="16"/>
          <w:color w:val="auto"/>
        </w:rPr>
      </w:pPr>
    </w:p>
    <w:p>
      <w:pPr>
        <w:ind w:left="4"/>
        <w:spacing w:after="0" w:line="271" w:lineRule="auto"/>
        <w:rPr>
          <w:rFonts w:ascii="Arial" w:cs="Arial" w:eastAsia="Arial" w:hAnsi="Arial"/>
          <w:sz w:val="16"/>
          <w:szCs w:val="16"/>
          <w:color w:val="auto"/>
        </w:rPr>
      </w:pPr>
      <w:r>
        <w:rPr>
          <w:rFonts w:ascii="Arial" w:cs="Arial" w:eastAsia="Arial" w:hAnsi="Arial"/>
          <w:sz w:val="17"/>
          <w:szCs w:val="17"/>
          <w:color w:val="auto"/>
        </w:rPr>
        <w:t>(B) the representations and warranties of the Company in Section 1(a) of this Agreement are true and correct with the same force and effect as though expressly made at and as of the Closing Time, (C) the Company has complied with all agreements and satisfied all conditions on its part to be performed or satisfied at or prior to the Closing Time, and (D)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29" w:name="page30"/>
    <w:bookmarkEnd w:id="29"/>
    <w:p>
      <w:pPr>
        <w:ind w:left="4" w:hanging="4"/>
        <w:spacing w:after="0" w:line="296" w:lineRule="auto"/>
        <w:tabs>
          <w:tab w:leader="none" w:pos="269"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Closing Time, there shall not have been, since the date hereof or since the respective dates as of which information is given in the Prospectus, an Adviser Material Adverse Effect, and the Representatives shall have received a certificate of the managing member of the Adviser, dated the Closing Time, to the effect that (A) there has been no such Adviser Material Adverse Effect, (B) the representations and warranties of the Adviser in Section 1(b) of this Agreement are true and correct with the same force and effect as though expressly made at and as of the Closing Time and (C) the Adviser has complied with all agreements and satisfied all conditions on their part to be performed or satisfied at or prior to the Closing Time.</w:t>
      </w:r>
    </w:p>
    <w:p>
      <w:pPr>
        <w:spacing w:after="0" w:line="53" w:lineRule="exact"/>
        <w:rPr>
          <w:sz w:val="20"/>
          <w:szCs w:val="20"/>
          <w:color w:val="auto"/>
        </w:rPr>
      </w:pPr>
    </w:p>
    <w:p>
      <w:pPr>
        <w:ind w:left="4" w:right="100" w:hanging="4"/>
        <w:spacing w:after="0" w:line="257" w:lineRule="auto"/>
        <w:tabs>
          <w:tab w:leader="none" w:pos="24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 RSM US LLP a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Company’s financial statements and certain financial information included or incorporated by reference in the Registration Statement, the General Disclosure Package and the Prospectus.</w:t>
      </w:r>
    </w:p>
    <w:p>
      <w:pPr>
        <w:spacing w:after="0" w:line="79" w:lineRule="exact"/>
        <w:rPr>
          <w:rFonts w:ascii="Arial" w:cs="Arial" w:eastAsia="Arial" w:hAnsi="Arial"/>
          <w:sz w:val="18"/>
          <w:szCs w:val="18"/>
          <w:color w:val="auto"/>
        </w:rPr>
      </w:pPr>
    </w:p>
    <w:p>
      <w:pPr>
        <w:ind w:left="4" w:right="140" w:hanging="4"/>
        <w:spacing w:after="0" w:line="263" w:lineRule="auto"/>
        <w:tabs>
          <w:tab w:leader="none" w:pos="229"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RSM US LLP a letter, dated as of the Closing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effect that they reaffirm the statements made in the letter furnished pursuant to subsection (e) of this Section, except that the specified date referred to shall be a date not more than three business days prior to the Closing Time.</w:t>
      </w:r>
    </w:p>
    <w:p>
      <w:pPr>
        <w:spacing w:after="0" w:line="75" w:lineRule="exact"/>
        <w:rPr>
          <w:rFonts w:ascii="Arial" w:cs="Arial" w:eastAsia="Arial" w:hAnsi="Arial"/>
          <w:sz w:val="18"/>
          <w:szCs w:val="18"/>
          <w:color w:val="auto"/>
        </w:rPr>
      </w:pPr>
    </w:p>
    <w:p>
      <w:pPr>
        <w:ind w:left="4" w:right="260" w:hanging="4"/>
        <w:spacing w:after="0" w:line="277"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Base Indenture, First Supplemental Indenture and Securities</w:t>
      </w:r>
      <w:r>
        <w:rPr>
          <w:rFonts w:ascii="Arial" w:cs="Arial" w:eastAsia="Arial" w:hAnsi="Arial"/>
          <w:sz w:val="18"/>
          <w:szCs w:val="18"/>
          <w:color w:val="auto"/>
        </w:rPr>
        <w:t>. At or prior to the Closing Time, the Company shall have executed and delivered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w:t>
      </w:r>
    </w:p>
    <w:p>
      <w:pPr>
        <w:spacing w:after="0" w:line="62" w:lineRule="exact"/>
        <w:rPr>
          <w:rFonts w:ascii="Arial" w:cs="Arial" w:eastAsia="Arial" w:hAnsi="Arial"/>
          <w:sz w:val="18"/>
          <w:szCs w:val="18"/>
          <w:color w:val="auto"/>
        </w:rPr>
      </w:pPr>
    </w:p>
    <w:p>
      <w:pPr>
        <w:ind w:left="4" w:right="20" w:hanging="4"/>
        <w:spacing w:after="0" w:line="259"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Maintenance of Rating</w:t>
      </w:r>
      <w:r>
        <w:rPr>
          <w:rFonts w:ascii="Arial" w:cs="Arial" w:eastAsia="Arial" w:hAnsi="Arial"/>
          <w:sz w:val="18"/>
          <w:szCs w:val="18"/>
          <w:color w:val="auto"/>
        </w:rPr>
        <w:t>. Since the execution of this Agreement, there shall not have been any decrease in or withdrawal of the rating of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any of its Subsidiaries by any “nationally recognized statistical rating organization” (as defined in Section 3(a)(62) of the 1934 Act) or any notice given of any intended or potential decrease in or withdrawal of any such rating or of a possible change in any such rating that does not indicate the direction of the possible change.</w:t>
      </w:r>
    </w:p>
    <w:p>
      <w:pPr>
        <w:spacing w:after="0" w:line="78" w:lineRule="exact"/>
        <w:rPr>
          <w:rFonts w:ascii="Arial" w:cs="Arial" w:eastAsia="Arial" w:hAnsi="Arial"/>
          <w:sz w:val="18"/>
          <w:szCs w:val="18"/>
          <w:color w:val="auto"/>
        </w:rPr>
      </w:pPr>
    </w:p>
    <w:p>
      <w:pPr>
        <w:ind w:left="4" w:right="140" w:hanging="4"/>
        <w:spacing w:after="0" w:line="257" w:lineRule="auto"/>
        <w:tabs>
          <w:tab w:leader="none" w:pos="219"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counsel for the Underwriters shall have been furnished with such documents and opinions as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Adviser in connection with the issuance and sale of the Securities as herein contemplated shall be satisfactory in form and substance to the Representatives and counsel for the Underwriters.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0" w:name="page31"/>
    <w:bookmarkEnd w:id="30"/>
    <w:p>
      <w:pPr>
        <w:ind w:left="4" w:right="20" w:hanging="4"/>
        <w:spacing w:after="0" w:line="259" w:lineRule="auto"/>
        <w:tabs>
          <w:tab w:leader="none" w:pos="219"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Agreement</w:t>
      </w:r>
      <w:r>
        <w:rPr>
          <w:rFonts w:ascii="Arial" w:cs="Arial" w:eastAsia="Arial" w:hAnsi="Arial"/>
          <w:sz w:val="18"/>
          <w:szCs w:val="18"/>
          <w:color w:val="auto"/>
        </w:rPr>
        <w:t>. If any condition specified in this Section shall not have been fulfilled when and as required to be fulfilled,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terminated by the Representatives by notice to the Company at any time at or prior to Closing Time, and such termination shall be without liability of any party to any other party except as provided in Section 4 and except that Sections 1, 6, 7, 8, 14, 15 and 16 survive any such termination and remain in full force and effect.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 w:right="120" w:hanging="4"/>
        <w:spacing w:after="0" w:line="311" w:lineRule="auto"/>
        <w:tabs>
          <w:tab w:leader="none" w:pos="248"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Indemnification of Underwriters by the Company and the Adviser</w:t>
      </w:r>
      <w:r>
        <w:rPr>
          <w:rFonts w:ascii="Arial" w:cs="Arial" w:eastAsia="Arial" w:hAnsi="Arial"/>
          <w:sz w:val="16"/>
          <w:szCs w:val="16"/>
          <w:color w:val="auto"/>
        </w:rPr>
        <w:t>. The Company and the Adviser, severally and not jointly, agree to indemnify and</w:t>
      </w:r>
      <w:r>
        <w:rPr>
          <w:rFonts w:ascii="Arial" w:cs="Arial" w:eastAsia="Arial" w:hAnsi="Arial"/>
          <w:sz w:val="16"/>
          <w:szCs w:val="16"/>
          <w:i w:val="1"/>
          <w:iCs w:val="1"/>
          <w:color w:val="auto"/>
        </w:rPr>
        <w:t xml:space="preserve"> </w:t>
      </w:r>
      <w:r>
        <w:rPr>
          <w:rFonts w:ascii="Arial" w:cs="Arial" w:eastAsia="Arial" w:hAnsi="Arial"/>
          <w:sz w:val="16"/>
          <w:szCs w:val="16"/>
          <w:color w:val="auto"/>
        </w:rPr>
        <w:t>hold harmless each Underwriter, its affiliates (as such term is defined in Rule 501(b) under the 1933 Act (each, an “Affiliate”)), its selling agents and each person, if any, who controls any Underwriter within the meaning of Section 15 of the 1933 Act or Section 20 of the 1934 Act as follows:</w:t>
      </w:r>
    </w:p>
    <w:p>
      <w:pPr>
        <w:spacing w:after="0" w:line="41" w:lineRule="exact"/>
        <w:rPr>
          <w:sz w:val="20"/>
          <w:szCs w:val="20"/>
          <w:color w:val="auto"/>
        </w:rPr>
      </w:pPr>
    </w:p>
    <w:p>
      <w:pPr>
        <w:ind w:left="4" w:right="40" w:hanging="4"/>
        <w:spacing w:after="0" w:line="269" w:lineRule="auto"/>
        <w:tabs>
          <w:tab w:leader="none" w:pos="2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any Rule 430B Information or Rule 430C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preliminary prospectus, Issuer Free Writing Prospectus, the Prospectus, any Marketing Materials, any Written Testing-the-Waters Communication or the General Disclosure Package of a material fact necessary in order to make the statements therein, in the light of the circumstances under which they were made, not misleading;</w:t>
      </w:r>
    </w:p>
    <w:p>
      <w:pPr>
        <w:spacing w:after="0" w:line="73" w:lineRule="exact"/>
        <w:rPr>
          <w:rFonts w:ascii="Arial" w:cs="Arial" w:eastAsia="Arial" w:hAnsi="Arial"/>
          <w:sz w:val="17"/>
          <w:szCs w:val="17"/>
          <w:color w:val="auto"/>
        </w:rPr>
      </w:pPr>
    </w:p>
    <w:p>
      <w:pPr>
        <w:ind w:left="4" w:hanging="4"/>
        <w:spacing w:after="0" w:line="259" w:lineRule="auto"/>
        <w:tabs>
          <w:tab w:leader="none" w:pos="2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78" w:lineRule="exact"/>
        <w:rPr>
          <w:rFonts w:ascii="Arial" w:cs="Arial" w:eastAsia="Arial" w:hAnsi="Arial"/>
          <w:sz w:val="18"/>
          <w:szCs w:val="18"/>
          <w:color w:val="auto"/>
        </w:rPr>
      </w:pPr>
    </w:p>
    <w:p>
      <w:pPr>
        <w:ind w:left="4" w:hanging="4"/>
        <w:spacing w:after="0" w:line="284" w:lineRule="auto"/>
        <w:tabs>
          <w:tab w:leader="none" w:pos="3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reasonably incurred and documented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Rule 430C Information, any preliminary prospectus, the General Disclosure Package or the Prospectus (or any amendment or supplement thereto) in reliance upon and in conformity with the Underwriter Information, and provided, further, that the Adviser’s indemnity agreement shall only apply to statements described in</w:t>
      </w:r>
    </w:p>
    <w:p>
      <w:pPr>
        <w:ind w:left="224" w:hanging="224"/>
        <w:spacing w:after="0"/>
        <w:tabs>
          <w:tab w:leader="none" w:pos="2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above regarding the Adviser.</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4" w:right="499" w:bottom="1440" w:gutter="0" w:footer="0" w:header="0"/>
        </w:sectPr>
      </w:pPr>
    </w:p>
    <w:bookmarkStart w:id="31" w:name="page32"/>
    <w:bookmarkEnd w:id="31"/>
    <w:p>
      <w:pPr>
        <w:ind w:left="4" w:hanging="4"/>
        <w:spacing w:after="0" w:line="272" w:lineRule="auto"/>
        <w:tabs>
          <w:tab w:leader="none" w:pos="259"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Company, Directors, Officers and Adviser</w:t>
      </w:r>
      <w:r>
        <w:rPr>
          <w:rFonts w:ascii="Arial" w:cs="Arial" w:eastAsia="Arial" w:hAnsi="Arial"/>
          <w:sz w:val="17"/>
          <w:szCs w:val="17"/>
          <w:color w:val="auto"/>
        </w:rPr>
        <w:t>. Each Underwriter, severally and not jointly, agrees to indemnify and hold harmless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the Adviser, their directors, each of the Company’s officers who signed the Registration Statement and each person, if any, who controls the Company or the Adviser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or Rule 430C Information, the General Disclosure Package, any Issuer Free Writing Prospectus or the Prospectus (or any amendment or supplement thereto) in reliance upon and in conformity with the Underwriter Information.</w:t>
      </w:r>
    </w:p>
    <w:p>
      <w:pPr>
        <w:spacing w:after="0" w:line="69" w:lineRule="exact"/>
        <w:rPr>
          <w:rFonts w:ascii="Arial" w:cs="Arial" w:eastAsia="Arial" w:hAnsi="Arial"/>
          <w:sz w:val="17"/>
          <w:szCs w:val="17"/>
          <w:color w:val="auto"/>
        </w:rPr>
      </w:pPr>
    </w:p>
    <w:p>
      <w:pPr>
        <w:ind w:left="4" w:right="20" w:hanging="4"/>
        <w:spacing w:after="0" w:line="268" w:lineRule="auto"/>
        <w:tabs>
          <w:tab w:leader="none" w:pos="248"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Each indemnified party shall give notice as promptly as reasonably practicable to each indemnifying party of</w:t>
      </w:r>
      <w:r>
        <w:rPr>
          <w:rFonts w:ascii="Arial" w:cs="Arial" w:eastAsia="Arial" w:hAnsi="Arial"/>
          <w:sz w:val="17"/>
          <w:szCs w:val="17"/>
          <w:i w:val="1"/>
          <w:iCs w:val="1"/>
          <w:color w:val="auto"/>
        </w:rPr>
        <w:t xml:space="preserve"> </w:t>
      </w:r>
      <w:r>
        <w:rPr>
          <w:rFonts w:ascii="Arial" w:cs="Arial" w:eastAsia="Arial" w:hAnsi="Arial"/>
          <w:sz w:val="17"/>
          <w:szCs w:val="17"/>
          <w:color w:val="auto"/>
        </w:rPr>
        <w:t>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32" w:name="page33"/>
    <w:bookmarkEnd w:id="32"/>
    <w:p>
      <w:pPr>
        <w:ind w:left="4" w:hanging="4"/>
        <w:spacing w:after="0" w:line="255"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without Consent if Failure to Reimburse</w:t>
      </w:r>
      <w:r>
        <w:rPr>
          <w:rFonts w:ascii="Arial" w:cs="Arial" w:eastAsia="Arial" w:hAnsi="Arial"/>
          <w:sz w:val="18"/>
          <w:szCs w:val="18"/>
          <w:color w:val="auto"/>
        </w:rPr>
        <w:t>. If at any time an indemnified party shall have requested an indemnifying party to reimburse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ind w:left="4" w:right="100"/>
        <w:spacing w:after="0" w:line="28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Adviser,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Adviser, on the one hand, and of the Underwriters, on the other hand, in connection with the statements or omissions which resulted in such losses, liabilities, claims, damages or expenses, as well as any other relevant equitable considerations. For the avoidance of doubt, the Adviser’s contribution agreement shall only apply to instances in which the Adviser has an indemnity obligation as described above in Section 6(a).</w:t>
      </w:r>
    </w:p>
    <w:p>
      <w:pPr>
        <w:spacing w:after="0" w:line="166"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relative benefits received by the Company and the Adviser,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8"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relative fault of the Company and the Adviser,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and the Adviser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The Company, the Adviser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3" w:name="page34"/>
    <w:bookmarkEnd w:id="33"/>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70"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or the Adviser within the meaning of Section 15 of the 1933 Act or Section 20 of the 1934 Act shall have the same rights to contribution as the Company or the Adviser, as the case may be. The Underwriters’ respective obligations to contribute pursuant to this Section 7 are several in proportion to the aggregate principal amount of Securities set forth opposite their respective names in Schedule A hereto and not joint.</w:t>
      </w:r>
    </w:p>
    <w:p>
      <w:pPr>
        <w:spacing w:after="0" w:line="178" w:lineRule="exact"/>
        <w:rPr>
          <w:sz w:val="20"/>
          <w:szCs w:val="20"/>
          <w:color w:val="auto"/>
        </w:rPr>
      </w:pPr>
    </w:p>
    <w:p>
      <w:pPr>
        <w:ind w:left="4" w:right="80"/>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Representations, Warranties and Agreements to Survive</w:t>
      </w:r>
      <w:r>
        <w:rPr>
          <w:rFonts w:ascii="Arial" w:cs="Arial" w:eastAsia="Arial" w:hAnsi="Arial"/>
          <w:sz w:val="17"/>
          <w:szCs w:val="17"/>
          <w:color w:val="auto"/>
        </w:rPr>
        <w:t>. All representations, warranties and agreements contained in this Agreement or in certificates of officers of the Company, any of the Subsidiaries or the Adviser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17" w:lineRule="exact"/>
        <w:rPr>
          <w:sz w:val="20"/>
          <w:szCs w:val="20"/>
          <w:color w:val="auto"/>
        </w:rPr>
      </w:pPr>
    </w:p>
    <w:p>
      <w:pPr>
        <w:ind w:left="4" w:right="40" w:hanging="4"/>
        <w:spacing w:after="0" w:line="269" w:lineRule="auto"/>
        <w:tabs>
          <w:tab w:leader="none" w:pos="248"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at any time at or prior to the Closing Time (i) if there</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in the judgment of the Representatives, since the time of execution of this Agreement or since the respective dates as of which information is given in the Registration Statement, the General Disclosure Package or the Prospectus, any material adverse change in the business, properties, management, financial condition, prospects or results of operations of the Company and the Subsidiaries taken as one enterprise or the Adviser, whether or not arising in the ordinary course of business, which would make it impracticable or inadvisable to proceed with the public offering or the delivery of the Securities on the terms and in the manner contemplated in the Registration Statement, the preliminary prospectus and the Prospectus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4" w:name="page35"/>
    <w:bookmarkEnd w:id="34"/>
    <w:p>
      <w:pPr>
        <w:ind w:left="4"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sale of the Securities, or (iii) if trading in any securities of the Company has been suspended or materially limited by the Commission or The New York Stock Exchange, or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70" w:lineRule="exact"/>
        <w:rPr>
          <w:sz w:val="20"/>
          <w:szCs w:val="20"/>
          <w:color w:val="auto"/>
        </w:rPr>
      </w:pPr>
    </w:p>
    <w:p>
      <w:pPr>
        <w:ind w:left="4" w:right="60" w:hanging="4"/>
        <w:spacing w:after="0" w:line="342" w:lineRule="auto"/>
        <w:tabs>
          <w:tab w:leader="none" w:pos="259"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If this Agreement is terminated pursuant to this Section, such termination shall be without liability of any party to any other party except</w:t>
      </w:r>
      <w:r>
        <w:rPr>
          <w:rFonts w:ascii="Arial" w:cs="Arial" w:eastAsia="Arial" w:hAnsi="Arial"/>
          <w:sz w:val="16"/>
          <w:szCs w:val="16"/>
          <w:i w:val="1"/>
          <w:iCs w:val="1"/>
          <w:color w:val="auto"/>
        </w:rPr>
        <w:t xml:space="preserve"> </w:t>
      </w:r>
      <w:r>
        <w:rPr>
          <w:rFonts w:ascii="Arial" w:cs="Arial" w:eastAsia="Arial" w:hAnsi="Arial"/>
          <w:sz w:val="16"/>
          <w:szCs w:val="16"/>
          <w:color w:val="auto"/>
        </w:rPr>
        <w:t>as provided in Section 4 hereof, provided that Sections 1, 6, 7, 8, 14, 15 and 16 shall survive such termination and remain in full force and effect.</w:t>
      </w:r>
    </w:p>
    <w:p>
      <w:pPr>
        <w:spacing w:after="0" w:line="124" w:lineRule="exact"/>
        <w:rPr>
          <w:sz w:val="20"/>
          <w:szCs w:val="20"/>
          <w:color w:val="auto"/>
        </w:rPr>
      </w:pPr>
    </w:p>
    <w:p>
      <w:pPr>
        <w:ind w:left="4" w:right="60"/>
        <w:spacing w:after="0" w:line="28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Default by One or More of the Underwriters</w:t>
      </w:r>
      <w:r>
        <w:rPr>
          <w:rFonts w:ascii="Arial" w:cs="Arial" w:eastAsia="Arial" w:hAnsi="Arial"/>
          <w:sz w:val="16"/>
          <w:szCs w:val="16"/>
          <w:color w:val="auto"/>
        </w:rPr>
        <w:t>. If one or more of the Underwriters shall fail at the Closing Time to purchase the Securities which it or they are obligated to purchase under this Agreement (the “Defaulted Securities”), the non-defaulting Underwriters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non-defaulting Underwriters shall not have completed such arrangements within such 24-hour period, then if the aggregate principal amount of Defaulted Securities does not exceed 10% of the aggregate principal amount of Securities to be purchased, each of the non-defaulting Underwriters shall be obligated, severally and not jointly, to purchase the full amount thereof in the proportions that their respective underwriting obligations hereunder bear to the underwriting obligations of all non-defaulting Underwriters, or if the aggregate principal amount of Defaulted Securities exceeds 10% of the aggregate principal amount of Securities to be purchased, this Agreement shall terminate without liability on the part of any non-defaulting Underwriter.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(i) the non-defaulting Underwriters or (ii) the Company shall have the right to postpone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 telecommunication. Notices to the Underwriters shall be directed to (i) (a) Goldman Sachs &amp; Co. LLC at 200 West Street, New York, New York 10282-2198 Attention: Registration Department; (b) Keefe, Bruyette &amp; Woods, Inc. at 787 Seventh Avenue, Fourth Floor, New York, New York 10019 Facsimile: (212) 581-1592 Attention: Capital Markets; and (c) Truist Securities, Inc. at 3333 Peachtree Road NE, Atlanta, Georgia 30326 Facsimile: (404) 926-5027 Attention:</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74" w:right="499" w:bottom="1440" w:gutter="0" w:footer="0" w:header="0"/>
        </w:sectPr>
      </w:pPr>
    </w:p>
    <w:bookmarkStart w:id="35" w:name="page36"/>
    <w:bookmarkEnd w:id="35"/>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Grade Capital Markets; and (ii) Ropes &amp; Gray LLP at 1211 Avenue of the Americas, New York, New York 10036, Attention: Paul Tropp and Christopher Capuzzi. Notices to the Company and the Adviser shall be directed to them at 590 Madison Avenue, 15th Floor, New York, NY 10022, facsimile no. (212) 905-1075, Attention: Arthur Penn.</w:t>
      </w:r>
    </w:p>
    <w:p>
      <w:pPr>
        <w:spacing w:after="0" w:line="184"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the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w:t>
      </w:r>
    </w:p>
    <w:p>
      <w:pPr>
        <w:spacing w:after="0" w:line="1" w:lineRule="exact"/>
        <w:rPr>
          <w:sz w:val="20"/>
          <w:szCs w:val="20"/>
          <w:color w:val="auto"/>
        </w:rPr>
      </w:pPr>
    </w:p>
    <w:p>
      <w:pPr>
        <w:ind w:left="4" w:hanging="4"/>
        <w:spacing w:after="0" w:line="277" w:lineRule="auto"/>
        <w:tabs>
          <w:tab w:leader="none" w:pos="25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73"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the Company and the Adviser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Adviser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78"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6" w:name="page37"/>
    <w:bookmarkEnd w:id="3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9"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7" w:name="page38"/>
    <w:bookmarkEnd w:id="37"/>
    <w:p>
      <w:pPr>
        <w:ind w:left="4" w:firstLine="436"/>
        <w:spacing w:after="0" w:line="285" w:lineRule="auto"/>
        <w:tabs>
          <w:tab w:leader="none" w:pos="689" w:val="left"/>
        </w:tabs>
        <w:numPr>
          <w:ilvl w:val="1"/>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20,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1"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the Company and the Adviser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14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0960"/>
          </w:cols>
          <w:pgMar w:left="440" w:top="274"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Sam Chaffin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Sam Chaffin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Victor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Victor Sack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 Head of ECM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 Nordlinger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 Nordlinger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0019"/>
          </w:cols>
          <w:pgMar w:left="440" w:top="274" w:right="1440"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left="184" w:hanging="184"/>
        <w:spacing w:after="0"/>
        <w:tabs>
          <w:tab w:leader="none" w:pos="1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initial offering price for the Securities shall be 101.45% of the aggregate principal amount thereof.</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 Price for the Securities to be paid by the several Underwriters shall be 99.45% of the aggregate principal amount thereof.</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36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3860" w:type="dxa"/>
            <w:vAlign w:val="bottom"/>
          </w:tcPr>
          <w:p>
            <w:pPr>
              <w:spacing w:after="0"/>
              <w:rPr>
                <w:sz w:val="15"/>
                <w:szCs w:val="15"/>
                <w:color w:val="auto"/>
              </w:rPr>
            </w:pPr>
          </w:p>
        </w:tc>
        <w:tc>
          <w:tcPr>
            <w:tcW w:w="9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3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51,000,000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17,000,000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8,500,000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4,250,000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4,250,000</w:t>
            </w:r>
          </w:p>
        </w:tc>
        <w:tc>
          <w:tcPr>
            <w:tcW w:w="0" w:type="dxa"/>
            <w:vAlign w:val="bottom"/>
          </w:tcPr>
          <w:p>
            <w:pPr>
              <w:spacing w:after="0"/>
              <w:rPr>
                <w:sz w:val="1"/>
                <w:szCs w:val="1"/>
                <w:color w:val="auto"/>
              </w:rPr>
            </w:pPr>
          </w:p>
        </w:tc>
      </w:tr>
      <w:tr>
        <w:trPr>
          <w:trHeight w:val="22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8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85,000,000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41" w:name="page42"/>
    <w:bookmarkEnd w:id="41"/>
    <w:p>
      <w:pPr>
        <w:ind w:left="49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Term sheet containing the terms of the Securities, substantially in the form of Annex A hereto.</w:t>
      </w:r>
    </w:p>
    <w:p>
      <w:pPr>
        <w:sectPr>
          <w:pgSz w:w="11900" w:h="16838" w:orient="portrait"/>
          <w:cols w:equalWidth="0" w:num="1">
            <w:col w:w="10019"/>
          </w:cols>
          <w:pgMar w:left="440" w:top="270" w:right="1440" w:bottom="1440" w:gutter="0" w:footer="0" w:header="0"/>
        </w:sectPr>
      </w:pPr>
    </w:p>
    <w:bookmarkStart w:id="42" w:name="page43"/>
    <w:bookmarkEnd w:id="42"/>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PFLT Investment Holdings, LLC</w:t>
      </w:r>
    </w:p>
    <w:p>
      <w:pPr>
        <w:sectPr>
          <w:pgSz w:w="11900" w:h="16838" w:orient="portrait"/>
          <w:cols w:equalWidth="0" w:num="1">
            <w:col w:w="10019"/>
          </w:cols>
          <w:pgMar w:left="440" w:top="270"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October 6,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October 6, 2021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Prospectus dated January 29,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333-235532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$85,000,000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4.25% Notes due 2026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6, 2021</w:t>
      </w:r>
    </w:p>
    <w:p>
      <w:pPr>
        <w:spacing w:after="0" w:line="21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following sets forth the final terms of the 4.25% Notes due 2026 and should only be read together with the preliminary prospectus supplement, dated October 6, 2021, together with the accompanying prospectus, dated January 29, 2020,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70" w:right="4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PennantPark Floating Rate Capital Ltd. (“PFLT”)</w:t>
      </w:r>
    </w:p>
    <w:p>
      <w:pPr>
        <w:spacing w:after="0" w:line="140" w:lineRule="exact"/>
        <w:rPr>
          <w:sz w:val="20"/>
          <w:szCs w:val="20"/>
          <w:color w:val="auto"/>
        </w:rPr>
      </w:pPr>
    </w:p>
    <w:p>
      <w:pPr>
        <w:sectPr>
          <w:pgSz w:w="11900" w:h="16838" w:orient="portrait"/>
          <w:cols w:equalWidth="0" w:num="2">
            <w:col w:w="2700" w:space="720"/>
            <w:col w:w="76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4.25% Notes due 2026 (the “Notes”)</w:t>
      </w:r>
    </w:p>
    <w:p>
      <w:pPr>
        <w:spacing w:after="0" w:line="140" w:lineRule="exact"/>
        <w:rPr>
          <w:sz w:val="20"/>
          <w:szCs w:val="20"/>
          <w:color w:val="auto"/>
        </w:rPr>
      </w:pPr>
    </w:p>
    <w:p>
      <w:pPr>
        <w:sectPr>
          <w:pgSz w:w="11900" w:h="16838" w:orient="portrait"/>
          <w:cols w:equalWidth="0" w:num="2">
            <w:col w:w="2700" w:space="720"/>
            <w:col w:w="76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Series of Notes: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The Notes are a further issuance of the $100,000,000 aggregate principal amount of 4.25% Notes due 2026 issued by PFLT on March 23, 2021 (the “Existing Notes”). The Notes will be treated as a single series with the Existing Notes under the indenture, dated March 23, 2021 (the “Base Indenture”), as supplemented by the first supplemental indenture, dated March 23, 2021, between PFLT and American Stock Transfer &amp; Trust Company, LLC, as trustee, and will have the same terms as the Existing Notes, other than the issue date and offering price. The Notes offered hereby will have the same CUSIP number as the Existing Notes and will be fungible and rank equally with the Existing Notes. Upon the issuance of the Notes offered hereby, the outstanding aggregate principal amount of PFLT’s 4.25% Notes due 2026 will be $185,000,000.</w:t>
      </w:r>
    </w:p>
    <w:p>
      <w:pPr>
        <w:spacing w:after="0" w:line="73" w:lineRule="exact"/>
        <w:rPr>
          <w:sz w:val="20"/>
          <w:szCs w:val="20"/>
          <w:color w:val="auto"/>
        </w:rPr>
      </w:pPr>
    </w:p>
    <w:p>
      <w:pPr>
        <w:sectPr>
          <w:pgSz w:w="11900" w:h="16838" w:orient="portrait"/>
          <w:cols w:equalWidth="0" w:num="2">
            <w:col w:w="2700" w:space="720"/>
            <w:col w:w="76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Rating (Egan-Jones)*: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BBB</w:t>
      </w:r>
    </w:p>
    <w:p>
      <w:pPr>
        <w:spacing w:after="0" w:line="129" w:lineRule="exact"/>
        <w:rPr>
          <w:sz w:val="20"/>
          <w:szCs w:val="20"/>
          <w:color w:val="auto"/>
        </w:rPr>
      </w:pPr>
    </w:p>
    <w:p>
      <w:pPr>
        <w:sectPr>
          <w:pgSz w:w="11900" w:h="16838" w:orient="portrait"/>
          <w:cols w:equalWidth="0" w:num="2">
            <w:col w:w="2700" w:space="720"/>
            <w:col w:w="760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6, 2021</w:t>
      </w:r>
    </w:p>
    <w:p>
      <w:pPr>
        <w:spacing w:after="0" w:line="136" w:lineRule="exact"/>
        <w:rPr>
          <w:sz w:val="20"/>
          <w:szCs w:val="20"/>
          <w:color w:val="auto"/>
        </w:rPr>
      </w:pPr>
    </w:p>
    <w:p>
      <w:pPr>
        <w:sectPr>
          <w:pgSz w:w="11900" w:h="16838" w:orient="portrait"/>
          <w:cols w:equalWidth="0" w:num="2">
            <w:col w:w="2700" w:space="720"/>
            <w:col w:w="760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12, 2021 (T+3</w:t>
      </w:r>
      <w:r>
        <w:rPr>
          <w:rFonts w:ascii="Arial" w:cs="Arial" w:eastAsia="Arial" w:hAnsi="Arial"/>
          <w:sz w:val="16"/>
          <w:szCs w:val="16"/>
          <w:b w:val="1"/>
          <w:bCs w:val="1"/>
          <w:color w:val="auto"/>
        </w:rPr>
        <w:t>)</w:t>
      </w:r>
    </w:p>
    <w:p>
      <w:pPr>
        <w:spacing w:after="0" w:line="158" w:lineRule="exact"/>
        <w:rPr>
          <w:sz w:val="20"/>
          <w:szCs w:val="20"/>
          <w:color w:val="auto"/>
        </w:rPr>
      </w:pPr>
    </w:p>
    <w:p>
      <w:pPr>
        <w:sectPr>
          <w:pgSz w:w="11900" w:h="16838" w:orient="portrait"/>
          <w:cols w:equalWidth="0" w:num="2">
            <w:col w:w="2700" w:space="720"/>
            <w:col w:w="7600"/>
          </w:cols>
          <w:pgMar w:left="440" w:top="270" w:right="439" w:bottom="1440" w:gutter="0" w:footer="0" w:header="0"/>
          <w:type w:val="continuous"/>
        </w:sectPr>
      </w:pPr>
    </w:p>
    <w:p>
      <w:pPr>
        <w:ind w:left="3420" w:right="100"/>
        <w:spacing w:after="0" w:line="290" w:lineRule="auto"/>
        <w:rPr>
          <w:sz w:val="20"/>
          <w:szCs w:val="20"/>
          <w:color w:val="auto"/>
        </w:rPr>
      </w:pPr>
      <w:r>
        <w:rPr>
          <w:rFonts w:ascii="Arial" w:cs="Arial" w:eastAsia="Arial" w:hAnsi="Arial"/>
          <w:sz w:val="16"/>
          <w:szCs w:val="16"/>
          <w:color w:val="auto"/>
        </w:rPr>
        <w:t>PFLT expects that delivery of the Notes will be made to investors on or about October 12, 2021, which will be the third business day following the date of pricing of the notes (such settlement cycle being herein referred to as (“T+3”). Under Rule 15c6-1 under the Securities Exchange Act of 1934, as amended, trades in the secondary market generally are required to settle in two business days, unless the parties to any such trade expressly agree otherwise. Accordingly, purchasers who wish to trade notes on the date of pricing will be required, by virtue of the fact that the notes initially will settle T+3, to specify an alternate settlement cycle at the time of any such trade to prevent a failed settlement. Purchasers of notes who wish to trade notes on the date of pricing should consult their own advisor.</w:t>
      </w:r>
    </w:p>
    <w:p>
      <w:pPr>
        <w:sectPr>
          <w:pgSz w:w="11900" w:h="16838" w:orient="portrait"/>
          <w:cols w:equalWidth="0" w:num="1">
            <w:col w:w="11020"/>
          </w:cols>
          <w:pgMar w:left="440" w:top="270"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color w:val="auto"/>
        </w:rPr>
        <w:t>Aggregate Principal Amount Offered: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 (Issue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Accrued Interest: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Denomination: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$85,000,000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-284480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April 1,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0.875% due September 30,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99-14+ / 0.988%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+288.7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3.875%</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Notes will be issued at a price of 101.45% of their principal amount, plus Aggregate Accrued Interest (as defined below)</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$110,381.94 of aggregate accrued interest from October 1, 2021 up to, but not including, the date of delivery of the Notes offered hereby (the “Aggregate Accrued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commencing April 1,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Equal to the greater of the following amounts:</w:t>
      </w:r>
    </w:p>
    <w:p>
      <w:pPr>
        <w:spacing w:after="0" w:line="131" w:lineRule="exact"/>
        <w:rPr>
          <w:sz w:val="20"/>
          <w:szCs w:val="20"/>
          <w:color w:val="auto"/>
        </w:rPr>
      </w:pPr>
    </w:p>
    <w:p>
      <w:pPr>
        <w:ind w:left="340" w:hanging="259"/>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360" w:hanging="279"/>
        <w:spacing w:after="0" w:line="270" w:lineRule="auto"/>
        <w:tabs>
          <w:tab w:leader="none" w:pos="344"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 plus, in each case, accrued and unpaid interest to, but not including, the redemption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PFLT redeems any Notes on or after January 1, 2026 (the date falling three months prior to the maturity date of the Notes), the redemption price for the Notes will be equal to 100% of the principal amount of the Notes to be redeemed, plus, in each case, accrued and unpaid interest, if any, to, but excluding, the date of redemption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70806A AA4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US70806AAA43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Ladenburg Thalmann &amp; Co. Inc.</w:t>
      </w:r>
    </w:p>
    <w:p>
      <w:pPr>
        <w:sectPr>
          <w:pgSz w:w="11900" w:h="16838" w:orient="portrait"/>
          <w:cols w:equalWidth="0" w:num="2">
            <w:col w:w="2720" w:space="700"/>
            <w:col w:w="7400"/>
          </w:cols>
          <w:pgMar w:left="440" w:top="382" w:right="6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Note: A securities rating is not a recommendation to buy, sell or hold securities and may be subject to revision or withdrawal at any time.</w:t>
      </w:r>
    </w:p>
    <w:p>
      <w:pPr>
        <w:spacing w:after="0" w:line="2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PFLT before investing. The preliminary prospectus supplement, dated October 6, 2021, and the accompanying prospectus, dated January 29, 2020, each of which have been filed with the Securities and Exchange Commission (the “SEC”), contains this and other information about PFLT and should be read carefully before investing.</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PFLT and are not soliciting an offer to buy such securities in any state or jurisdiction where such offer and sale is not permitted.</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PFLT’s shelf registration statement is on file with, and has been declared effective by, the SEC. The offering may be made only by means of a preliminary prospectus supplement and an accompanying prospectus. Before you invest, you should read the preliminary prospectus supplement, dated October 6, 2021, the accompanying prospectus, dated January 29, 2020, and other documents PFLT has filed with the SEC for more complete information about PFLT and this offering. You may obtain these documents for free by visiting EDGAR on the SEC Web site at www.sec.gov. Alternatively, PFLT, any underwriter or any dealer participating in the offering will arrange to send you the prospectus supplement and accompanying prospectus if you request it from any of the following: Goldman Sachs &amp; Co. LLC, Attn: Prospectus Department, 200 West Street, New York, NY 10282, telephone: 1-866-471-2526, facsimile: 1-212-902-9316 or email: prospectus-ny@ny.email.gs.com; Keefe, Bruyette &amp; Woods, </w:t>
      </w:r>
      <w:r>
        <w:rPr>
          <w:rFonts w:ascii="Arial" w:cs="Arial" w:eastAsia="Arial" w:hAnsi="Arial"/>
          <w:sz w:val="18"/>
          <w:szCs w:val="18"/>
          <w:b w:val="1"/>
          <w:bCs w:val="1"/>
          <w:i w:val="1"/>
          <w:iCs w:val="1"/>
          <w:color w:val="auto"/>
        </w:rPr>
        <w:t>A Stifel Company</w:t>
      </w:r>
      <w:r>
        <w:rPr>
          <w:rFonts w:ascii="Arial" w:cs="Arial" w:eastAsia="Arial" w:hAnsi="Arial"/>
          <w:sz w:val="18"/>
          <w:szCs w:val="18"/>
          <w:b w:val="1"/>
          <w:bCs w:val="1"/>
          <w:color w:val="auto"/>
        </w:rPr>
        <w:t>, Attn: Prospectus Department, 787 Seventh Avenue, Fourth Floor, New York, NY 10019, telephone: 1-800-966-1559, facsimile: 1-212-581-1592 or email: USCapitalMarkets@kbw.com; and Truist Securities Inc., Attn: Prospectus Department, 303 Peachtree Road, Atlanta, GA 30308, telephone: 1-800-685-4786 or email: TSIDocs@Truist.com.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46" w:name="page47"/>
    <w:bookmarkEnd w:id="46"/>
    <w:p>
      <w:pPr>
        <w:jc w:val="right"/>
        <w:ind w:right="39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Dechert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[Attached Separately]</w:t>
      </w:r>
    </w:p>
    <w:p>
      <w:pPr>
        <w:sectPr>
          <w:pgSz w:w="11900" w:h="16838" w:orient="portrait"/>
          <w:cols w:equalWidth="0" w:num="1">
            <w:col w:w="10019"/>
          </w:cols>
          <w:pgMar w:left="440" w:top="270" w:right="1440" w:bottom="1440" w:gutter="0" w:footer="0" w:header="0"/>
        </w:sectPr>
      </w:pPr>
    </w:p>
    <w:bookmarkStart w:id="47" w:name="page48"/>
    <w:bookmarkEnd w:id="47"/>
    <w:p>
      <w:pPr>
        <w:jc w:val="right"/>
        <w:ind w:right="39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Venable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[Attached Separately]</w:t>
      </w:r>
    </w:p>
    <w:p>
      <w:pPr>
        <w:sectPr>
          <w:pgSz w:w="11900" w:h="16838" w:orient="portrait"/>
          <w:cols w:equalWidth="0" w:num="1">
            <w:col w:w="10019"/>
          </w:cols>
          <w:pgMar w:left="440" w:top="27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One International Place, 40th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28700" cy="3517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028700" cy="351790"/>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100 Oliver Street</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Boston, MA 02110-2605</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+1 617 728 7100 Main</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+1 617 426 6567 Fax</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22371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October 12,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N-2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We have acted as counsel to PennantPark Floating Rate Capital Ltd.,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of a registration statement on Form N-2 (Registration No. 333-235532) as originally filed on December 16, 2019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under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and as subsequently amended on January 28, 2020 (the registration statement at the time when it became effective on January 29, 2020, including the prospectus and the information deemed to be part thereof at the time of effectiveness, the exhibits thereto and the documents incorporated by reference therein, being hereinafter referred to collectively as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final prospectus supplement, dated October 6, 2021 (including the base prospectus filed therewith,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filed with the Commission on October 7, 2021 pursuant to Rule 424 under the Securities Act, relating to the proposed issuance by the Company of $85,000,000 aggregate principal amount of its 4.25% unsecured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 which shall constitute a further issuance of the $100,000,000 aggregate principal amount of 4.25% notes due 2026 issued by the Company on March 23, 2021, to be sold to underwriters pursuant to an underwriting agreement substantially in the form filed as Exhibit 1.1 to the Company’s Current Report on Form 8-K filed with the Commission on October 12, 2021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This opinion letter is being furnished to the Company in accordance with the requirements of Item 25 of Form N-2 under the Investment Company Act, and we express no opinion herein as to any matter other than as to the legality of the Indenture (as defined below) and the Notes.</w:t>
      </w:r>
    </w:p>
    <w:p>
      <w:pPr>
        <w:spacing w:after="0" w:line="184"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The Notes are to be issued pursuant to the indenture, dated as of March 23, 2021 (the “</w:t>
      </w:r>
      <w:r>
        <w:rPr>
          <w:rFonts w:ascii="Arial" w:cs="Arial" w:eastAsia="Arial" w:hAnsi="Arial"/>
          <w:sz w:val="16"/>
          <w:szCs w:val="16"/>
          <w:u w:val="single" w:color="auto"/>
          <w:color w:val="auto"/>
        </w:rPr>
        <w:t>Base Indenture</w:t>
      </w:r>
      <w:r>
        <w:rPr>
          <w:rFonts w:ascii="Arial" w:cs="Arial" w:eastAsia="Arial" w:hAnsi="Arial"/>
          <w:sz w:val="16"/>
          <w:szCs w:val="16"/>
          <w:color w:val="auto"/>
        </w:rPr>
        <w:t>”),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the first supplemental indenture, dated as of March 23, 2021, (the “</w:t>
      </w:r>
      <w:r>
        <w:rPr>
          <w:rFonts w:ascii="Arial" w:cs="Arial" w:eastAsia="Arial" w:hAnsi="Arial"/>
          <w:sz w:val="16"/>
          <w:szCs w:val="16"/>
          <w:u w:val="single" w:color="auto"/>
          <w:color w:val="auto"/>
        </w:rPr>
        <w:t>First 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Company and the Trustee.</w:t>
      </w:r>
    </w:p>
    <w:p>
      <w:pPr>
        <w:sectPr>
          <w:pgSz w:w="11900" w:h="16838" w:orient="portrait"/>
          <w:cols w:equalWidth="0" w:num="1">
            <w:col w:w="11020"/>
          </w:cols>
          <w:pgMar w:left="440" w:top="121"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12,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35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the opinions set forth below, including the following documents:</w:t>
      </w:r>
    </w:p>
    <w:p>
      <w:pPr>
        <w:spacing w:after="0" w:line="92"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specimen copy of the form of the Notes to be issued pursuant to the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Articles of Amendment and Restatement of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Second Amended and Restated Bylaws of the Company;</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State Department of Assessments and Taxation of Maryland as of a recent date; and</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resolutions approved by the pricing committee of the Board relating to, among other things, the authorization and issuance of the Notes.</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to the facts upon which this opinion is based, we have relied, to the extent we deem proper, upon certificates of public officials and certificates and written statements of agents, officers, directors, employees and representatives of the Company without having independently verified such factual matters.</w:t>
      </w:r>
    </w:p>
    <w:p>
      <w:pPr>
        <w:spacing w:after="0" w:line="18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who are signatories to the documents examined by us and (ii) the legal power and authority of all persons signing on behalf of the parties to such documents (other than the Company).</w:t>
      </w:r>
    </w:p>
    <w:p>
      <w:pPr>
        <w:sectPr>
          <w:pgSz w:w="11900" w:h="16838" w:orient="portrait"/>
          <w:cols w:equalWidth="0" w:num="1">
            <w:col w:w="11020"/>
          </w:cols>
          <w:pgMar w:left="440" w:top="274"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12,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359"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the basis of the foregoing and subject to the assumptions and qualifications set forth in this letter, we are of the opinion that:</w:t>
      </w:r>
    </w:p>
    <w:p>
      <w:pPr>
        <w:spacing w:after="0" w:line="131" w:lineRule="exact"/>
        <w:rPr>
          <w:sz w:val="20"/>
          <w:szCs w:val="20"/>
          <w:color w:val="auto"/>
        </w:rPr>
      </w:pPr>
    </w:p>
    <w:p>
      <w:pPr>
        <w:ind w:left="964" w:right="600" w:hanging="532"/>
        <w:spacing w:after="0" w:line="277" w:lineRule="auto"/>
        <w:tabs>
          <w:tab w:leader="none" w:pos="9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Base Indenture has been duly authorized, executed and delivered by the Company and constitutes the valid and legally binding obligation of the Company, enforceable against the Company in accordance with its terms.</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First Supplemental Indenture has been duly authorized, executed and delivered by the Company and constitutes the valid and legally binding obligation of the Company, enforceable against the Company in accordance with its terms.</w:t>
      </w:r>
    </w:p>
    <w:p>
      <w:pPr>
        <w:spacing w:after="0" w:line="75" w:lineRule="exact"/>
        <w:rPr>
          <w:rFonts w:ascii="Arial" w:cs="Arial" w:eastAsia="Arial" w:hAnsi="Arial"/>
          <w:sz w:val="18"/>
          <w:szCs w:val="18"/>
          <w:color w:val="auto"/>
        </w:rPr>
      </w:pPr>
    </w:p>
    <w:p>
      <w:pPr>
        <w:ind w:left="964" w:right="60" w:hanging="532"/>
        <w:spacing w:after="0" w:line="286" w:lineRule="auto"/>
        <w:tabs>
          <w:tab w:leader="none" w:pos="964" w:val="left"/>
        </w:tabs>
        <w:numPr>
          <w:ilvl w:val="0"/>
          <w:numId w:val="60"/>
        </w:numPr>
        <w:rPr>
          <w:rFonts w:ascii="Arial" w:cs="Arial" w:eastAsia="Arial" w:hAnsi="Arial"/>
          <w:sz w:val="17"/>
          <w:szCs w:val="17"/>
          <w:color w:val="auto"/>
        </w:rPr>
      </w:pPr>
      <w:r>
        <w:rPr>
          <w:rFonts w:ascii="Arial" w:cs="Arial" w:eastAsia="Arial" w:hAnsi="Arial"/>
          <w:sz w:val="17"/>
          <w:szCs w:val="17"/>
          <w:color w:val="auto"/>
        </w:rPr>
        <w:t>When duly executed by the Company and authenticated by the Trustee in accordance with the terms of the Indenture and delivered to the underwriters against payment therefor in accordance with the terms of the Underwriting Agreement, the Notes will constitute the legal and binding obligations of the Company, enforceable against the Company in accordance with their terms.</w:t>
      </w:r>
    </w:p>
    <w:p>
      <w:pPr>
        <w:spacing w:after="0" w:line="16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Notes:</w:t>
      </w:r>
    </w:p>
    <w:p>
      <w:pPr>
        <w:spacing w:after="0" w:line="76" w:lineRule="exact"/>
        <w:rPr>
          <w:sz w:val="20"/>
          <w:szCs w:val="20"/>
          <w:color w:val="auto"/>
        </w:rPr>
      </w:pPr>
    </w:p>
    <w:p>
      <w:pPr>
        <w:ind w:left="964" w:hanging="532"/>
        <w:spacing w:after="0"/>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Indenture and the Notes have been duly authorized, executed and delivered by each party thereto (other than the Company);</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final terms of the Notes have been duly established and approved by all necessary corporate action on the part of the Company;</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of the Notes as established comply with the requirements of the Investment Company Act; and</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Notes have been duly executed by the Company and authenticated by the Trustee in accordance with the Indenture and delivered to and paid for by the purchasers thereof.</w:t>
      </w:r>
    </w:p>
    <w:p>
      <w:pPr>
        <w:spacing w:after="0" w:line="170"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w:t>
      </w:r>
    </w:p>
    <w:p>
      <w:pPr>
        <w:spacing w:after="0" w:line="2" w:lineRule="exact"/>
        <w:rPr>
          <w:sz w:val="20"/>
          <w:szCs w:val="20"/>
          <w:color w:val="auto"/>
        </w:rPr>
      </w:pPr>
    </w:p>
    <w:p>
      <w:pPr>
        <w:ind w:left="324" w:hanging="324"/>
        <w:spacing w:after="0"/>
        <w:tabs>
          <w:tab w:leader="none" w:pos="324"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provisions of law which may require that a judgment for money damages rendered by a court in the United States be expressed only in U.S. dollars;</w:t>
      </w:r>
    </w:p>
    <w:p>
      <w:pPr>
        <w:spacing w:after="0" w:line="32" w:lineRule="exact"/>
        <w:rPr>
          <w:rFonts w:ascii="Arial" w:cs="Arial" w:eastAsia="Arial" w:hAnsi="Arial"/>
          <w:sz w:val="16"/>
          <w:szCs w:val="16"/>
          <w:color w:val="auto"/>
        </w:rPr>
      </w:pPr>
    </w:p>
    <w:p>
      <w:pPr>
        <w:ind w:left="4" w:right="180" w:hanging="4"/>
        <w:spacing w:after="0" w:line="281" w:lineRule="auto"/>
        <w:tabs>
          <w:tab w:leader="none" w:pos="309"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62"/>
        </w:numPr>
        <w:rPr>
          <w:rFonts w:ascii="Arial" w:cs="Arial" w:eastAsia="Arial" w:hAnsi="Arial"/>
          <w:sz w:val="16"/>
          <w:szCs w:val="16"/>
          <w:color w:val="auto"/>
        </w:rPr>
      </w:pPr>
      <w:r>
        <w:rPr>
          <w:rFonts w:ascii="Arial" w:cs="Arial" w:eastAsia="Arial" w:hAnsi="Arial"/>
          <w:sz w:val="16"/>
          <w:szCs w:val="16"/>
          <w:color w:val="auto"/>
        </w:rPr>
        <w:t>governmental authority to limit, delay or prohibit the making of payments outside the United States or in foreign currency or composite currency.</w:t>
      </w:r>
    </w:p>
    <w:p>
      <w:pPr>
        <w:sectPr>
          <w:pgSz w:w="11900" w:h="16838" w:orient="portrait"/>
          <w:cols w:equalWidth="0" w:num="1">
            <w:col w:w="11024"/>
          </w:cols>
          <w:pgMar w:left="436" w:top="274"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12,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expressed herein are limited to the federal laws of the United States of America and the laws of the State of New York.</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date of this opinion.</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Company’s Current Report on Form 8-K filed with the Commission on October 12, 2021 and to the reference to this firm under the caption “Legal Matters” in the Registration Statement and the Prospectus Supplement. In giving such consent, we do not thereby admit that we are in the category of persons whose consent is required under Section 7 of the Securities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020"/>
          </w:cols>
          <w:pgMar w:left="440" w:top="274"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332095" cy="548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3320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1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N-2:</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File No.: 333-235532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by the Company of up to $85,000,000 aggregate principal amount of the Company’s 4.25% Notes due 2026 (the “Notes”),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53"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 w:lineRule="exact"/>
        <w:rPr>
          <w:sz w:val="20"/>
          <w:szCs w:val="20"/>
          <w:color w:val="auto"/>
        </w:rPr>
      </w:pPr>
    </w:p>
    <w:p>
      <w:pPr>
        <w:ind w:right="140" w:firstLine="987"/>
        <w:spacing w:after="0" w:line="277" w:lineRule="auto"/>
        <w:tabs>
          <w:tab w:leader="none" w:pos="11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substantially in the form in which it was transmitted to the Commission under the 1933 Act;</w:t>
      </w:r>
    </w:p>
    <w:p>
      <w:pPr>
        <w:spacing w:after="0" w:line="62" w:lineRule="exact"/>
        <w:rPr>
          <w:rFonts w:ascii="Arial" w:cs="Arial" w:eastAsia="Arial" w:hAnsi="Arial"/>
          <w:sz w:val="18"/>
          <w:szCs w:val="18"/>
          <w:color w:val="auto"/>
        </w:rPr>
      </w:pPr>
    </w:p>
    <w:p>
      <w:pPr>
        <w:ind w:right="320" w:firstLine="987"/>
        <w:spacing w:after="0" w:line="277" w:lineRule="auto"/>
        <w:tabs>
          <w:tab w:leader="none" w:pos="11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Prospectus Supplement, dated October 6, 2021, in the form filed by the Company with the Commission pursuant to Rule 424(b) under the 1933 Act;</w:t>
      </w:r>
    </w:p>
    <w:p>
      <w:pPr>
        <w:spacing w:after="0" w:line="62" w:lineRule="exact"/>
        <w:rPr>
          <w:rFonts w:ascii="Arial" w:cs="Arial" w:eastAsia="Arial" w:hAnsi="Arial"/>
          <w:sz w:val="18"/>
          <w:szCs w:val="18"/>
          <w:color w:val="auto"/>
        </w:rPr>
      </w:pPr>
    </w:p>
    <w:p>
      <w:pPr>
        <w:ind w:left="1160" w:hanging="17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020"/>
          </w:cols>
          <w:pgMar w:left="440" w:top="121"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987"/>
        <w:spacing w:after="0" w:line="263" w:lineRule="auto"/>
        <w:tabs>
          <w:tab w:leader="none" w:pos="11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and a duly authorized committee thereof, relating to the authorization of the filing of the Registration Statement and the sale and issuance of the Notes, certified as of the date hereof by an officer of the Company;</w:t>
      </w:r>
    </w:p>
    <w:p>
      <w:pPr>
        <w:spacing w:after="0" w:line="75" w:lineRule="exact"/>
        <w:rPr>
          <w:rFonts w:ascii="Arial" w:cs="Arial" w:eastAsia="Arial" w:hAnsi="Arial"/>
          <w:sz w:val="18"/>
          <w:szCs w:val="18"/>
          <w:color w:val="auto"/>
        </w:rPr>
      </w:pPr>
    </w:p>
    <w:p>
      <w:pPr>
        <w:ind w:left="1160" w:hanging="173"/>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17" w:lineRule="exact"/>
        <w:rPr>
          <w:rFonts w:ascii="Arial" w:cs="Arial" w:eastAsia="Arial" w:hAnsi="Arial"/>
          <w:sz w:val="18"/>
          <w:szCs w:val="18"/>
          <w:color w:val="auto"/>
        </w:rPr>
      </w:pPr>
    </w:p>
    <w:p>
      <w:pPr>
        <w:ind w:right="320" w:firstLine="987"/>
        <w:spacing w:after="0" w:line="277" w:lineRule="auto"/>
        <w:tabs>
          <w:tab w:leader="none" w:pos="11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 Each individual executing any of the Documents, whether on behalf of such individual or any other person, is legally competent to do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w:t>
      </w:r>
    </w:p>
    <w:p>
      <w:pPr>
        <w:spacing w:after="0" w:line="103" w:lineRule="exact"/>
        <w:rPr>
          <w:sz w:val="20"/>
          <w:szCs w:val="20"/>
          <w:color w:val="auto"/>
        </w:rPr>
      </w:pPr>
    </w:p>
    <w:p>
      <w:pPr>
        <w:ind w:left="1160" w:hanging="173"/>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17" w:lineRule="exact"/>
        <w:rPr>
          <w:rFonts w:ascii="Arial" w:cs="Arial" w:eastAsia="Arial" w:hAnsi="Arial"/>
          <w:sz w:val="18"/>
          <w:szCs w:val="18"/>
          <w:color w:val="auto"/>
        </w:rPr>
      </w:pPr>
    </w:p>
    <w:p>
      <w:pPr>
        <w:ind w:right="180" w:firstLine="987"/>
        <w:spacing w:after="0" w:line="263" w:lineRule="auto"/>
        <w:tabs>
          <w:tab w:leader="none" w:pos="11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75" w:lineRule="exact"/>
        <w:rPr>
          <w:rFonts w:ascii="Arial" w:cs="Arial" w:eastAsia="Arial" w:hAnsi="Arial"/>
          <w:sz w:val="18"/>
          <w:szCs w:val="18"/>
          <w:color w:val="auto"/>
        </w:rPr>
      </w:pPr>
    </w:p>
    <w:p>
      <w:pPr>
        <w:ind w:firstLine="987"/>
        <w:spacing w:after="0" w:line="273" w:lineRule="auto"/>
        <w:tabs>
          <w:tab w:leader="none" w:pos="1171"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260" w:firstLine="987"/>
        <w:spacing w:after="0" w:line="277" w:lineRule="auto"/>
        <w:tabs>
          <w:tab w:leader="none" w:pos="11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1000"/>
          </w:cols>
          <w:pgMar w:left="440" w:top="1354"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60" w:firstLine="987"/>
        <w:spacing w:after="0" w:line="277" w:lineRule="auto"/>
        <w:tabs>
          <w:tab w:leader="none" w:pos="11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issuance of the Notes has been duly authorized and, when and if issued and delivered against payment therefor in accordance with the Resolutions, the Notes will be validly issued.</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issuance of the Notes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0920"/>
      </w:cols>
      <w:pgMar w:left="440" w:top="135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lowerLetter"/>
      <w:start w:val="1"/>
    </w:lvl>
    <w:lvl w:ilvl="1">
      <w:lvlJc w:val="left"/>
      <w:lvlText w:val="(%2)"/>
      <w:numFmt w:val="lowerLetter"/>
      <w:start w:val="1"/>
    </w:lvl>
  </w:abstractNum>
  <w:abstractNum w:abstractNumId="2">
    <w:nsid w:val="5577F8E1"/>
    <w:multiLevelType w:val="hybridMultilevel"/>
    <w:lvl w:ilvl="0">
      <w:lvlJc w:val="left"/>
      <w:lvlText w:val="(%1)"/>
      <w:numFmt w:val="lowerLetter"/>
      <w:start w:val="9"/>
    </w:lvl>
    <w:lvl w:ilvl="1">
      <w:lvlJc w:val="left"/>
      <w:lvlText w:val="%2"/>
      <w:numFmt w:val="lowerLetter"/>
      <w:start w:val="1"/>
    </w:lvl>
  </w:abstractNum>
  <w:abstractNum w:abstractNumId="3">
    <w:nsid w:val="440BADFC"/>
    <w:multiLevelType w:val="hybridMultilevel"/>
    <w:lvl w:ilvl="0">
      <w:lvlJc w:val="left"/>
      <w:lvlText w:val="(%1)"/>
      <w:numFmt w:val="lowerRoman"/>
      <w:start w:val="2"/>
    </w:lvl>
  </w:abstractNum>
  <w:abstractNum w:abstractNumId="4">
    <w:nsid w:val="5072367"/>
    <w:multiLevelType w:val="hybridMultilevel"/>
    <w:lvl w:ilvl="0">
      <w:lvlJc w:val="left"/>
      <w:lvlText w:val="(%1)"/>
      <w:numFmt w:val="lowerRoman"/>
      <w:start w:val="2"/>
    </w:lvl>
  </w:abstractNum>
  <w:abstractNum w:abstractNumId="5">
    <w:nsid w:val="3804823E"/>
    <w:multiLevelType w:val="hybridMultilevel"/>
    <w:lvl w:ilvl="0">
      <w:lvlJc w:val="left"/>
      <w:lvlText w:val="(%1)"/>
      <w:numFmt w:val="lowerRoman"/>
      <w:start w:val="5"/>
    </w:lvl>
  </w:abstractNum>
  <w:abstractNum w:abstractNumId="6">
    <w:nsid w:val="77465F01"/>
    <w:multiLevelType w:val="hybridMultilevel"/>
    <w:lvl w:ilvl="0">
      <w:lvlJc w:val="left"/>
      <w:lvlText w:val="(%1)"/>
      <w:numFmt w:val="lowerRoman"/>
      <w:start w:val="6"/>
    </w:lvl>
  </w:abstractNum>
  <w:abstractNum w:abstractNumId="7">
    <w:nsid w:val="7724C67E"/>
    <w:multiLevelType w:val="hybridMultilevel"/>
    <w:lvl w:ilvl="0">
      <w:lvlJc w:val="left"/>
      <w:lvlText w:val="(%1)"/>
      <w:numFmt w:val="lowerRoman"/>
      <w:start w:val="9"/>
    </w:lvl>
  </w:abstractNum>
  <w:abstractNum w:abstractNumId="8">
    <w:nsid w:val="5C482A97"/>
    <w:multiLevelType w:val="hybridMultilevel"/>
    <w:lvl w:ilvl="0">
      <w:lvlJc w:val="left"/>
      <w:lvlText w:val="(%1)"/>
      <w:numFmt w:val="lowerRoman"/>
      <w:start w:val="12"/>
    </w:lvl>
    <w:lvl w:ilvl="1">
      <w:lvlJc w:val="left"/>
      <w:lvlText w:val="(%2)"/>
      <w:numFmt w:val="lowerLetter"/>
      <w:start w:val="1"/>
    </w:lvl>
    <w:lvl w:ilvl="2">
      <w:lvlJc w:val="left"/>
      <w:lvlText w:val="(%3)"/>
      <w:numFmt w:val="lowerRoman"/>
      <w:start w:val="1"/>
    </w:lvl>
  </w:abstractNum>
  <w:abstractNum w:abstractNumId="9">
    <w:nsid w:val="2463B9EA"/>
    <w:multiLevelType w:val="hybridMultilevel"/>
    <w:lvl w:ilvl="0">
      <w:lvlJc w:val="left"/>
      <w:lvlText w:val="(%1)"/>
      <w:numFmt w:val="lowerRoman"/>
      <w:start w:val="15"/>
    </w:lvl>
  </w:abstractNum>
  <w:abstractNum w:abstractNumId="10">
    <w:nsid w:val="5E884ADC"/>
    <w:multiLevelType w:val="hybridMultilevel"/>
    <w:lvl w:ilvl="0">
      <w:lvlJc w:val="left"/>
      <w:lvlText w:val="(%1)"/>
      <w:numFmt w:val="lowerRoman"/>
      <w:start w:val="18"/>
    </w:lvl>
  </w:abstractNum>
  <w:abstractNum w:abstractNumId="11">
    <w:nsid w:val="51EAD36B"/>
    <w:multiLevelType w:val="hybridMultilevel"/>
    <w:lvl w:ilvl="0">
      <w:lvlJc w:val="left"/>
      <w:lvlText w:val="(%1)"/>
      <w:numFmt w:val="lowerRoman"/>
      <w:start w:val="23"/>
    </w:lvl>
  </w:abstractNum>
  <w:abstractNum w:abstractNumId="12">
    <w:nsid w:val="2D517796"/>
    <w:multiLevelType w:val="hybridMultilevel"/>
    <w:lvl w:ilvl="0">
      <w:lvlJc w:val="left"/>
      <w:lvlText w:val="(%1)"/>
      <w:numFmt w:val="lowerRoman"/>
      <w:start w:val="26"/>
    </w:lvl>
  </w:abstractNum>
  <w:abstractNum w:abstractNumId="13">
    <w:nsid w:val="580BD78F"/>
    <w:multiLevelType w:val="hybridMultilevel"/>
    <w:lvl w:ilvl="0">
      <w:lvlJc w:val="left"/>
      <w:lvlText w:val="(%1)"/>
      <w:numFmt w:val="lowerRoman"/>
      <w:start w:val="30"/>
    </w:lvl>
  </w:abstractNum>
  <w:abstractNum w:abstractNumId="14">
    <w:nsid w:val="153EA438"/>
    <w:multiLevelType w:val="hybridMultilevel"/>
    <w:lvl w:ilvl="0">
      <w:lvlJc w:val="left"/>
      <w:lvlText w:val="(%1)"/>
      <w:numFmt w:val="lowerRoman"/>
      <w:start w:val="1"/>
    </w:lvl>
  </w:abstractNum>
  <w:abstractNum w:abstractNumId="15">
    <w:nsid w:val="3855585C"/>
    <w:multiLevelType w:val="hybridMultilevel"/>
    <w:lvl w:ilvl="0">
      <w:lvlJc w:val="left"/>
      <w:lvlText w:val="(%1)"/>
      <w:numFmt w:val="lowerRoman"/>
      <w:start w:val="33"/>
    </w:lvl>
  </w:abstractNum>
  <w:abstractNum w:abstractNumId="16">
    <w:nsid w:val="70A64E2A"/>
    <w:multiLevelType w:val="hybridMultilevel"/>
    <w:lvl w:ilvl="0">
      <w:lvlJc w:val="left"/>
      <w:lvlText w:val="(%1)"/>
      <w:numFmt w:val="lowerRoman"/>
      <w:start w:val="37"/>
    </w:lvl>
  </w:abstractNum>
  <w:abstractNum w:abstractNumId="17">
    <w:nsid w:val="6A2342EC"/>
    <w:multiLevelType w:val="hybridMultilevel"/>
    <w:lvl w:ilvl="0">
      <w:lvlJc w:val="left"/>
      <w:lvlText w:val="(%1)"/>
      <w:numFmt w:val="lowerLetter"/>
      <w:start w:val="2"/>
    </w:lvl>
  </w:abstractNum>
  <w:abstractNum w:abstractNumId="18">
    <w:nsid w:val="2A487CB0"/>
    <w:multiLevelType w:val="hybridMultilevel"/>
    <w:lvl w:ilvl="0">
      <w:lvlJc w:val="left"/>
      <w:lvlText w:val="(%1)"/>
      <w:numFmt w:val="lowerRoman"/>
      <w:start w:val="1"/>
    </w:lvl>
  </w:abstractNum>
  <w:abstractNum w:abstractNumId="19">
    <w:nsid w:val="1D4ED43B"/>
    <w:multiLevelType w:val="hybridMultilevel"/>
    <w:lvl w:ilvl="0">
      <w:lvlJc w:val="left"/>
      <w:lvlText w:val="(%1)"/>
      <w:numFmt w:val="lowerRoman"/>
      <w:start w:val="4"/>
    </w:lvl>
  </w:abstractNum>
  <w:abstractNum w:abstractNumId="20">
    <w:nsid w:val="725A06FB"/>
    <w:multiLevelType w:val="hybridMultilevel"/>
    <w:lvl w:ilvl="0">
      <w:lvlJc w:val="left"/>
      <w:lvlText w:val="(%1)"/>
      <w:numFmt w:val="lowerRoman"/>
      <w:start w:val="7"/>
    </w:lvl>
  </w:abstractNum>
  <w:abstractNum w:abstractNumId="21">
    <w:nsid w:val="2CD89A32"/>
    <w:multiLevelType w:val="hybridMultilevel"/>
    <w:lvl w:ilvl="0">
      <w:lvlJc w:val="left"/>
      <w:lvlText w:val="(%1)"/>
      <w:numFmt w:val="lowerRoman"/>
      <w:start w:val="12"/>
    </w:lvl>
  </w:abstractNum>
  <w:abstractNum w:abstractNumId="22">
    <w:nsid w:val="57E4CCAF"/>
    <w:multiLevelType w:val="hybridMultilevel"/>
    <w:lvl w:ilvl="0">
      <w:lvlJc w:val="left"/>
      <w:lvlText w:val="(%1)"/>
      <w:numFmt w:val="lowerRoman"/>
      <w:start w:val="2"/>
    </w:lvl>
  </w:abstractNum>
  <w:abstractNum w:abstractNumId="23">
    <w:nsid w:val="7A6D8D3C"/>
    <w:multiLevelType w:val="hybridMultilevel"/>
    <w:lvl w:ilvl="0">
      <w:lvlJc w:val="left"/>
      <w:lvlText w:val="(%1)"/>
      <w:numFmt w:val="lowerRoman"/>
      <w:start w:val="16"/>
    </w:lvl>
  </w:abstractNum>
  <w:abstractNum w:abstractNumId="24">
    <w:nsid w:val="4B588F54"/>
    <w:multiLevelType w:val="hybridMultilevel"/>
    <w:lvl w:ilvl="0">
      <w:lvlJc w:val="left"/>
      <w:lvlText w:val="(%1)"/>
      <w:numFmt w:val="upperLetter"/>
      <w:start w:val="1"/>
    </w:lvl>
  </w:abstractNum>
  <w:abstractNum w:abstractNumId="25">
    <w:nsid w:val="542289EC"/>
    <w:multiLevelType w:val="hybridMultilevel"/>
    <w:lvl w:ilvl="0">
      <w:lvlJc w:val="left"/>
      <w:lvlText w:val="(%1)"/>
      <w:numFmt w:val="lowerRoman"/>
      <w:start w:val="19"/>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lowerLetter"/>
      <w:start w:val="3"/>
    </w:lvl>
  </w:abstractNum>
  <w:abstractNum w:abstractNumId="29">
    <w:nsid w:val="32FFF902"/>
    <w:multiLevelType w:val="hybridMultilevel"/>
    <w:lvl w:ilvl="0">
      <w:lvlJc w:val="left"/>
      <w:lvlText w:val="(%1)"/>
      <w:numFmt w:val="lowerLetter"/>
      <w:start w:val="1"/>
    </w:lvl>
  </w:abstractNum>
  <w:abstractNum w:abstractNumId="30">
    <w:nsid w:val="684A481A"/>
    <w:multiLevelType w:val="hybridMultilevel"/>
    <w:lvl w:ilvl="0">
      <w:lvlJc w:val="left"/>
      <w:lvlText w:val="(%1)"/>
      <w:numFmt w:val="lowerLetter"/>
      <w:start w:val="35"/>
    </w:lvl>
  </w:abstractNum>
  <w:abstractNum w:abstractNumId="31">
    <w:nsid w:val="579478FE"/>
    <w:multiLevelType w:val="hybridMultilevel"/>
    <w:lvl w:ilvl="0">
      <w:lvlJc w:val="left"/>
      <w:lvlText w:val="(%1)"/>
      <w:numFmt w:val="lowerLetter"/>
      <w:start w:val="2"/>
    </w:lvl>
  </w:abstractNum>
  <w:abstractNum w:abstractNumId="32">
    <w:nsid w:val="749ABB43"/>
    <w:multiLevelType w:val="hybridMultilevel"/>
    <w:lvl w:ilvl="0">
      <w:lvlJc w:val="left"/>
      <w:lvlText w:val="(%1)"/>
      <w:numFmt w:val="lowerLetter"/>
      <w:start w:val="3"/>
    </w:lvl>
  </w:abstractNum>
  <w:abstractNum w:abstractNumId="33">
    <w:nsid w:val="3DC240FB"/>
    <w:multiLevelType w:val="hybridMultilevel"/>
    <w:lvl w:ilvl="0">
      <w:lvlJc w:val="left"/>
      <w:lvlText w:val="(%1)"/>
      <w:numFmt w:val="lowerLetter"/>
      <w:start w:val="5"/>
    </w:lvl>
    <w:lvl w:ilvl="1">
      <w:lvlJc w:val="left"/>
      <w:lvlText w:val="(%2)"/>
      <w:numFmt w:val="lowerLetter"/>
      <w:start w:val="9"/>
    </w:lvl>
  </w:abstractNum>
  <w:abstractNum w:abstractNumId="34">
    <w:nsid w:val="1BA026FA"/>
    <w:multiLevelType w:val="hybridMultilevel"/>
    <w:lvl w:ilvl="0">
      <w:lvlJc w:val="left"/>
      <w:lvlText w:val="(%1)"/>
      <w:numFmt w:val="lowerLetter"/>
      <w:start w:val="10"/>
    </w:lvl>
  </w:abstractNum>
  <w:abstractNum w:abstractNumId="35">
    <w:nsid w:val="79A1DEAA"/>
    <w:multiLevelType w:val="hybridMultilevel"/>
    <w:lvl w:ilvl="0">
      <w:lvlJc w:val="left"/>
      <w:lvlText w:val="(%1)"/>
      <w:numFmt w:val="lowerLetter"/>
      <w:start w:val="11"/>
    </w:lvl>
  </w:abstractNum>
  <w:abstractNum w:abstractNumId="36">
    <w:nsid w:val="75C6C33A"/>
    <w:multiLevelType w:val="hybridMultilevel"/>
    <w:lvl w:ilvl="0">
      <w:lvlJc w:val="left"/>
      <w:lvlText w:val="(%1)"/>
      <w:numFmt w:val="lowerLetter"/>
      <w:start w:val="17"/>
    </w:lvl>
  </w:abstractNum>
  <w:abstractNum w:abstractNumId="37">
    <w:nsid w:val="12E685FB"/>
    <w:multiLevelType w:val="hybridMultilevel"/>
    <w:lvl w:ilvl="0">
      <w:lvlJc w:val="left"/>
      <w:lvlText w:val="(%1)"/>
      <w:numFmt w:val="lowerRoman"/>
      <w:start w:val="1"/>
    </w:lvl>
  </w:abstractNum>
  <w:abstractNum w:abstractNumId="38">
    <w:nsid w:val="70C6A529"/>
    <w:multiLevelType w:val="hybridMultilevel"/>
    <w:lvl w:ilvl="0">
      <w:lvlJc w:val="left"/>
      <w:lvlText w:val="(%1)"/>
      <w:numFmt w:val="lowerLetter"/>
      <w:start w:val="2"/>
    </w:lvl>
  </w:abstractNum>
  <w:abstractNum w:abstractNumId="39">
    <w:nsid w:val="520EEDD1"/>
    <w:multiLevelType w:val="hybridMultilevel"/>
    <w:lvl w:ilvl="0">
      <w:lvlJc w:val="left"/>
      <w:lvlText w:val="(%1)"/>
      <w:numFmt w:val="lowerLetter"/>
      <w:start w:val="61"/>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Roman"/>
      <w:start w:val="1"/>
    </w:lvl>
  </w:abstractNum>
  <w:abstractNum w:abstractNumId="42">
    <w:nsid w:val="23F9C13C"/>
    <w:multiLevelType w:val="hybridMultilevel"/>
    <w:lvl w:ilvl="0">
      <w:lvlJc w:val="left"/>
      <w:lvlText w:val="(%1)"/>
      <w:numFmt w:val="lowerRoman"/>
      <w:start w:val="2"/>
    </w:lvl>
  </w:abstractNum>
  <w:abstractNum w:abstractNumId="43">
    <w:nsid w:val="649BB77C"/>
    <w:multiLevelType w:val="hybridMultilevel"/>
    <w:lvl w:ilvl="0">
      <w:lvlJc w:val="left"/>
      <w:lvlText w:val="(%1)"/>
      <w:numFmt w:val="lowerLetter"/>
      <w:start w:val="5"/>
    </w:lvl>
  </w:abstractNum>
  <w:abstractNum w:abstractNumId="44">
    <w:nsid w:val="275AC794"/>
    <w:multiLevelType w:val="hybridMultilevel"/>
    <w:lvl w:ilvl="0">
      <w:lvlJc w:val="left"/>
      <w:lvlText w:val="(%1)"/>
      <w:numFmt w:val="lowerLetter"/>
      <w:start w:val="10"/>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lowerRoman"/>
      <w:start w:val="1"/>
    </w:lvl>
  </w:abstractNum>
  <w:abstractNum w:abstractNumId="47">
    <w:nsid w:val="180115BE"/>
    <w:multiLevelType w:val="hybridMultilevel"/>
    <w:lvl w:ilvl="0">
      <w:lvlJc w:val="left"/>
      <w:lvlText w:val="(%1)"/>
      <w:numFmt w:val="lowerRoman"/>
      <w:start w:val="1"/>
    </w:lvl>
  </w:abstractNum>
  <w:abstractNum w:abstractNumId="48">
    <w:nsid w:val="235BA861"/>
    <w:multiLevelType w:val="hybridMultilevel"/>
    <w:lvl w:ilvl="0">
      <w:lvlJc w:val="left"/>
      <w:lvlText w:val="(%1)"/>
      <w:numFmt w:val="lowerLetter"/>
      <w:start w:val="2"/>
    </w:lvl>
  </w:abstractNum>
  <w:abstractNum w:abstractNumId="49">
    <w:nsid w:val="47398C89"/>
    <w:multiLevelType w:val="hybridMultilevel"/>
    <w:lvl w:ilvl="0">
      <w:lvlJc w:val="left"/>
      <w:lvlText w:val="(%1)"/>
      <w:numFmt w:val="lowerLetter"/>
      <w:start w:val="4"/>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2"/>
    </w:lvl>
  </w:abstractNum>
  <w:abstractNum w:abstractNumId="52">
    <w:nsid w:val="741226BB"/>
    <w:multiLevelType w:val="hybridMultilevel"/>
    <w:lvl w:ilvl="0">
      <w:lvlJc w:val="left"/>
      <w:lvlText w:val="(%1)"/>
      <w:numFmt w:val="lowerLetter"/>
      <w:start w:val="4"/>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1"/>
    </w:lvl>
    <w:lvl w:ilvl="1">
      <w:lvlJc w:val="left"/>
      <w:lvlText w:val="(%2)"/>
      <w:numFmt w:val="lowerLetter"/>
      <w:start w:val="3"/>
    </w:lvl>
  </w:abstractNum>
  <w:abstractNum w:abstractNumId="55">
    <w:nsid w:val="3F6AB60F"/>
    <w:multiLevelType w:val="hybridMultilevel"/>
    <w:lvl w:ilvl="0">
      <w:lvlJc w:val="left"/>
      <w:lvlText w:val="(%1)"/>
      <w:numFmt w:val="lowerLetter"/>
      <w:start w:val="9"/>
    </w:lvl>
    <w:lvl w:ilvl="1">
      <w:lvlJc w:val="left"/>
      <w:lvlText w:val="%2"/>
      <w:numFmt w:val="lowerLetter"/>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lowerRoman"/>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lowerRoman"/>
      <w:start w:val="1"/>
    </w:lvl>
  </w:abstractNum>
  <w:abstractNum w:abstractNumId="61">
    <w:nsid w:val="5FF87E05"/>
    <w:multiLevelType w:val="hybridMultilevel"/>
    <w:lvl w:ilvl="0">
      <w:lvlJc w:val="left"/>
      <w:lvlText w:val="(%1)"/>
      <w:numFmt w:val="lowerRoman"/>
      <w:start w:val="3"/>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6"/>
    </w:lvl>
  </w:abstractNum>
  <w:abstractNum w:abstractNumId="64">
    <w:nsid w:val="1DBABF00"/>
    <w:multiLevelType w:val="hybridMultilevel"/>
    <w:lvl w:ilvl="0">
      <w:lvlJc w:val="left"/>
      <w:lvlText w:val="%1."/>
      <w:numFmt w:val="decimal"/>
      <w:start w:val="2"/>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jpe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png"/><Relationship Id="rId19" Type="http://schemas.openxmlformats.org/officeDocument/2006/relationships/hyperlink" Target="http://www.sec.gov/Archives/edgar/data/1504619/000119312521091350/d156339dex41.htm" TargetMode="External"/><Relationship Id="rId20" Type="http://schemas.openxmlformats.org/officeDocument/2006/relationships/hyperlink" Target="http://www.sec.gov/Archives/edgar/data/1504619/000119312521091350/d15633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2021-10-12T15:09:09Z</dcterms:created>
  <dcterms:modified xsi:type="dcterms:W3CDTF">2021-10-12T15:09:09Z</dcterms:modified>
</cp:coreProperties>
</file>