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28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-10160</wp:posOffset>
            </wp:positionV>
            <wp:extent cx="883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ind w:left="460"/>
        <w:spacing w:after="0" w:line="184" w:lineRule="exact"/>
        <w:tabs>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9080" w:space="180"/>
            <w:col w:w="1980"/>
          </w:cols>
          <w:pgMar w:left="320" w:top="230" w:right="339" w:bottom="1440" w:gutter="0" w:footer="0" w:header="0"/>
          <w:type w:val="continuous"/>
        </w:sectPr>
      </w:pPr>
    </w:p>
    <w:p>
      <w:pPr>
        <w:spacing w:after="0" w:line="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May 12, 2011 was 6,850,667.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MARCH 31, 2011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00" w:type="dxa"/>
            <w:vAlign w:val="bottom"/>
          </w:tcPr>
          <w:p>
            <w:pPr>
              <w:ind w:left="38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2240" w:type="dxa"/>
            <w:vAlign w:val="bottom"/>
          </w:tcPr>
          <w:p>
            <w:pPr>
              <w:spacing w:after="0"/>
              <w:rPr>
                <w:sz w:val="19"/>
                <w:szCs w:val="19"/>
                <w:color w:val="auto"/>
              </w:rPr>
            </w:pPr>
          </w:p>
        </w:tc>
      </w:tr>
      <w:tr>
        <w:trPr>
          <w:trHeight w:val="432"/>
        </w:trPr>
        <w:tc>
          <w:tcPr>
            <w:tcW w:w="890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Financial Statements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90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 of Assets and Liabilities as of March 31, 2011 (unaudited)</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90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 of Operations for the period ended March 31, 2011 (unaudited)</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90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 of Changes in Net Assets for the period ended March 31, 2011 (unaudited)</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90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 for the period ended March 31, 2011 (unaudited)</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90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Financial Statements (unaudited)</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900" w:type="dxa"/>
            <w:vAlign w:val="bottom"/>
          </w:tcPr>
          <w:p>
            <w:pPr>
              <w:ind w:left="4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Report of Independent Registered Public Accounting Firm</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Item 2. Discussion of Management’s Expected Operating Plans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Item 3. Quantitative And Qualitative Disclosures About Market Risk</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Item 4. Controls and Procedures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8900" w:type="dxa"/>
            <w:vAlign w:val="bottom"/>
          </w:tcPr>
          <w:p>
            <w:pPr>
              <w:ind w:left="4000"/>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PART II. OTHER INFORMATION</w:t>
              </w:r>
            </w:hyperlink>
          </w:p>
        </w:tc>
        <w:tc>
          <w:tcPr>
            <w:tcW w:w="2240" w:type="dxa"/>
            <w:vAlign w:val="bottom"/>
          </w:tcPr>
          <w:p>
            <w:pPr>
              <w:spacing w:after="0"/>
              <w:rPr>
                <w:sz w:val="24"/>
                <w:szCs w:val="24"/>
                <w:color w:val="auto"/>
              </w:rPr>
            </w:pPr>
          </w:p>
        </w:tc>
      </w:tr>
      <w:tr>
        <w:trPr>
          <w:trHeight w:val="432"/>
        </w:trPr>
        <w:tc>
          <w:tcPr>
            <w:tcW w:w="8900" w:type="dxa"/>
            <w:vAlign w:val="bottom"/>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Item 1. Legal Proceedings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Item 1A. Risk Factors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Item 2. Unregistered Sales of Equity Securities and Use of Proceeds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Item 3. Defaults Upon Senior Securities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Item 4. Submission of Matters to a Vote of Security Holders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Item 5. Other Information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Item 6. Exhibits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900" w:type="dxa"/>
            <w:vAlign w:val="bottom"/>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SIGNATURES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10-Q (the “Report”) is not a prospectus and is not intended to be used as a prospectus. We refer you to the Securities and Exchange Commission (“SEC”) website, where you may find a copy of our registration statement on Form N-2 that we used in connection with our initial public offering of common stock.</w:t>
      </w:r>
    </w:p>
    <w:p>
      <w:pPr>
        <w:spacing w:after="0" w:line="14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are filing this Report in compliance with Rule 13a-13 promulgated by the SEC. In this Report, “Company,” “we,” “our,” “PennantPark Floating Rate Capital” or “us” refer to PennantPark Floating Rate Capital Ltd. unless the context suggests otherwise. This Report primarily contains information as of March 31, 2011 and accordingly some information differs from our Balance Sheet contained in Registration Statement on Form N-2 filed on April 8, 2011. Please read the section “Recent Developments” in the “Discussion of Management’s Expected Operating Plans” for current information regarding events related to our initial public offering.</w:t>
      </w:r>
    </w:p>
    <w:p>
      <w:pPr>
        <w:sectPr>
          <w:pgSz w:w="11900" w:h="16838" w:orient="portrait"/>
          <w:cols w:equalWidth="0" w:num="1">
            <w:col w:w="11200"/>
          </w:cols>
          <w:pgMar w:left="32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38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40" w:type="dxa"/>
            <w:vAlign w:val="bottom"/>
          </w:tcPr>
          <w:p>
            <w:pPr>
              <w:spacing w:after="0"/>
              <w:rPr>
                <w:sz w:val="24"/>
                <w:szCs w:val="24"/>
                <w:color w:val="auto"/>
              </w:rPr>
            </w:pPr>
          </w:p>
        </w:tc>
        <w:tc>
          <w:tcPr>
            <w:tcW w:w="8380" w:type="dxa"/>
            <w:vAlign w:val="bottom"/>
          </w:tcPr>
          <w:p>
            <w:pPr>
              <w:jc w:val="center"/>
              <w:ind w:left="1092"/>
              <w:spacing w:after="0"/>
              <w:rPr>
                <w:sz w:val="20"/>
                <w:szCs w:val="20"/>
                <w:color w:val="auto"/>
              </w:rPr>
            </w:pPr>
            <w:r>
              <w:rPr>
                <w:rFonts w:ascii="Arial" w:cs="Arial" w:eastAsia="Arial" w:hAnsi="Arial"/>
                <w:sz w:val="18"/>
                <w:szCs w:val="18"/>
                <w:b w:val="1"/>
                <w:bCs w:val="1"/>
                <w:color w:val="auto"/>
                <w:w w:val="97"/>
              </w:rPr>
              <w:t>PENNANTPARK FLOATING RATE CAPITAL LTD.</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380" w:type="dxa"/>
            <w:vAlign w:val="bottom"/>
          </w:tcPr>
          <w:p>
            <w:pPr>
              <w:jc w:val="center"/>
              <w:ind w:left="1092"/>
              <w:spacing w:after="0"/>
              <w:rPr>
                <w:sz w:val="20"/>
                <w:szCs w:val="20"/>
                <w:color w:val="auto"/>
              </w:rPr>
            </w:pPr>
            <w:r>
              <w:rPr>
                <w:rFonts w:ascii="Arial" w:cs="Arial" w:eastAsia="Arial" w:hAnsi="Arial"/>
                <w:sz w:val="18"/>
                <w:szCs w:val="18"/>
                <w:b w:val="1"/>
                <w:bCs w:val="1"/>
                <w:color w:val="auto"/>
                <w:w w:val="97"/>
              </w:rPr>
              <w:t>(A DEVELOPMENT STAGE COMPANY)</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380" w:type="dxa"/>
            <w:vAlign w:val="bottom"/>
          </w:tcPr>
          <w:p>
            <w:pPr>
              <w:jc w:val="center"/>
              <w:ind w:left="1092"/>
              <w:spacing w:after="0"/>
              <w:rPr>
                <w:sz w:val="20"/>
                <w:szCs w:val="20"/>
                <w:color w:val="auto"/>
              </w:rPr>
            </w:pPr>
            <w:r>
              <w:rPr>
                <w:rFonts w:ascii="Arial" w:cs="Arial" w:eastAsia="Arial" w:hAnsi="Arial"/>
                <w:sz w:val="18"/>
                <w:szCs w:val="18"/>
                <w:b w:val="1"/>
                <w:bCs w:val="1"/>
                <w:color w:val="auto"/>
                <w:w w:val="97"/>
              </w:rPr>
              <w:t>STATEMENT OF ASSETS AND LIABILITIES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8380" w:type="dxa"/>
            <w:vAlign w:val="bottom"/>
          </w:tcPr>
          <w:p>
            <w:pPr>
              <w:jc w:val="center"/>
              <w:ind w:left="1112"/>
              <w:spacing w:after="0"/>
              <w:rPr>
                <w:sz w:val="20"/>
                <w:szCs w:val="20"/>
                <w:color w:val="auto"/>
              </w:rPr>
            </w:pPr>
            <w:r>
              <w:rPr>
                <w:rFonts w:ascii="Arial" w:cs="Arial" w:eastAsia="Arial" w:hAnsi="Arial"/>
                <w:sz w:val="18"/>
                <w:szCs w:val="18"/>
                <w:b w:val="1"/>
                <w:bCs w:val="1"/>
                <w:color w:val="auto"/>
                <w:w w:val="89"/>
              </w:rPr>
              <w:t>(Unaudited)</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March 31, 2011</w:t>
            </w:r>
          </w:p>
        </w:tc>
        <w:tc>
          <w:tcPr>
            <w:tcW w:w="0" w:type="dxa"/>
            <w:vAlign w:val="bottom"/>
          </w:tcPr>
          <w:p>
            <w:pPr>
              <w:spacing w:after="0"/>
              <w:rPr>
                <w:sz w:val="1"/>
                <w:szCs w:val="1"/>
                <w:color w:val="auto"/>
              </w:rPr>
            </w:pPr>
          </w:p>
        </w:tc>
      </w:tr>
      <w:tr>
        <w:trPr>
          <w:trHeight w:val="210"/>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40"/>
              <w:spacing w:after="0"/>
              <w:rPr>
                <w:sz w:val="20"/>
                <w:szCs w:val="20"/>
                <w:color w:val="auto"/>
              </w:rPr>
            </w:pPr>
            <w:r>
              <w:rPr>
                <w:rFonts w:ascii="Arial" w:cs="Arial" w:eastAsia="Arial" w:hAnsi="Arial"/>
                <w:sz w:val="18"/>
                <w:szCs w:val="18"/>
                <w:color w:val="auto"/>
                <w:w w:val="90"/>
              </w:rPr>
              <w:t>Cash</w:t>
            </w:r>
          </w:p>
        </w:tc>
        <w:tc>
          <w:tcPr>
            <w:tcW w:w="8380" w:type="dxa"/>
            <w:vAlign w:val="bottom"/>
          </w:tcPr>
          <w:p>
            <w:pPr>
              <w:spacing w:after="0"/>
              <w:rPr>
                <w:sz w:val="19"/>
                <w:szCs w:val="19"/>
                <w:color w:val="auto"/>
              </w:rPr>
            </w:pPr>
          </w:p>
        </w:tc>
        <w:tc>
          <w:tcPr>
            <w:tcW w:w="12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ind w:left="440"/>
              <w:spacing w:after="0"/>
              <w:rPr>
                <w:sz w:val="20"/>
                <w:szCs w:val="20"/>
                <w:color w:val="auto"/>
              </w:rPr>
            </w:pPr>
            <w:r>
              <w:rPr>
                <w:rFonts w:ascii="Arial" w:cs="Arial" w:eastAsia="Arial" w:hAnsi="Arial"/>
                <w:sz w:val="18"/>
                <w:szCs w:val="18"/>
                <w:color w:val="auto"/>
              </w:rPr>
              <w:t>Commitments and contingencies (See Note 3)</w:t>
            </w: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2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Net Assets</w:t>
            </w:r>
          </w:p>
        </w:tc>
        <w:tc>
          <w:tcPr>
            <w:tcW w:w="8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ind w:left="440"/>
              <w:spacing w:after="0"/>
              <w:rPr>
                <w:sz w:val="20"/>
                <w:szCs w:val="20"/>
                <w:color w:val="auto"/>
              </w:rPr>
            </w:pPr>
            <w:r>
              <w:rPr>
                <w:rFonts w:ascii="Arial" w:cs="Arial" w:eastAsia="Arial" w:hAnsi="Arial"/>
                <w:sz w:val="18"/>
                <w:szCs w:val="18"/>
                <w:color w:val="auto"/>
                <w:w w:val="98"/>
              </w:rPr>
              <w:t>Common stock, par value $0.001 per share; 100,000,000 shares authorized; 667 shares issued and outstanding</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Paid-in capital in excess of par</w:t>
            </w:r>
          </w:p>
        </w:tc>
        <w:tc>
          <w:tcPr>
            <w:tcW w:w="10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Total net assets</w:t>
            </w:r>
          </w:p>
        </w:tc>
        <w:tc>
          <w:tcPr>
            <w:tcW w:w="12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2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For the period</w:t>
            </w:r>
          </w:p>
        </w:tc>
      </w:tr>
      <w:tr>
        <w:trPr>
          <w:trHeight w:val="148"/>
        </w:trPr>
        <w:tc>
          <w:tcPr>
            <w:tcW w:w="9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March</w:t>
            </w:r>
          </w:p>
        </w:tc>
      </w:tr>
      <w:tr>
        <w:trPr>
          <w:trHeight w:val="149"/>
        </w:trPr>
        <w:tc>
          <w:tcPr>
            <w:tcW w:w="9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4, 2011 (inception)</w:t>
            </w:r>
          </w:p>
        </w:tc>
      </w:tr>
      <w:tr>
        <w:trPr>
          <w:trHeight w:val="161"/>
        </w:trPr>
        <w:tc>
          <w:tcPr>
            <w:tcW w:w="976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through March 31, 2011</w:t>
            </w: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76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76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jc w:val="center"/>
              <w:ind w:left="2492"/>
              <w:spacing w:after="0"/>
              <w:rPr>
                <w:sz w:val="20"/>
                <w:szCs w:val="20"/>
                <w:color w:val="auto"/>
              </w:rPr>
            </w:pPr>
            <w:r>
              <w:rPr>
                <w:rFonts w:ascii="Arial" w:cs="Arial" w:eastAsia="Arial" w:hAnsi="Arial"/>
                <w:sz w:val="18"/>
                <w:szCs w:val="18"/>
                <w:b w:val="1"/>
                <w:bCs w:val="1"/>
                <w:color w:val="auto"/>
                <w:w w:val="97"/>
              </w:rPr>
              <w:t>PENNANTPARK FLOATING RATE CAPITAL LTD.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tcPr>
          <w:p>
            <w:pPr>
              <w:jc w:val="center"/>
              <w:ind w:left="2492"/>
              <w:spacing w:after="0"/>
              <w:rPr>
                <w:sz w:val="20"/>
                <w:szCs w:val="20"/>
                <w:color w:val="auto"/>
              </w:rPr>
            </w:pPr>
            <w:r>
              <w:rPr>
                <w:rFonts w:ascii="Arial" w:cs="Arial" w:eastAsia="Arial" w:hAnsi="Arial"/>
                <w:sz w:val="18"/>
                <w:szCs w:val="18"/>
                <w:b w:val="1"/>
                <w:bCs w:val="1"/>
                <w:color w:val="auto"/>
                <w:w w:val="97"/>
              </w:rPr>
              <w:t>(A DEVELOPMENT STAGE COMPANY)</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tcPr>
          <w:p>
            <w:pPr>
              <w:jc w:val="center"/>
              <w:ind w:left="2512"/>
              <w:spacing w:after="0"/>
              <w:rPr>
                <w:sz w:val="20"/>
                <w:szCs w:val="20"/>
                <w:color w:val="auto"/>
              </w:rPr>
            </w:pPr>
            <w:r>
              <w:rPr>
                <w:rFonts w:ascii="Arial" w:cs="Arial" w:eastAsia="Arial" w:hAnsi="Arial"/>
                <w:sz w:val="18"/>
                <w:szCs w:val="18"/>
                <w:b w:val="1"/>
                <w:bCs w:val="1"/>
                <w:color w:val="auto"/>
                <w:w w:val="96"/>
              </w:rPr>
              <w:t>STATEMENT OF CHANGES IN NET ASSETS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660" w:type="dxa"/>
            <w:vAlign w:val="bottom"/>
          </w:tcPr>
          <w:p>
            <w:pPr>
              <w:jc w:val="center"/>
              <w:ind w:left="2512"/>
              <w:spacing w:after="0"/>
              <w:rPr>
                <w:sz w:val="20"/>
                <w:szCs w:val="20"/>
                <w:color w:val="auto"/>
              </w:rPr>
            </w:pPr>
            <w:r>
              <w:rPr>
                <w:rFonts w:ascii="Arial" w:cs="Arial" w:eastAsia="Arial" w:hAnsi="Arial"/>
                <w:sz w:val="18"/>
                <w:szCs w:val="18"/>
                <w:b w:val="1"/>
                <w:bCs w:val="1"/>
                <w:color w:val="auto"/>
                <w:w w:val="89"/>
              </w:rPr>
              <w:t>(Unaudited)</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8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For the period</w:t>
            </w:r>
          </w:p>
        </w:tc>
      </w:tr>
      <w:tr>
        <w:trPr>
          <w:trHeight w:val="148"/>
        </w:trPr>
        <w:tc>
          <w:tcPr>
            <w:tcW w:w="8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gridSpan w:val="3"/>
          </w:tcPr>
          <w:p>
            <w:pPr>
              <w:spacing w:after="0"/>
              <w:rPr>
                <w:sz w:val="20"/>
                <w:szCs w:val="20"/>
                <w:color w:val="auto"/>
              </w:rPr>
            </w:pPr>
            <w:r>
              <w:rPr>
                <w:rFonts w:ascii="Arial" w:cs="Arial" w:eastAsia="Arial" w:hAnsi="Arial"/>
                <w:sz w:val="13"/>
                <w:szCs w:val="13"/>
                <w:b w:val="1"/>
                <w:bCs w:val="1"/>
                <w:color w:val="auto"/>
              </w:rPr>
              <w:t>March 4, 2011 (inception)</w:t>
            </w:r>
          </w:p>
        </w:tc>
      </w:tr>
      <w:tr>
        <w:trPr>
          <w:trHeight w:val="175"/>
        </w:trPr>
        <w:tc>
          <w:tcPr>
            <w:tcW w:w="8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through March 31, 2011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from operations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net assets resulting from operations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866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1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30"/>
        </w:trPr>
        <w:tc>
          <w:tcPr>
            <w:tcW w:w="8660" w:type="dxa"/>
            <w:vAlign w:val="bottom"/>
          </w:tcPr>
          <w:p>
            <w:pPr>
              <w:ind w:left="440"/>
              <w:spacing w:after="0"/>
              <w:rPr>
                <w:sz w:val="20"/>
                <w:szCs w:val="20"/>
                <w:color w:val="auto"/>
              </w:rPr>
            </w:pPr>
            <w:r>
              <w:rPr>
                <w:rFonts w:ascii="Arial" w:cs="Arial" w:eastAsia="Arial" w:hAnsi="Arial"/>
                <w:sz w:val="18"/>
                <w:szCs w:val="18"/>
                <w:color w:val="auto"/>
              </w:rPr>
              <w:t>Increase in net assets resulting from capital share transactions</w:t>
            </w: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1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Shares issued</w:t>
            </w:r>
          </w:p>
        </w:tc>
        <w:tc>
          <w:tcPr>
            <w:tcW w:w="1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For the period</w:t>
            </w:r>
          </w:p>
        </w:tc>
      </w:tr>
      <w:tr>
        <w:trPr>
          <w:trHeight w:val="148"/>
        </w:trPr>
        <w:tc>
          <w:tcPr>
            <w:tcW w:w="68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3"/>
              </w:rPr>
              <w:t>March 4, 2011 (inception)</w:t>
            </w:r>
          </w:p>
        </w:tc>
      </w:tr>
      <w:tr>
        <w:trPr>
          <w:trHeight w:val="175"/>
        </w:trPr>
        <w:tc>
          <w:tcPr>
            <w:tcW w:w="68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through March 31, 2011</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84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2820" w:type="dxa"/>
            <w:vAlign w:val="bottom"/>
          </w:tcPr>
          <w:p>
            <w:pPr>
              <w:spacing w:after="0"/>
              <w:rPr>
                <w:sz w:val="19"/>
                <w:szCs w:val="19"/>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common stock</w:t>
            </w:r>
          </w:p>
        </w:tc>
        <w:tc>
          <w:tcPr>
            <w:tcW w:w="2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30"/>
        </w:trPr>
        <w:tc>
          <w:tcPr>
            <w:tcW w:w="6840" w:type="dxa"/>
            <w:vAlign w:val="bottom"/>
          </w:tcPr>
          <w:p>
            <w:pPr>
              <w:ind w:left="440"/>
              <w:spacing w:after="0"/>
              <w:rPr>
                <w:sz w:val="20"/>
                <w:szCs w:val="20"/>
                <w:color w:val="auto"/>
              </w:rPr>
            </w:pPr>
            <w:r>
              <w:rPr>
                <w:rFonts w:ascii="Arial" w:cs="Arial" w:eastAsia="Arial" w:hAnsi="Arial"/>
                <w:sz w:val="18"/>
                <w:szCs w:val="18"/>
                <w:color w:val="auto"/>
              </w:rPr>
              <w:t>Cash provided by financing activities</w:t>
            </w:r>
          </w:p>
        </w:tc>
        <w:tc>
          <w:tcPr>
            <w:tcW w:w="2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840" w:type="dxa"/>
            <w:vAlign w:val="bottom"/>
          </w:tcPr>
          <w:p>
            <w:pPr>
              <w:ind w:left="440"/>
              <w:spacing w:after="0"/>
              <w:rPr>
                <w:sz w:val="20"/>
                <w:szCs w:val="20"/>
                <w:color w:val="auto"/>
              </w:rPr>
            </w:pPr>
            <w:r>
              <w:rPr>
                <w:rFonts w:ascii="Arial" w:cs="Arial" w:eastAsia="Arial" w:hAnsi="Arial"/>
                <w:sz w:val="18"/>
                <w:szCs w:val="18"/>
                <w:color w:val="auto"/>
              </w:rPr>
              <w:t>Cash, beginning of period</w:t>
            </w:r>
          </w:p>
        </w:tc>
        <w:tc>
          <w:tcPr>
            <w:tcW w:w="2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end of period</w:t>
            </w:r>
          </w:p>
        </w:tc>
        <w:tc>
          <w:tcPr>
            <w:tcW w:w="3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96" w:lineRule="exact"/>
        <w:rPr>
          <w:sz w:val="20"/>
          <w:szCs w:val="20"/>
          <w:color w:val="auto"/>
        </w:rPr>
      </w:pPr>
    </w:p>
    <w:p>
      <w:pPr>
        <w:ind w:right="220" w:firstLine="898"/>
        <w:spacing w:after="0" w:line="306" w:lineRule="auto"/>
        <w:rPr>
          <w:sz w:val="20"/>
          <w:szCs w:val="20"/>
          <w:color w:val="auto"/>
        </w:rPr>
      </w:pPr>
      <w:r>
        <w:rPr>
          <w:rFonts w:ascii="Arial" w:cs="Arial" w:eastAsia="Arial" w:hAnsi="Arial"/>
          <w:sz w:val="16"/>
          <w:szCs w:val="16"/>
          <w:color w:val="auto"/>
        </w:rPr>
        <w:t>PennantPark Floating Rate Capital Ltd. was organized as a Maryland corporation on October 28, 2010. The company is a closed-end, externally managed, non-diversified investment company. PennantPark Floating Rate Capital intends to be treated as a business development company under the Investment Company Act of 1940, as amended (the “1940 Act”), prior to pricing its initial public offering.</w:t>
      </w:r>
    </w:p>
    <w:p>
      <w:pPr>
        <w:spacing w:after="0" w:line="106" w:lineRule="exact"/>
        <w:rPr>
          <w:sz w:val="20"/>
          <w:szCs w:val="20"/>
          <w:color w:val="auto"/>
        </w:rPr>
      </w:pPr>
    </w:p>
    <w:p>
      <w:pPr>
        <w:ind w:right="80" w:firstLine="898"/>
        <w:spacing w:after="0" w:line="288" w:lineRule="auto"/>
        <w:rPr>
          <w:sz w:val="20"/>
          <w:szCs w:val="20"/>
          <w:color w:val="auto"/>
        </w:rPr>
      </w:pPr>
      <w:r>
        <w:rPr>
          <w:rFonts w:ascii="Arial" w:cs="Arial" w:eastAsia="Arial" w:hAnsi="Arial"/>
          <w:sz w:val="16"/>
          <w:szCs w:val="16"/>
          <w:color w:val="auto"/>
        </w:rPr>
        <w:t>Our investment objective is to seek high current income. We will seek to achieve our investment objective by investing primarily in floating rate loans and other instruments made to private middle-market companies whose debt is rated below investment grade. “Floating Rate Loans” are defined as loans that typically pay interest at rates, which are determined periodically, on the basis of a floating base lending rate such as the London Interbank Offering Rate (“LIBOR”), plus a spread over it. Under normal market conditions, we expect that at least 80% of the value of our “Managed Assets”, which means our net assets plus any borrowings for investment purposes, will be invested in Floating Rate Loans. We expect that senior secured loans will represent at least 65% of our overall portfolio. We expect to invest up to 35% of our overall portfolio opportunistically in other types of investments, including second-lien, high yield, mezzanine and distressed debt securities and equity investments. We can offer no assurance that we will achieve our investment objective or be able to structure our investment portfolio as anticipated.</w:t>
      </w:r>
    </w:p>
    <w:p>
      <w:pPr>
        <w:spacing w:after="0" w:line="124" w:lineRule="exact"/>
        <w:rPr>
          <w:sz w:val="20"/>
          <w:szCs w:val="20"/>
          <w:color w:val="auto"/>
        </w:rPr>
      </w:pPr>
    </w:p>
    <w:p>
      <w:pPr>
        <w:ind w:right="80" w:firstLine="898"/>
        <w:spacing w:after="0" w:line="298" w:lineRule="auto"/>
        <w:rPr>
          <w:sz w:val="20"/>
          <w:szCs w:val="20"/>
          <w:color w:val="auto"/>
        </w:rPr>
      </w:pPr>
      <w:r>
        <w:rPr>
          <w:rFonts w:ascii="Arial" w:cs="Arial" w:eastAsia="Arial" w:hAnsi="Arial"/>
          <w:sz w:val="16"/>
          <w:szCs w:val="16"/>
          <w:color w:val="auto"/>
        </w:rPr>
        <w:t>PennantPark Floating Rate Capital will be managed by PennantPark Investment Advisers, LLC (the “Investment Adviser”). PennantPark Investment Administration, LLC (the “Administrator”) will provide the administrative services necessary for us to operate. The Company has had no operations other than a sale of 667 shares of common stock for $10,000 ($15.00 per share). As of March 31, 2011, all of the outstanding shares of PennantPark Floating Rate Capital common stock were owned by the Investment Adviser. See Note 6 “Subsequent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 of PennantPark Floating Rate Capital’s assets and liabilities at the date of the financial statements and the reported amounts of income and expenses during the reported period. Actual results could differ from these estimates. References to the Accounting Standards Codification (“ASC”) serve as a single source of accounting literature and are not intended to change accounting literature. Subsequent events are evaluated and disclosed as appropriate for events occurring subsequently through the date on which the financial statements are issued.</w:t>
      </w:r>
    </w:p>
    <w:p>
      <w:pPr>
        <w:spacing w:after="0" w:line="115"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Cash</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Cash consists of a non-interest bearing demand deposit at a financial institution.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U.S. Federal Income Taxes</w:t>
      </w:r>
    </w:p>
    <w:p>
      <w:pPr>
        <w:spacing w:after="0" w:line="90" w:lineRule="exact"/>
        <w:rPr>
          <w:sz w:val="20"/>
          <w:szCs w:val="20"/>
          <w:color w:val="auto"/>
        </w:rPr>
      </w:pPr>
    </w:p>
    <w:p>
      <w:pPr>
        <w:ind w:right="40" w:firstLine="898"/>
        <w:spacing w:after="0" w:line="294" w:lineRule="auto"/>
        <w:rPr>
          <w:sz w:val="20"/>
          <w:szCs w:val="20"/>
          <w:color w:val="auto"/>
        </w:rPr>
      </w:pPr>
      <w:r>
        <w:rPr>
          <w:rFonts w:ascii="Arial" w:cs="Arial" w:eastAsia="Arial" w:hAnsi="Arial"/>
          <w:sz w:val="16"/>
          <w:szCs w:val="16"/>
          <w:color w:val="auto"/>
        </w:rPr>
        <w:t>We intend to operate so as to qualify and elect to be taxed as a regulated investment company (“RIC”) under Subchapter M of the U.S. Internal Revenue Code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12-month period ending on October 31) to avoid a 4% excise tax.</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jc w:val="both"/>
        <w:ind w:firstLine="898"/>
        <w:spacing w:after="0" w:line="335"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 of assets and liabilities at the date of the financial statements and the reported amounts of income and expenditure during the reported period. Changes in the economic environment, financial markets and any other parameters used in determining these estimates could cause actual results to differ materially.</w:t>
      </w:r>
    </w:p>
    <w:p>
      <w:pPr>
        <w:sectPr>
          <w:pgSz w:w="11900" w:h="16838" w:orient="portrait"/>
          <w:cols w:equalWidth="0" w:num="1">
            <w:col w:w="11240"/>
          </w:cols>
          <w:pgMar w:left="320" w:top="45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COMMITMENTS AND CONTINGENCIES</w:t>
      </w:r>
    </w:p>
    <w:p>
      <w:pPr>
        <w:spacing w:after="0" w:line="9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Initial organization and operating costs will be borne by the Investment Adviser until the consummation of the Company’s initial public offering. Upon consummation of the Company’s proposed initial public offering, initial organization and operating costs allocable to the Company and incurred by the Investment Adviser will be reimbursed by the Company. Subsequent to the Company’s initial public offering, all organization and operating costs will be borne by the Company. See Note 6 “Subsequent Events”.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ASSETS AND COMMON STOCK</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has authorized 100,000,000 shares of its common stock with a par value of $0.001 per share.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INDEMNIFICATION</w:t>
      </w:r>
    </w:p>
    <w:p>
      <w:pPr>
        <w:spacing w:after="0" w:line="96"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Under the Company’s organizational documents, its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SUBSEQUENT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a Business Development Company</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On April 7, 2011, the Company elected to be treated as a business development company under the 1940 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Initial Public Offering</w:t>
      </w:r>
    </w:p>
    <w:p>
      <w:pPr>
        <w:spacing w:after="0" w:line="96" w:lineRule="exact"/>
        <w:rPr>
          <w:sz w:val="20"/>
          <w:szCs w:val="20"/>
          <w:color w:val="auto"/>
        </w:rPr>
      </w:pPr>
    </w:p>
    <w:p>
      <w:pPr>
        <w:ind w:right="200" w:firstLine="898"/>
        <w:spacing w:after="0" w:line="298" w:lineRule="auto"/>
        <w:rPr>
          <w:sz w:val="20"/>
          <w:szCs w:val="20"/>
          <w:color w:val="auto"/>
        </w:rPr>
      </w:pPr>
      <w:r>
        <w:rPr>
          <w:rFonts w:ascii="Arial" w:cs="Arial" w:eastAsia="Arial" w:hAnsi="Arial"/>
          <w:sz w:val="16"/>
          <w:szCs w:val="16"/>
          <w:color w:val="auto"/>
        </w:rPr>
        <w:t>On April 8, 2011 and May 6, 2011, the Company sold a combined 6,850,000 shares in an initial public offering and the exercise of the over-allotment, resulting in gross proceeds of approximately $102,750,000. After deducting the underwriters’ discount (“sales load”) of $5,137,500, the Company received net proceeds of $97,612,500. We estimate offering costs to be paid by the Company to be $1,000,000 excluding the sales load. The underwriters agreed to reimburse, and have paid us, $350,000 of the estimated $1,000,000 of offering expenses we expect to incur in connection with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Repayment of Sales Load to Investment Adviser</w:t>
      </w:r>
    </w:p>
    <w:p>
      <w:pPr>
        <w:spacing w:after="0" w:line="90"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Concurrent with the consummation of the Company’s proposed initial public offering of common stock and exercise of the over-allotment, the Investment Adviser has agreed to pay to the underwriters a portion of the sales load, in the amount of $2,055,000 with respect to the offering of shares of the Company’s common stock. The Company (and indirectly its stockholders) will be obligated to repay this amount (a) if during any four consecutive calendar quarter-period ending on or after the one year anniversary of the closing of the initial public offering, the Company’s Pre-Incentive Fee Net Investment Income equals or exceeds 1.75% (7.0% annualized) of the Company’s net assets at the beginning of such period (as adjusted for any issuances or repurchases of shares of the Company’s common stock) or (b) upon our liquidation. If one or more of these events does not occur on or before April 7, 2014, the Company will not be obligated to repay this amount. The Company will repay such amount to the Investment Adviser in cash, and the Investment Adviser has agreed to use such payment to purchase shares of the Company’s common stock in the secondary market.</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Investment Management and Administration Agreements</w:t>
      </w:r>
    </w:p>
    <w:p>
      <w:pPr>
        <w:spacing w:after="0" w:line="90" w:lineRule="exact"/>
        <w:rPr>
          <w:sz w:val="20"/>
          <w:szCs w:val="20"/>
          <w:color w:val="auto"/>
        </w:rPr>
      </w:pPr>
    </w:p>
    <w:p>
      <w:pPr>
        <w:ind w:right="140" w:firstLine="898"/>
        <w:spacing w:after="0" w:line="298" w:lineRule="auto"/>
        <w:rPr>
          <w:sz w:val="20"/>
          <w:szCs w:val="20"/>
          <w:color w:val="auto"/>
        </w:rPr>
      </w:pPr>
      <w:r>
        <w:rPr>
          <w:rFonts w:ascii="Arial" w:cs="Arial" w:eastAsia="Arial" w:hAnsi="Arial"/>
          <w:sz w:val="16"/>
          <w:szCs w:val="16"/>
          <w:color w:val="auto"/>
        </w:rPr>
        <w:t>We entered into certain contracts under which we will have material future commitments. Under the investment management agreement (the “Investment Management Agreement”), PennantPark Investment Advisers LLC will serve as our investment adviser in accordance with the terms of the Investment Management Agreement. Payments under the Investment Management Agreement in each reporting period will be equal to (1) a management fee equal to 1% of the value of our gross assets and (2) an incentive fee based on our performance.</w:t>
      </w:r>
    </w:p>
    <w:p>
      <w:pPr>
        <w:spacing w:after="0" w:line="112"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Under the administration agreement (the “Administration Agreement”), PennantPark Investment Administration will furnish us with office facilities and administrative services necessary to conduct our day-to-day operations. If requested to provide managerial assistance to our portfolio companies, we or PennantPark Investment Administration may be paid an additional amount based on the services provided.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accompanying statement of assets and liabilities of PennantPark Floating Rate Capital Ltd. (the “Company”) as of March 31, 2011, and the related statements of operations, changes in net assets, and cash flows for the period ended March 31, 2011. These interim financial statements are the responsibility of the Company’s management.</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67691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910" cy="12001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12, 2011</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DISCUSSION OF MANAGEMENT’S EXPECTED OPERATING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49"/>
        <w:spacing w:after="0" w:line="306" w:lineRule="auto"/>
        <w:rPr>
          <w:sz w:val="20"/>
          <w:szCs w:val="20"/>
          <w:color w:val="auto"/>
        </w:rPr>
      </w:pPr>
      <w:r>
        <w:rPr>
          <w:rFonts w:ascii="Arial" w:cs="Arial" w:eastAsia="Arial" w:hAnsi="Arial"/>
          <w:sz w:val="16"/>
          <w:szCs w:val="16"/>
          <w:color w:val="auto"/>
        </w:rPr>
        <w:t>This Report contains statements that constitute forward-looking statements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25" w:lineRule="exact"/>
        <w:rPr>
          <w:sz w:val="20"/>
          <w:szCs w:val="20"/>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valuations or pricing of investments in portfolio companies, particularly those with no liquid trading marker;</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40"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 and current reports on Form 8-K.</w:t>
      </w:r>
    </w:p>
    <w:p>
      <w:pPr>
        <w:spacing w:after="0" w:line="112"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accompanying notes thereto contained elsewhere in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20" w:firstLine="449"/>
        <w:spacing w:after="0" w:line="256" w:lineRule="auto"/>
        <w:rPr>
          <w:sz w:val="20"/>
          <w:szCs w:val="20"/>
          <w:color w:val="auto"/>
        </w:rPr>
      </w:pPr>
      <w:r>
        <w:rPr>
          <w:rFonts w:ascii="Arial" w:cs="Arial" w:eastAsia="Arial" w:hAnsi="Arial"/>
          <w:sz w:val="18"/>
          <w:szCs w:val="18"/>
          <w:color w:val="auto"/>
        </w:rPr>
        <w:t>We were formed on October 28, 2010 as a Maryland corporation structured as an externally managed, non-diversified, closed-end management investment company. We intend to make the election to be treated as a business development company under the 1940 Act. In addition, for tax purposes we intend to elect to be treated, and intend to qualify annually, as a RIC under Subchapter M of the Code, commencing with our first taxable year ending after completion of an offering.</w:t>
      </w:r>
    </w:p>
    <w:p>
      <w:pPr>
        <w:spacing w:after="0" w:line="143"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Our investment objective is to seek high current income. We will seek to achieve our investment objective by investing primarily in Floating Rate Loans made to private middle-market companies whose debt is rated below investment grade. We may also invest in thinly traded or small market-cap public middle-market U.S. companies. 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we expect that at least 80% of the value of our Managed Assets, which means our net assets plus any borrowings for investment purposes, will be invested in Floating Rate Loans. We expect that senior secured loans will represent approximately 65% of our overall portfolio. We expect to invest up to 35% of our overall portfolio opportunistically in other types of investments, including second-lien, high yield, mezzanine and distressed debt securities and private equity investments.</w:t>
      </w:r>
    </w:p>
    <w:p>
      <w:pPr>
        <w:spacing w:after="0" w:line="13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expect to invest in Floating Rate Loans made primarily to leveraged private middle-market companies. We may also invest in thinly traded or small market-cap public middle-market U.S. companies. Our investments will initially generally range between $2 million and $20 million on average, although we expect that this investment size will vary proportionately with the size of our capital base. In addition, we may invest a portion of our portfolio in other types of investments, which we refer to as opportunistic investments, which are not our primary focus but are intended to enhance our overall returns. These investments may include, but are not limited to, direct investments in public companies that are thinly traded and securities of leveraged companies located in select countries outside of the United States.</w:t>
      </w:r>
    </w:p>
    <w:p>
      <w:pPr>
        <w:spacing w:after="0" w:line="144" w:lineRule="exact"/>
        <w:rPr>
          <w:sz w:val="20"/>
          <w:szCs w:val="20"/>
          <w:color w:val="auto"/>
        </w:rPr>
      </w:pPr>
    </w:p>
    <w:p>
      <w:pPr>
        <w:ind w:right="20" w:firstLine="449"/>
        <w:spacing w:after="0" w:line="306" w:lineRule="auto"/>
        <w:rPr>
          <w:sz w:val="20"/>
          <w:szCs w:val="20"/>
          <w:color w:val="auto"/>
        </w:rPr>
      </w:pPr>
      <w:r>
        <w:rPr>
          <w:rFonts w:ascii="Arial" w:cs="Arial" w:eastAsia="Arial" w:hAnsi="Arial"/>
          <w:sz w:val="16"/>
          <w:szCs w:val="16"/>
          <w:color w:val="auto"/>
        </w:rPr>
        <w:t>We will be managed by PennantPark Investment Advisers. PennantPark Investment Administration will provide the administrative services necessary for us to operate. We believe that our ability to leverage the existing investment management and administrative support platforms of the Investment Adviser and Administrator, respectively, will enable us to operate more efficiently and with lower overhead costs than other newly formed funds of comparable size.</w:t>
      </w:r>
    </w:p>
    <w:p>
      <w:pPr>
        <w:spacing w:after="0" w:line="106"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The consummation of each investment will, however, depend upon obtaining mutually satisfactory pricing terms, the execution and delivery of final binding agreements and the completion of final due diligence. In addition, if we do not wish to make an investment, we will not be obligated to do so. Similarly, prospective portfolio companies are not obligated to obtain Floating Rate Loan financing from us. We can offer no assurance that in the course of completing the prospective investments the Investment Adviser’s team has identified for us, we will not discover facts that would cause us to change the terms and amounts of these investments or render these investments unattractive or that any of these investments will actually be made.</w:t>
      </w:r>
    </w:p>
    <w:p>
      <w:pPr>
        <w:sectPr>
          <w:pgSz w:w="11900" w:h="16838" w:orient="portrait"/>
          <w:cols w:equalWidth="0" w:num="1">
            <w:col w:w="11240"/>
          </w:cols>
          <w:pgMar w:left="320" w:top="459" w:right="339" w:bottom="0" w:gutter="0" w:footer="0" w:header="0"/>
        </w:sectPr>
      </w:pPr>
    </w:p>
    <w:bookmarkStart w:id="12" w:name="page13"/>
    <w:bookmarkEnd w:id="12"/>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131"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intend to generate revenue in the form of interest income on our portfolio investments and capital gains and distributions, if any, on our debt investments that we may acquire in portfolio companies. Our Floating Rate Loans typically will have a term of three to ten years and bear interest at a floating rate. Interest on debt investments is generally payable quarterly or semiannually. In some cases, some of our investments may provide for deferred interest payments or interest payments in-kind (“PIK”). The principal amount of our debt investments and any accrued but unpaid interest generally will become due at the maturity date. We expect to originate portfolio investments to a greater extent over time and may generate revenue from origination or structuring fees. In addition, we may generate revenue in the form of commitment or diligence fees, fees for providing managerial assistance and possibly consulting fees. Loan origination fees, original issue discount (“OID”) and market discount or premium are capitalized, and we will accrete or amortize such amounts into income. We will record prepayment premiums on loans and debt securities as income. Dividend income, if any, will be recognized on an accrual basis on the ex-dividend date to the extent that we expect to collect such amounts.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Our primary operating expenses will include the payment of management fees to the Investment Adviser, our allocable portion of overhead under the Administration Agreement and other operating costs as detailed below. Our management fee will compensate the Investment Adviser for its work in identifying, evaluating, negotiating, consummating and monitoring our investments. Additionally, we would pay interest expense on any outstanding debt we may accrue under a credit facility. We will bear all other direct or indirect costs and expenses of our operations and transactions, including:</w:t>
      </w:r>
    </w:p>
    <w:p>
      <w:pPr>
        <w:spacing w:after="0" w:line="31" w:lineRule="exact"/>
        <w:rPr>
          <w:sz w:val="20"/>
          <w:szCs w:val="20"/>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60" w:hanging="31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20" w:hanging="319"/>
        <w:spacing w:after="0" w:line="25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discussion of our expected operating plans is based upon our expected financial statements, once we have completed a public offering and begun investing activities, which will be prepared in accordance with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Our investments may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will be valued at cost plus accreted discount, or minus amortized premium, which approximates value.</w:t>
      </w:r>
    </w:p>
    <w:p>
      <w:pPr>
        <w:spacing w:after="0" w:line="118"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the investments that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ectPr>
          <w:pgSz w:w="11900" w:h="16838" w:orient="portrait"/>
          <w:cols w:equalWidth="0" w:num="1">
            <w:col w:w="11200"/>
          </w:cols>
          <w:pgMar w:left="320" w:top="459" w:right="37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131"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60" w:hanging="447"/>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hanging="447"/>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board of directors will also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right="440" w:hanging="447"/>
        <w:spacing w:after="0" w:line="356"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1" w:lineRule="exact"/>
        <w:rPr>
          <w:rFonts w:ascii="Arial" w:cs="Arial" w:eastAsia="Arial" w:hAnsi="Arial"/>
          <w:sz w:val="15"/>
          <w:szCs w:val="15"/>
          <w:color w:val="auto"/>
        </w:rPr>
      </w:pPr>
    </w:p>
    <w:p>
      <w:pPr>
        <w:ind w:left="900" w:right="380" w:hanging="447"/>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will be classified as Level 3. Due to the inherent uncertainty of determining the fair value of investments that do not have a readily available market value, which may include assets using both Level 2 and 3 inputs, the fair value of our investments may fluctuate from period to period. Additionally, the fair value of our investments may differ significantly from the values that would have been used had a ready market existed for such investments and may differ materially from the values that we may ultimately realize. Further, such investments are generally subject to legal and other restrictions on resale or otherwise are less liquid than publicly traded securities. If we were required to liquidate a portfolio investment, regardless of which level of inputs beings used, in a forced or liquidation sale, we could realize significantly less than the value at which we have recorded.</w:t>
      </w:r>
    </w:p>
    <w:p>
      <w:pPr>
        <w:spacing w:after="0" w:line="118"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 bids as a Level 2 asset includes, but is not limited to, observable market based transactions for the same or similar assets or other relevant observable market based inputs that may be used in pricing the asset.</w:t>
      </w:r>
    </w:p>
    <w:p>
      <w:pPr>
        <w:spacing w:after="0" w:line="120"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right="200" w:firstLine="449"/>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our investments are trading, in determining fair value.</w:t>
      </w:r>
    </w:p>
    <w:p>
      <w:pPr>
        <w:spacing w:after="0" w:line="106" w:lineRule="exact"/>
        <w:rPr>
          <w:sz w:val="20"/>
          <w:szCs w:val="20"/>
          <w:color w:val="auto"/>
        </w:rPr>
      </w:pPr>
    </w:p>
    <w:p>
      <w:pPr>
        <w:ind w:right="140" w:firstLine="449"/>
        <w:spacing w:after="0" w:line="314" w:lineRule="auto"/>
        <w:rPr>
          <w:sz w:val="20"/>
          <w:szCs w:val="20"/>
          <w:color w:val="auto"/>
        </w:rPr>
      </w:pPr>
      <w:r>
        <w:rPr>
          <w:rFonts w:ascii="Arial" w:cs="Arial" w:eastAsia="Arial" w:hAnsi="Arial"/>
          <w:sz w:val="15"/>
          <w:szCs w:val="15"/>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 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performance multiples and comparable yields among other factors. These non-public investments will be included in Level 3 of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We will record interest income on an accrual basis to the extent that we expect to collect such amounts. For Floating Rate Loans with contractual PIK interest, which represents contractual interest accrued and added to the loan balance that generally becomes due at maturity, we will generally not accrue PIK interest if the portfolio company valuation indicates that such PIK interest is not collectible. We will not accrue as a receivable interest on our investments if we determine that it is probable that we will not be able to collect such interest. Loan origination fees, OID, market discount or premium and deferred financing costs on our debt will be capitalized, and we will then amortize such amounts as interest income or expense as applicable. We will record contractual prepayment premiums on our investments as income. Dividend income, if any, will be recognized on an accrual basis on the ex-dividend date to the extent that we expect to collect such amounts.</w:t>
      </w:r>
    </w:p>
    <w:p>
      <w:pPr>
        <w:sectPr>
          <w:pgSz w:w="11900" w:h="16838" w:orient="portrait"/>
          <w:cols w:equalWidth="0" w:num="1">
            <w:col w:w="11240"/>
          </w:cols>
          <w:pgMar w:left="320" w:top="459" w:right="339" w:bottom="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0" w:gutter="0" w:footer="0" w:header="0"/>
          <w:type w:val="continuous"/>
        </w:sectPr>
      </w:pPr>
    </w:p>
    <w:bookmarkStart w:id="16" w:name="page17"/>
    <w:bookmarkEnd w:id="16"/>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may have investments in our portfolio which contain a PIK interest provision. PIK interest will be added to the principal balance of the investment and recorded as income. For us to obtain and maintain our status as a RIC, substantially all of this income must be paid out to stockholders in the form of dividends, even though we will not have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We intend to operate so as to qualify to obtain and maintain annually our election to be taxed as a RIC under Subchapter M of the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12-month period ending on October 31) to avoid a 4% excise tax.</w:t>
      </w:r>
    </w:p>
    <w:p>
      <w:pPr>
        <w:spacing w:after="0" w:line="115"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will be reclassified among capital accounts in our future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expect to generate cash primarily from the net proceeds of our initial public offering and any future offerings of securities and cash flows from operations, including interest earned from the temporary investment of cash in U.S. government securities and other high-quality debt investments that mature in one year or less. We also intend to borrow funds under a credit facility, including before we have fully invested the proceeds of our initial public offering, to the extent we determine that additional capital would allow us to take advantage of additional investment opportunities, if the market for debt financing presents attractively priced opportunities, or if our board of directors determines that leveraging our portfolio would be in the best interest of us and our stockholders, though we have not decided the extent to which we will finance portfolio investment using debt. In the future, we may also securitize a portion of our investments and/or obtain additional borrowings from banks and issue senior securities. Our primary use of funds will be investments in portfolio companies and repayment of amounts owing to the advances under any borrowings we may obtain in the future, cash distributions to holders of our common stock and the payment of operating expenses, including debt service if we borrow additional amounts after completion of our initial public offering to fund our investments. See “Recent Developments”.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will enter into certain contracts under which we will have material future commitments. Under the Investment Management Agreement, PennantPark Investment Advisers LLC will serve as our investment adviser in accordance with the terms of such agreement. Payments under the Investment Management Agreement in each reporting period will be equal to (1) a management fee equal to 1% of the value of our average adjusted gross assets and (2) an incentive fee based on our performance.</w:t>
      </w:r>
    </w:p>
    <w:p>
      <w:pPr>
        <w:spacing w:after="0" w:line="143"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Under the Administration Agreement, PennantPark Investment Administration will furnish us with office facilities and administrative services necessary to conduct our day-to-day operations. If requested to provide managerial assistance to our portfolio companies, we or PennantPark Investment Administration may be paid an additional amount based on the services provided.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1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Investment Adviser plans to pay to the underwriters 2% of the sales load, or $2,055,000 in the aggregate, with respect to the initial public offering and exercise of the over-allotment option of shares of our common stock. We (and indirectly our stockholders) will be obligated to repay this amount (a) if during any four consecutive calendar quarter-periods ending on or after the one year anniversary of the closing of our initial public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18" w:lineRule="exact"/>
        <w:rPr>
          <w:sz w:val="20"/>
          <w:szCs w:val="20"/>
          <w:color w:val="auto"/>
        </w:rPr>
      </w:pPr>
    </w:p>
    <w:p>
      <w:pPr>
        <w:jc w:val="both"/>
        <w:ind w:right="300" w:firstLine="449"/>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the Investment Management Agreement and the Administration Agreement. Any new Investment Management Agreement would also be subject to approval by our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Subsequent to the completion of an offering, and to the extent we have income available, we intend to make monthly distributions to our stockholders. Our monthly distributions, if any, will be determined by our board of directors. Any distributions to our stockholders will be declared out of assets legally available for distribution.</w:t>
      </w:r>
    </w:p>
    <w:p>
      <w:pPr>
        <w:spacing w:after="0" w:line="140" w:lineRule="exact"/>
        <w:rPr>
          <w:sz w:val="20"/>
          <w:szCs w:val="20"/>
          <w:color w:val="auto"/>
        </w:rPr>
      </w:pPr>
    </w:p>
    <w:p>
      <w:pPr>
        <w:ind w:right="360" w:firstLine="449"/>
        <w:spacing w:after="0" w:line="369" w:lineRule="auto"/>
        <w:rPr>
          <w:sz w:val="20"/>
          <w:szCs w:val="20"/>
          <w:color w:val="auto"/>
        </w:rPr>
      </w:pPr>
      <w:r>
        <w:rPr>
          <w:rFonts w:ascii="Arial" w:cs="Arial" w:eastAsia="Arial" w:hAnsi="Arial"/>
          <w:sz w:val="15"/>
          <w:szCs w:val="15"/>
          <w:color w:val="auto"/>
        </w:rPr>
        <w:t>We intend to elect to be treated, and intend to qualify annually thereafter, as a RIC under the Code, beginning with our first taxable year ending after completion of an offering. To obtain and maintain RIC tax treatment, we must distribute at least 90% of our net ordinary income and net short-term capital</w:t>
      </w:r>
    </w:p>
    <w:p>
      <w:pPr>
        <w:sectPr>
          <w:pgSz w:w="11900" w:h="16860" w:orient="portrait"/>
          <w:cols w:equalWidth="0" w:num="1">
            <w:col w:w="11240"/>
          </w:cols>
          <w:pgMar w:left="320" w:top="459" w:right="339" w:bottom="0" w:gutter="0" w:footer="0" w:header="0"/>
        </w:sectPr>
      </w:pPr>
    </w:p>
    <w:bookmarkStart w:id="17" w:name="page18"/>
    <w:bookmarkEnd w:id="17"/>
    <w:p>
      <w:pPr>
        <w:jc w:val="both"/>
        <w:spacing w:after="0" w:line="298" w:lineRule="auto"/>
        <w:rPr>
          <w:sz w:val="20"/>
          <w:szCs w:val="20"/>
          <w:color w:val="auto"/>
        </w:rPr>
      </w:pPr>
      <w:r>
        <w:rPr>
          <w:rFonts w:ascii="Arial" w:cs="Arial" w:eastAsia="Arial" w:hAnsi="Arial"/>
          <w:sz w:val="16"/>
          <w:szCs w:val="16"/>
          <w:color w:val="auto"/>
        </w:rPr>
        <w:t>gains in excess of our net long-term capital losses, if any. In order to avoid certain excise taxes imposed on RICs, we currently intend to distribute during each calendar year an amount at least equal to the sum of: (a) 98% of our net ordinary income for such calendar year; (b) 98.2% of our net capital gains in excess of capital losses for the one-year period ending on October 31 of the calendar year; and (c) any net ordinary income and net capital gains for preceding years that were not distributed during such years and on which we previously paid no U.S. federal income tax.</w:t>
      </w:r>
    </w:p>
    <w:p>
      <w:pPr>
        <w:spacing w:after="0" w:line="112"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We currently intend to distribute net capital gains (net long-term capital gains in excess of net short-term capital losses), if any, at least annually out of the assets legally available for such distributions. However, we may decide in the future to retain such capital gains for investment and elect to treat such gains as deemed distributions to you. If this happens, you will be treated for U.S. federal income tax purposes as if you had received an actual distribution of the capital gains that we retain and you had reinvested the net after tax proceeds in us. In this situation, you would be eligible to claim a tax credit (or, in certain circumstances, a tax refund) equal to your allocable share of the tax we paid on the capital gains deemed distributed to you.</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131"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do not intend to distribute stock as a dividend but reserve the right to do so.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a Business Development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7, 2011, we elected to be treated as a business development company under the 1940 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Initial Public Offering</w:t>
      </w:r>
    </w:p>
    <w:p>
      <w:pPr>
        <w:spacing w:after="0" w:line="96"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On April 8, 2011 and May 6, 2011, we sold 6,850,000 shares in an initial public offering and the exercise of the over-allotment, resulting in gross proceeds of approximately $102,750,000. After deducting the underwriters’ discount (“sales load”) of $5,137,500, the Company received net proceeds of $97,612,500. We estimate offering costs to be paid by the Company to be $1,000,000 excluding the sales load. The underwriters agreed to reimburse, and have paid us, $350,000 of the estimated $1,000,000 of offering expenses we expect to incur in connection with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Repayment of Sales Load to Investment Adviser, Investment Management and Administration Agreements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entered into certain contracts under which we will have material future commitments as described under “Contractual Obligations.”</w:t>
      </w:r>
    </w:p>
    <w:p>
      <w:pPr>
        <w:spacing w:after="0" w:line="3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80" w:firstLine="449"/>
        <w:spacing w:after="0" w:line="298" w:lineRule="auto"/>
        <w:rPr>
          <w:sz w:val="20"/>
          <w:szCs w:val="20"/>
          <w:color w:val="auto"/>
        </w:rPr>
      </w:pPr>
      <w:r>
        <w:rPr>
          <w:rFonts w:ascii="Arial" w:cs="Arial" w:eastAsia="Arial" w:hAnsi="Arial"/>
          <w:sz w:val="16"/>
          <w:szCs w:val="16"/>
          <w:color w:val="auto"/>
        </w:rPr>
        <w:t>We will be subject to financial market risks, including changes in interest rates. Because we may in the future borrow money to make investments, any future net investment income is dependent upon the difference between the rate at which we borrow funds and the rate at which we invest these funds. In periods of declining interest rates, our cost of funds would decrease, but may reduce our net investment income. As a result, there can be no assurance that a significant change in market interest rates will not have a material adverse effect on our net investment income.</w:t>
      </w:r>
    </w:p>
    <w:p>
      <w:pPr>
        <w:spacing w:after="0" w:line="112"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ectPr>
          <w:pgSz w:w="11900" w:h="16838" w:orient="portrait"/>
          <w:cols w:equalWidth="0" w:num="1">
            <w:col w:w="11220"/>
          </w:cols>
          <w:pgMar w:left="320" w:top="459" w:right="359" w:bottom="1440" w:gutter="0" w:footer="0" w:header="0"/>
        </w:sectPr>
      </w:pPr>
    </w:p>
    <w:bookmarkStart w:id="19" w:name="page20"/>
    <w:bookmarkEnd w:id="19"/>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1934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40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60" w:firstLine="449"/>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In addition to the other information set forth in this report, you should consider carefully the factors discussed in our N-2 “Risk Factors” filed on April 8, 2011, which could materially affect our business, financial condition and/or operating results. The risks described in our Form N-2 will be updated in our Annual Report on Form 10-K and are not the only risks facing us. Additional risks and uncertainties not currently known to us or that we currently deem to be immaterial also may materially and adversely affect our business, financial condition and/or operating results.</w:t>
      </w: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On March 10, 2011 we sold $10,000 worth of common stock at $15.00 per share to the Investment Adviser, exempted from registration under the Securities Act of 1933, as amended (the “Securities Act”), pursuant to section 4(2) of the Securities Act. These proceeds are expected to be used for general working capital and/or investment purposes.</w:t>
      </w:r>
    </w:p>
    <w:p>
      <w:pPr>
        <w:spacing w:after="0" w:line="2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[Intentionally left blank]</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320" w:lineRule="exact"/>
        <w:rPr>
          <w:sz w:val="20"/>
          <w:szCs w:val="20"/>
          <w:color w:val="auto"/>
        </w:rPr>
      </w:pPr>
    </w:p>
    <w:p>
      <w:pPr>
        <w:ind w:left="880" w:right="24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of the Registrant (Incorporated by reference to the Registrant’s Pre-Effective Amendment No.3 to the Registration Statement on Form N-2 (File No. 333-170243), filed on March 29, 2011).</w:t>
      </w:r>
    </w:p>
    <w:p>
      <w:pPr>
        <w:spacing w:after="0" w:line="78" w:lineRule="exact"/>
        <w:rPr>
          <w:sz w:val="20"/>
          <w:szCs w:val="20"/>
          <w:color w:val="auto"/>
        </w:rPr>
      </w:pPr>
    </w:p>
    <w:p>
      <w:pPr>
        <w:ind w:left="880" w:hanging="789"/>
        <w:spacing w:after="0" w:line="268" w:lineRule="auto"/>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the Registrant’s Pre-Effective Amendment No.3 to the Registration Statement on Form N-2 (File No. 333-170243), filed on March 29, 2011).</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Stock Certificate (Incorporated by reference to the Registrant’s Pre-Effective Amendment No.5 to the Registration Statement on Form 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(File No. 333-170243), filed on April 5, 2011).</w:t>
      </w:r>
    </w:p>
    <w:p>
      <w:pPr>
        <w:spacing w:after="0" w:line="11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Computation of Per Share Earnings (not included due to the limited operations in this Report).</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32.2 *</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 *</w:t>
      </w:r>
      <w:r>
        <w:rPr>
          <w:sz w:val="20"/>
          <w:szCs w:val="20"/>
          <w:color w:val="auto"/>
        </w:rPr>
        <w:tab/>
      </w:r>
      <w:r>
        <w:rPr>
          <w:rFonts w:ascii="Arial" w:cs="Arial" w:eastAsia="Arial" w:hAnsi="Arial"/>
          <w:sz w:val="16"/>
          <w:szCs w:val="16"/>
          <w:color w:val="auto"/>
        </w:rPr>
        <w:t>Privacy Policy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2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32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PENNANTPARK FLOATING RATE CAPITAL LTD.</w:t>
            </w:r>
          </w:p>
        </w:tc>
      </w:tr>
      <w:tr>
        <w:trPr>
          <w:trHeight w:val="434"/>
        </w:trPr>
        <w:tc>
          <w:tcPr>
            <w:tcW w:w="3400" w:type="dxa"/>
            <w:vAlign w:val="bottom"/>
          </w:tcPr>
          <w:p>
            <w:pPr>
              <w:spacing w:after="0"/>
              <w:rPr>
                <w:sz w:val="20"/>
                <w:szCs w:val="20"/>
                <w:color w:val="auto"/>
              </w:rPr>
            </w:pPr>
            <w:r>
              <w:rPr>
                <w:rFonts w:ascii="Arial" w:cs="Arial" w:eastAsia="Arial" w:hAnsi="Arial"/>
                <w:sz w:val="18"/>
                <w:szCs w:val="18"/>
                <w:color w:val="auto"/>
              </w:rPr>
              <w:t>Date: May 12, 2011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r>
      <w:tr>
        <w:trPr>
          <w:trHeight w:val="209"/>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r>
      <w:tr>
        <w:trPr>
          <w:trHeight w:val="228"/>
        </w:trPr>
        <w:tc>
          <w:tcPr>
            <w:tcW w:w="3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r>
        <w:trPr>
          <w:trHeight w:val="434"/>
        </w:trPr>
        <w:tc>
          <w:tcPr>
            <w:tcW w:w="3400" w:type="dxa"/>
            <w:vAlign w:val="bottom"/>
          </w:tcPr>
          <w:p>
            <w:pPr>
              <w:spacing w:after="0"/>
              <w:rPr>
                <w:sz w:val="20"/>
                <w:szCs w:val="20"/>
                <w:color w:val="auto"/>
              </w:rPr>
            </w:pPr>
            <w:r>
              <w:rPr>
                <w:rFonts w:ascii="Arial" w:cs="Arial" w:eastAsia="Arial" w:hAnsi="Arial"/>
                <w:sz w:val="18"/>
                <w:szCs w:val="18"/>
                <w:color w:val="auto"/>
              </w:rPr>
              <w:t>Date: May 12, 2011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Aviv Efrat</w:t>
            </w:r>
          </w:p>
        </w:tc>
      </w:tr>
      <w:tr>
        <w:trPr>
          <w:trHeight w:val="209"/>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r>
      <w:tr>
        <w:trPr>
          <w:trHeight w:val="216"/>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Officer</w:t>
            </w:r>
          </w:p>
        </w:tc>
      </w:tr>
      <w:tr>
        <w:trPr>
          <w:trHeight w:val="228"/>
        </w:trPr>
        <w:tc>
          <w:tcPr>
            <w:tcW w:w="3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Accounting and Financial Officer)</w:t>
            </w:r>
          </w:p>
        </w:tc>
      </w:tr>
      <w:tr>
        <w:trPr>
          <w:trHeight w:val="378"/>
        </w:trPr>
        <w:tc>
          <w:tcPr>
            <w:tcW w:w="3400" w:type="dxa"/>
            <w:vAlign w:val="bottom"/>
          </w:tcPr>
          <w:p>
            <w:pPr>
              <w:spacing w:after="0"/>
              <w:rPr>
                <w:sz w:val="24"/>
                <w:szCs w:val="24"/>
                <w:color w:val="auto"/>
              </w:rPr>
            </w:pPr>
          </w:p>
        </w:tc>
        <w:tc>
          <w:tcPr>
            <w:tcW w:w="256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Floating Rate Capital Ltd., certify that:</w:t>
      </w:r>
    </w:p>
    <w:p>
      <w:pPr>
        <w:spacing w:after="0" w:line="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59" w:lineRule="auto"/>
        <w:tabs>
          <w:tab w:leader="none" w:pos="1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0" w:lineRule="exact"/>
        <w:rPr>
          <w:sz w:val="20"/>
          <w:szCs w:val="20"/>
          <w:color w:val="auto"/>
        </w:rPr>
      </w:pPr>
    </w:p>
    <w:p>
      <w:pPr>
        <w:jc w:val="both"/>
        <w:ind w:right="240" w:firstLine="8"/>
        <w:spacing w:after="0" w:line="259"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0" w:firstLine="8"/>
        <w:spacing w:after="0" w:line="259" w:lineRule="auto"/>
        <w:tabs>
          <w:tab w:leader="none" w:pos="19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Floating Rate Capital Ltd., certify that:</w:t>
      </w:r>
    </w:p>
    <w:p>
      <w:pPr>
        <w:spacing w:after="0" w:line="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59"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0" w:lineRule="exact"/>
        <w:rPr>
          <w:sz w:val="20"/>
          <w:szCs w:val="20"/>
          <w:color w:val="auto"/>
        </w:rPr>
      </w:pPr>
    </w:p>
    <w:p>
      <w:pPr>
        <w:jc w:val="both"/>
        <w:ind w:right="240" w:firstLine="8"/>
        <w:spacing w:after="0" w:line="259"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0" w:firstLine="8"/>
        <w:spacing w:after="0" w:line="259"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connection with this Report on Form 10-Q for the period ended March 31, 2011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12, 2011</w:t>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period ended March 31, 2011 (the “Report”) of PennantPark Floating Rate Capital Ltd.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12, 2011</w:t>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PRIVACY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PennantPark Floating Rate Captial Ltd. Investors:</w:t>
      </w:r>
    </w:p>
    <w:p>
      <w:pPr>
        <w:spacing w:after="0" w:line="17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take precautions to maintain the privacy of personal information concerning our investors. These precautions include the adoption of certain procedures designed to maintain and secure your nonpublic personal information from inappropriate disclosure to unaffiliated third parties. We are sending this notice in accordance with applicable federal regulations. This notice applies to investors in PennantPark Floating Rate Captial Ltd. (the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kind of personal information do we have about you and where did we get 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collect nonpublic personal information about you from the following sources:</w:t>
      </w:r>
    </w:p>
    <w:p>
      <w:pPr>
        <w:spacing w:after="0" w:line="90" w:lineRule="exact"/>
        <w:rPr>
          <w:sz w:val="20"/>
          <w:szCs w:val="20"/>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we may receive from you in subscription agreements or other related documents or forms;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about your transactions with our affiliates and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we protect your personal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any nonpublic personal information about our investors or former investors to anyone, except as permitted by law.</w:t>
      </w:r>
    </w:p>
    <w:p>
      <w:pPr>
        <w:spacing w:after="0" w:line="171" w:lineRule="exact"/>
        <w:rPr>
          <w:sz w:val="20"/>
          <w:szCs w:val="20"/>
          <w:color w:val="auto"/>
        </w:rPr>
      </w:pPr>
    </w:p>
    <w:p>
      <w:pPr>
        <w:ind w:right="380"/>
        <w:spacing w:after="0" w:line="323" w:lineRule="auto"/>
        <w:rPr>
          <w:sz w:val="20"/>
          <w:szCs w:val="20"/>
          <w:color w:val="auto"/>
        </w:rPr>
      </w:pPr>
      <w:r>
        <w:rPr>
          <w:rFonts w:ascii="Arial" w:cs="Arial" w:eastAsia="Arial" w:hAnsi="Arial"/>
          <w:sz w:val="15"/>
          <w:szCs w:val="15"/>
          <w:color w:val="auto"/>
        </w:rPr>
        <w:t>We restrict access to nonpublic personal information about you to those employees and agents of PennantPark Investment Advisers, LLC, its affiliates and unaffiliated third party service providers (which may include a custodian, transfer agent or printer) who need to know that information in order to provide services to you or to the Corporation. In that regard, we note that we maintain physical, electronic, and procedural safeguards that comply with federal standards to safeguard your nonpublic personal information and which we believe is adequate to prevent unauthorized disclosure of such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we do with personal information about our former investors?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an investor decides to no longer do business with us, we will continue to follow this privacy policy with respect to the information we have in our possession about such investor and his/her account.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our privacy policies, please contact our Chief Financial Officer at (212) 905-1000.</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2020-05-05T12:07:32Z</dcterms:created>
  <dcterms:modified xsi:type="dcterms:W3CDTF">2020-05-05T12:07:32Z</dcterms:modified>
</cp:coreProperties>
</file>