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1" w:lineRule="exact"/>
        <w:rPr>
          <w:sz w:val="24"/>
          <w:szCs w:val="24"/>
          <w:color w:val="auto"/>
        </w:rPr>
      </w:pPr>
    </w:p>
    <w:p>
      <w:pPr>
        <w:ind w:left="3400" w:right="2220" w:hanging="3392"/>
        <w:spacing w:after="0" w:line="322"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2014</w:t>
      </w:r>
    </w:p>
    <w:p>
      <w:pPr>
        <w:spacing w:after="0" w:line="25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ind w:left="32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Pr>
          <w:p>
            <w:pPr>
              <w:jc w:val="right"/>
              <w:ind w:right="88"/>
              <w:spacing w:after="0"/>
              <w:rPr>
                <w:sz w:val="20"/>
                <w:szCs w:val="20"/>
                <w:color w:val="auto"/>
              </w:rPr>
            </w:pPr>
            <w:r>
              <w:rPr>
                <w:rFonts w:ascii="Arial" w:cs="Arial" w:eastAsia="Arial" w:hAnsi="Arial"/>
                <w:sz w:val="18"/>
                <w:szCs w:val="18"/>
                <w:b w:val="1"/>
                <w:bCs w:val="1"/>
                <w:color w:val="auto"/>
              </w:rPr>
              <w:t>TO</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97"/>
        </w:trPr>
        <w:tc>
          <w:tcPr>
            <w:tcW w:w="7560" w:type="dxa"/>
            <w:vAlign w:val="bottom"/>
            <w:gridSpan w:val="2"/>
          </w:tcPr>
          <w:p>
            <w:pPr>
              <w:jc w:val="center"/>
              <w:ind w:left="3605"/>
              <w:spacing w:after="0"/>
              <w:rPr>
                <w:sz w:val="20"/>
                <w:szCs w:val="20"/>
                <w:color w:val="auto"/>
              </w:rPr>
            </w:pPr>
            <w:r>
              <w:rPr>
                <w:rFonts w:ascii="Arial" w:cs="Arial" w:eastAsia="Arial" w:hAnsi="Arial"/>
                <w:sz w:val="18"/>
                <w:szCs w:val="18"/>
                <w:b w:val="1"/>
                <w:bCs w:val="1"/>
                <w:color w:val="auto"/>
                <w:w w:val="96"/>
              </w:rPr>
              <w:t>COMMISSION FILE NUMBER: 814-00891</w:t>
            </w:r>
          </w:p>
        </w:tc>
        <w:tc>
          <w:tcPr>
            <w:tcW w:w="3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16"/>
        </w:trPr>
        <w:tc>
          <w:tcPr>
            <w:tcW w:w="11200" w:type="dxa"/>
            <w:vAlign w:val="bottom"/>
            <w:gridSpan w:val="4"/>
          </w:tcPr>
          <w:p>
            <w:pPr>
              <w:jc w:val="center"/>
              <w:spacing w:after="0"/>
              <w:rPr>
                <w:sz w:val="20"/>
                <w:szCs w:val="20"/>
                <w:color w:val="auto"/>
              </w:rPr>
            </w:pPr>
            <w:r>
              <w:rPr>
                <w:rFonts w:ascii="Arial" w:cs="Arial" w:eastAsia="Arial" w:hAnsi="Arial"/>
                <w:sz w:val="32"/>
                <w:szCs w:val="32"/>
                <w:b w:val="1"/>
                <w:bCs w:val="1"/>
                <w:color w:val="auto"/>
              </w:rPr>
              <w:t>PENNANTPARK FLOATING RATE CAPITAL LTD.</w:t>
            </w:r>
          </w:p>
        </w:tc>
      </w:tr>
      <w:tr>
        <w:trPr>
          <w:trHeight w:val="174"/>
        </w:trPr>
        <w:tc>
          <w:tcPr>
            <w:tcW w:w="7560" w:type="dxa"/>
            <w:vAlign w:val="bottom"/>
            <w:gridSpan w:val="2"/>
          </w:tcPr>
          <w:p>
            <w:pPr>
              <w:jc w:val="center"/>
              <w:ind w:left="3625"/>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32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271"/>
        </w:trPr>
        <w:tc>
          <w:tcPr>
            <w:tcW w:w="7020" w:type="dxa"/>
            <w:vAlign w:val="bottom"/>
          </w:tcPr>
          <w:p>
            <w:pPr>
              <w:jc w:val="center"/>
              <w:ind w:right="1265"/>
              <w:spacing w:after="0"/>
              <w:rPr>
                <w:sz w:val="20"/>
                <w:szCs w:val="20"/>
                <w:color w:val="auto"/>
              </w:rPr>
            </w:pPr>
            <w:r>
              <w:rPr>
                <w:rFonts w:ascii="Arial" w:cs="Arial" w:eastAsia="Arial" w:hAnsi="Arial"/>
                <w:sz w:val="13"/>
                <w:szCs w:val="13"/>
                <w:b w:val="1"/>
                <w:bCs w:val="1"/>
                <w:color w:val="auto"/>
              </w:rPr>
              <w:t>MARYLAND</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320" w:type="dxa"/>
            <w:vAlign w:val="bottom"/>
          </w:tcPr>
          <w:p>
            <w:pPr>
              <w:jc w:val="right"/>
              <w:ind w:right="2293"/>
              <w:spacing w:after="0"/>
              <w:rPr>
                <w:sz w:val="20"/>
                <w:szCs w:val="20"/>
                <w:color w:val="auto"/>
              </w:rPr>
            </w:pPr>
            <w:r>
              <w:rPr>
                <w:rFonts w:ascii="Arial" w:cs="Arial" w:eastAsia="Arial" w:hAnsi="Arial"/>
                <w:sz w:val="13"/>
                <w:szCs w:val="13"/>
                <w:b w:val="1"/>
                <w:bCs w:val="1"/>
                <w:color w:val="auto"/>
              </w:rPr>
              <w:t>27-3794690</w:t>
            </w:r>
          </w:p>
        </w:tc>
      </w:tr>
      <w:tr>
        <w:trPr>
          <w:trHeight w:val="174"/>
        </w:trPr>
        <w:tc>
          <w:tcPr>
            <w:tcW w:w="7020" w:type="dxa"/>
            <w:vAlign w:val="bottom"/>
          </w:tcPr>
          <w:p>
            <w:pPr>
              <w:jc w:val="center"/>
              <w:ind w:right="1265"/>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4180" w:type="dxa"/>
            <w:vAlign w:val="bottom"/>
            <w:gridSpan w:val="3"/>
          </w:tcPr>
          <w:p>
            <w:pPr>
              <w:jc w:val="center"/>
              <w:ind w:right="1133"/>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176"/>
        </w:trPr>
        <w:tc>
          <w:tcPr>
            <w:tcW w:w="7020" w:type="dxa"/>
            <w:vAlign w:val="bottom"/>
          </w:tcPr>
          <w:p>
            <w:pPr>
              <w:jc w:val="center"/>
              <w:ind w:right="1265"/>
              <w:spacing w:after="0"/>
              <w:rPr>
                <w:sz w:val="20"/>
                <w:szCs w:val="20"/>
                <w:color w:val="auto"/>
              </w:rPr>
            </w:pPr>
            <w:r>
              <w:rPr>
                <w:rFonts w:ascii="Arial" w:cs="Arial" w:eastAsia="Arial" w:hAnsi="Arial"/>
                <w:sz w:val="13"/>
                <w:szCs w:val="13"/>
                <w:b w:val="1"/>
                <w:bCs w:val="1"/>
                <w:color w:val="auto"/>
                <w:w w:val="93"/>
              </w:rPr>
              <w:t>590 Madison Avenue,</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76"/>
        </w:trPr>
        <w:tc>
          <w:tcPr>
            <w:tcW w:w="7020" w:type="dxa"/>
            <w:vAlign w:val="bottom"/>
          </w:tcPr>
          <w:p>
            <w:pPr>
              <w:jc w:val="center"/>
              <w:ind w:right="1265"/>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jc w:val="right"/>
              <w:ind w:right="2453"/>
              <w:spacing w:after="0"/>
              <w:rPr>
                <w:sz w:val="20"/>
                <w:szCs w:val="20"/>
                <w:color w:val="auto"/>
              </w:rPr>
            </w:pPr>
            <w:r>
              <w:rPr>
                <w:rFonts w:ascii="Arial" w:cs="Arial" w:eastAsia="Arial" w:hAnsi="Arial"/>
                <w:sz w:val="13"/>
                <w:szCs w:val="13"/>
                <w:b w:val="1"/>
                <w:bCs w:val="1"/>
                <w:color w:val="auto"/>
              </w:rPr>
              <w:t>10022</w:t>
            </w:r>
          </w:p>
        </w:tc>
      </w:tr>
      <w:tr>
        <w:trPr>
          <w:trHeight w:val="174"/>
        </w:trPr>
        <w:tc>
          <w:tcPr>
            <w:tcW w:w="7020" w:type="dxa"/>
            <w:vAlign w:val="bottom"/>
          </w:tcPr>
          <w:p>
            <w:pPr>
              <w:jc w:val="center"/>
              <w:ind w:right="1265"/>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jc w:val="center"/>
              <w:ind w:right="1993"/>
              <w:spacing w:after="0"/>
              <w:rPr>
                <w:sz w:val="20"/>
                <w:szCs w:val="20"/>
                <w:color w:val="auto"/>
              </w:rPr>
            </w:pPr>
            <w:r>
              <w:rPr>
                <w:rFonts w:ascii="Arial" w:cs="Arial" w:eastAsia="Arial" w:hAnsi="Arial"/>
                <w:sz w:val="13"/>
                <w:szCs w:val="13"/>
                <w:b w:val="1"/>
                <w:bCs w:val="1"/>
                <w:color w:val="auto"/>
                <w:w w:val="96"/>
              </w:rPr>
              <w:t>(Zip Code)</w:t>
            </w:r>
          </w:p>
        </w:tc>
      </w:tr>
      <w:tr>
        <w:trPr>
          <w:trHeight w:val="230"/>
        </w:trPr>
        <w:tc>
          <w:tcPr>
            <w:tcW w:w="7560" w:type="dxa"/>
            <w:vAlign w:val="bottom"/>
            <w:gridSpan w:val="2"/>
          </w:tcPr>
          <w:p>
            <w:pPr>
              <w:jc w:val="center"/>
              <w:ind w:left="3605"/>
              <w:spacing w:after="0"/>
              <w:rPr>
                <w:sz w:val="20"/>
                <w:szCs w:val="20"/>
                <w:color w:val="auto"/>
              </w:rPr>
            </w:pPr>
            <w:r>
              <w:rPr>
                <w:rFonts w:ascii="Arial" w:cs="Arial" w:eastAsia="Arial" w:hAnsi="Arial"/>
                <w:sz w:val="13"/>
                <w:szCs w:val="13"/>
                <w:b w:val="1"/>
                <w:bCs w:val="1"/>
                <w:color w:val="auto"/>
                <w:w w:val="92"/>
              </w:rPr>
              <w:t>Registrant’s telephone number, including area code (212)-905-1000</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29"/>
        </w:trPr>
        <w:tc>
          <w:tcPr>
            <w:tcW w:w="7560" w:type="dxa"/>
            <w:vAlign w:val="bottom"/>
            <w:gridSpan w:val="2"/>
          </w:tcPr>
          <w:p>
            <w:pPr>
              <w:jc w:val="center"/>
              <w:ind w:left="3625"/>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73"/>
        </w:trPr>
        <w:tc>
          <w:tcPr>
            <w:tcW w:w="7020" w:type="dxa"/>
            <w:vAlign w:val="bottom"/>
          </w:tcPr>
          <w:p>
            <w:pPr>
              <w:jc w:val="center"/>
              <w:ind w:right="1265"/>
              <w:spacing w:after="0"/>
              <w:rPr>
                <w:sz w:val="20"/>
                <w:szCs w:val="20"/>
                <w:color w:val="auto"/>
              </w:rPr>
            </w:pPr>
            <w:r>
              <w:rPr>
                <w:rFonts w:ascii="Arial" w:cs="Arial" w:eastAsia="Arial" w:hAnsi="Arial"/>
                <w:sz w:val="13"/>
                <w:szCs w:val="13"/>
                <w:b w:val="1"/>
                <w:bCs w:val="1"/>
                <w:color w:val="auto"/>
                <w:w w:val="93"/>
              </w:rPr>
              <w:t>Title of Each Class</w:t>
            </w:r>
          </w:p>
        </w:tc>
        <w:tc>
          <w:tcPr>
            <w:tcW w:w="4180" w:type="dxa"/>
            <w:vAlign w:val="bottom"/>
            <w:gridSpan w:val="3"/>
          </w:tcPr>
          <w:p>
            <w:pPr>
              <w:jc w:val="center"/>
              <w:ind w:right="1113"/>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172"/>
        </w:trPr>
        <w:tc>
          <w:tcPr>
            <w:tcW w:w="7020" w:type="dxa"/>
            <w:vAlign w:val="bottom"/>
          </w:tcPr>
          <w:p>
            <w:pPr>
              <w:jc w:val="center"/>
              <w:ind w:right="1245"/>
              <w:spacing w:after="0"/>
              <w:rPr>
                <w:sz w:val="20"/>
                <w:szCs w:val="20"/>
                <w:color w:val="auto"/>
              </w:rPr>
            </w:pPr>
            <w:r>
              <w:rPr>
                <w:rFonts w:ascii="Arial" w:cs="Arial" w:eastAsia="Arial" w:hAnsi="Arial"/>
                <w:sz w:val="13"/>
                <w:szCs w:val="13"/>
                <w:color w:val="auto"/>
                <w:w w:val="93"/>
              </w:rPr>
              <w:t>Common Stock, par value $0.001 per share</w:t>
            </w:r>
          </w:p>
        </w:tc>
        <w:tc>
          <w:tcPr>
            <w:tcW w:w="540" w:type="dxa"/>
            <w:vAlign w:val="bottom"/>
          </w:tcPr>
          <w:p>
            <w:pPr>
              <w:spacing w:after="0"/>
              <w:rPr>
                <w:sz w:val="14"/>
                <w:szCs w:val="14"/>
                <w:color w:val="auto"/>
              </w:rPr>
            </w:pPr>
          </w:p>
        </w:tc>
        <w:tc>
          <w:tcPr>
            <w:tcW w:w="3640" w:type="dxa"/>
            <w:vAlign w:val="bottom"/>
            <w:gridSpan w:val="2"/>
          </w:tcPr>
          <w:p>
            <w:pPr>
              <w:jc w:val="center"/>
              <w:ind w:right="1673"/>
              <w:spacing w:after="0"/>
              <w:rPr>
                <w:sz w:val="20"/>
                <w:szCs w:val="20"/>
                <w:color w:val="auto"/>
              </w:rPr>
            </w:pPr>
            <w:r>
              <w:rPr>
                <w:rFonts w:ascii="Arial" w:cs="Arial" w:eastAsia="Arial" w:hAnsi="Arial"/>
                <w:sz w:val="13"/>
                <w:szCs w:val="13"/>
                <w:color w:val="auto"/>
                <w:w w:val="98"/>
              </w:rPr>
              <w:t>The NASDAQ Stock Market LLC</w:t>
            </w:r>
          </w:p>
        </w:tc>
      </w:tr>
      <w:tr>
        <w:trPr>
          <w:trHeight w:val="203"/>
        </w:trPr>
        <w:tc>
          <w:tcPr>
            <w:tcW w:w="7560" w:type="dxa"/>
            <w:vAlign w:val="bottom"/>
            <w:gridSpan w:val="2"/>
          </w:tcPr>
          <w:p>
            <w:pPr>
              <w:jc w:val="center"/>
              <w:ind w:left="3625"/>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3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325"/>
        </w:trPr>
        <w:tc>
          <w:tcPr>
            <w:tcW w:w="7020" w:type="dxa"/>
            <w:vAlign w:val="bottom"/>
          </w:tcPr>
          <w:p>
            <w:pPr>
              <w:ind w:left="56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40" w:type="dxa"/>
            <w:vAlign w:val="bottom"/>
          </w:tcPr>
          <w:p>
            <w:pPr>
              <w:jc w:val="right"/>
              <w:ind w:right="68"/>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640" w:type="dxa"/>
            <w:vAlign w:val="bottom"/>
            <w:gridSpan w:val="2"/>
          </w:tcPr>
          <w:p>
            <w:pPr>
              <w:jc w:val="center"/>
              <w:ind w:right="3193"/>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230"/>
        </w:trPr>
        <w:tc>
          <w:tcPr>
            <w:tcW w:w="7020" w:type="dxa"/>
            <w:vAlign w:val="bottom"/>
          </w:tcPr>
          <w:p>
            <w:pPr>
              <w:ind w:left="56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4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20" w:type="dxa"/>
            <w:vAlign w:val="bottom"/>
          </w:tcPr>
          <w:p>
            <w:pPr>
              <w:jc w:val="center"/>
              <w:ind w:left="13"/>
              <w:spacing w:after="0"/>
              <w:rPr>
                <w:sz w:val="20"/>
                <w:szCs w:val="20"/>
                <w:color w:val="auto"/>
              </w:rPr>
            </w:pPr>
            <w:r>
              <w:rPr>
                <w:rFonts w:ascii="Arial" w:cs="Arial" w:eastAsia="Arial" w:hAnsi="Arial"/>
                <w:sz w:val="13"/>
                <w:szCs w:val="13"/>
                <w:color w:val="auto"/>
                <w:w w:val="96"/>
              </w:rPr>
              <w:t>No</w:t>
            </w:r>
          </w:p>
        </w:tc>
        <w:tc>
          <w:tcPr>
            <w:tcW w:w="332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175"/>
        </w:trPr>
        <w:tc>
          <w:tcPr>
            <w:tcW w:w="11200" w:type="dxa"/>
            <w:vAlign w:val="bottom"/>
            <w:gridSpan w:val="4"/>
          </w:tcPr>
          <w:p>
            <w:pPr>
              <w:ind w:left="560"/>
              <w:spacing w:after="0"/>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r>
      <w:tr>
        <w:trPr>
          <w:trHeight w:val="211"/>
        </w:trPr>
        <w:tc>
          <w:tcPr>
            <w:tcW w:w="7560" w:type="dxa"/>
            <w:vAlign w:val="bottom"/>
            <w:gridSpan w:val="2"/>
          </w:tcPr>
          <w:p>
            <w:pPr>
              <w:jc w:val="right"/>
              <w:spacing w:after="0"/>
              <w:rPr>
                <w:sz w:val="20"/>
                <w:szCs w:val="20"/>
                <w:color w:val="auto"/>
              </w:rPr>
            </w:pPr>
            <w:r>
              <w:rPr>
                <w:rFonts w:ascii="Arial" w:cs="Arial" w:eastAsia="Arial" w:hAnsi="Arial"/>
                <w:sz w:val="13"/>
                <w:szCs w:val="13"/>
                <w:color w:val="auto"/>
                <w:w w:val="93"/>
              </w:rPr>
              <w:t>shorter period that the registrant was required to file such reports), and (2) has been subject to such filing requirements for the past 90 days.</w:t>
            </w:r>
          </w:p>
        </w:tc>
        <w:tc>
          <w:tcPr>
            <w:tcW w:w="320" w:type="dxa"/>
            <w:vAlign w:val="bottom"/>
          </w:tcPr>
          <w:p>
            <w:pPr>
              <w:jc w:val="center"/>
              <w:ind w:left="13"/>
              <w:spacing w:after="0"/>
              <w:rPr>
                <w:sz w:val="20"/>
                <w:szCs w:val="20"/>
                <w:color w:val="auto"/>
              </w:rPr>
            </w:pPr>
            <w:r>
              <w:rPr>
                <w:rFonts w:ascii="Arial" w:cs="Arial" w:eastAsia="Arial" w:hAnsi="Arial"/>
                <w:sz w:val="13"/>
                <w:szCs w:val="13"/>
                <w:color w:val="auto"/>
                <w:w w:val="89"/>
              </w:rPr>
              <w:t>Yes</w:t>
            </w:r>
          </w:p>
        </w:tc>
        <w:tc>
          <w:tcPr>
            <w:tcW w:w="3320" w:type="dxa"/>
            <w:vAlign w:val="bottom"/>
          </w:tcPr>
          <w:p>
            <w:pPr>
              <w:ind w:left="1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34" w:lineRule="exact"/>
        <w:rPr>
          <w:sz w:val="24"/>
          <w:szCs w:val="24"/>
          <w:color w:val="auto"/>
        </w:rPr>
      </w:pPr>
    </w:p>
    <w:p>
      <w:pPr>
        <w:ind w:right="180" w:firstLine="56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43" w:lineRule="exact"/>
        <w:rPr>
          <w:sz w:val="24"/>
          <w:szCs w:val="24"/>
          <w:color w:val="auto"/>
        </w:rPr>
      </w:pPr>
    </w:p>
    <w:p>
      <w:pPr>
        <w:ind w:right="580" w:firstLine="562"/>
        <w:spacing w:after="0" w:line="16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4" w:lineRule="exact"/>
        <w:rPr>
          <w:sz w:val="24"/>
          <w:szCs w:val="24"/>
          <w:color w:val="auto"/>
        </w:rPr>
      </w:pPr>
    </w:p>
    <w:p>
      <w:pPr>
        <w:ind w:right="180" w:firstLine="562"/>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104"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220" w:space="580"/>
            <w:col w:w="6480" w:space="720"/>
            <w:col w:w="1400" w:space="720"/>
            <w:col w:w="120"/>
          </w:cols>
          <w:pgMar w:left="320" w:top="23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5">
            <w:col w:w="1160" w:space="640"/>
            <w:col w:w="120" w:space="60"/>
            <w:col w:w="6300" w:space="720"/>
            <w:col w:w="1480" w:space="640"/>
            <w:col w:w="120"/>
          </w:cols>
          <w:pgMar w:left="320" w:top="230" w:right="339" w:bottom="1440" w:gutter="0" w:footer="0" w:header="0"/>
          <w:type w:val="continuous"/>
        </w:sectPr>
      </w:pPr>
    </w:p>
    <w:p>
      <w:pPr>
        <w:spacing w:after="0" w:line="25" w:lineRule="exact"/>
        <w:rPr>
          <w:sz w:val="24"/>
          <w:szCs w:val="24"/>
          <w:color w:val="auto"/>
        </w:rPr>
      </w:pPr>
    </w:p>
    <w:p>
      <w:pPr>
        <w:ind w:left="5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16" w:lineRule="exact"/>
        <w:rPr>
          <w:sz w:val="24"/>
          <w:szCs w:val="24"/>
          <w:color w:val="auto"/>
        </w:rPr>
      </w:pPr>
    </w:p>
    <w:p>
      <w:pPr>
        <w:sectPr>
          <w:pgSz w:w="11900" w:h="16838" w:orient="portrait"/>
          <w:cols w:equalWidth="0" w:num="5">
            <w:col w:w="6700" w:space="120"/>
            <w:col w:w="200" w:space="60"/>
            <w:col w:w="120" w:space="140"/>
            <w:col w:w="180" w:space="60"/>
            <w:col w:w="3660"/>
          </w:cols>
          <w:pgMar w:left="320" w:top="230" w:right="339" w:bottom="1440" w:gutter="0" w:footer="0" w:header="0"/>
          <w:type w:val="continuous"/>
        </w:sectPr>
      </w:pPr>
    </w:p>
    <w:p>
      <w:pPr>
        <w:jc w:val="both"/>
        <w:ind w:right="220" w:firstLine="562"/>
        <w:spacing w:after="0" w:line="256" w:lineRule="auto"/>
        <w:rPr>
          <w:sz w:val="20"/>
          <w:szCs w:val="20"/>
          <w:color w:val="auto"/>
        </w:rPr>
      </w:pPr>
      <w:r>
        <w:rPr>
          <w:rFonts w:ascii="Arial" w:cs="Arial" w:eastAsia="Arial" w:hAnsi="Arial"/>
          <w:sz w:val="13"/>
          <w:szCs w:val="13"/>
          <w:color w:val="auto"/>
        </w:rPr>
        <w:t>The aggregate market value of common stock held by non-affiliates of the Registrant on March 31, 2014 based on the closing price on that date of $13.82 on the NASDAQ Global Select Market was approximately $201 million. For the purposes of calculating this amount only, all directors and executive officers of the Registrant have been treated as affiliates. There were 14,898,056 shares of the Registrant’s common stock outstanding as of November 13, 2014.</w:t>
      </w:r>
    </w:p>
    <w:p>
      <w:pPr>
        <w:spacing w:after="0" w:line="48" w:lineRule="exact"/>
        <w:rPr>
          <w:sz w:val="24"/>
          <w:szCs w:val="24"/>
          <w:color w:val="auto"/>
        </w:rPr>
      </w:pPr>
    </w:p>
    <w:p>
      <w:pPr>
        <w:jc w:val="both"/>
        <w:ind w:right="220" w:firstLine="562"/>
        <w:spacing w:after="0" w:line="274" w:lineRule="auto"/>
        <w:rPr>
          <w:sz w:val="20"/>
          <w:szCs w:val="20"/>
          <w:color w:val="auto"/>
        </w:rPr>
      </w:pPr>
      <w:r>
        <w:rPr>
          <w:rFonts w:ascii="Arial" w:cs="Arial" w:eastAsia="Arial" w:hAnsi="Arial"/>
          <w:sz w:val="13"/>
          <w:szCs w:val="13"/>
          <w:color w:val="auto"/>
        </w:rPr>
        <w:t>Documents Incorporated by Reference: Portions of the Registrant’s Proxy Statement relating to the Registrant’s 2015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8400" w:type="dxa"/>
            <w:vAlign w:val="bottom"/>
          </w:tcPr>
          <w:p>
            <w:pPr>
              <w:jc w:val="center"/>
              <w:ind w:left="1173"/>
              <w:spacing w:after="0"/>
              <w:rPr>
                <w:sz w:val="20"/>
                <w:szCs w:val="20"/>
                <w:color w:val="auto"/>
              </w:rPr>
            </w:pPr>
            <w:r>
              <w:rPr>
                <w:rFonts w:ascii="Arial" w:cs="Arial" w:eastAsia="Arial" w:hAnsi="Arial"/>
                <w:sz w:val="13"/>
                <w:szCs w:val="13"/>
                <w:b w:val="1"/>
                <w:bCs w:val="1"/>
                <w:color w:val="auto"/>
              </w:rPr>
              <w:t>PENNANTPARK FLOATING RATE CAPITAL LTD.</w:t>
            </w:r>
          </w:p>
        </w:tc>
        <w:tc>
          <w:tcPr>
            <w:tcW w:w="200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8400" w:type="dxa"/>
            <w:vAlign w:val="bottom"/>
          </w:tcPr>
          <w:p>
            <w:pPr>
              <w:jc w:val="center"/>
              <w:ind w:left="1173"/>
              <w:spacing w:after="0"/>
              <w:rPr>
                <w:sz w:val="20"/>
                <w:szCs w:val="20"/>
                <w:color w:val="auto"/>
              </w:rPr>
            </w:pPr>
            <w:r>
              <w:rPr>
                <w:rFonts w:ascii="Arial" w:cs="Arial" w:eastAsia="Arial" w:hAnsi="Arial"/>
                <w:sz w:val="13"/>
                <w:szCs w:val="13"/>
                <w:b w:val="1"/>
                <w:bCs w:val="1"/>
                <w:color w:val="auto"/>
              </w:rPr>
              <w:t>FORM 10-K</w:t>
            </w:r>
          </w:p>
        </w:tc>
        <w:tc>
          <w:tcPr>
            <w:tcW w:w="2000" w:type="dxa"/>
            <w:vAlign w:val="bottom"/>
          </w:tcPr>
          <w:p>
            <w:pPr>
              <w:spacing w:after="0"/>
              <w:rPr>
                <w:sz w:val="12"/>
                <w:szCs w:val="12"/>
                <w:color w:val="auto"/>
              </w:rPr>
            </w:pPr>
          </w:p>
        </w:tc>
      </w:tr>
      <w:tr>
        <w:trPr>
          <w:trHeight w:val="174"/>
        </w:trPr>
        <w:tc>
          <w:tcPr>
            <w:tcW w:w="800" w:type="dxa"/>
            <w:vAlign w:val="bottom"/>
          </w:tcPr>
          <w:p>
            <w:pPr>
              <w:spacing w:after="0"/>
              <w:rPr>
                <w:sz w:val="15"/>
                <w:szCs w:val="15"/>
                <w:color w:val="auto"/>
              </w:rPr>
            </w:pPr>
          </w:p>
        </w:tc>
        <w:tc>
          <w:tcPr>
            <w:tcW w:w="8400" w:type="dxa"/>
            <w:vAlign w:val="bottom"/>
          </w:tcPr>
          <w:p>
            <w:pPr>
              <w:jc w:val="center"/>
              <w:ind w:left="1193"/>
              <w:spacing w:after="0"/>
              <w:rPr>
                <w:sz w:val="20"/>
                <w:szCs w:val="20"/>
                <w:color w:val="auto"/>
              </w:rPr>
            </w:pPr>
            <w:r>
              <w:rPr>
                <w:rFonts w:ascii="Arial" w:cs="Arial" w:eastAsia="Arial" w:hAnsi="Arial"/>
                <w:sz w:val="13"/>
                <w:szCs w:val="13"/>
                <w:b w:val="1"/>
                <w:bCs w:val="1"/>
                <w:color w:val="auto"/>
              </w:rPr>
              <w:t>FOR THE FISCAL YEAR ENDED SEPTEMBER 30, 2014</w:t>
            </w:r>
          </w:p>
        </w:tc>
        <w:tc>
          <w:tcPr>
            <w:tcW w:w="2000" w:type="dxa"/>
            <w:vAlign w:val="bottom"/>
          </w:tcPr>
          <w:p>
            <w:pPr>
              <w:spacing w:after="0"/>
              <w:rPr>
                <w:sz w:val="15"/>
                <w:szCs w:val="15"/>
                <w:color w:val="auto"/>
              </w:rPr>
            </w:pPr>
          </w:p>
        </w:tc>
      </w:tr>
      <w:tr>
        <w:trPr>
          <w:trHeight w:val="203"/>
        </w:trPr>
        <w:tc>
          <w:tcPr>
            <w:tcW w:w="800" w:type="dxa"/>
            <w:vAlign w:val="bottom"/>
          </w:tcPr>
          <w:p>
            <w:pPr>
              <w:spacing w:after="0"/>
              <w:rPr>
                <w:sz w:val="17"/>
                <w:szCs w:val="17"/>
                <w:color w:val="auto"/>
              </w:rPr>
            </w:pPr>
          </w:p>
        </w:tc>
        <w:tc>
          <w:tcPr>
            <w:tcW w:w="8400" w:type="dxa"/>
            <w:vAlign w:val="bottom"/>
          </w:tcPr>
          <w:p>
            <w:pPr>
              <w:jc w:val="center"/>
              <w:ind w:left="1173"/>
              <w:spacing w:after="0"/>
              <w:rPr>
                <w:sz w:val="20"/>
                <w:szCs w:val="20"/>
                <w:color w:val="auto"/>
              </w:rPr>
            </w:pPr>
            <w:r>
              <w:rPr>
                <w:rFonts w:ascii="Arial" w:cs="Arial" w:eastAsia="Arial" w:hAnsi="Arial"/>
                <w:sz w:val="13"/>
                <w:szCs w:val="13"/>
                <w:b w:val="1"/>
                <w:bCs w:val="1"/>
                <w:color w:val="auto"/>
              </w:rPr>
              <w:t>TABLE OF CONTENTS</w:t>
            </w:r>
          </w:p>
        </w:tc>
        <w:tc>
          <w:tcPr>
            <w:tcW w:w="2000" w:type="dxa"/>
            <w:vAlign w:val="bottom"/>
          </w:tcPr>
          <w:p>
            <w:pPr>
              <w:spacing w:after="0"/>
              <w:rPr>
                <w:sz w:val="17"/>
                <w:szCs w:val="17"/>
                <w:color w:val="auto"/>
              </w:rPr>
            </w:pPr>
          </w:p>
        </w:tc>
      </w:tr>
      <w:tr>
        <w:trPr>
          <w:trHeight w:val="283"/>
        </w:trPr>
        <w:tc>
          <w:tcPr>
            <w:tcW w:w="800" w:type="dxa"/>
            <w:vAlign w:val="bottom"/>
          </w:tcPr>
          <w:p>
            <w:pPr>
              <w:spacing w:after="0"/>
              <w:rPr>
                <w:sz w:val="24"/>
                <w:szCs w:val="24"/>
                <w:color w:val="auto"/>
              </w:rPr>
            </w:pPr>
          </w:p>
        </w:tc>
        <w:tc>
          <w:tcPr>
            <w:tcW w:w="8400" w:type="dxa"/>
            <w:vAlign w:val="bottom"/>
          </w:tcPr>
          <w:p>
            <w:pPr>
              <w:jc w:val="center"/>
              <w:ind w:left="117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PART I</w:t>
              </w:r>
            </w:hyperlink>
          </w:p>
        </w:tc>
        <w:tc>
          <w:tcPr>
            <w:tcW w:w="2000" w:type="dxa"/>
            <w:vAlign w:val="bottom"/>
          </w:tcPr>
          <w:p>
            <w:pPr>
              <w:spacing w:after="0"/>
              <w:rPr>
                <w:sz w:val="24"/>
                <w:szCs w:val="24"/>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8400" w:type="dxa"/>
            <w:vAlign w:val="bottom"/>
          </w:tcPr>
          <w:p>
            <w:pPr>
              <w:ind w:left="300"/>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Business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8400" w:type="dxa"/>
            <w:vAlign w:val="bottom"/>
          </w:tcPr>
          <w:p>
            <w:pPr>
              <w:ind w:left="300"/>
              <w:spacing w:after="0"/>
              <w:rPr>
                <w:rFonts w:ascii="Arial" w:cs="Arial" w:eastAsia="Arial" w:hAnsi="Arial"/>
                <w:sz w:val="13"/>
                <w:szCs w:val="13"/>
                <w:u w:val="single" w:color="auto"/>
                <w:color w:val="0000EE"/>
              </w:rPr>
            </w:pPr>
            <w:hyperlink w:anchor="page21">
              <w:r>
                <w:rPr>
                  <w:rFonts w:ascii="Arial" w:cs="Arial" w:eastAsia="Arial" w:hAnsi="Arial"/>
                  <w:sz w:val="13"/>
                  <w:szCs w:val="13"/>
                  <w:u w:val="single" w:color="auto"/>
                  <w:color w:val="0000EE"/>
                </w:rPr>
                <w:t>Risk Factors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1B.</w:t>
            </w:r>
          </w:p>
        </w:tc>
        <w:tc>
          <w:tcPr>
            <w:tcW w:w="8400" w:type="dxa"/>
            <w:vAlign w:val="bottom"/>
          </w:tcPr>
          <w:p>
            <w:pPr>
              <w:ind w:left="30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Unresolved Staff Comments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8400" w:type="dxa"/>
            <w:vAlign w:val="bottom"/>
          </w:tcPr>
          <w:p>
            <w:pPr>
              <w:ind w:left="30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Properties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8400" w:type="dxa"/>
            <w:vAlign w:val="bottom"/>
          </w:tcPr>
          <w:p>
            <w:pPr>
              <w:ind w:left="30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Legal Proceedings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8400" w:type="dxa"/>
            <w:vAlign w:val="bottom"/>
          </w:tcPr>
          <w:p>
            <w:pPr>
              <w:ind w:left="30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Mine Safety Disclosures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16"/>
        </w:trPr>
        <w:tc>
          <w:tcPr>
            <w:tcW w:w="800" w:type="dxa"/>
            <w:vAlign w:val="bottom"/>
          </w:tcPr>
          <w:p>
            <w:pPr>
              <w:spacing w:after="0"/>
              <w:rPr>
                <w:sz w:val="18"/>
                <w:szCs w:val="18"/>
                <w:color w:val="auto"/>
              </w:rPr>
            </w:pPr>
          </w:p>
        </w:tc>
        <w:tc>
          <w:tcPr>
            <w:tcW w:w="8400" w:type="dxa"/>
            <w:vAlign w:val="bottom"/>
          </w:tcPr>
          <w:p>
            <w:pPr>
              <w:ind w:left="4960"/>
              <w:spacing w:after="0"/>
              <w:rPr>
                <w:rFonts w:ascii="Arial" w:cs="Arial" w:eastAsia="Arial" w:hAnsi="Arial"/>
                <w:sz w:val="13"/>
                <w:szCs w:val="13"/>
                <w:b w:val="1"/>
                <w:bCs w:val="1"/>
                <w:u w:val="single" w:color="auto"/>
                <w:color w:val="0000EE"/>
              </w:rPr>
            </w:pPr>
            <w:hyperlink w:anchor="page40">
              <w:r>
                <w:rPr>
                  <w:rFonts w:ascii="Arial" w:cs="Arial" w:eastAsia="Arial" w:hAnsi="Arial"/>
                  <w:sz w:val="13"/>
                  <w:szCs w:val="13"/>
                  <w:b w:val="1"/>
                  <w:bCs w:val="1"/>
                  <w:u w:val="single" w:color="auto"/>
                  <w:color w:val="0000EE"/>
                </w:rPr>
                <w:t>PART II</w:t>
              </w:r>
            </w:hyperlink>
          </w:p>
        </w:tc>
        <w:tc>
          <w:tcPr>
            <w:tcW w:w="20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5.</w:t>
            </w:r>
          </w:p>
        </w:tc>
        <w:tc>
          <w:tcPr>
            <w:tcW w:w="8400" w:type="dxa"/>
            <w:vAlign w:val="bottom"/>
          </w:tcPr>
          <w:p>
            <w:pPr>
              <w:ind w:left="30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Market For Registrant’s Common Equity, Related Stockholder Matters and Issuer Purchases of Equity Securities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8400" w:type="dxa"/>
            <w:vAlign w:val="bottom"/>
          </w:tcPr>
          <w:p>
            <w:pPr>
              <w:ind w:left="300"/>
              <w:spacing w:after="0"/>
              <w:rPr>
                <w:rFonts w:ascii="Arial" w:cs="Arial" w:eastAsia="Arial" w:hAnsi="Arial"/>
                <w:sz w:val="13"/>
                <w:szCs w:val="13"/>
                <w:u w:val="single" w:color="auto"/>
                <w:color w:val="0000EE"/>
              </w:rPr>
            </w:pPr>
            <w:hyperlink w:anchor="page43">
              <w:r>
                <w:rPr>
                  <w:rFonts w:ascii="Arial" w:cs="Arial" w:eastAsia="Arial" w:hAnsi="Arial"/>
                  <w:sz w:val="13"/>
                  <w:szCs w:val="13"/>
                  <w:u w:val="single" w:color="auto"/>
                  <w:color w:val="0000EE"/>
                </w:rPr>
                <w:t>Selected Financial Data</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7.</w:t>
            </w:r>
          </w:p>
        </w:tc>
        <w:tc>
          <w:tcPr>
            <w:tcW w:w="8400" w:type="dxa"/>
            <w:vAlign w:val="bottom"/>
          </w:tcPr>
          <w:p>
            <w:pPr>
              <w:ind w:left="300"/>
              <w:spacing w:after="0"/>
              <w:rPr>
                <w:rFonts w:ascii="Arial" w:cs="Arial" w:eastAsia="Arial" w:hAnsi="Arial"/>
                <w:sz w:val="13"/>
                <w:szCs w:val="13"/>
                <w:u w:val="single" w:color="auto"/>
                <w:color w:val="0000EE"/>
              </w:rPr>
            </w:pPr>
            <w:hyperlink w:anchor="page44">
              <w:r>
                <w:rPr>
                  <w:rFonts w:ascii="Arial" w:cs="Arial" w:eastAsia="Arial" w:hAnsi="Arial"/>
                  <w:sz w:val="13"/>
                  <w:szCs w:val="13"/>
                  <w:u w:val="single" w:color="auto"/>
                  <w:color w:val="0000EE"/>
                </w:rPr>
                <w:t>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42</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7A.</w:t>
            </w:r>
          </w:p>
        </w:tc>
        <w:tc>
          <w:tcPr>
            <w:tcW w:w="8400" w:type="dxa"/>
            <w:vAlign w:val="bottom"/>
          </w:tcPr>
          <w:p>
            <w:pPr>
              <w:ind w:left="300"/>
              <w:spacing w:after="0"/>
              <w:rPr>
                <w:rFonts w:ascii="Arial" w:cs="Arial" w:eastAsia="Arial" w:hAnsi="Arial"/>
                <w:sz w:val="13"/>
                <w:szCs w:val="13"/>
                <w:u w:val="single" w:color="auto"/>
                <w:color w:val="0000EE"/>
              </w:rPr>
            </w:pPr>
            <w:hyperlink w:anchor="page53">
              <w:r>
                <w:rPr>
                  <w:rFonts w:ascii="Arial" w:cs="Arial" w:eastAsia="Arial" w:hAnsi="Arial"/>
                  <w:sz w:val="13"/>
                  <w:szCs w:val="13"/>
                  <w:u w:val="single" w:color="auto"/>
                  <w:color w:val="0000EE"/>
                </w:rPr>
                <w:t>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8400" w:type="dxa"/>
            <w:vAlign w:val="bottom"/>
          </w:tcPr>
          <w:p>
            <w:pPr>
              <w:ind w:left="300"/>
              <w:spacing w:after="0"/>
              <w:rPr>
                <w:rFonts w:ascii="Arial" w:cs="Arial" w:eastAsia="Arial" w:hAnsi="Arial"/>
                <w:sz w:val="13"/>
                <w:szCs w:val="13"/>
                <w:u w:val="single" w:color="auto"/>
                <w:color w:val="0000EE"/>
              </w:rPr>
            </w:pPr>
            <w:hyperlink w:anchor="page54">
              <w:r>
                <w:rPr>
                  <w:rFonts w:ascii="Arial" w:cs="Arial" w:eastAsia="Arial" w:hAnsi="Arial"/>
                  <w:sz w:val="13"/>
                  <w:szCs w:val="13"/>
                  <w:u w:val="single" w:color="auto"/>
                  <w:color w:val="0000EE"/>
                </w:rPr>
                <w:t>Consolidated Financial Statements and Supplementary Data</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52</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9.</w:t>
            </w:r>
          </w:p>
        </w:tc>
        <w:tc>
          <w:tcPr>
            <w:tcW w:w="8400" w:type="dxa"/>
            <w:vAlign w:val="bottom"/>
          </w:tcPr>
          <w:p>
            <w:pPr>
              <w:ind w:left="30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Changes in and Disagreements with Accountants on Accounting and Financial Disclosure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9A.</w:t>
            </w:r>
          </w:p>
        </w:tc>
        <w:tc>
          <w:tcPr>
            <w:tcW w:w="8400" w:type="dxa"/>
            <w:vAlign w:val="bottom"/>
          </w:tcPr>
          <w:p>
            <w:pPr>
              <w:ind w:left="30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9B.</w:t>
            </w:r>
          </w:p>
        </w:tc>
        <w:tc>
          <w:tcPr>
            <w:tcW w:w="8400" w:type="dxa"/>
            <w:vAlign w:val="bottom"/>
          </w:tcPr>
          <w:p>
            <w:pPr>
              <w:ind w:left="300"/>
              <w:spacing w:after="0"/>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Other Information</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16"/>
        </w:trPr>
        <w:tc>
          <w:tcPr>
            <w:tcW w:w="800" w:type="dxa"/>
            <w:vAlign w:val="bottom"/>
          </w:tcPr>
          <w:p>
            <w:pPr>
              <w:spacing w:after="0"/>
              <w:rPr>
                <w:sz w:val="18"/>
                <w:szCs w:val="18"/>
                <w:color w:val="auto"/>
              </w:rPr>
            </w:pPr>
          </w:p>
        </w:tc>
        <w:tc>
          <w:tcPr>
            <w:tcW w:w="8400" w:type="dxa"/>
            <w:vAlign w:val="bottom"/>
          </w:tcPr>
          <w:p>
            <w:pPr>
              <w:ind w:left="4940"/>
              <w:spacing w:after="0"/>
              <w:rPr>
                <w:rFonts w:ascii="Arial" w:cs="Arial" w:eastAsia="Arial" w:hAnsi="Arial"/>
                <w:sz w:val="13"/>
                <w:szCs w:val="13"/>
                <w:b w:val="1"/>
                <w:bCs w:val="1"/>
                <w:u w:val="single" w:color="auto"/>
                <w:color w:val="0000EE"/>
              </w:rPr>
            </w:pPr>
            <w:hyperlink w:anchor="page81">
              <w:r>
                <w:rPr>
                  <w:rFonts w:ascii="Arial" w:cs="Arial" w:eastAsia="Arial" w:hAnsi="Arial"/>
                  <w:sz w:val="13"/>
                  <w:szCs w:val="13"/>
                  <w:b w:val="1"/>
                  <w:bCs w:val="1"/>
                  <w:u w:val="single" w:color="auto"/>
                  <w:color w:val="0000EE"/>
                </w:rPr>
                <w:t>PART III</w:t>
              </w:r>
            </w:hyperlink>
          </w:p>
        </w:tc>
        <w:tc>
          <w:tcPr>
            <w:tcW w:w="20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8400" w:type="dxa"/>
            <w:vAlign w:val="bottom"/>
          </w:tcPr>
          <w:p>
            <w:pPr>
              <w:ind w:left="30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Directors, Executive Officers and Corporate Governance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11.</w:t>
            </w:r>
          </w:p>
        </w:tc>
        <w:tc>
          <w:tcPr>
            <w:tcW w:w="8400" w:type="dxa"/>
            <w:vAlign w:val="bottom"/>
          </w:tcPr>
          <w:p>
            <w:pPr>
              <w:ind w:left="30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Executive Compensation</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12.</w:t>
            </w:r>
          </w:p>
        </w:tc>
        <w:tc>
          <w:tcPr>
            <w:tcW w:w="8400" w:type="dxa"/>
            <w:vAlign w:val="bottom"/>
          </w:tcPr>
          <w:p>
            <w:pPr>
              <w:ind w:left="30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Security Ownership of Certain Beneficial Owners and Management and Related Stockholder Matters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13.</w:t>
            </w:r>
          </w:p>
        </w:tc>
        <w:tc>
          <w:tcPr>
            <w:tcW w:w="8400" w:type="dxa"/>
            <w:vAlign w:val="bottom"/>
          </w:tcPr>
          <w:p>
            <w:pPr>
              <w:ind w:left="30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Certain Relationships and Related Transactions, and Director Independence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14.</w:t>
            </w:r>
          </w:p>
        </w:tc>
        <w:tc>
          <w:tcPr>
            <w:tcW w:w="8400" w:type="dxa"/>
            <w:vAlign w:val="bottom"/>
          </w:tcPr>
          <w:p>
            <w:pPr>
              <w:ind w:left="300"/>
              <w:spacing w:after="0"/>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Principal Accountant Fees and Services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216"/>
        </w:trPr>
        <w:tc>
          <w:tcPr>
            <w:tcW w:w="800" w:type="dxa"/>
            <w:vAlign w:val="bottom"/>
          </w:tcPr>
          <w:p>
            <w:pPr>
              <w:spacing w:after="0"/>
              <w:rPr>
                <w:sz w:val="18"/>
                <w:szCs w:val="18"/>
                <w:color w:val="auto"/>
              </w:rPr>
            </w:pPr>
          </w:p>
        </w:tc>
        <w:tc>
          <w:tcPr>
            <w:tcW w:w="8400" w:type="dxa"/>
            <w:vAlign w:val="bottom"/>
          </w:tcPr>
          <w:p>
            <w:pPr>
              <w:ind w:left="4940"/>
              <w:spacing w:after="0"/>
              <w:rPr>
                <w:rFonts w:ascii="Arial" w:cs="Arial" w:eastAsia="Arial" w:hAnsi="Arial"/>
                <w:sz w:val="13"/>
                <w:szCs w:val="13"/>
                <w:b w:val="1"/>
                <w:bCs w:val="1"/>
                <w:u w:val="single" w:color="auto"/>
                <w:color w:val="0000EE"/>
              </w:rPr>
            </w:pPr>
            <w:hyperlink w:anchor="page82">
              <w:r>
                <w:rPr>
                  <w:rFonts w:ascii="Arial" w:cs="Arial" w:eastAsia="Arial" w:hAnsi="Arial"/>
                  <w:sz w:val="13"/>
                  <w:szCs w:val="13"/>
                  <w:b w:val="1"/>
                  <w:bCs w:val="1"/>
                  <w:u w:val="single" w:color="auto"/>
                  <w:color w:val="0000EE"/>
                </w:rPr>
                <w:t>PART IV</w:t>
              </w:r>
            </w:hyperlink>
          </w:p>
        </w:tc>
        <w:tc>
          <w:tcPr>
            <w:tcW w:w="20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8400" w:type="dxa"/>
            <w:vAlign w:val="bottom"/>
          </w:tcPr>
          <w:p>
            <w:pPr>
              <w:ind w:left="30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Exhibits and Financial Statement Schedules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216"/>
        </w:trPr>
        <w:tc>
          <w:tcPr>
            <w:tcW w:w="800" w:type="dxa"/>
            <w:vAlign w:val="bottom"/>
          </w:tcPr>
          <w:p>
            <w:pPr>
              <w:spacing w:after="0"/>
              <w:rPr>
                <w:sz w:val="18"/>
                <w:szCs w:val="18"/>
                <w:color w:val="auto"/>
              </w:rPr>
            </w:pPr>
          </w:p>
        </w:tc>
        <w:tc>
          <w:tcPr>
            <w:tcW w:w="8400" w:type="dxa"/>
            <w:vAlign w:val="bottom"/>
          </w:tcPr>
          <w:p>
            <w:pPr>
              <w:ind w:left="30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Signatures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82" w:lineRule="exact"/>
        <w:rPr>
          <w:sz w:val="20"/>
          <w:szCs w:val="20"/>
          <w:color w:val="auto"/>
        </w:rPr>
      </w:pPr>
    </w:p>
    <w:p>
      <w:pPr>
        <w:ind w:firstLine="562"/>
        <w:spacing w:after="0" w:line="266"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consolidated subsidiary; PennantPark Floating Rate Funding I, LLC, or “Funding I,” refers to our wholly-owned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and “Credit Facility” refers to our senior secured revolving credit facility, as amended. References to our portfolio, our investments and our business include investments we make through Funding I.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46"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Business of PennantPark Floating Rate Capital Ltd.</w:t>
      </w:r>
    </w:p>
    <w:p>
      <w:pPr>
        <w:spacing w:after="0" w:line="134"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loans bearing a variable-rate of interest, or Floating Rate Loans, and other investments made to U.S. middle-market companies.</w:t>
      </w:r>
    </w:p>
    <w:p>
      <w:pPr>
        <w:spacing w:after="0" w:line="91"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90"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134"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Investment Adviser and Administrator</w:t>
      </w:r>
    </w:p>
    <w:p>
      <w:pPr>
        <w:spacing w:after="0" w:line="134"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11"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134" w:lineRule="exact"/>
        <w:rPr>
          <w:sz w:val="20"/>
          <w:szCs w:val="20"/>
          <w:color w:val="auto"/>
        </w:rPr>
      </w:pPr>
    </w:p>
    <w:p>
      <w:pPr>
        <w:ind w:right="340" w:firstLine="562"/>
        <w:spacing w:after="0" w:line="274" w:lineRule="auto"/>
        <w:rPr>
          <w:sz w:val="20"/>
          <w:szCs w:val="20"/>
          <w:color w:val="auto"/>
        </w:rPr>
      </w:pPr>
      <w:r>
        <w:rPr>
          <w:rFonts w:ascii="Arial" w:cs="Arial" w:eastAsia="Arial" w:hAnsi="Arial"/>
          <w:sz w:val="13"/>
          <w:szCs w:val="13"/>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660" w:right="6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in raising debt through the capital markets. </w:t>
      </w:r>
      <w:r>
        <w:rPr>
          <w:rFonts w:ascii="Arial" w:cs="Arial" w:eastAsia="Arial" w:hAnsi="Arial"/>
          <w:sz w:val="13"/>
          <w:szCs w:val="13"/>
          <w:color w:val="auto"/>
        </w:rPr>
        <w:t>Many middle-market companies look to raise funds by issuing high-yield bonds. We</w:t>
      </w:r>
      <w:r>
        <w:rPr>
          <w:rFonts w:ascii="Arial" w:cs="Arial" w:eastAsia="Arial" w:hAnsi="Arial"/>
          <w:sz w:val="13"/>
          <w:szCs w:val="13"/>
          <w:b w:val="1"/>
          <w:bCs w:val="1"/>
          <w:color w:val="auto"/>
        </w:rPr>
        <w:t xml:space="preserve"> </w:t>
      </w:r>
      <w:r>
        <w:rPr>
          <w:rFonts w:ascii="Arial" w:cs="Arial" w:eastAsia="Arial" w:hAnsi="Arial"/>
          <w:sz w:val="13"/>
          <w:szCs w:val="13"/>
          <w:color w:val="auto"/>
        </w:rPr>
        <w:t>believe this approach to financing may become more difficult from time to time to the extent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3"/>
          <w:szCs w:val="13"/>
          <w:color w:val="auto"/>
        </w:rPr>
      </w:pPr>
    </w:p>
    <w:p>
      <w:pPr>
        <w:ind w:left="660" w:right="120" w:hanging="436"/>
        <w:spacing w:after="0" w:line="27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 obligation, or</w:t>
      </w:r>
      <w:r>
        <w:rPr>
          <w:rFonts w:ascii="Arial" w:cs="Arial" w:eastAsia="Arial" w:hAnsi="Arial"/>
          <w:sz w:val="13"/>
          <w:szCs w:val="13"/>
          <w:b w:val="1"/>
          <w:bCs w:val="1"/>
          <w:color w:val="auto"/>
        </w:rPr>
        <w:t xml:space="preserve"> </w:t>
      </w:r>
      <w:r>
        <w:rPr>
          <w:rFonts w:ascii="Arial" w:cs="Arial" w:eastAsia="Arial" w:hAnsi="Arial"/>
          <w:sz w:val="13"/>
          <w:szCs w:val="13"/>
          <w:color w:val="auto"/>
        </w:rPr>
        <w:t>CLO, funds have, and may again, withdraw capital from the middle-market, resulting in opportunities for alternative funding sources.</w:t>
      </w:r>
    </w:p>
    <w:p>
      <w:pPr>
        <w:spacing w:after="0" w:line="99" w:lineRule="exact"/>
        <w:rPr>
          <w:rFonts w:ascii="Arial" w:cs="Arial" w:eastAsia="Arial" w:hAnsi="Arial"/>
          <w:sz w:val="13"/>
          <w:szCs w:val="13"/>
          <w:color w:val="auto"/>
        </w:rPr>
      </w:pPr>
    </w:p>
    <w:p>
      <w:pPr>
        <w:ind w:left="660" w:right="28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that credit market dislocation for middle-market companies improves the risk-adjusted returns on our investments. </w:t>
      </w:r>
      <w:r>
        <w:rPr>
          <w:rFonts w:ascii="Arial" w:cs="Arial" w:eastAsia="Arial" w:hAnsi="Arial"/>
          <w:sz w:val="13"/>
          <w:szCs w:val="13"/>
          <w:color w:val="auto"/>
        </w:rPr>
        <w:t>From time to time, market participants have reduced</w:t>
      </w:r>
      <w:r>
        <w:rPr>
          <w:rFonts w:ascii="Arial" w:cs="Arial" w:eastAsia="Arial" w:hAnsi="Arial"/>
          <w:sz w:val="13"/>
          <w:szCs w:val="13"/>
          <w:b w:val="1"/>
          <w:bCs w:val="1"/>
          <w:color w:val="auto"/>
        </w:rPr>
        <w:t xml:space="preserve"> </w:t>
      </w:r>
      <w:r>
        <w:rPr>
          <w:rFonts w:ascii="Arial" w:cs="Arial" w:eastAsia="Arial" w:hAnsi="Arial"/>
          <w:sz w:val="13"/>
          <w:szCs w:val="13"/>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3"/>
          <w:szCs w:val="13"/>
          <w:color w:val="auto"/>
        </w:rPr>
      </w:pPr>
    </w:p>
    <w:p>
      <w:pPr>
        <w:ind w:left="660" w:hanging="436"/>
        <w:spacing w:after="0" w:line="258" w:lineRule="auto"/>
        <w:tabs>
          <w:tab w:leader="none" w:pos="66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w:t>
      </w:r>
    </w:p>
    <w:p>
      <w:pPr>
        <w:spacing w:after="0" w:line="111" w:lineRule="exact"/>
        <w:rPr>
          <w:rFonts w:ascii="Arial" w:cs="Arial" w:eastAsia="Arial" w:hAnsi="Arial"/>
          <w:sz w:val="13"/>
          <w:szCs w:val="13"/>
          <w:b w:val="1"/>
          <w:bCs w:val="1"/>
          <w:color w:val="auto"/>
        </w:rPr>
      </w:pPr>
    </w:p>
    <w:p>
      <w:pPr>
        <w:ind w:left="660" w:right="60" w:hanging="436"/>
        <w:spacing w:after="0" w:line="279"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We believe there is substantial supply of opportunities resulting from maturing loans that seek refinancing. </w:t>
      </w:r>
      <w:r>
        <w:rPr>
          <w:rFonts w:ascii="Arial" w:cs="Arial" w:eastAsia="Arial" w:hAnsi="Arial"/>
          <w:sz w:val="12"/>
          <w:szCs w:val="12"/>
          <w:color w:val="auto"/>
        </w:rPr>
        <w:t>A high volume of financings will come due in the next few years. Additionally,</w:t>
      </w:r>
      <w:r>
        <w:rPr>
          <w:rFonts w:ascii="Arial" w:cs="Arial" w:eastAsia="Arial" w:hAnsi="Arial"/>
          <w:sz w:val="12"/>
          <w:szCs w:val="12"/>
          <w:b w:val="1"/>
          <w:bCs w:val="1"/>
          <w:color w:val="auto"/>
        </w:rPr>
        <w:t xml:space="preserve"> </w:t>
      </w:r>
      <w:r>
        <w:rPr>
          <w:rFonts w:ascii="Arial" w:cs="Arial" w:eastAsia="Arial" w:hAnsi="Arial"/>
          <w:sz w:val="12"/>
          <w:szCs w:val="12"/>
          <w:color w:val="auto"/>
        </w:rPr>
        <w:t>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risk-adjusted returns to investors.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Competitive Advantages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believe that we have the following competitive advantages over other capital providers to middle-market companies: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a) Experienced Management Team</w:t>
      </w:r>
    </w:p>
    <w:p>
      <w:pPr>
        <w:spacing w:after="0" w:line="134"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02"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b) Disciplined Investment Approach with Strong Value Orientation</w:t>
      </w:r>
    </w:p>
    <w:p>
      <w:pPr>
        <w:spacing w:after="0" w:line="134"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6"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to engaging in extensive due diligence, our Investment Adviser seeks to reduce risk by focusing on businesses with:</w:t>
      </w:r>
    </w:p>
    <w:p>
      <w:pPr>
        <w:spacing w:after="0" w:line="148" w:lineRule="exact"/>
        <w:rPr>
          <w:sz w:val="20"/>
          <w:szCs w:val="20"/>
          <w:color w:val="auto"/>
        </w:rPr>
      </w:pPr>
    </w:p>
    <w:p>
      <w:pPr>
        <w:ind w:left="880" w:hanging="319"/>
        <w:spacing w:after="0"/>
        <w:tabs>
          <w:tab w:leader="none" w:pos="8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strong competitive positions;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positive cash flow that is steady and stable;</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experienced management teams with strong track records;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potential for growth and viable exit strategies; and</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 structures offering appropriate risk-adjusted terms and covenants.</w:t>
      </w:r>
    </w:p>
    <w:p>
      <w:pPr>
        <w:spacing w:after="0" w:line="134" w:lineRule="exact"/>
        <w:rPr>
          <w:rFonts w:ascii="Arial" w:cs="Arial" w:eastAsia="Arial" w:hAnsi="Arial"/>
          <w:sz w:val="13"/>
          <w:szCs w:val="13"/>
          <w:color w:val="auto"/>
        </w:rPr>
      </w:pPr>
    </w:p>
    <w:p>
      <w:pPr>
        <w:ind w:left="700" w:hanging="130"/>
        <w:spacing w:after="0"/>
        <w:tabs>
          <w:tab w:leader="none" w:pos="700" w:val="left"/>
        </w:tabs>
        <w:numPr>
          <w:ilvl w:val="1"/>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Ability to Source and Evaluate Transactions through our Investment Adviser’s Research Capability and Established Network</w:t>
      </w:r>
    </w:p>
    <w:p>
      <w:pPr>
        <w:spacing w:after="0" w:line="134"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d) Flexible Transaction Structuring</w:t>
      </w:r>
    </w:p>
    <w:p>
      <w:pPr>
        <w:spacing w:after="0" w:line="134"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91"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9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Competition</w:t>
      </w:r>
    </w:p>
    <w:p>
      <w:pPr>
        <w:spacing w:after="0" w:line="134"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06"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Leverage</w:t>
      </w:r>
    </w:p>
    <w:p>
      <w:pPr>
        <w:spacing w:after="0" w:line="13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As of September 30, 2014, we maintained a $200 million Credit Facility, which matures in May 2018, with SunTrust Bank, or the Lender. During the Credit Facility’s revolving period, which extends to May 2016, it bears interest at London Interbank Offered Rate, or LIBOR, plus 200 basis points, and after the revolving period, the rate sets to LIBOR plus 425 basis points for the remaining two years. The Credit Facility is secured by all of the assets held by Funding I, under which we had $146.4 million outstanding with an annual current interest rate of 2.16%, excluding the undrawn commitment fee of 0.375%, as of September 30, 2014. We believe that our capital resources provide us with the flexibility to take advantage of market opportunities when they arise. Our use of leverage, as calculated under the asset coverage requirements of the 1940 Act, may generally range between 70% and 90% of our net assets, or 40% to 50% of our Managed Assets. See “Management’s Discussion and Analysis of Financial Condition and Results of Operations”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Policy Overview</w:t>
      </w:r>
    </w:p>
    <w:p>
      <w:pPr>
        <w:spacing w:after="0" w:line="134"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93"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90"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Secured Debt</w:t>
      </w:r>
    </w:p>
    <w:p>
      <w:pPr>
        <w:spacing w:after="0" w:line="134"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Mezzanine Debt</w:t>
      </w:r>
    </w:p>
    <w:p>
      <w:pPr>
        <w:spacing w:after="0" w:line="134"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Selection Criteria</w:t>
      </w:r>
    </w:p>
    <w:p>
      <w:pPr>
        <w:spacing w:after="0" w:line="134"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We are committed to a value-oriented philosophy used by the senior investment professionals who manage our portfolio and seek to minimize the risk of capital loss without foregoing potential for capital appreciation.</w:t>
      </w:r>
    </w:p>
    <w:p>
      <w:pPr>
        <w:spacing w:after="0" w:line="9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16"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Leading and defensible competitive market positions</w:t>
      </w:r>
    </w:p>
    <w:p>
      <w:pPr>
        <w:spacing w:after="0" w:line="134"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in scale, scope, customer loyalty, product pricing or product quality as compared to their competitors to protect their market position.</w:t>
      </w:r>
    </w:p>
    <w:p>
      <w:pPr>
        <w:spacing w:after="0" w:line="116"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Investing in stable borrowers with positive cash flow</w:t>
      </w:r>
    </w:p>
    <w:p>
      <w:pPr>
        <w:spacing w:after="0" w:line="134"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20"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Proven management teams</w:t>
      </w:r>
    </w:p>
    <w:p>
      <w:pPr>
        <w:spacing w:after="0" w:line="134"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4" w:lineRule="exact"/>
        <w:rPr>
          <w:sz w:val="20"/>
          <w:szCs w:val="20"/>
          <w:color w:val="auto"/>
        </w:rPr>
      </w:pPr>
    </w:p>
    <w:p>
      <w:pPr>
        <w:ind w:left="1120" w:hanging="329"/>
        <w:spacing w:after="0"/>
        <w:tabs>
          <w:tab w:leader="none" w:pos="112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Financial sponsorship</w:t>
      </w:r>
    </w:p>
    <w:p>
      <w:pPr>
        <w:spacing w:after="0" w:line="134" w:lineRule="exact"/>
        <w:rPr>
          <w:sz w:val="20"/>
          <w:szCs w:val="20"/>
          <w:color w:val="auto"/>
        </w:rPr>
      </w:pPr>
    </w:p>
    <w:p>
      <w:pPr>
        <w:ind w:right="280" w:firstLine="562"/>
        <w:spacing w:after="0" w:line="250" w:lineRule="auto"/>
        <w:rPr>
          <w:sz w:val="20"/>
          <w:szCs w:val="20"/>
          <w:color w:val="auto"/>
        </w:rPr>
      </w:pPr>
      <w:r>
        <w:rPr>
          <w:rFonts w:ascii="Arial" w:cs="Arial" w:eastAsia="Arial" w:hAnsi="Arial"/>
          <w:sz w:val="13"/>
          <w:szCs w:val="13"/>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20"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different borrowers and industries</w:t>
      </w:r>
    </w:p>
    <w:p>
      <w:pPr>
        <w:spacing w:after="0" w:line="134"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104"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Viable exit strategy</w:t>
      </w:r>
    </w:p>
    <w:p>
      <w:pPr>
        <w:spacing w:after="0" w:line="134"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Due Diligence</w:t>
      </w:r>
    </w:p>
    <w:p>
      <w:pPr>
        <w:spacing w:after="0" w:line="134"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due diligence may include:</w:t>
      </w:r>
    </w:p>
    <w:p>
      <w:pPr>
        <w:ind w:left="880" w:hanging="319"/>
        <w:spacing w:after="0" w:line="190"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review of historical and prospective financial information;</w:t>
      </w:r>
    </w:p>
    <w:p>
      <w:pPr>
        <w:spacing w:after="0" w:line="53" w:lineRule="exact"/>
        <w:rPr>
          <w:rFonts w:ascii="Arial" w:cs="Arial" w:eastAsia="Arial" w:hAnsi="Arial"/>
          <w:sz w:val="35"/>
          <w:szCs w:val="35"/>
          <w:color w:val="auto"/>
          <w:vertAlign w:val="subscript"/>
        </w:rPr>
      </w:pPr>
    </w:p>
    <w:p>
      <w:pPr>
        <w:ind w:left="880" w:hanging="319"/>
        <w:spacing w:after="0" w:line="186"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research relating to the company’s management, industry, markets, products and services and competitors;</w:t>
      </w:r>
    </w:p>
    <w:p>
      <w:pPr>
        <w:spacing w:after="0" w:line="52" w:lineRule="exact"/>
        <w:rPr>
          <w:rFonts w:ascii="Arial" w:cs="Arial" w:eastAsia="Arial" w:hAnsi="Arial"/>
          <w:sz w:val="35"/>
          <w:szCs w:val="35"/>
          <w:color w:val="auto"/>
          <w:vertAlign w:val="subscript"/>
        </w:rPr>
      </w:pPr>
    </w:p>
    <w:p>
      <w:pPr>
        <w:ind w:left="880" w:hanging="319"/>
        <w:spacing w:after="0" w:line="186"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interviews with management, employees, customers and vendors of the potential portfolio company;</w:t>
      </w:r>
    </w:p>
    <w:p>
      <w:pPr>
        <w:spacing w:after="0" w:line="52" w:lineRule="exact"/>
        <w:rPr>
          <w:rFonts w:ascii="Arial" w:cs="Arial" w:eastAsia="Arial" w:hAnsi="Arial"/>
          <w:sz w:val="35"/>
          <w:szCs w:val="35"/>
          <w:color w:val="auto"/>
          <w:vertAlign w:val="subscript"/>
        </w:rPr>
      </w:pPr>
    </w:p>
    <w:p>
      <w:pPr>
        <w:ind w:left="880" w:hanging="319"/>
        <w:spacing w:after="0" w:line="186"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on-site visits;</w:t>
      </w:r>
    </w:p>
    <w:p>
      <w:pPr>
        <w:spacing w:after="0" w:line="52" w:lineRule="exact"/>
        <w:rPr>
          <w:rFonts w:ascii="Arial" w:cs="Arial" w:eastAsia="Arial" w:hAnsi="Arial"/>
          <w:sz w:val="35"/>
          <w:szCs w:val="35"/>
          <w:color w:val="auto"/>
          <w:vertAlign w:val="subscript"/>
        </w:rPr>
      </w:pPr>
    </w:p>
    <w:p>
      <w:pPr>
        <w:ind w:left="880" w:hanging="319"/>
        <w:spacing w:after="0" w:line="186"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review of loan documents; and</w:t>
      </w:r>
    </w:p>
    <w:p>
      <w:pPr>
        <w:spacing w:after="0" w:line="52" w:lineRule="exact"/>
        <w:rPr>
          <w:rFonts w:ascii="Arial" w:cs="Arial" w:eastAsia="Arial" w:hAnsi="Arial"/>
          <w:sz w:val="35"/>
          <w:szCs w:val="35"/>
          <w:color w:val="auto"/>
          <w:vertAlign w:val="subscript"/>
        </w:rPr>
      </w:pPr>
    </w:p>
    <w:p>
      <w:pPr>
        <w:ind w:left="880" w:hanging="319"/>
        <w:spacing w:after="0" w:line="186" w:lineRule="auto"/>
        <w:tabs>
          <w:tab w:leader="none" w:pos="880" w:val="left"/>
        </w:tabs>
        <w:numPr>
          <w:ilvl w:val="0"/>
          <w:numId w:val="11"/>
        </w:numPr>
        <w:rPr>
          <w:rFonts w:ascii="Arial" w:cs="Arial" w:eastAsia="Arial" w:hAnsi="Arial"/>
          <w:sz w:val="35"/>
          <w:szCs w:val="35"/>
          <w:color w:val="auto"/>
          <w:vertAlign w:val="subscript"/>
        </w:rPr>
      </w:pPr>
      <w:r>
        <w:rPr>
          <w:rFonts w:ascii="Arial" w:cs="Arial" w:eastAsia="Arial" w:hAnsi="Arial"/>
          <w:sz w:val="13"/>
          <w:szCs w:val="13"/>
          <w:color w:val="auto"/>
        </w:rPr>
        <w:t>background checks.</w:t>
      </w:r>
    </w:p>
    <w:p>
      <w:pPr>
        <w:spacing w:after="0" w:line="179"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Additional due diligence with respect to any investment may be conducted on our behalf by attorneys and independent auditors prior to the closing of the investment, as well as other outside advisers, as appropriate.</w:t>
      </w:r>
    </w:p>
    <w:p>
      <w:pPr>
        <w:spacing w:after="0" w:line="91"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Structure</w:t>
      </w:r>
    </w:p>
    <w:p>
      <w:pPr>
        <w:spacing w:after="0" w:line="134" w:lineRule="exact"/>
        <w:rPr>
          <w:sz w:val="20"/>
          <w:szCs w:val="20"/>
          <w:color w:val="auto"/>
        </w:rPr>
      </w:pPr>
    </w:p>
    <w:p>
      <w:pPr>
        <w:ind w:right="40" w:firstLine="562"/>
        <w:spacing w:after="0" w:line="317"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67"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1"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Typically, our mezzanine debt has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0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ind w:left="880" w:hanging="319"/>
        <w:spacing w:after="0" w:line="182" w:lineRule="auto"/>
        <w:tabs>
          <w:tab w:leader="none" w:pos="880" w:val="left"/>
        </w:tabs>
        <w:numPr>
          <w:ilvl w:val="0"/>
          <w:numId w:val="12"/>
        </w:numPr>
        <w:rPr>
          <w:rFonts w:ascii="Arial" w:cs="Arial" w:eastAsia="Arial" w:hAnsi="Arial"/>
          <w:sz w:val="34"/>
          <w:szCs w:val="34"/>
          <w:color w:val="auto"/>
          <w:vertAlign w:val="subscript"/>
        </w:rPr>
      </w:pPr>
      <w:r>
        <w:rPr>
          <w:rFonts w:ascii="Arial" w:cs="Arial" w:eastAsia="Arial" w:hAnsi="Arial"/>
          <w:sz w:val="13"/>
          <w:szCs w:val="13"/>
          <w:color w:val="auto"/>
        </w:rPr>
        <w:t>requiring a total return on our investments (including both interest in the form of a floor and potential equity appreciation) that compensates us for credit risk;</w:t>
      </w:r>
    </w:p>
    <w:p>
      <w:pPr>
        <w:spacing w:after="0" w:line="53" w:lineRule="exact"/>
        <w:rPr>
          <w:rFonts w:ascii="Arial" w:cs="Arial" w:eastAsia="Arial" w:hAnsi="Arial"/>
          <w:sz w:val="34"/>
          <w:szCs w:val="34"/>
          <w:color w:val="auto"/>
          <w:vertAlign w:val="subscript"/>
        </w:rPr>
      </w:pPr>
    </w:p>
    <w:p>
      <w:pPr>
        <w:ind w:left="880" w:hanging="319"/>
        <w:spacing w:after="0" w:line="186" w:lineRule="auto"/>
        <w:tabs>
          <w:tab w:leader="none" w:pos="880" w:val="left"/>
        </w:tabs>
        <w:numPr>
          <w:ilvl w:val="0"/>
          <w:numId w:val="12"/>
        </w:numPr>
        <w:rPr>
          <w:rFonts w:ascii="Arial" w:cs="Arial" w:eastAsia="Arial" w:hAnsi="Arial"/>
          <w:sz w:val="35"/>
          <w:szCs w:val="35"/>
          <w:color w:val="auto"/>
          <w:vertAlign w:val="subscript"/>
        </w:rPr>
      </w:pPr>
      <w:r>
        <w:rPr>
          <w:rFonts w:ascii="Arial" w:cs="Arial" w:eastAsia="Arial" w:hAnsi="Arial"/>
          <w:sz w:val="13"/>
          <w:szCs w:val="13"/>
          <w:color w:val="auto"/>
        </w:rPr>
        <w:t>incorporating “put” rights and call protection into the investment structure; and</w:t>
      </w:r>
    </w:p>
    <w:p>
      <w:pPr>
        <w:spacing w:after="0" w:line="192" w:lineRule="exact"/>
        <w:rPr>
          <w:rFonts w:ascii="Arial" w:cs="Arial" w:eastAsia="Arial" w:hAnsi="Arial"/>
          <w:sz w:val="35"/>
          <w:szCs w:val="35"/>
          <w:color w:val="auto"/>
          <w:vertAlign w:val="subscript"/>
        </w:rPr>
      </w:pPr>
    </w:p>
    <w:p>
      <w:pPr>
        <w:ind w:left="880" w:right="420" w:hanging="319"/>
        <w:spacing w:after="0" w:line="181" w:lineRule="auto"/>
        <w:tabs>
          <w:tab w:leader="none" w:pos="880" w:val="left"/>
        </w:tabs>
        <w:numPr>
          <w:ilvl w:val="0"/>
          <w:numId w:val="12"/>
        </w:numPr>
        <w:rPr>
          <w:rFonts w:ascii="Arial" w:cs="Arial" w:eastAsia="Arial" w:hAnsi="Arial"/>
          <w:sz w:val="30"/>
          <w:szCs w:val="30"/>
          <w:color w:val="auto"/>
          <w:vertAlign w:val="subscript"/>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2"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90" w:lineRule="exact"/>
        <w:rPr>
          <w:sz w:val="20"/>
          <w:szCs w:val="20"/>
          <w:color w:val="auto"/>
        </w:rPr>
      </w:pPr>
    </w:p>
    <w:p>
      <w:pPr>
        <w:ind w:right="420" w:firstLine="562"/>
        <w:spacing w:after="0" w:line="274" w:lineRule="auto"/>
        <w:rPr>
          <w:sz w:val="20"/>
          <w:szCs w:val="20"/>
          <w:color w:val="auto"/>
        </w:rPr>
      </w:pPr>
      <w:r>
        <w:rPr>
          <w:rFonts w:ascii="Arial" w:cs="Arial" w:eastAsia="Arial" w:hAnsi="Arial"/>
          <w:sz w:val="13"/>
          <w:szCs w:val="13"/>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80"/>
          </w:cols>
          <w:pgMar w:left="32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Ongoing Relationships with Portfolio Companies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Monitoring</w:t>
      </w:r>
    </w:p>
    <w:p>
      <w:pPr>
        <w:spacing w:after="0" w:line="134"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Investment Adviser has several methods of evaluating and monitoring the performance and fair value of our investments, which may include the following:</w:t>
      </w:r>
    </w:p>
    <w:p>
      <w:pPr>
        <w:spacing w:after="0" w:line="148"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assessment of success in adhering to a portfolio company’s business plan and compliance with covenants;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requirements and accomplishments;</w:t>
      </w:r>
    </w:p>
    <w:p>
      <w:pPr>
        <w:spacing w:after="0" w:line="159" w:lineRule="exact"/>
        <w:rPr>
          <w:rFonts w:ascii="Arial" w:cs="Arial" w:eastAsia="Arial" w:hAnsi="Arial"/>
          <w:sz w:val="12"/>
          <w:szCs w:val="12"/>
          <w:color w:val="auto"/>
        </w:rPr>
      </w:pPr>
    </w:p>
    <w:p>
      <w:pPr>
        <w:ind w:left="880" w:hanging="319"/>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comparisons to other portfolio companies in the industry, if any;</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attendance at and participation in board meetings or presentations by portfolio companies; and</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review of monthly and quarterly financial statements and financial projections for portfolio companies.</w:t>
      </w:r>
    </w:p>
    <w:p>
      <w:pPr>
        <w:spacing w:after="0" w:line="134" w:lineRule="exact"/>
        <w:rPr>
          <w:sz w:val="20"/>
          <w:szCs w:val="20"/>
          <w:color w:val="auto"/>
        </w:rPr>
      </w:pPr>
    </w:p>
    <w:p>
      <w:pPr>
        <w:ind w:right="260" w:firstLine="562"/>
        <w:spacing w:after="0" w:line="247"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08" w:lineRule="exact"/>
        <w:rPr>
          <w:sz w:val="20"/>
          <w:szCs w:val="20"/>
          <w:color w:val="auto"/>
        </w:rPr>
      </w:pPr>
    </w:p>
    <w:p>
      <w:pPr>
        <w:ind w:firstLine="562"/>
        <w:spacing w:after="0" w:line="317"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67"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Managerial Assistance</w:t>
      </w:r>
    </w:p>
    <w:p>
      <w:pPr>
        <w:spacing w:after="0" w:line="134" w:lineRule="exact"/>
        <w:rPr>
          <w:sz w:val="20"/>
          <w:szCs w:val="20"/>
          <w:color w:val="auto"/>
        </w:rPr>
      </w:pPr>
    </w:p>
    <w:p>
      <w:pPr>
        <w:ind w:right="520" w:firstLine="562"/>
        <w:spacing w:after="0" w:line="274" w:lineRule="auto"/>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 See “Regulation” for more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Staffing</w:t>
      </w:r>
    </w:p>
    <w:p>
      <w:pPr>
        <w:spacing w:after="0" w:line="134"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Corporate Information</w:t>
      </w:r>
    </w:p>
    <w:p>
      <w:pPr>
        <w:spacing w:after="0" w:line="134"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Portfolio</w:t>
      </w:r>
    </w:p>
    <w:p>
      <w:pPr>
        <w:spacing w:after="0" w:line="134" w:lineRule="exact"/>
        <w:rPr>
          <w:sz w:val="20"/>
          <w:szCs w:val="20"/>
          <w:color w:val="auto"/>
        </w:rPr>
      </w:pPr>
    </w:p>
    <w:p>
      <w:pPr>
        <w:ind w:right="300" w:firstLine="562"/>
        <w:spacing w:after="0" w:line="317"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Aerospace and Defense</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Environmental Services</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Auto Sector</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Financial Services</w:t>
            </w: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  Beverage, Food and Tobacco</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Grocery</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Broadcasting and Entertainment</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Healthcare, Education and Childcare</w:t>
            </w: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  Buildings and Real Estate</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High Tech Industries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Building Materials</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w w:val="95"/>
              </w:rPr>
              <w:t>•  Home &amp; Office Furnishings, Housewares &amp; Durable Consumer Products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Hotels, Motels, Inns and Gaming</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Cable Television</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Insurance</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Cargo Transportation</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Leisure, Amusement, Motion Picture &amp; Entertainment</w:t>
            </w: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  Chemicals, Plastics and Rubber</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Logistics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Communications</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Manufacturing/Basic Industries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Consumer Goods: Durable</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Media: Broadcasting and Subscription</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Consumer Goods: Non-Durable</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Mining, Steel, Iron and Non-Precious Metals</w:t>
            </w: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  Containers, Packaging &amp; Glass</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Oil and Gas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Distribution</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Other Media</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Diversified/Conglomerate Manufacturing</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  Personal, Food and Miscellaneous Services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Diversified/Conglomerate Services</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Printing and Publishing</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Education</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Retail</w:t>
            </w:r>
          </w:p>
        </w:tc>
      </w:tr>
      <w:tr>
        <w:trPr>
          <w:trHeight w:val="172"/>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140" w:type="dxa"/>
            <w:vAlign w:val="bottom"/>
          </w:tcPr>
          <w:p>
            <w:pPr>
              <w:ind w:left="40"/>
              <w:spacing w:after="0"/>
              <w:rPr>
                <w:sz w:val="20"/>
                <w:szCs w:val="20"/>
                <w:color w:val="auto"/>
              </w:rPr>
            </w:pPr>
            <w:r>
              <w:rPr>
                <w:rFonts w:ascii="Arial" w:cs="Arial" w:eastAsia="Arial" w:hAnsi="Arial"/>
                <w:sz w:val="13"/>
                <w:szCs w:val="13"/>
                <w:color w:val="auto"/>
              </w:rPr>
              <w:t>Energy/Utilities</w:t>
            </w:r>
          </w:p>
        </w:tc>
        <w:tc>
          <w:tcPr>
            <w:tcW w:w="1920" w:type="dxa"/>
            <w:vAlign w:val="bottom"/>
          </w:tcPr>
          <w:p>
            <w:pPr>
              <w:ind w:left="1840"/>
              <w:spacing w:after="0"/>
              <w:rPr>
                <w:sz w:val="20"/>
                <w:szCs w:val="20"/>
                <w:color w:val="auto"/>
              </w:rPr>
            </w:pPr>
            <w:r>
              <w:rPr>
                <w:rFonts w:ascii="Arial" w:cs="Arial" w:eastAsia="Arial" w:hAnsi="Arial"/>
                <w:sz w:val="13"/>
                <w:szCs w:val="13"/>
                <w:color w:val="auto"/>
              </w:rPr>
              <w:t>•</w:t>
            </w:r>
          </w:p>
        </w:tc>
        <w:tc>
          <w:tcPr>
            <w:tcW w:w="4000" w:type="dxa"/>
            <w:vAlign w:val="bottom"/>
          </w:tcPr>
          <w:p>
            <w:pPr>
              <w:ind w:left="60"/>
              <w:spacing w:after="0"/>
              <w:rPr>
                <w:sz w:val="20"/>
                <w:szCs w:val="20"/>
                <w:color w:val="auto"/>
              </w:rPr>
            </w:pPr>
            <w:r>
              <w:rPr>
                <w:rFonts w:ascii="Arial" w:cs="Arial" w:eastAsia="Arial" w:hAnsi="Arial"/>
                <w:sz w:val="13"/>
                <w:szCs w:val="13"/>
                <w:color w:val="auto"/>
              </w:rPr>
              <w:t>Telecommunications</w:t>
            </w:r>
          </w:p>
        </w:tc>
      </w:tr>
    </w:tbl>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3"/>
                <w:szCs w:val="13"/>
                <w:b w:val="1"/>
                <w:bCs w:val="1"/>
                <w:color w:val="auto"/>
                <w:w w:val="99"/>
              </w:rPr>
              <w:t>Portfolio Company</w:t>
            </w:r>
          </w:p>
        </w:tc>
        <w:tc>
          <w:tcPr>
            <w:tcW w:w="376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3"/>
                <w:szCs w:val="13"/>
                <w:b w:val="1"/>
                <w:bCs w:val="1"/>
                <w:color w:val="auto"/>
              </w:rPr>
              <w:t>2014</w:t>
            </w:r>
          </w:p>
        </w:tc>
        <w:tc>
          <w:tcPr>
            <w:tcW w:w="260" w:type="dxa"/>
            <w:vAlign w:val="bottom"/>
          </w:tcPr>
          <w:p>
            <w:pPr>
              <w:spacing w:after="0"/>
              <w:rPr>
                <w:sz w:val="14"/>
                <w:szCs w:val="14"/>
                <w:color w:val="auto"/>
              </w:rPr>
            </w:pPr>
          </w:p>
        </w:tc>
        <w:tc>
          <w:tcPr>
            <w:tcW w:w="5060" w:type="dxa"/>
            <w:vAlign w:val="bottom"/>
            <w:gridSpan w:val="3"/>
          </w:tcPr>
          <w:p>
            <w:pPr>
              <w:ind w:left="160"/>
              <w:spacing w:after="0"/>
              <w:rPr>
                <w:sz w:val="20"/>
                <w:szCs w:val="20"/>
                <w:color w:val="auto"/>
              </w:rPr>
            </w:pPr>
            <w:r>
              <w:rPr>
                <w:rFonts w:ascii="Arial" w:cs="Arial" w:eastAsia="Arial" w:hAnsi="Arial"/>
                <w:sz w:val="13"/>
                <w:szCs w:val="13"/>
                <w:b w:val="1"/>
                <w:bCs w:val="1"/>
                <w:color w:val="auto"/>
              </w:rPr>
              <w:t>Portfolio Company</w:t>
            </w:r>
          </w:p>
        </w:tc>
        <w:tc>
          <w:tcPr>
            <w:tcW w:w="440" w:type="dxa"/>
            <w:vAlign w:val="bottom"/>
          </w:tcPr>
          <w:p>
            <w:pPr>
              <w:ind w:left="80"/>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4"/>
                <w:szCs w:val="14"/>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5"/>
        </w:trPr>
        <w:tc>
          <w:tcPr>
            <w:tcW w:w="49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Patriot National, Inc. (f/k/a Old Guard Risk Services, Inc.)</w:t>
            </w:r>
          </w:p>
        </w:tc>
        <w:tc>
          <w:tcPr>
            <w:tcW w:w="680" w:type="dxa"/>
            <w:vAlign w:val="bottom"/>
            <w:gridSpan w:val="2"/>
            <w:shd w:val="clear" w:color="auto" w:fill="CCEEFF"/>
          </w:tcPr>
          <w:p>
            <w:pPr>
              <w:ind w:left="340"/>
              <w:spacing w:after="0" w:line="136" w:lineRule="exact"/>
              <w:rPr>
                <w:sz w:val="20"/>
                <w:szCs w:val="20"/>
                <w:color w:val="auto"/>
              </w:rPr>
            </w:pPr>
            <w:r>
              <w:rPr>
                <w:rFonts w:ascii="Arial" w:cs="Arial" w:eastAsia="Arial" w:hAnsi="Arial"/>
                <w:sz w:val="13"/>
                <w:szCs w:val="13"/>
                <w:color w:val="auto"/>
              </w:rPr>
              <w:t>4%</w:t>
            </w:r>
          </w:p>
        </w:tc>
        <w:tc>
          <w:tcPr>
            <w:tcW w:w="5060" w:type="dxa"/>
            <w:vAlign w:val="bottom"/>
            <w:gridSpan w:val="3"/>
            <w:shd w:val="clear" w:color="auto" w:fill="CCEEFF"/>
          </w:tcPr>
          <w:p>
            <w:pPr>
              <w:ind w:left="160"/>
              <w:spacing w:after="0" w:line="136" w:lineRule="exact"/>
              <w:rPr>
                <w:sz w:val="20"/>
                <w:szCs w:val="20"/>
                <w:color w:val="auto"/>
              </w:rPr>
            </w:pPr>
            <w:r>
              <w:rPr>
                <w:rFonts w:ascii="Arial" w:cs="Arial" w:eastAsia="Arial" w:hAnsi="Arial"/>
                <w:sz w:val="13"/>
                <w:szCs w:val="13"/>
                <w:color w:val="auto"/>
              </w:rPr>
              <w:t>SCE Partners, LLC</w:t>
            </w:r>
          </w:p>
        </w:tc>
        <w:tc>
          <w:tcPr>
            <w:tcW w:w="56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3"/>
                <w:szCs w:val="13"/>
                <w:color w:val="auto"/>
                <w:w w:val="84"/>
              </w:rPr>
              <w:t>4%</w:t>
            </w:r>
          </w:p>
        </w:tc>
      </w:tr>
      <w:tr>
        <w:trPr>
          <w:trHeight w:val="149"/>
        </w:trPr>
        <w:tc>
          <w:tcPr>
            <w:tcW w:w="4940" w:type="dxa"/>
            <w:vAlign w:val="bottom"/>
            <w:gridSpan w:val="2"/>
          </w:tcPr>
          <w:p>
            <w:pPr>
              <w:spacing w:after="0"/>
              <w:rPr>
                <w:sz w:val="20"/>
                <w:szCs w:val="20"/>
                <w:color w:val="auto"/>
              </w:rPr>
            </w:pPr>
            <w:r>
              <w:rPr>
                <w:rFonts w:ascii="Arial" w:cs="Arial" w:eastAsia="Arial" w:hAnsi="Arial"/>
                <w:sz w:val="13"/>
                <w:szCs w:val="13"/>
                <w:color w:val="auto"/>
              </w:rPr>
              <w:t>AKA Diversified Holdings, Inc.</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tcPr>
          <w:p>
            <w:pPr>
              <w:ind w:left="160"/>
              <w:spacing w:after="0"/>
              <w:rPr>
                <w:sz w:val="20"/>
                <w:szCs w:val="20"/>
                <w:color w:val="auto"/>
              </w:rPr>
            </w:pPr>
            <w:r>
              <w:rPr>
                <w:rFonts w:ascii="Arial" w:cs="Arial" w:eastAsia="Arial" w:hAnsi="Arial"/>
                <w:sz w:val="13"/>
                <w:szCs w:val="13"/>
                <w:color w:val="auto"/>
              </w:rPr>
              <w:t>ALG USA Holdings, LLC</w:t>
            </w:r>
          </w:p>
        </w:tc>
        <w:tc>
          <w:tcPr>
            <w:tcW w:w="440" w:type="dxa"/>
            <w:vAlign w:val="bottom"/>
          </w:tcPr>
          <w:p>
            <w:pPr>
              <w:ind w:left="38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2"/>
                <w:szCs w:val="12"/>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e-Rewards, Inc.</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iEnergizer Limited and Aptara, Inc.</w:t>
            </w: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3</w:t>
            </w:r>
          </w:p>
        </w:tc>
        <w:tc>
          <w:tcPr>
            <w:tcW w:w="120" w:type="dxa"/>
            <w:vAlign w:val="bottom"/>
            <w:shd w:val="clear" w:color="auto" w:fill="CCEEFF"/>
          </w:tcPr>
          <w:p>
            <w:pPr>
              <w:spacing w:after="0"/>
              <w:rPr>
                <w:sz w:val="12"/>
                <w:szCs w:val="12"/>
                <w:color w:val="auto"/>
              </w:rPr>
            </w:pP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iEnergizer Limited and Aptara, Inc.</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tcPr>
          <w:p>
            <w:pPr>
              <w:ind w:left="160"/>
              <w:spacing w:after="0"/>
              <w:rPr>
                <w:sz w:val="20"/>
                <w:szCs w:val="20"/>
                <w:color w:val="auto"/>
              </w:rPr>
            </w:pPr>
            <w:r>
              <w:rPr>
                <w:rFonts w:ascii="Arial" w:cs="Arial" w:eastAsia="Arial" w:hAnsi="Arial"/>
                <w:sz w:val="13"/>
                <w:szCs w:val="13"/>
                <w:color w:val="auto"/>
              </w:rPr>
              <w:t>New Trident HoldCorp, Inc.</w:t>
            </w:r>
          </w:p>
        </w:tc>
        <w:tc>
          <w:tcPr>
            <w:tcW w:w="440" w:type="dxa"/>
            <w:vAlign w:val="bottom"/>
          </w:tcPr>
          <w:p>
            <w:pPr>
              <w:ind w:left="38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2"/>
                <w:szCs w:val="12"/>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Instant Web, LLC</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OCI Beaumont LLC</w:t>
            </w: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3</w:t>
            </w:r>
          </w:p>
        </w:tc>
        <w:tc>
          <w:tcPr>
            <w:tcW w:w="120" w:type="dxa"/>
            <w:vAlign w:val="bottom"/>
            <w:shd w:val="clear" w:color="auto" w:fill="CCEEFF"/>
          </w:tcPr>
          <w:p>
            <w:pPr>
              <w:spacing w:after="0"/>
              <w:rPr>
                <w:sz w:val="12"/>
                <w:szCs w:val="12"/>
                <w:color w:val="auto"/>
              </w:rPr>
            </w:pP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New Trident HoldCorp, Inc.</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tcPr>
          <w:p>
            <w:pPr>
              <w:ind w:left="160"/>
              <w:spacing w:after="0"/>
              <w:rPr>
                <w:sz w:val="20"/>
                <w:szCs w:val="20"/>
                <w:color w:val="auto"/>
              </w:rPr>
            </w:pPr>
            <w:r>
              <w:rPr>
                <w:rFonts w:ascii="Arial" w:cs="Arial" w:eastAsia="Arial" w:hAnsi="Arial"/>
                <w:sz w:val="13"/>
                <w:szCs w:val="13"/>
                <w:color w:val="auto"/>
              </w:rPr>
              <w:t>Zest Anchors, LLC</w:t>
            </w:r>
          </w:p>
        </w:tc>
        <w:tc>
          <w:tcPr>
            <w:tcW w:w="440" w:type="dxa"/>
            <w:vAlign w:val="bottom"/>
          </w:tcPr>
          <w:p>
            <w:pPr>
              <w:ind w:left="38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2"/>
                <w:szCs w:val="12"/>
                <w:color w:val="auto"/>
              </w:rPr>
            </w:pPr>
          </w:p>
        </w:tc>
      </w:tr>
      <w:tr>
        <w:trPr>
          <w:trHeight w:val="149"/>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Novitex Acquisition, LLC</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AMF Bowling Centers, Inc.</w:t>
            </w: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2</w:t>
            </w:r>
          </w:p>
        </w:tc>
        <w:tc>
          <w:tcPr>
            <w:tcW w:w="120" w:type="dxa"/>
            <w:vAlign w:val="bottom"/>
            <w:shd w:val="clear" w:color="auto" w:fill="CCEEFF"/>
          </w:tcPr>
          <w:p>
            <w:pPr>
              <w:spacing w:after="0"/>
              <w:rPr>
                <w:sz w:val="12"/>
                <w:szCs w:val="12"/>
                <w:color w:val="auto"/>
              </w:rPr>
            </w:pP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SCE Partners, LLC</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tcPr>
          <w:p>
            <w:pPr>
              <w:ind w:left="160"/>
              <w:spacing w:after="0"/>
              <w:rPr>
                <w:sz w:val="20"/>
                <w:szCs w:val="20"/>
                <w:color w:val="auto"/>
              </w:rPr>
            </w:pPr>
            <w:r>
              <w:rPr>
                <w:rFonts w:ascii="Arial" w:cs="Arial" w:eastAsia="Arial" w:hAnsi="Arial"/>
                <w:sz w:val="13"/>
                <w:szCs w:val="13"/>
                <w:color w:val="auto"/>
              </w:rPr>
              <w:t>BBTS Borrower LP</w:t>
            </w:r>
          </w:p>
        </w:tc>
        <w:tc>
          <w:tcPr>
            <w:tcW w:w="440" w:type="dxa"/>
            <w:vAlign w:val="bottom"/>
          </w:tcPr>
          <w:p>
            <w:pPr>
              <w:ind w:left="38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2"/>
                <w:szCs w:val="12"/>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Zest Holdings, LLC</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w:t>
            </w:r>
          </w:p>
        </w:tc>
        <w:tc>
          <w:tcPr>
            <w:tcW w:w="50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Penton Media, Inc.</w:t>
            </w: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2</w:t>
            </w:r>
          </w:p>
        </w:tc>
        <w:tc>
          <w:tcPr>
            <w:tcW w:w="120" w:type="dxa"/>
            <w:vAlign w:val="bottom"/>
            <w:shd w:val="clear" w:color="auto" w:fill="CCEEFF"/>
          </w:tcPr>
          <w:p>
            <w:pPr>
              <w:spacing w:after="0"/>
              <w:rPr>
                <w:sz w:val="12"/>
                <w:szCs w:val="12"/>
                <w:color w:val="auto"/>
              </w:rPr>
            </w:pPr>
          </w:p>
        </w:tc>
      </w:tr>
      <w:tr>
        <w:trPr>
          <w:trHeight w:val="172"/>
        </w:trPr>
        <w:tc>
          <w:tcPr>
            <w:tcW w:w="4940" w:type="dxa"/>
            <w:vAlign w:val="bottom"/>
            <w:gridSpan w:val="2"/>
          </w:tcPr>
          <w:p>
            <w:pPr>
              <w:spacing w:after="0"/>
              <w:rPr>
                <w:sz w:val="20"/>
                <w:szCs w:val="20"/>
                <w:color w:val="auto"/>
              </w:rPr>
            </w:pPr>
            <w:r>
              <w:rPr>
                <w:rFonts w:ascii="Arial" w:cs="Arial" w:eastAsia="Arial" w:hAnsi="Arial"/>
                <w:sz w:val="13"/>
                <w:szCs w:val="13"/>
                <w:color w:val="auto"/>
              </w:rPr>
              <w:t>Premier Dental Services, Inc.</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2</w:t>
            </w:r>
          </w:p>
        </w:tc>
        <w:tc>
          <w:tcPr>
            <w:tcW w:w="5060" w:type="dxa"/>
            <w:vAlign w:val="bottom"/>
            <w:gridSpan w:val="3"/>
          </w:tcPr>
          <w:p>
            <w:pPr>
              <w:ind w:left="160"/>
              <w:spacing w:after="0"/>
              <w:rPr>
                <w:sz w:val="20"/>
                <w:szCs w:val="20"/>
                <w:color w:val="auto"/>
              </w:rPr>
            </w:pPr>
            <w:r>
              <w:rPr>
                <w:rFonts w:ascii="Arial" w:cs="Arial" w:eastAsia="Arial" w:hAnsi="Arial"/>
                <w:sz w:val="13"/>
                <w:szCs w:val="13"/>
                <w:color w:val="auto"/>
              </w:rPr>
              <w:t>Polyconcept Finance B.V.</w:t>
            </w:r>
          </w:p>
        </w:tc>
        <w:tc>
          <w:tcPr>
            <w:tcW w:w="440" w:type="dxa"/>
            <w:vAlign w:val="bottom"/>
          </w:tcPr>
          <w:p>
            <w:pPr>
              <w:ind w:left="38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4"/>
                <w:szCs w:val="14"/>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Arial" w:cs="Arial" w:eastAsia="Arial" w:hAnsi="Arial"/>
                <w:sz w:val="13"/>
                <w:szCs w:val="13"/>
                <w:b w:val="1"/>
                <w:bCs w:val="1"/>
                <w:color w:val="auto"/>
              </w:rPr>
              <w:t>Industry</w:t>
            </w:r>
          </w:p>
        </w:tc>
        <w:tc>
          <w:tcPr>
            <w:tcW w:w="44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4"/>
                <w:szCs w:val="14"/>
                <w:color w:val="auto"/>
              </w:rPr>
            </w:pPr>
          </w:p>
        </w:tc>
        <w:tc>
          <w:tcPr>
            <w:tcW w:w="5160" w:type="dxa"/>
            <w:vAlign w:val="bottom"/>
            <w:gridSpan w:val="3"/>
          </w:tcPr>
          <w:p>
            <w:pPr>
              <w:ind w:left="260"/>
              <w:spacing w:after="0"/>
              <w:rPr>
                <w:sz w:val="20"/>
                <w:szCs w:val="20"/>
                <w:color w:val="auto"/>
              </w:rPr>
            </w:pPr>
            <w:r>
              <w:rPr>
                <w:rFonts w:ascii="Arial" w:cs="Arial" w:eastAsia="Arial" w:hAnsi="Arial"/>
                <w:sz w:val="13"/>
                <w:szCs w:val="13"/>
                <w:b w:val="1"/>
                <w:bCs w:val="1"/>
                <w:color w:val="auto"/>
              </w:rPr>
              <w:t>Industry</w:t>
            </w:r>
          </w:p>
        </w:tc>
        <w:tc>
          <w:tcPr>
            <w:tcW w:w="440" w:type="dxa"/>
            <w:vAlign w:val="bottom"/>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4"/>
                <w:szCs w:val="14"/>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6"/>
        </w:trPr>
        <w:tc>
          <w:tcPr>
            <w:tcW w:w="49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Healthcare and Pharmaceuticals</w:t>
            </w:r>
          </w:p>
        </w:tc>
        <w:tc>
          <w:tcPr>
            <w:tcW w:w="5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16%</w:t>
            </w:r>
          </w:p>
        </w:tc>
        <w:tc>
          <w:tcPr>
            <w:tcW w:w="5160" w:type="dxa"/>
            <w:vAlign w:val="bottom"/>
            <w:gridSpan w:val="3"/>
            <w:shd w:val="clear" w:color="auto" w:fill="CCEEFF"/>
          </w:tcPr>
          <w:p>
            <w:pPr>
              <w:ind w:left="260"/>
              <w:spacing w:after="0" w:line="136" w:lineRule="exact"/>
              <w:rPr>
                <w:sz w:val="20"/>
                <w:szCs w:val="20"/>
                <w:color w:val="auto"/>
              </w:rPr>
            </w:pPr>
            <w:r>
              <w:rPr>
                <w:rFonts w:ascii="Arial" w:cs="Arial" w:eastAsia="Arial" w:hAnsi="Arial"/>
                <w:sz w:val="13"/>
                <w:szCs w:val="13"/>
                <w:color w:val="auto"/>
              </w:rPr>
              <w:t>Healthcare and Pharmaceuticals</w:t>
            </w: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17%</w:t>
            </w: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High Tech Industries</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14</w:t>
            </w:r>
          </w:p>
        </w:tc>
        <w:tc>
          <w:tcPr>
            <w:tcW w:w="5160" w:type="dxa"/>
            <w:vAlign w:val="bottom"/>
            <w:gridSpan w:val="3"/>
          </w:tcPr>
          <w:p>
            <w:pPr>
              <w:ind w:left="260"/>
              <w:spacing w:after="0"/>
              <w:rPr>
                <w:sz w:val="20"/>
                <w:szCs w:val="20"/>
                <w:color w:val="auto"/>
              </w:rPr>
            </w:pPr>
            <w:r>
              <w:rPr>
                <w:rFonts w:ascii="Arial" w:cs="Arial" w:eastAsia="Arial" w:hAnsi="Arial"/>
                <w:sz w:val="13"/>
                <w:szCs w:val="13"/>
                <w:color w:val="auto"/>
              </w:rPr>
              <w:t>Hotel, Gaming and Leisure</w:t>
            </w: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51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Business Services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r>
      <w:tr>
        <w:trPr>
          <w:trHeight w:val="149"/>
        </w:trPr>
        <w:tc>
          <w:tcPr>
            <w:tcW w:w="4940" w:type="dxa"/>
            <w:vAlign w:val="bottom"/>
            <w:gridSpan w:val="2"/>
          </w:tcPr>
          <w:p>
            <w:pPr>
              <w:spacing w:after="0"/>
              <w:rPr>
                <w:sz w:val="20"/>
                <w:szCs w:val="20"/>
                <w:color w:val="auto"/>
              </w:rPr>
            </w:pPr>
            <w:r>
              <w:rPr>
                <w:rFonts w:ascii="Arial" w:cs="Arial" w:eastAsia="Arial" w:hAnsi="Arial"/>
                <w:sz w:val="13"/>
                <w:szCs w:val="13"/>
                <w:color w:val="auto"/>
              </w:rPr>
              <w:t>Consumer Services</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8</w:t>
            </w:r>
          </w:p>
        </w:tc>
        <w:tc>
          <w:tcPr>
            <w:tcW w:w="5160" w:type="dxa"/>
            <w:vAlign w:val="bottom"/>
            <w:gridSpan w:val="3"/>
          </w:tcPr>
          <w:p>
            <w:pPr>
              <w:ind w:left="260"/>
              <w:spacing w:after="0"/>
              <w:rPr>
                <w:sz w:val="20"/>
                <w:szCs w:val="20"/>
                <w:color w:val="auto"/>
              </w:rPr>
            </w:pPr>
            <w:r>
              <w:rPr>
                <w:rFonts w:ascii="Arial" w:cs="Arial" w:eastAsia="Arial" w:hAnsi="Arial"/>
                <w:sz w:val="13"/>
                <w:szCs w:val="13"/>
                <w:color w:val="auto"/>
              </w:rPr>
              <w:t>Consumer Services</w:t>
            </w:r>
          </w:p>
        </w:tc>
        <w:tc>
          <w:tcPr>
            <w:tcW w:w="4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Hotel, Gaming and Leisure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51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Media: Advertising, Printing and Publishing</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Media: Advertising, Printing and Publishing</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5160" w:type="dxa"/>
            <w:vAlign w:val="bottom"/>
            <w:gridSpan w:val="3"/>
          </w:tcPr>
          <w:p>
            <w:pPr>
              <w:ind w:left="260"/>
              <w:spacing w:after="0"/>
              <w:rPr>
                <w:sz w:val="20"/>
                <w:szCs w:val="20"/>
                <w:color w:val="auto"/>
              </w:rPr>
            </w:pPr>
            <w:r>
              <w:rPr>
                <w:rFonts w:ascii="Arial" w:cs="Arial" w:eastAsia="Arial" w:hAnsi="Arial"/>
                <w:sz w:val="13"/>
                <w:szCs w:val="13"/>
                <w:color w:val="auto"/>
              </w:rPr>
              <w:t>Chemicals, Plastics and Rubber</w:t>
            </w:r>
          </w:p>
        </w:tc>
        <w:tc>
          <w:tcPr>
            <w:tcW w:w="4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r>
      <w:tr>
        <w:trPr>
          <w:trHeight w:val="149"/>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Retail</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w:t>
            </w:r>
          </w:p>
        </w:tc>
        <w:tc>
          <w:tcPr>
            <w:tcW w:w="51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High Tech Industries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2"/>
                <w:szCs w:val="12"/>
                <w:color w:val="auto"/>
              </w:rPr>
            </w:pPr>
          </w:p>
        </w:tc>
      </w:tr>
      <w:tr>
        <w:trPr>
          <w:trHeight w:val="148"/>
        </w:trPr>
        <w:tc>
          <w:tcPr>
            <w:tcW w:w="4940" w:type="dxa"/>
            <w:vAlign w:val="bottom"/>
            <w:gridSpan w:val="2"/>
          </w:tcPr>
          <w:p>
            <w:pPr>
              <w:spacing w:after="0"/>
              <w:rPr>
                <w:sz w:val="20"/>
                <w:szCs w:val="20"/>
                <w:color w:val="auto"/>
              </w:rPr>
            </w:pPr>
            <w:r>
              <w:rPr>
                <w:rFonts w:ascii="Arial" w:cs="Arial" w:eastAsia="Arial" w:hAnsi="Arial"/>
                <w:sz w:val="13"/>
                <w:szCs w:val="13"/>
                <w:color w:val="auto"/>
              </w:rPr>
              <w:t>Consumer Goods: Durable</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6</w:t>
            </w:r>
          </w:p>
        </w:tc>
        <w:tc>
          <w:tcPr>
            <w:tcW w:w="5160" w:type="dxa"/>
            <w:vAlign w:val="bottom"/>
            <w:gridSpan w:val="3"/>
          </w:tcPr>
          <w:p>
            <w:pPr>
              <w:ind w:left="260"/>
              <w:spacing w:after="0"/>
              <w:rPr>
                <w:sz w:val="20"/>
                <w:szCs w:val="20"/>
                <w:color w:val="auto"/>
              </w:rPr>
            </w:pPr>
            <w:r>
              <w:rPr>
                <w:rFonts w:ascii="Arial" w:cs="Arial" w:eastAsia="Arial" w:hAnsi="Arial"/>
                <w:sz w:val="13"/>
                <w:szCs w:val="13"/>
                <w:color w:val="auto"/>
              </w:rPr>
              <w:t>Consumer Goods: Non-Durable</w:t>
            </w: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r>
      <w:tr>
        <w:trPr>
          <w:trHeight w:val="149"/>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Banking, Finance, Insurance and Real Estate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51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Energy: Oil and Gas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r>
      <w:tr>
        <w:trPr>
          <w:trHeight w:val="172"/>
        </w:trPr>
        <w:tc>
          <w:tcPr>
            <w:tcW w:w="4940" w:type="dxa"/>
            <w:vAlign w:val="bottom"/>
            <w:gridSpan w:val="2"/>
          </w:tcPr>
          <w:p>
            <w:pPr>
              <w:spacing w:after="0"/>
              <w:rPr>
                <w:sz w:val="20"/>
                <w:szCs w:val="20"/>
                <w:color w:val="auto"/>
              </w:rPr>
            </w:pPr>
            <w:r>
              <w:rPr>
                <w:rFonts w:ascii="Arial" w:cs="Arial" w:eastAsia="Arial" w:hAnsi="Arial"/>
                <w:sz w:val="13"/>
                <w:szCs w:val="13"/>
                <w:color w:val="auto"/>
              </w:rPr>
              <w:t>Aerospace and Defense</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5160" w:type="dxa"/>
            <w:vAlign w:val="bottom"/>
            <w:gridSpan w:val="3"/>
          </w:tcPr>
          <w:p>
            <w:pPr>
              <w:ind w:left="260"/>
              <w:spacing w:after="0"/>
              <w:rPr>
                <w:sz w:val="20"/>
                <w:szCs w:val="20"/>
                <w:color w:val="auto"/>
              </w:rPr>
            </w:pPr>
            <w:r>
              <w:rPr>
                <w:rFonts w:ascii="Arial" w:cs="Arial" w:eastAsia="Arial" w:hAnsi="Arial"/>
                <w:sz w:val="13"/>
                <w:szCs w:val="13"/>
                <w:color w:val="auto"/>
              </w:rPr>
              <w:t>Retail</w:t>
            </w: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r>
      <w:tr>
        <w:trPr>
          <w:trHeight w:val="286"/>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7</w:t>
            </w: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which was granted no-action relief by the SEC.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5"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Management Agreement</w:t>
      </w:r>
    </w:p>
    <w:p>
      <w:pPr>
        <w:spacing w:after="0" w:line="134"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22" w:lineRule="exact"/>
        <w:rPr>
          <w:sz w:val="20"/>
          <w:szCs w:val="20"/>
          <w:color w:val="auto"/>
        </w:rPr>
      </w:pPr>
    </w:p>
    <w:p>
      <w:pPr>
        <w:ind w:left="780" w:hanging="21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determines the composition of our portfolio, the nature and timing of the changes to our portfolio and the manner of implementing such changes;</w:t>
      </w:r>
    </w:p>
    <w:p>
      <w:pPr>
        <w:spacing w:after="0" w:line="147" w:lineRule="exact"/>
        <w:rPr>
          <w:rFonts w:ascii="Arial" w:cs="Arial" w:eastAsia="Arial" w:hAnsi="Arial"/>
          <w:sz w:val="13"/>
          <w:szCs w:val="13"/>
          <w:color w:val="auto"/>
        </w:rPr>
      </w:pPr>
    </w:p>
    <w:p>
      <w:pPr>
        <w:ind w:left="780" w:hanging="21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identifies, evaluates and negotiates the structure of the investments we make (including performing due diligence on our prospective portfolio companies);</w:t>
      </w:r>
    </w:p>
    <w:p>
      <w:pPr>
        <w:spacing w:after="0" w:line="147" w:lineRule="exact"/>
        <w:rPr>
          <w:rFonts w:ascii="Arial" w:cs="Arial" w:eastAsia="Arial" w:hAnsi="Arial"/>
          <w:sz w:val="13"/>
          <w:szCs w:val="13"/>
          <w:color w:val="auto"/>
        </w:rPr>
      </w:pPr>
    </w:p>
    <w:p>
      <w:pPr>
        <w:ind w:left="780" w:hanging="21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closes and monitors the investments we make; and</w:t>
      </w:r>
    </w:p>
    <w:p>
      <w:pPr>
        <w:spacing w:after="0" w:line="147" w:lineRule="exact"/>
        <w:rPr>
          <w:rFonts w:ascii="Arial" w:cs="Arial" w:eastAsia="Arial" w:hAnsi="Arial"/>
          <w:sz w:val="13"/>
          <w:szCs w:val="13"/>
          <w:color w:val="auto"/>
        </w:rPr>
      </w:pPr>
    </w:p>
    <w:p>
      <w:pPr>
        <w:ind w:left="780" w:hanging="21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provides us with such other investment advisory, research and related services as we may need from time to time.</w:t>
      </w:r>
    </w:p>
    <w:p>
      <w:pPr>
        <w:spacing w:after="0" w:line="134" w:lineRule="exact"/>
        <w:rPr>
          <w:sz w:val="20"/>
          <w:szCs w:val="20"/>
          <w:color w:val="auto"/>
        </w:rPr>
      </w:pPr>
    </w:p>
    <w:p>
      <w:pPr>
        <w:jc w:val="both"/>
        <w:ind w:right="60" w:firstLine="562"/>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Advisory Fees</w:t>
      </w:r>
    </w:p>
    <w:p>
      <w:pPr>
        <w:spacing w:after="0" w:line="134"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hypothetical example of the calculation of average adjusted gross assets: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Gross assets as of December 31, 20XX = $160 million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U.S. Treasury bills and temporary draws on credit facilities as of December 31, 20XX = $10 million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Adjusted gross assets as of December 31, 20XX = $150 million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Gross assets as of March 31, 20XX = $200 million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U.S. Treasury bills and temporary draws on credit facilities as of March 31, 20XX = $20 million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Adjusted gross assets as of March 31, 20XX = $180 million</w:t>
      </w:r>
    </w:p>
    <w:p>
      <w:pPr>
        <w:spacing w:after="0" w:line="134"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134" w:lineRule="exact"/>
        <w:rPr>
          <w:sz w:val="20"/>
          <w:szCs w:val="20"/>
          <w:color w:val="auto"/>
        </w:rPr>
      </w:pPr>
    </w:p>
    <w:p>
      <w:pPr>
        <w:ind w:firstLine="562"/>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graphical representation of the calculation of quarterly incentive fee based on Pre-Incentive Fee Net Investment Income: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Pre-Incentive Fee Net Investment Income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101600</wp:posOffset>
            </wp:positionV>
            <wp:extent cx="2263140"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Percentage of Pre-Incentive Fee Net Investment Income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allocated to income-related portion of incentive fee</w:t>
      </w:r>
    </w:p>
    <w:p>
      <w:pPr>
        <w:spacing w:after="0" w:line="122"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00"/>
          </w:cols>
          <w:pgMar w:left="32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Examples of Quarterly Incentive Fee Calculation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1: Income Related Portion of Incentive Fee (*):</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 (including interest, dividends, fees, etc.) = 1.25%</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12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12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income—(base management fee + other expenses)) = 0.80%</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Pre-Incentive Fee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 (including interest, dividends, fees, etc.) = 2.70%</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12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12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income—(base management fee + other expenses)) = 2.25%</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Incentive fee</w:t>
      </w:r>
    </w:p>
    <w:p>
      <w:pPr>
        <w:spacing w:after="0" w:line="53" w:lineRule="exact"/>
        <w:rPr>
          <w:sz w:val="20"/>
          <w:szCs w:val="20"/>
          <w:color w:val="auto"/>
        </w:rPr>
      </w:pPr>
    </w:p>
    <w:p>
      <w:pPr>
        <w:ind w:left="1240" w:hanging="109"/>
        <w:spacing w:after="0"/>
        <w:tabs>
          <w:tab w:leader="none" w:pos="1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X Pre-Incentive Fee Net Investment Income, subject to “catch-up”</w:t>
      </w:r>
    </w:p>
    <w:p>
      <w:pPr>
        <w:spacing w:after="0" w:line="80" w:lineRule="exact"/>
        <w:rPr>
          <w:rFonts w:ascii="Arial" w:cs="Arial" w:eastAsia="Arial" w:hAnsi="Arial"/>
          <w:sz w:val="13"/>
          <w:szCs w:val="13"/>
          <w:color w:val="auto"/>
        </w:rPr>
      </w:pPr>
    </w:p>
    <w:p>
      <w:pPr>
        <w:ind w:left="1240" w:hanging="109"/>
        <w:spacing w:after="0"/>
        <w:tabs>
          <w:tab w:leader="none" w:pos="1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X (2.25% - 1.75%)</w:t>
      </w:r>
    </w:p>
    <w:p>
      <w:pPr>
        <w:spacing w:after="0" w:line="80" w:lineRule="exact"/>
        <w:rPr>
          <w:rFonts w:ascii="Arial" w:cs="Arial" w:eastAsia="Arial" w:hAnsi="Arial"/>
          <w:sz w:val="13"/>
          <w:szCs w:val="13"/>
          <w:color w:val="auto"/>
        </w:rPr>
      </w:pPr>
    </w:p>
    <w:p>
      <w:pPr>
        <w:ind w:left="1240" w:hanging="109"/>
        <w:spacing w:after="0"/>
        <w:tabs>
          <w:tab w:leader="none" w:pos="1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0.25%</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00"/>
          </w:cols>
          <w:pgMar w:left="32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3:</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 (including interest, distributions, fees, etc.) = 4.00%</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12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12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 income—(base management fee + other expenses)) = 3.55%</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Incentive fee</w:t>
      </w:r>
    </w:p>
    <w:p>
      <w:pPr>
        <w:spacing w:after="0" w:line="62" w:lineRule="exact"/>
        <w:rPr>
          <w:sz w:val="20"/>
          <w:szCs w:val="20"/>
          <w:color w:val="auto"/>
        </w:rPr>
      </w:pPr>
    </w:p>
    <w:p>
      <w:pPr>
        <w:ind w:right="6420" w:firstLine="570"/>
        <w:spacing w:after="0" w:line="256" w:lineRule="auto"/>
        <w:tabs>
          <w:tab w:leader="none" w:pos="671" w:val="left"/>
        </w:tabs>
        <w:numPr>
          <w:ilvl w:val="2"/>
          <w:numId w:val="16"/>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2"/>
          <w:szCs w:val="22"/>
          <w:color w:val="auto"/>
          <w:vertAlign w:val="superscript"/>
        </w:rPr>
        <w:t>(4)</w:t>
      </w:r>
      <w:r>
        <w:rPr>
          <w:rFonts w:ascii="Arial" w:cs="Arial" w:eastAsia="Arial" w:hAnsi="Arial"/>
          <w:sz w:val="13"/>
          <w:szCs w:val="13"/>
          <w:color w:val="auto"/>
        </w:rPr>
        <w:t xml:space="preserve"> Incentive fee</w:t>
      </w:r>
    </w:p>
    <w:p>
      <w:pPr>
        <w:spacing w:after="0" w:line="48" w:lineRule="exact"/>
        <w:rPr>
          <w:rFonts w:ascii="Arial" w:cs="Arial" w:eastAsia="Arial" w:hAnsi="Arial"/>
          <w:sz w:val="13"/>
          <w:szCs w:val="13"/>
          <w:color w:val="auto"/>
        </w:rPr>
      </w:pPr>
    </w:p>
    <w:p>
      <w:pPr>
        <w:ind w:left="340" w:right="5860" w:firstLine="230"/>
        <w:spacing w:after="0" w:line="368" w:lineRule="auto"/>
        <w:tabs>
          <w:tab w:leader="none" w:pos="675" w:val="left"/>
        </w:tabs>
        <w:numPr>
          <w:ilvl w:val="2"/>
          <w:numId w:val="16"/>
        </w:numPr>
        <w:rPr>
          <w:rFonts w:ascii="Arial" w:cs="Arial" w:eastAsia="Arial" w:hAnsi="Arial"/>
          <w:sz w:val="13"/>
          <w:szCs w:val="13"/>
          <w:color w:val="auto"/>
        </w:rPr>
      </w:pPr>
      <w:r>
        <w:rPr>
          <w:rFonts w:ascii="Arial" w:cs="Arial" w:eastAsia="Arial" w:hAnsi="Arial"/>
          <w:sz w:val="13"/>
          <w:szCs w:val="13"/>
          <w:color w:val="auto"/>
        </w:rPr>
        <w:t>50% X “catch-up” + (20% x (Pre-Incentive Fee Net Investment Income - 2.9167%)) Catch-up</w:t>
      </w: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2.9167% - 1.75%</w:t>
      </w:r>
    </w:p>
    <w:p>
      <w:pPr>
        <w:spacing w:after="0" w:line="80" w:lineRule="exact"/>
        <w:rPr>
          <w:rFonts w:ascii="Arial" w:cs="Arial" w:eastAsia="Arial" w:hAnsi="Arial"/>
          <w:sz w:val="13"/>
          <w:szCs w:val="13"/>
          <w:color w:val="auto"/>
        </w:rPr>
      </w:pP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1.1667%</w:t>
      </w:r>
    </w:p>
    <w:p>
      <w:pPr>
        <w:spacing w:after="0" w:line="80" w:lineRule="exact"/>
        <w:rPr>
          <w:rFonts w:ascii="Arial" w:cs="Arial" w:eastAsia="Arial" w:hAnsi="Arial"/>
          <w:sz w:val="13"/>
          <w:szCs w:val="13"/>
          <w:color w:val="auto"/>
        </w:rPr>
      </w:pP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(50% X 1.1667%) + (20% X (3.55% - 2.9167%))</w:t>
      </w:r>
    </w:p>
    <w:p>
      <w:pPr>
        <w:spacing w:after="0" w:line="80" w:lineRule="exact"/>
        <w:rPr>
          <w:rFonts w:ascii="Arial" w:cs="Arial" w:eastAsia="Arial" w:hAnsi="Arial"/>
          <w:sz w:val="13"/>
          <w:szCs w:val="13"/>
          <w:color w:val="auto"/>
        </w:rPr>
      </w:pP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0.5833% + (20% X 0.6333%)</w:t>
      </w:r>
    </w:p>
    <w:p>
      <w:pPr>
        <w:spacing w:after="0" w:line="80" w:lineRule="exact"/>
        <w:rPr>
          <w:rFonts w:ascii="Arial" w:cs="Arial" w:eastAsia="Arial" w:hAnsi="Arial"/>
          <w:sz w:val="13"/>
          <w:szCs w:val="13"/>
          <w:color w:val="auto"/>
        </w:rPr>
      </w:pP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0.5833% + 0.1267%</w:t>
      </w:r>
    </w:p>
    <w:p>
      <w:pPr>
        <w:spacing w:after="0" w:line="80" w:lineRule="exact"/>
        <w:rPr>
          <w:rFonts w:ascii="Arial" w:cs="Arial" w:eastAsia="Arial" w:hAnsi="Arial"/>
          <w:sz w:val="13"/>
          <w:szCs w:val="13"/>
          <w:color w:val="auto"/>
        </w:rPr>
      </w:pPr>
    </w:p>
    <w:p>
      <w:pPr>
        <w:ind w:left="560" w:hanging="103"/>
        <w:spacing w:after="0"/>
        <w:tabs>
          <w:tab w:leader="none" w:pos="5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0.71%</w:t>
      </w:r>
    </w:p>
    <w:p>
      <w:pPr>
        <w:spacing w:after="0" w:line="200" w:lineRule="exact"/>
        <w:rPr>
          <w:rFonts w:ascii="Arial" w:cs="Arial" w:eastAsia="Arial" w:hAnsi="Arial"/>
          <w:sz w:val="13"/>
          <w:szCs w:val="13"/>
          <w:color w:val="auto"/>
        </w:rPr>
      </w:pPr>
    </w:p>
    <w:p>
      <w:pPr>
        <w:spacing w:after="0" w:line="24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7.0% annualized hurdle.</w:t>
      </w:r>
    </w:p>
    <w:p>
      <w:pPr>
        <w:spacing w:after="0" w:line="147" w:lineRule="exact"/>
        <w:rPr>
          <w:rFonts w:ascii="Arial" w:cs="Arial" w:eastAsia="Arial" w:hAnsi="Arial"/>
          <w:sz w:val="13"/>
          <w:szCs w:val="13"/>
          <w:color w:val="auto"/>
        </w:rPr>
      </w:pPr>
    </w:p>
    <w:p>
      <w:pPr>
        <w:ind w:left="460" w:hanging="452"/>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1.0% annualized base management fee.</w:t>
      </w:r>
    </w:p>
    <w:p>
      <w:pPr>
        <w:spacing w:after="0" w:line="147" w:lineRule="exact"/>
        <w:rPr>
          <w:rFonts w:ascii="Arial" w:cs="Arial" w:eastAsia="Arial" w:hAnsi="Arial"/>
          <w:sz w:val="13"/>
          <w:szCs w:val="13"/>
          <w:color w:val="auto"/>
        </w:rPr>
      </w:pPr>
    </w:p>
    <w:p>
      <w:pPr>
        <w:ind w:left="460" w:hanging="452"/>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Excludes organizational and offering expenses.</w:t>
      </w:r>
    </w:p>
    <w:p>
      <w:pPr>
        <w:spacing w:after="0" w:line="147" w:lineRule="exact"/>
        <w:rPr>
          <w:rFonts w:ascii="Arial" w:cs="Arial" w:eastAsia="Arial" w:hAnsi="Arial"/>
          <w:sz w:val="13"/>
          <w:szCs w:val="13"/>
          <w:color w:val="auto"/>
        </w:rPr>
      </w:pPr>
    </w:p>
    <w:p>
      <w:pPr>
        <w:ind w:left="460" w:hanging="452"/>
        <w:spacing w:after="0" w:line="274"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2: Capital Gains Portion of Incentive Fee: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Assumptions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1: $20 million investment made in Company A (“Investment A”), and $30 million investment made in Company B (“Investment B”)</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2: Investment A sold for $50 million and fair market value (“FMV”) of Investment B determined to be $32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3: FMV of Investment B determined to be $25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4: Investment B sold for $31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2: $6 million capital gains incentive fee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$30 million realized capital gains on sale of Investment A multiplied by 20%</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3: None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$5 million cumulative fee (20% multiplied by $25 million ($30 million cumulative capital gains less $5 million cumulative capital depreciation)) less $6 million (previous capital gains fee paid in Year 2)</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4: $200,000 capital gains incentive fee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2: Investment A sold for $50 million, FMV of Investment B determined to be $25 million and FMV of Investment C determined to be $25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3: FMV of Investment B determined to be $27 million and Investment C sold for $30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4: FMV of Investment B determined to be $35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5: Investment B sold for $20 million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2: $5 million capital gains incentive fee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20% multiplied by $25 million ($30 million realized capital gains on sale of Investment A less $5 million unrealized capital depreciation on Investment B)</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Year 3: $1.4 million capital gains incentive fee </w:t>
      </w:r>
      <w:r>
        <w:rPr>
          <w:rFonts w:ascii="Arial" w:cs="Arial" w:eastAsia="Arial" w:hAnsi="Arial"/>
          <w:sz w:val="22"/>
          <w:szCs w:val="22"/>
          <w:color w:val="auto"/>
          <w:vertAlign w:val="superscript"/>
        </w:rPr>
        <w:t>(1)</w:t>
      </w:r>
    </w:p>
    <w:p>
      <w:pPr>
        <w:ind w:left="120" w:right="60"/>
        <w:spacing w:after="0" w:line="255" w:lineRule="auto"/>
        <w:rPr>
          <w:sz w:val="20"/>
          <w:szCs w:val="20"/>
          <w:color w:val="auto"/>
        </w:rPr>
      </w:pPr>
      <w:r>
        <w:rPr>
          <w:rFonts w:ascii="Arial" w:cs="Arial" w:eastAsia="Arial" w:hAnsi="Arial"/>
          <w:sz w:val="13"/>
          <w:szCs w:val="13"/>
          <w:color w:val="auto"/>
        </w:rPr>
        <w:t>$6.4 million cumulative fee (20% multiplied by $32 million ($35 million cumulative realized capital gains less $3 million unrealized capital depreciation)) less $5 million (previous capital gains fee paid in Year 2)</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4: $0.6 million capital gains incentive fee</w:t>
      </w:r>
    </w:p>
    <w:p>
      <w:pPr>
        <w:spacing w:after="0" w:line="80" w:lineRule="exact"/>
        <w:rPr>
          <w:sz w:val="20"/>
          <w:szCs w:val="20"/>
          <w:color w:val="auto"/>
        </w:rPr>
      </w:pPr>
    </w:p>
    <w:p>
      <w:pPr>
        <w:ind w:left="120" w:right="260"/>
        <w:spacing w:after="0" w:line="274" w:lineRule="auto"/>
        <w:rPr>
          <w:sz w:val="20"/>
          <w:szCs w:val="20"/>
          <w:color w:val="auto"/>
        </w:rPr>
      </w:pPr>
      <w:r>
        <w:rPr>
          <w:rFonts w:ascii="Arial" w:cs="Arial" w:eastAsia="Arial" w:hAnsi="Arial"/>
          <w:sz w:val="13"/>
          <w:szCs w:val="13"/>
          <w:color w:val="auto"/>
        </w:rPr>
        <w:t>$7 million cumulative fee (20% multiplied by $35 million ($35 million cumulative realized capital gains without regard to $5 million of unrealized appreciation)) less $6.4 million (previous cumulative capital gains fee paid in Year 2 and Year 3)</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Year 5: None</w:t>
      </w:r>
    </w:p>
    <w:p>
      <w:pPr>
        <w:spacing w:after="0" w:line="80" w:lineRule="exact"/>
        <w:rPr>
          <w:sz w:val="20"/>
          <w:szCs w:val="20"/>
          <w:color w:val="auto"/>
        </w:rPr>
      </w:pPr>
    </w:p>
    <w:p>
      <w:pPr>
        <w:ind w:left="120" w:right="120"/>
        <w:spacing w:after="0" w:line="274" w:lineRule="auto"/>
        <w:rPr>
          <w:sz w:val="20"/>
          <w:szCs w:val="20"/>
          <w:color w:val="auto"/>
        </w:rPr>
      </w:pPr>
      <w:r>
        <w:rPr>
          <w:rFonts w:ascii="Arial" w:cs="Arial" w:eastAsia="Arial" w:hAnsi="Arial"/>
          <w:sz w:val="13"/>
          <w:szCs w:val="13"/>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1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81" w:lineRule="exact"/>
        <w:rPr>
          <w:sz w:val="20"/>
          <w:szCs w:val="20"/>
          <w:color w:val="auto"/>
        </w:rPr>
      </w:pPr>
    </w:p>
    <w:p>
      <w:pPr>
        <w:ind w:left="340" w:right="120" w:hanging="332"/>
        <w:spacing w:after="0" w:line="204"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3"/>
          <w:szCs w:val="13"/>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Duration and Termination of Investment Management Agreement</w:t>
      </w:r>
    </w:p>
    <w:p>
      <w:pPr>
        <w:spacing w:after="0" w:line="134"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15"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of the Investment Adviser</w:t>
      </w:r>
    </w:p>
    <w:p>
      <w:pPr>
        <w:spacing w:after="0" w:line="134" w:lineRule="exact"/>
        <w:rPr>
          <w:sz w:val="20"/>
          <w:szCs w:val="20"/>
          <w:color w:val="auto"/>
        </w:rPr>
      </w:pPr>
    </w:p>
    <w:p>
      <w:pPr>
        <w:ind w:right="440" w:firstLine="562"/>
        <w:spacing w:after="0" w:line="274" w:lineRule="auto"/>
        <w:rPr>
          <w:sz w:val="20"/>
          <w:szCs w:val="20"/>
          <w:color w:val="auto"/>
        </w:rPr>
      </w:pPr>
      <w:r>
        <w:rPr>
          <w:rFonts w:ascii="Arial" w:cs="Arial" w:eastAsia="Arial" w:hAnsi="Arial"/>
          <w:sz w:val="13"/>
          <w:szCs w:val="13"/>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Administration Agreement</w:t>
      </w:r>
    </w:p>
    <w:p>
      <w:pPr>
        <w:spacing w:after="0" w:line="134" w:lineRule="exact"/>
        <w:rPr>
          <w:sz w:val="20"/>
          <w:szCs w:val="20"/>
          <w:color w:val="auto"/>
        </w:rPr>
      </w:pPr>
    </w:p>
    <w:p>
      <w:pPr>
        <w:ind w:right="20" w:firstLine="562"/>
        <w:spacing w:after="0" w:line="242"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Duration and Termination of Administration Agreement</w:t>
      </w:r>
    </w:p>
    <w:p>
      <w:pPr>
        <w:spacing w:after="0" w:line="134"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The Administration Agreement was reapproved by our board of directors, including a majority of our directors who are not interested persons of us,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Indemnification</w:t>
      </w:r>
    </w:p>
    <w:p>
      <w:pPr>
        <w:spacing w:after="0" w:line="134"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License Agreement</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00"/>
          </w:cols>
          <w:pgMar w:left="32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Regulated Investment Company and Business Development Company Regulations</w:t>
      </w:r>
    </w:p>
    <w:p>
      <w:pPr>
        <w:spacing w:after="0" w:line="134"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6"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Qualifying Assets</w:t>
      </w:r>
    </w:p>
    <w:p>
      <w:pPr>
        <w:spacing w:after="0" w:line="134" w:lineRule="exact"/>
        <w:rPr>
          <w:sz w:val="20"/>
          <w:szCs w:val="20"/>
          <w:color w:val="auto"/>
        </w:rPr>
      </w:pPr>
    </w:p>
    <w:p>
      <w:pPr>
        <w:ind w:right="580" w:firstLine="562"/>
        <w:spacing w:after="0" w:line="317"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1" w:lineRule="exact"/>
        <w:rPr>
          <w:sz w:val="20"/>
          <w:szCs w:val="20"/>
          <w:color w:val="auto"/>
        </w:rPr>
      </w:pPr>
    </w:p>
    <w:p>
      <w:pPr>
        <w:jc w:val="both"/>
        <w:ind w:left="880" w:right="20" w:hanging="319"/>
        <w:spacing w:after="0" w:line="256" w:lineRule="auto"/>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3"/>
          <w:szCs w:val="13"/>
          <w:color w:val="auto"/>
        </w:rPr>
      </w:pPr>
    </w:p>
    <w:p>
      <w:pPr>
        <w:ind w:left="1560" w:hanging="324"/>
        <w:spacing w:after="0"/>
        <w:tabs>
          <w:tab w:leader="none" w:pos="15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is organized under the laws of, and has its principal place of business in, the United States;</w:t>
      </w:r>
    </w:p>
    <w:p>
      <w:pPr>
        <w:spacing w:after="0" w:line="147" w:lineRule="exact"/>
        <w:rPr>
          <w:rFonts w:ascii="Arial" w:cs="Arial" w:eastAsia="Arial" w:hAnsi="Arial"/>
          <w:sz w:val="13"/>
          <w:szCs w:val="13"/>
          <w:color w:val="auto"/>
        </w:rPr>
      </w:pPr>
    </w:p>
    <w:p>
      <w:pPr>
        <w:ind w:left="1560" w:right="140" w:hanging="324"/>
        <w:spacing w:after="0" w:line="274" w:lineRule="auto"/>
        <w:tabs>
          <w:tab w:leader="none" w:pos="15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4" w:lineRule="exact"/>
        <w:rPr>
          <w:rFonts w:ascii="Arial" w:cs="Arial" w:eastAsia="Arial" w:hAnsi="Arial"/>
          <w:sz w:val="13"/>
          <w:szCs w:val="13"/>
          <w:color w:val="auto"/>
        </w:rPr>
      </w:pPr>
    </w:p>
    <w:p>
      <w:pPr>
        <w:ind w:left="1560" w:hanging="324"/>
        <w:spacing w:after="0"/>
        <w:tabs>
          <w:tab w:leader="none" w:pos="15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satisfies any of the following:</w:t>
      </w:r>
    </w:p>
    <w:p>
      <w:pPr>
        <w:spacing w:after="0" w:line="147" w:lineRule="exact"/>
        <w:rPr>
          <w:rFonts w:ascii="Arial" w:cs="Arial" w:eastAsia="Arial" w:hAnsi="Arial"/>
          <w:sz w:val="13"/>
          <w:szCs w:val="13"/>
          <w:color w:val="auto"/>
        </w:rPr>
      </w:pPr>
    </w:p>
    <w:p>
      <w:pPr>
        <w:ind w:left="2120" w:hanging="317"/>
        <w:spacing w:after="0"/>
        <w:tabs>
          <w:tab w:leader="none" w:pos="2120" w:val="left"/>
        </w:tabs>
        <w:numPr>
          <w:ilvl w:val="2"/>
          <w:numId w:val="19"/>
        </w:numPr>
        <w:rPr>
          <w:rFonts w:ascii="Arial" w:cs="Arial" w:eastAsia="Arial" w:hAnsi="Arial"/>
          <w:sz w:val="13"/>
          <w:szCs w:val="13"/>
          <w:color w:val="auto"/>
        </w:rPr>
      </w:pPr>
      <w:r>
        <w:rPr>
          <w:rFonts w:ascii="Arial" w:cs="Arial" w:eastAsia="Arial" w:hAnsi="Arial"/>
          <w:sz w:val="13"/>
          <w:szCs w:val="13"/>
          <w:color w:val="auto"/>
        </w:rPr>
        <w:t>does not have any class of securities listed on a national securities exchange;</w:t>
      </w:r>
    </w:p>
    <w:p>
      <w:pPr>
        <w:spacing w:after="0" w:line="147" w:lineRule="exact"/>
        <w:rPr>
          <w:rFonts w:ascii="Arial" w:cs="Arial" w:eastAsia="Arial" w:hAnsi="Arial"/>
          <w:sz w:val="13"/>
          <w:szCs w:val="13"/>
          <w:color w:val="auto"/>
        </w:rPr>
      </w:pPr>
    </w:p>
    <w:p>
      <w:pPr>
        <w:ind w:left="2120" w:hanging="317"/>
        <w:spacing w:after="0"/>
        <w:tabs>
          <w:tab w:leader="none" w:pos="2120" w:val="left"/>
        </w:tabs>
        <w:numPr>
          <w:ilvl w:val="2"/>
          <w:numId w:val="19"/>
        </w:numPr>
        <w:rPr>
          <w:rFonts w:ascii="Arial" w:cs="Arial" w:eastAsia="Arial" w:hAnsi="Arial"/>
          <w:sz w:val="13"/>
          <w:szCs w:val="13"/>
          <w:color w:val="auto"/>
        </w:rPr>
      </w:pPr>
      <w:r>
        <w:rPr>
          <w:rFonts w:ascii="Arial" w:cs="Arial" w:eastAsia="Arial" w:hAnsi="Arial"/>
          <w:sz w:val="13"/>
          <w:szCs w:val="13"/>
          <w:color w:val="auto"/>
        </w:rPr>
        <w:t>has any class of securities listed on a national securities exchange subject to a maximum market capitalization of $250.0 million; or</w:t>
      </w:r>
    </w:p>
    <w:p>
      <w:pPr>
        <w:spacing w:after="0" w:line="147" w:lineRule="exact"/>
        <w:rPr>
          <w:rFonts w:ascii="Arial" w:cs="Arial" w:eastAsia="Arial" w:hAnsi="Arial"/>
          <w:sz w:val="13"/>
          <w:szCs w:val="13"/>
          <w:color w:val="auto"/>
        </w:rPr>
      </w:pPr>
    </w:p>
    <w:p>
      <w:pPr>
        <w:ind w:left="2120" w:right="260" w:hanging="317"/>
        <w:spacing w:after="0" w:line="274" w:lineRule="auto"/>
        <w:tabs>
          <w:tab w:leader="none" w:pos="2120" w:val="left"/>
        </w:tabs>
        <w:numPr>
          <w:ilvl w:val="2"/>
          <w:numId w:val="19"/>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of any eligible portfolio company which we control.</w:t>
      </w:r>
    </w:p>
    <w:p>
      <w:pPr>
        <w:spacing w:after="0" w:line="147" w:lineRule="exact"/>
        <w:rPr>
          <w:rFonts w:ascii="Arial" w:cs="Arial" w:eastAsia="Arial" w:hAnsi="Arial"/>
          <w:sz w:val="13"/>
          <w:szCs w:val="13"/>
          <w:color w:val="auto"/>
        </w:rPr>
      </w:pPr>
    </w:p>
    <w:p>
      <w:pPr>
        <w:ind w:left="880" w:right="140" w:hanging="319"/>
        <w:spacing w:after="0" w:line="256" w:lineRule="auto"/>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3"/>
          <w:szCs w:val="13"/>
          <w:color w:val="auto"/>
        </w:rPr>
      </w:pPr>
    </w:p>
    <w:p>
      <w:pPr>
        <w:ind w:left="880" w:right="20" w:hanging="319"/>
        <w:spacing w:after="0" w:line="274" w:lineRule="auto"/>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59" w:lineRule="exact"/>
        <w:rPr>
          <w:rFonts w:ascii="Arial" w:cs="Arial" w:eastAsia="Arial" w:hAnsi="Arial"/>
          <w:sz w:val="12"/>
          <w:szCs w:val="12"/>
          <w:color w:val="auto"/>
        </w:rPr>
      </w:pPr>
    </w:p>
    <w:p>
      <w:pPr>
        <w:ind w:left="880" w:hanging="319"/>
        <w:spacing w:after="0"/>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Cash, cash equivalents, U.S. government securities or high-quality debt securities maturing in one year or less from the time of investment.</w:t>
      </w:r>
    </w:p>
    <w:p>
      <w:pPr>
        <w:spacing w:after="0" w:line="134"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 to Portfolio Companies</w:t>
      </w:r>
    </w:p>
    <w:p>
      <w:pPr>
        <w:spacing w:after="0" w:line="134" w:lineRule="exact"/>
        <w:rPr>
          <w:sz w:val="20"/>
          <w:szCs w:val="20"/>
          <w:color w:val="auto"/>
        </w:rPr>
      </w:pPr>
    </w:p>
    <w:p>
      <w:pPr>
        <w:ind w:right="180" w:firstLine="562"/>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Temporary Investments</w:t>
      </w:r>
    </w:p>
    <w:p>
      <w:pPr>
        <w:spacing w:after="0" w:line="134"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Senior Securities</w:t>
      </w:r>
    </w:p>
    <w:p>
      <w:pPr>
        <w:spacing w:after="0" w:line="134" w:lineRule="exact"/>
        <w:rPr>
          <w:sz w:val="20"/>
          <w:szCs w:val="20"/>
          <w:color w:val="auto"/>
        </w:rPr>
      </w:pPr>
    </w:p>
    <w:p>
      <w:pPr>
        <w:ind w:right="140" w:firstLine="562"/>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Joint Code of Ethics and Code of Conduct</w:t>
      </w:r>
    </w:p>
    <w:p>
      <w:pPr>
        <w:spacing w:after="0" w:line="134"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Proxy Voting Policies and Procedures</w:t>
      </w:r>
    </w:p>
    <w:p>
      <w:pPr>
        <w:spacing w:after="0" w:line="134"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Introduction</w:t>
      </w:r>
    </w:p>
    <w:p>
      <w:pPr>
        <w:spacing w:after="0" w:line="134" w:lineRule="exact"/>
        <w:rPr>
          <w:sz w:val="20"/>
          <w:szCs w:val="20"/>
          <w:color w:val="auto"/>
        </w:rPr>
      </w:pPr>
    </w:p>
    <w:p>
      <w:pPr>
        <w:ind w:right="340" w:firstLine="562"/>
        <w:spacing w:after="0" w:line="274" w:lineRule="auto"/>
        <w:rPr>
          <w:sz w:val="20"/>
          <w:szCs w:val="20"/>
          <w:color w:val="auto"/>
        </w:rPr>
      </w:pPr>
      <w:r>
        <w:rPr>
          <w:rFonts w:ascii="Arial" w:cs="Arial" w:eastAsia="Arial" w:hAnsi="Arial"/>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1" w:lineRule="exact"/>
        <w:rPr>
          <w:sz w:val="20"/>
          <w:szCs w:val="20"/>
          <w:color w:val="auto"/>
        </w:rPr>
      </w:pPr>
    </w:p>
    <w:p>
      <w:pPr>
        <w:ind w:left="120" w:right="1360" w:firstLine="449"/>
        <w:spacing w:after="0" w:line="455" w:lineRule="auto"/>
        <w:rPr>
          <w:sz w:val="20"/>
          <w:szCs w:val="20"/>
          <w:color w:val="auto"/>
        </w:rPr>
      </w:pPr>
      <w:r>
        <w:rPr>
          <w:rFonts w:ascii="Arial" w:cs="Arial" w:eastAsia="Arial" w:hAnsi="Arial"/>
          <w:sz w:val="13"/>
          <w:szCs w:val="13"/>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3"/>
          <w:szCs w:val="13"/>
          <w:i w:val="1"/>
          <w:iCs w:val="1"/>
          <w:color w:val="auto"/>
        </w:rPr>
        <w:t>Proxy Policies</w:t>
      </w:r>
    </w:p>
    <w:p>
      <w:pPr>
        <w:ind w:right="80" w:firstLine="562"/>
        <w:spacing w:after="0" w:line="256" w:lineRule="auto"/>
        <w:rPr>
          <w:sz w:val="20"/>
          <w:szCs w:val="20"/>
          <w:color w:val="auto"/>
        </w:rPr>
      </w:pPr>
      <w:r>
        <w:rPr>
          <w:rFonts w:ascii="Arial" w:cs="Arial" w:eastAsia="Arial" w:hAnsi="Arial"/>
          <w:sz w:val="13"/>
          <w:szCs w:val="13"/>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Proxy Voting Records</w:t>
      </w:r>
    </w:p>
    <w:p>
      <w:pPr>
        <w:spacing w:after="0" w:line="134" w:lineRule="exact"/>
        <w:rPr>
          <w:sz w:val="20"/>
          <w:szCs w:val="20"/>
          <w:color w:val="auto"/>
        </w:rPr>
      </w:pPr>
    </w:p>
    <w:p>
      <w:pPr>
        <w:ind w:right="200" w:firstLine="562"/>
        <w:spacing w:after="0" w:line="259" w:lineRule="auto"/>
        <w:rPr>
          <w:sz w:val="20"/>
          <w:szCs w:val="20"/>
          <w:color w:val="auto"/>
        </w:rPr>
      </w:pPr>
      <w:r>
        <w:rPr>
          <w:rFonts w:ascii="Arial" w:cs="Arial" w:eastAsia="Arial" w:hAnsi="Arial"/>
          <w:sz w:val="13"/>
          <w:szCs w:val="13"/>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New York, New York 10022.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Privacy Protection Principles</w:t>
      </w:r>
    </w:p>
    <w:p>
      <w:pPr>
        <w:spacing w:after="0" w:line="134"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2"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91"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w:t>
      </w:r>
    </w:p>
    <w:p>
      <w:pPr>
        <w:spacing w:after="0" w:line="134"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will be periodically examined by the SEC for compliance with the 1940 Act.</w:t>
      </w:r>
    </w:p>
    <w:p>
      <w:pPr>
        <w:spacing w:after="0" w:line="134"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ind w:right="220" w:firstLine="562"/>
        <w:spacing w:after="0" w:line="256" w:lineRule="auto"/>
        <w:rPr>
          <w:sz w:val="20"/>
          <w:szCs w:val="20"/>
          <w:color w:val="auto"/>
        </w:rPr>
      </w:pPr>
      <w:r>
        <w:rPr>
          <w:rFonts w:ascii="Arial" w:cs="Arial" w:eastAsia="Arial" w:hAnsi="Arial"/>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Sarbanes-Oxley Act of 2002</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Sarbanes-Oxley Act of 2002, or the Sarbanes-Oxley Act, imposes several regulatory requirements on publicly held companies and their insiders. Many of these requirements affect us.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example:</w:t>
      </w:r>
    </w:p>
    <w:p>
      <w:pPr>
        <w:spacing w:after="0" w:line="80" w:lineRule="exact"/>
        <w:rPr>
          <w:sz w:val="20"/>
          <w:szCs w:val="20"/>
          <w:color w:val="auto"/>
        </w:rPr>
      </w:pPr>
    </w:p>
    <w:p>
      <w:pPr>
        <w:ind w:left="880" w:right="160" w:hanging="319"/>
        <w:spacing w:after="0" w:line="274" w:lineRule="auto"/>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Item 307 of Regulation S-K, our periodic reports must disclose our conclusions about the effectiveness of our disclosure controls and procedures;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ind w:left="880" w:right="40" w:hanging="319"/>
        <w:spacing w:after="0" w:line="256" w:lineRule="auto"/>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2" w:lineRule="exact"/>
        <w:rPr>
          <w:sz w:val="20"/>
          <w:szCs w:val="20"/>
          <w:color w:val="auto"/>
        </w:rPr>
      </w:pPr>
    </w:p>
    <w:p>
      <w:pPr>
        <w:ind w:right="140" w:firstLine="562"/>
        <w:spacing w:after="0" w:line="317"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Election to be Taxed as a RIC</w:t>
      </w:r>
    </w:p>
    <w:p>
      <w:pPr>
        <w:spacing w:after="0" w:line="134"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order to qualify as a RIC for federal income tax purposes, we must:</w:t>
      </w:r>
    </w:p>
    <w:p>
      <w:pPr>
        <w:spacing w:after="0" w:line="148" w:lineRule="exact"/>
        <w:rPr>
          <w:sz w:val="20"/>
          <w:szCs w:val="20"/>
          <w:color w:val="auto"/>
        </w:rPr>
      </w:pPr>
    </w:p>
    <w:p>
      <w:pPr>
        <w:ind w:left="780" w:hanging="219"/>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 an election to be treated as a BDC under the 1940 Act at all times during each taxable year;</w:t>
      </w:r>
    </w:p>
    <w:p>
      <w:pPr>
        <w:spacing w:after="0" w:line="147" w:lineRule="exact"/>
        <w:rPr>
          <w:rFonts w:ascii="Arial" w:cs="Arial" w:eastAsia="Arial" w:hAnsi="Arial"/>
          <w:sz w:val="13"/>
          <w:szCs w:val="13"/>
          <w:color w:val="auto"/>
        </w:rPr>
      </w:pPr>
    </w:p>
    <w:p>
      <w:pPr>
        <w:ind w:left="780" w:right="420" w:hanging="219"/>
        <w:spacing w:after="0" w:line="317" w:lineRule="auto"/>
        <w:tabs>
          <w:tab w:leader="none" w:pos="7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0" w:lineRule="exact"/>
        <w:rPr>
          <w:rFonts w:ascii="Arial" w:cs="Arial" w:eastAsia="Arial" w:hAnsi="Arial"/>
          <w:sz w:val="12"/>
          <w:szCs w:val="12"/>
          <w:color w:val="auto"/>
        </w:rPr>
      </w:pPr>
    </w:p>
    <w:p>
      <w:pPr>
        <w:ind w:left="780" w:hanging="219"/>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diversify our holdings, or the Diversification Tests, so that at the end of each quarter of the taxable year:</w:t>
      </w:r>
    </w:p>
    <w:p>
      <w:pPr>
        <w:spacing w:after="0" w:line="147" w:lineRule="exact"/>
        <w:rPr>
          <w:rFonts w:ascii="Arial" w:cs="Arial" w:eastAsia="Arial" w:hAnsi="Arial"/>
          <w:sz w:val="13"/>
          <w:szCs w:val="13"/>
          <w:color w:val="auto"/>
        </w:rPr>
      </w:pPr>
    </w:p>
    <w:p>
      <w:pPr>
        <w:ind w:left="1120" w:right="20" w:hanging="329"/>
        <w:spacing w:after="0" w:line="274" w:lineRule="auto"/>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04" w:lineRule="exact"/>
        <w:rPr>
          <w:rFonts w:ascii="Arial" w:cs="Arial" w:eastAsia="Arial" w:hAnsi="Arial"/>
          <w:sz w:val="13"/>
          <w:szCs w:val="13"/>
          <w:color w:val="auto"/>
        </w:rPr>
      </w:pPr>
    </w:p>
    <w:p>
      <w:pPr>
        <w:ind w:left="1120" w:right="80" w:hanging="329"/>
        <w:spacing w:after="0" w:line="317" w:lineRule="auto"/>
        <w:tabs>
          <w:tab w:leader="none" w:pos="1120" w:val="left"/>
        </w:tabs>
        <w:numPr>
          <w:ilvl w:val="1"/>
          <w:numId w:val="21"/>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as a RIC</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102"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08"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1"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0"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Failure to Qualify as a RIC</w:t>
      </w:r>
    </w:p>
    <w:p>
      <w:pPr>
        <w:spacing w:after="0" w:line="134"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fail to satisfy the Annual Distribution Requirement or fail to qualify as a RIC in any taxable year, unless certain cure provisions apply, we will be subject to tax in that taxable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06"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63"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 AND STRUCTURE</w:t>
      </w:r>
    </w:p>
    <w:p>
      <w:pPr>
        <w:spacing w:after="0" w:line="163" w:lineRule="exact"/>
        <w:rPr>
          <w:sz w:val="20"/>
          <w:szCs w:val="20"/>
          <w:color w:val="auto"/>
        </w:rPr>
      </w:pPr>
    </w:p>
    <w:p>
      <w:pPr>
        <w:ind w:right="60" w:firstLine="224"/>
        <w:spacing w:after="0" w:line="274"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18" w:lineRule="exact"/>
        <w:rPr>
          <w:sz w:val="20"/>
          <w:szCs w:val="20"/>
          <w:color w:val="auto"/>
        </w:rPr>
      </w:pPr>
    </w:p>
    <w:p>
      <w:pPr>
        <w:ind w:right="200" w:firstLine="562"/>
        <w:spacing w:after="0" w:line="245" w:lineRule="auto"/>
        <w:rPr>
          <w:sz w:val="20"/>
          <w:szCs w:val="20"/>
          <w:color w:val="auto"/>
        </w:rPr>
      </w:pPr>
      <w:r>
        <w:rPr>
          <w:rFonts w:ascii="Arial" w:cs="Arial" w:eastAsia="Arial" w:hAnsi="Arial"/>
          <w:sz w:val="13"/>
          <w:szCs w:val="13"/>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Volatility or a prolonged disruption in the credit markets could materially damage our business.</w:t>
      </w:r>
    </w:p>
    <w:p>
      <w:pPr>
        <w:spacing w:after="0" w:line="161"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38" w:lineRule="exact"/>
        <w:rPr>
          <w:sz w:val="20"/>
          <w:szCs w:val="20"/>
          <w:color w:val="auto"/>
        </w:rPr>
      </w:pPr>
    </w:p>
    <w:p>
      <w:pPr>
        <w:ind w:right="20" w:firstLine="562"/>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developments may adversely affect our business and results of operations by reducing availability and/or triggering mandatory prepayment under Funding I’s Credit Facility.</w:t>
      </w:r>
    </w:p>
    <w:p>
      <w:pPr>
        <w:spacing w:after="0" w:line="173"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In addition to the applicable asset coverage ratio that restricts our ability to borrow under our Credit Facility, the Credit Facility contains various covenants applicable to Funding I. For example, the income coverage covenant, or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Failure to satisfy the various covenants under the Credit Facility could accelerate repayment under the Credit Facility or otherwise require changes in the priority of distributions under the payment waterfall, which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78" w:lineRule="exact"/>
        <w:rPr>
          <w:sz w:val="20"/>
          <w:szCs w:val="20"/>
          <w:color w:val="auto"/>
        </w:rPr>
      </w:pPr>
    </w:p>
    <w:p>
      <w:pPr>
        <w:ind w:left="880" w:hanging="319"/>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requirement to retain our status as a RIC;</w:t>
      </w:r>
    </w:p>
    <w:p>
      <w:pPr>
        <w:spacing w:after="0" w:line="201" w:lineRule="exact"/>
        <w:rPr>
          <w:rFonts w:ascii="Arial" w:cs="Arial" w:eastAsia="Arial" w:hAnsi="Arial"/>
          <w:sz w:val="13"/>
          <w:szCs w:val="13"/>
          <w:color w:val="auto"/>
        </w:rPr>
      </w:pPr>
    </w:p>
    <w:p>
      <w:pPr>
        <w:ind w:left="880" w:hanging="319"/>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requirement to maintain a minimum amount of stockholder’s equity; and</w:t>
      </w:r>
    </w:p>
    <w:p>
      <w:pPr>
        <w:spacing w:after="0" w:line="201" w:lineRule="exact"/>
        <w:rPr>
          <w:rFonts w:ascii="Arial" w:cs="Arial" w:eastAsia="Arial" w:hAnsi="Arial"/>
          <w:sz w:val="13"/>
          <w:szCs w:val="13"/>
          <w:color w:val="auto"/>
        </w:rPr>
      </w:pPr>
    </w:p>
    <w:p>
      <w:pPr>
        <w:ind w:left="880" w:hanging="319"/>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requirement that our outstanding borrowings under the Credit Facility not exceed a certain percentage of the values of our portfolio companies.</w:t>
      </w:r>
    </w:p>
    <w:p>
      <w:pPr>
        <w:spacing w:after="0" w:line="161"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operate in a highly competitive market for investment opportunities.</w:t>
      </w:r>
    </w:p>
    <w:p>
      <w:pPr>
        <w:spacing w:after="0" w:line="161"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6"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borrowers may default on their payments, which may have a materially negative effect on our financial performance.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Our primary business exposes us to credit risk, and the quality of our portfolio has a significant impact on our earnings. Credit risk is a component of our fair valuation of our portfolio companies.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Negative credit events will lead to a decrease in the fair value of our portfolio companies.</w:t>
      </w:r>
    </w:p>
    <w:p>
      <w:pPr>
        <w:spacing w:after="0" w:line="149"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29"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61"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33"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the target of securities litigation.</w:t>
      </w:r>
    </w:p>
    <w:p>
      <w:pPr>
        <w:spacing w:after="0" w:line="161" w:lineRule="exact"/>
        <w:rPr>
          <w:sz w:val="20"/>
          <w:szCs w:val="20"/>
          <w:color w:val="auto"/>
        </w:rPr>
      </w:pPr>
    </w:p>
    <w:p>
      <w:pPr>
        <w:ind w:right="420" w:firstLine="562"/>
        <w:spacing w:after="0" w:line="274" w:lineRule="auto"/>
        <w:rPr>
          <w:sz w:val="20"/>
          <w:szCs w:val="20"/>
          <w:color w:val="auto"/>
        </w:rPr>
      </w:pPr>
      <w:r>
        <w:rPr>
          <w:rFonts w:ascii="Arial" w:cs="Arial" w:eastAsia="Arial" w:hAnsi="Arial"/>
          <w:sz w:val="13"/>
          <w:szCs w:val="13"/>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18" w:lineRule="exact"/>
        <w:rPr>
          <w:sz w:val="20"/>
          <w:szCs w:val="20"/>
          <w:color w:val="auto"/>
        </w:rPr>
      </w:pPr>
    </w:p>
    <w:p>
      <w:pPr>
        <w:ind w:right="240" w:firstLine="224"/>
        <w:spacing w:after="0" w:line="274" w:lineRule="auto"/>
        <w:rPr>
          <w:sz w:val="20"/>
          <w:szCs w:val="20"/>
          <w:color w:val="auto"/>
        </w:rPr>
      </w:pPr>
      <w:r>
        <w:rPr>
          <w:rFonts w:ascii="Arial" w:cs="Arial" w:eastAsia="Arial" w:hAnsi="Arial"/>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18"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37"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 that may affect our cost of capital and net investment income.</w:t>
      </w:r>
    </w:p>
    <w:p>
      <w:pPr>
        <w:spacing w:after="0" w:line="161"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39"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financial condition and results of operation depend on our ability to manage future growth effectively.</w:t>
      </w:r>
    </w:p>
    <w:p>
      <w:pPr>
        <w:spacing w:after="0" w:line="161"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61" w:lineRule="exact"/>
        <w:rPr>
          <w:sz w:val="20"/>
          <w:szCs w:val="20"/>
          <w:color w:val="auto"/>
        </w:rPr>
      </w:pPr>
    </w:p>
    <w:p>
      <w:pPr>
        <w:ind w:right="180" w:firstLine="562"/>
        <w:spacing w:after="0" w:line="317" w:lineRule="auto"/>
        <w:rPr>
          <w:sz w:val="20"/>
          <w:szCs w:val="20"/>
          <w:color w:val="auto"/>
        </w:rPr>
      </w:pPr>
      <w:r>
        <w:rPr>
          <w:rFonts w:ascii="Arial" w:cs="Arial" w:eastAsia="Arial" w:hAnsi="Arial"/>
          <w:sz w:val="12"/>
          <w:szCs w:val="12"/>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investment professionals have been affiliated.</w:t>
      </w:r>
    </w:p>
    <w:p>
      <w:pPr>
        <w:spacing w:after="0" w:line="161"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failure on our part to maintain our status as a BDC would reduce our operating flexibility.</w:t>
      </w:r>
    </w:p>
    <w:p>
      <w:pPr>
        <w:spacing w:after="0" w:line="161"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Loss of RIC tax status would substantially reduce net assets and income available for debt service and distributions.</w:t>
      </w:r>
    </w:p>
    <w:p>
      <w:pPr>
        <w:spacing w:after="0" w:line="161" w:lineRule="exact"/>
        <w:rPr>
          <w:sz w:val="20"/>
          <w:szCs w:val="20"/>
          <w:color w:val="auto"/>
        </w:rPr>
      </w:pPr>
    </w:p>
    <w:p>
      <w:pPr>
        <w:ind w:right="180" w:firstLine="562"/>
        <w:spacing w:after="0" w:line="261"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w:t>
      </w:r>
    </w:p>
    <w:p>
      <w:pPr>
        <w:spacing w:after="0" w:line="3" w:lineRule="exact"/>
        <w:rPr>
          <w:sz w:val="20"/>
          <w:szCs w:val="20"/>
          <w:color w:val="auto"/>
        </w:rPr>
      </w:pPr>
    </w:p>
    <w:p>
      <w:pPr>
        <w:ind w:right="80" w:firstLine="8"/>
        <w:spacing w:after="0" w:line="255" w:lineRule="auto"/>
        <w:tabs>
          <w:tab w:leader="none" w:pos="191" w:val="left"/>
        </w:tabs>
        <w:numPr>
          <w:ilvl w:val="0"/>
          <w:numId w:val="23"/>
        </w:numPr>
        <w:rPr>
          <w:rFonts w:ascii="Arial" w:cs="Arial" w:eastAsia="Arial" w:hAnsi="Arial"/>
          <w:sz w:val="13"/>
          <w:szCs w:val="13"/>
          <w:color w:val="auto"/>
        </w:rPr>
      </w:pPr>
      <w:r>
        <w:rPr>
          <w:rFonts w:ascii="Arial" w:cs="Arial" w:eastAsia="Arial" w:hAnsi="Arial"/>
          <w:sz w:val="13"/>
          <w:szCs w:val="13"/>
          <w:color w:val="auto"/>
        </w:rPr>
        <w:t>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have difficulty paying our required distributions if we recognize income before or without receiving cash representing such income.</w:t>
      </w:r>
    </w:p>
    <w:p>
      <w:pPr>
        <w:spacing w:after="0" w:line="161" w:lineRule="exact"/>
        <w:rPr>
          <w:sz w:val="20"/>
          <w:szCs w:val="20"/>
          <w:color w:val="auto"/>
        </w:rPr>
      </w:pPr>
    </w:p>
    <w:p>
      <w:pPr>
        <w:jc w:val="both"/>
        <w:ind w:right="40" w:firstLine="562"/>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111" w:lineRule="exact"/>
        <w:rPr>
          <w:sz w:val="20"/>
          <w:szCs w:val="20"/>
          <w:color w:val="auto"/>
        </w:rPr>
      </w:pPr>
    </w:p>
    <w:p>
      <w:pPr>
        <w:jc w:val="both"/>
        <w:ind w:right="20" w:firstLine="562"/>
        <w:spacing w:after="0" w:line="317"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33" w:lineRule="exact"/>
        <w:rPr>
          <w:sz w:val="20"/>
          <w:szCs w:val="20"/>
          <w:color w:val="auto"/>
        </w:rPr>
      </w:pPr>
    </w:p>
    <w:p>
      <w:pPr>
        <w:ind w:right="280" w:firstLine="224"/>
        <w:spacing w:after="0" w:line="274"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18"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37"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We are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 corporate-level income tax on us.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Regulations governing our operation as a BDC will affect our ability to, and the way in which we, raise additional capital.</w:t>
      </w:r>
    </w:p>
    <w:p>
      <w:pPr>
        <w:spacing w:after="0" w:line="161" w:lineRule="exact"/>
        <w:rPr>
          <w:sz w:val="20"/>
          <w:szCs w:val="20"/>
          <w:color w:val="auto"/>
        </w:rPr>
      </w:pPr>
    </w:p>
    <w:p>
      <w:pPr>
        <w:ind w:right="20" w:firstLine="562"/>
        <w:spacing w:after="0" w:line="270"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permissible under the asset coverage definition under the 1940 Act. Our ability to pay dividends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62" w:lineRule="exact"/>
        <w:rPr>
          <w:sz w:val="20"/>
          <w:szCs w:val="20"/>
          <w:color w:val="auto"/>
        </w:rPr>
      </w:pPr>
    </w:p>
    <w:p>
      <w:pPr>
        <w:ind w:left="440" w:right="20" w:hanging="432"/>
        <w:spacing w:after="0" w:line="247" w:lineRule="auto"/>
        <w:tabs>
          <w:tab w:leader="none" w:pos="44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75" w:lineRule="exact"/>
        <w:rPr>
          <w:rFonts w:ascii="Arial" w:cs="Arial" w:eastAsia="Arial" w:hAnsi="Arial"/>
          <w:sz w:val="13"/>
          <w:szCs w:val="13"/>
          <w:color w:val="auto"/>
        </w:rPr>
      </w:pPr>
    </w:p>
    <w:p>
      <w:pPr>
        <w:ind w:left="440" w:hanging="432"/>
        <w:spacing w:after="0" w:line="241" w:lineRule="auto"/>
        <w:tabs>
          <w:tab w:leader="none" w:pos="44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 are generally not 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40" w:hanging="432"/>
        <w:spacing w:after="0" w:line="241" w:lineRule="auto"/>
        <w:tabs>
          <w:tab w:leader="none" w:pos="44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 generate cash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currently use borrowed funds to make investments and are exposed to the typical risks associated with leverage.</w:t>
      </w:r>
    </w:p>
    <w:p>
      <w:pPr>
        <w:spacing w:after="0" w:line="161"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cash that we use to service our indebtedness is not available for distribution to our common stockholders.</w:t>
      </w:r>
    </w:p>
    <w:p>
      <w:pPr>
        <w:spacing w:after="0" w:line="102"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134" w:lineRule="exact"/>
        <w:rPr>
          <w:sz w:val="20"/>
          <w:szCs w:val="20"/>
          <w:color w:val="auto"/>
        </w:rPr>
      </w:pPr>
    </w:p>
    <w:p>
      <w:pPr>
        <w:ind w:right="20" w:firstLine="562"/>
        <w:spacing w:after="0" w:line="265"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0"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As of September 30, 2014, we had outstanding borrowings of $146.4 million under our Credit Facility with a current interest rate on of 2.16% exclusive of the fees on the undrawn commitment of 0.375%. Accordingly, to cover the annual interest on our borrowings outstanding at September 30, 2014, at the then current rate, we would have to receive an annual yield of at least 0.88%.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6"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2014 of 39% of total assets (including such borrowed funds), at a current interest rate at the time of 2.16%,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Assumed return on portfolio (net of expenses) </w:t>
            </w:r>
            <w:r>
              <w:rPr>
                <w:rFonts w:ascii="Arial" w:cs="Arial" w:eastAsia="Arial" w:hAnsi="Arial"/>
                <w:sz w:val="22"/>
                <w:szCs w:val="22"/>
                <w:color w:val="auto"/>
                <w:vertAlign w:val="superscript"/>
              </w:rPr>
              <w:t>(1)</w:t>
            </w:r>
          </w:p>
        </w:tc>
        <w:tc>
          <w:tcPr>
            <w:tcW w:w="30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w:t>
            </w:r>
          </w:p>
        </w:tc>
        <w:tc>
          <w:tcPr>
            <w:tcW w:w="9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(5.0)%</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7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78"/>
        </w:trPr>
        <w:tc>
          <w:tcPr>
            <w:tcW w:w="5100" w:type="dxa"/>
            <w:vAlign w:val="bottom"/>
          </w:tcPr>
          <w:p>
            <w:pPr>
              <w:spacing w:after="0"/>
              <w:rPr>
                <w:sz w:val="20"/>
                <w:szCs w:val="20"/>
                <w:color w:val="auto"/>
              </w:rPr>
            </w:pPr>
            <w:r>
              <w:rPr>
                <w:rFonts w:ascii="Arial" w:cs="Arial" w:eastAsia="Arial" w:hAnsi="Arial"/>
                <w:sz w:val="13"/>
                <w:szCs w:val="13"/>
                <w:color w:val="auto"/>
              </w:rPr>
              <w:t xml:space="preserve">Corresponding return to common stockholders </w:t>
            </w:r>
            <w:r>
              <w:rPr>
                <w:rFonts w:ascii="Arial" w:cs="Arial" w:eastAsia="Arial" w:hAnsi="Arial"/>
                <w:sz w:val="22"/>
                <w:szCs w:val="22"/>
                <w:color w:val="auto"/>
                <w:vertAlign w:val="superscript"/>
              </w:rPr>
              <w:t>(2)</w:t>
            </w:r>
          </w:p>
        </w:tc>
        <w:tc>
          <w:tcPr>
            <w:tcW w:w="3080" w:type="dxa"/>
            <w:vAlign w:val="bottom"/>
          </w:tcPr>
          <w:p>
            <w:pPr>
              <w:jc w:val="right"/>
              <w:ind w:right="173"/>
              <w:spacing w:after="0"/>
              <w:rPr>
                <w:sz w:val="20"/>
                <w:szCs w:val="20"/>
                <w:color w:val="auto"/>
              </w:rPr>
            </w:pPr>
            <w:r>
              <w:rPr>
                <w:rFonts w:ascii="Arial" w:cs="Arial" w:eastAsia="Arial" w:hAnsi="Arial"/>
                <w:sz w:val="13"/>
                <w:szCs w:val="13"/>
                <w:color w:val="auto"/>
              </w:rPr>
              <w:t>(18.9)%</w:t>
            </w:r>
          </w:p>
        </w:tc>
        <w:tc>
          <w:tcPr>
            <w:tcW w:w="900" w:type="dxa"/>
            <w:vAlign w:val="bottom"/>
          </w:tcPr>
          <w:p>
            <w:pPr>
              <w:jc w:val="right"/>
              <w:ind w:right="173"/>
              <w:spacing w:after="0"/>
              <w:rPr>
                <w:sz w:val="20"/>
                <w:szCs w:val="20"/>
                <w:color w:val="auto"/>
              </w:rPr>
            </w:pPr>
            <w:r>
              <w:rPr>
                <w:rFonts w:ascii="Arial" w:cs="Arial" w:eastAsia="Arial" w:hAnsi="Arial"/>
                <w:sz w:val="13"/>
                <w:szCs w:val="13"/>
                <w:color w:val="auto"/>
              </w:rPr>
              <w:t>(10.2)%</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(1.5)%</w:t>
            </w:r>
          </w:p>
        </w:tc>
        <w:tc>
          <w:tcPr>
            <w:tcW w:w="720" w:type="dxa"/>
            <w:vAlign w:val="bottom"/>
          </w:tcPr>
          <w:p>
            <w:pPr>
              <w:jc w:val="right"/>
              <w:ind w:right="153"/>
              <w:spacing w:after="0"/>
              <w:rPr>
                <w:sz w:val="20"/>
                <w:szCs w:val="20"/>
                <w:color w:val="auto"/>
              </w:rPr>
            </w:pPr>
            <w:r>
              <w:rPr>
                <w:rFonts w:ascii="Arial" w:cs="Arial" w:eastAsia="Arial" w:hAnsi="Arial"/>
                <w:sz w:val="13"/>
                <w:szCs w:val="13"/>
                <w:color w:val="auto"/>
              </w:rPr>
              <w:t>7.2%</w:t>
            </w:r>
          </w:p>
        </w:tc>
        <w:tc>
          <w:tcPr>
            <w:tcW w:w="620" w:type="dxa"/>
            <w:vAlign w:val="bottom"/>
          </w:tcPr>
          <w:p>
            <w:pPr>
              <w:jc w:val="right"/>
              <w:spacing w:after="0"/>
              <w:rPr>
                <w:sz w:val="20"/>
                <w:szCs w:val="20"/>
                <w:color w:val="auto"/>
              </w:rPr>
            </w:pPr>
            <w:r>
              <w:rPr>
                <w:rFonts w:ascii="Arial" w:cs="Arial" w:eastAsia="Arial" w:hAnsi="Arial"/>
                <w:sz w:val="13"/>
                <w:szCs w:val="13"/>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340" w:hanging="332"/>
        <w:spacing w:after="0" w:line="185" w:lineRule="auto"/>
        <w:tabs>
          <w:tab w:leader="none" w:pos="34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The assumed portfolio return is required by regulation of the SEC and is not a prediction of, and does not represent, our projected or actual performance.</w:t>
      </w:r>
    </w:p>
    <w:p>
      <w:pPr>
        <w:ind w:left="340" w:right="60" w:hanging="332"/>
        <w:spacing w:after="0" w:line="198"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in the future determine to fund a portion of our investments with debt securities, which would magnify the potential for loss and the risks of investing in us.</w:t>
      </w:r>
    </w:p>
    <w:p>
      <w:pPr>
        <w:spacing w:after="0" w:line="161"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credit ratings may not reflect all risks of an investment in our debt securities.</w:t>
      </w:r>
    </w:p>
    <w:p>
      <w:pPr>
        <w:spacing w:after="0" w:line="161" w:lineRule="exact"/>
        <w:rPr>
          <w:sz w:val="20"/>
          <w:szCs w:val="20"/>
          <w:color w:val="auto"/>
        </w:rPr>
      </w:pPr>
    </w:p>
    <w:p>
      <w:pPr>
        <w:jc w:val="both"/>
        <w:ind w:right="40" w:firstLine="562"/>
        <w:spacing w:after="0" w:line="256" w:lineRule="auto"/>
        <w:rPr>
          <w:sz w:val="20"/>
          <w:szCs w:val="20"/>
          <w:color w:val="auto"/>
        </w:rPr>
      </w:pPr>
      <w:r>
        <w:rPr>
          <w:rFonts w:ascii="Arial" w:cs="Arial" w:eastAsia="Arial" w:hAnsi="Arial"/>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173"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Our Credit Facility expires in May 2018.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84"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interests in Funding I are subordinated.</w:t>
      </w:r>
    </w:p>
    <w:p>
      <w:pPr>
        <w:spacing w:after="0" w:line="13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08" w:lineRule="exact"/>
        <w:rPr>
          <w:sz w:val="20"/>
          <w:szCs w:val="20"/>
          <w:color w:val="auto"/>
        </w:rPr>
      </w:pPr>
    </w:p>
    <w:p>
      <w:pPr>
        <w:jc w:val="both"/>
        <w:ind w:right="140" w:firstLine="562"/>
        <w:spacing w:after="0" w:line="256"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receive cash on our equity interests from Funding I.</w:t>
      </w:r>
    </w:p>
    <w:p>
      <w:pPr>
        <w:spacing w:after="0" w:line="134"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preferred stock, debt securities or convertible debt securities the NAV and market value of our common stock may become more volatile.</w:t>
      </w:r>
    </w:p>
    <w:p>
      <w:pPr>
        <w:spacing w:after="0" w:line="134"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80" w:firstLine="562"/>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134" w:lineRule="exact"/>
        <w:rPr>
          <w:sz w:val="20"/>
          <w:szCs w:val="20"/>
          <w:color w:val="auto"/>
        </w:rPr>
      </w:pPr>
    </w:p>
    <w:p>
      <w:pPr>
        <w:ind w:right="120" w:firstLine="562"/>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in the future issue securities for which there is no public market and for which we expect no public market to develop.</w:t>
      </w:r>
    </w:p>
    <w:p>
      <w:pPr>
        <w:spacing w:after="0" w:line="13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are significant potential conflicts of interest which could impact our investment returns.</w:t>
      </w:r>
    </w:p>
    <w:p>
      <w:pPr>
        <w:spacing w:after="0" w:line="161"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110"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w:t>
      </w:r>
    </w:p>
    <w:p>
      <w:pPr>
        <w:spacing w:after="0" w:line="1" w:lineRule="exact"/>
        <w:rPr>
          <w:sz w:val="20"/>
          <w:szCs w:val="20"/>
          <w:color w:val="auto"/>
        </w:rPr>
      </w:pPr>
    </w:p>
    <w:p>
      <w:pPr>
        <w:ind w:right="240" w:firstLine="8"/>
        <w:spacing w:after="0" w:line="255" w:lineRule="auto"/>
        <w:tabs>
          <w:tab w:leader="none" w:pos="236" w:val="left"/>
        </w:tabs>
        <w:numPr>
          <w:ilvl w:val="0"/>
          <w:numId w:val="27"/>
        </w:numPr>
        <w:rPr>
          <w:rFonts w:ascii="Arial" w:cs="Arial" w:eastAsia="Arial" w:hAnsi="Arial"/>
          <w:sz w:val="13"/>
          <w:szCs w:val="13"/>
          <w:color w:val="auto"/>
        </w:rPr>
      </w:pPr>
      <w:r>
        <w:rPr>
          <w:rFonts w:ascii="Arial" w:cs="Arial" w:eastAsia="Arial" w:hAnsi="Arial"/>
          <w:sz w:val="13"/>
          <w:szCs w:val="13"/>
          <w:color w:val="auto"/>
        </w:rPr>
        <w:t>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02"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ability to sell investments held by Funding I is limited.</w:t>
      </w:r>
    </w:p>
    <w:p>
      <w:pPr>
        <w:spacing w:after="0" w:line="161"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trading market or market value of any publicly issued debt or convertible debt securities may be volatile.</w:t>
      </w:r>
    </w:p>
    <w:p>
      <w:pPr>
        <w:spacing w:after="0" w:line="161"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These factors include the following:</w:t>
      </w:r>
    </w:p>
    <w:p>
      <w:pPr>
        <w:spacing w:after="0" w:line="148" w:lineRule="exact"/>
        <w:rPr>
          <w:sz w:val="20"/>
          <w:szCs w:val="20"/>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time remaining to the maturity of these debt securities;</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outstanding principal amount of debt securities with terms identical to these debt securities;</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supply of debt securities trading in the secondary market, if any;</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redemption, repayment or convertible features, if any, of these debt securities;</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level, direction and volatility of market interest rates; and</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market rates of interest higher or lower than rates borne by the debt securities.</w:t>
      </w:r>
    </w:p>
    <w:p>
      <w:pPr>
        <w:spacing w:after="0" w:line="134"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Terms relating to redemption may have a material adverse effect on the return on any debt securities.</w:t>
      </w:r>
    </w:p>
    <w:p>
      <w:pPr>
        <w:spacing w:after="0" w:line="161"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subscription rights or warrants for our common stock, your interest in us may be diluted as a result of such rights or warrants offering.</w:t>
      </w:r>
    </w:p>
    <w:p>
      <w:pPr>
        <w:spacing w:after="0" w:line="161"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29" w:lineRule="exact"/>
        <w:rPr>
          <w:sz w:val="20"/>
          <w:szCs w:val="20"/>
          <w:color w:val="auto"/>
        </w:rPr>
      </w:pPr>
    </w:p>
    <w:p>
      <w:pPr>
        <w:ind w:right="200" w:firstLine="562"/>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experience fluctuations in our quarterly results.</w:t>
      </w:r>
    </w:p>
    <w:p>
      <w:pPr>
        <w:spacing w:after="0" w:line="161"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This will tend to mitigate volatility in our earnings and NAV. As a result of these factors, results for any period should not be relied upon as being indicative of performance in future periods.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impact of recent financial reform legislation on us is uncertain.</w:t>
      </w:r>
    </w:p>
    <w:p>
      <w:pPr>
        <w:spacing w:after="0" w:line="161"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Changes in laws or regulations governing our operations may adversely affect our business.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Accordingly, any change in these laws or regulations could have a material adverse effect on our business. See “Business—Regulation” for more information.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objectives, operating policies and strategies without prior notice or stockholder approval.</w:t>
      </w:r>
    </w:p>
    <w:p>
      <w:pPr>
        <w:spacing w:after="0" w:line="161"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THE ILLIQUID NATURE OF OUR PORTFOLIO ASSETS</w:t>
      </w:r>
    </w:p>
    <w:p>
      <w:pPr>
        <w:spacing w:after="0" w:line="82" w:lineRule="exact"/>
        <w:rPr>
          <w:sz w:val="20"/>
          <w:szCs w:val="20"/>
          <w:color w:val="auto"/>
        </w:rPr>
      </w:pPr>
    </w:p>
    <w:p>
      <w:pPr>
        <w:ind w:firstLine="224"/>
        <w:spacing w:after="0" w:line="274" w:lineRule="auto"/>
        <w:rPr>
          <w:sz w:val="20"/>
          <w:szCs w:val="20"/>
          <w:color w:val="auto"/>
        </w:rPr>
      </w:pPr>
      <w:r>
        <w:rPr>
          <w:rFonts w:ascii="Arial" w:cs="Arial" w:eastAsia="Arial" w:hAnsi="Arial"/>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18" w:lineRule="exact"/>
        <w:rPr>
          <w:sz w:val="20"/>
          <w:szCs w:val="20"/>
          <w:color w:val="auto"/>
        </w:rPr>
      </w:pPr>
    </w:p>
    <w:p>
      <w:pPr>
        <w:ind w:right="80" w:firstLine="562"/>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95"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08"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1"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lack of liquidity in our investments may adversely affect our business.</w:t>
      </w:r>
    </w:p>
    <w:p>
      <w:pPr>
        <w:spacing w:after="0" w:line="161"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29"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3"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general disruption in the credit markets could materially damage our business.</w:t>
      </w:r>
    </w:p>
    <w:p>
      <w:pPr>
        <w:spacing w:after="0" w:line="161" w:lineRule="exact"/>
        <w:rPr>
          <w:sz w:val="20"/>
          <w:szCs w:val="20"/>
          <w:color w:val="auto"/>
        </w:rPr>
      </w:pPr>
    </w:p>
    <w:p>
      <w:pPr>
        <w:ind w:right="20" w:firstLine="562"/>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rely in part on our over-the-counter securities, which have and may continue to face liquidity constraints under recent market conditions, to provide us with adequate liquidity.</w:t>
      </w:r>
    </w:p>
    <w:p>
      <w:pPr>
        <w:spacing w:after="0" w:line="17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INVESTMENTS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prospective portfolio companies may be risky, and you could lose all or part of your investment.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intend to invest primarily in Floating Rate Loans, which may consist of senior secured loans, mezzanine debt and selected equity investments issued by U.S. middle-market companies.</w:t>
      </w:r>
    </w:p>
    <w:p>
      <w:pPr>
        <w:spacing w:after="0" w:line="159" w:lineRule="exact"/>
        <w:rPr>
          <w:sz w:val="20"/>
          <w:szCs w:val="20"/>
          <w:color w:val="auto"/>
        </w:rPr>
      </w:pPr>
    </w:p>
    <w:p>
      <w:pPr>
        <w:ind w:left="1460" w:right="60" w:hanging="453"/>
        <w:spacing w:after="0" w:line="270" w:lineRule="auto"/>
        <w:tabs>
          <w:tab w:leader="none" w:pos="146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Floating Rate Loans: </w:t>
      </w:r>
      <w:r>
        <w:rPr>
          <w:rFonts w:ascii="Arial" w:cs="Arial" w:eastAsia="Arial" w:hAnsi="Arial"/>
          <w:sz w:val="12"/>
          <w:szCs w:val="12"/>
          <w:color w:val="auto"/>
        </w:rPr>
        <w:t>The Floating Rate Loans we invest in are usually rated below investment grade or may also be unrated. Investments in Floating Rate Loans rated below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94" w:lineRule="exact"/>
        <w:rPr>
          <w:rFonts w:ascii="Arial" w:cs="Arial" w:eastAsia="Arial" w:hAnsi="Arial"/>
          <w:sz w:val="12"/>
          <w:szCs w:val="12"/>
          <w:color w:val="auto"/>
        </w:rPr>
      </w:pPr>
    </w:p>
    <w:p>
      <w:pPr>
        <w:ind w:left="1460"/>
        <w:spacing w:after="0" w:line="243" w:lineRule="auto"/>
        <w:rPr>
          <w:rFonts w:ascii="Arial" w:cs="Arial" w:eastAsia="Arial" w:hAnsi="Arial"/>
          <w:sz w:val="12"/>
          <w:szCs w:val="12"/>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12" w:lineRule="exact"/>
        <w:rPr>
          <w:rFonts w:ascii="Arial" w:cs="Arial" w:eastAsia="Arial" w:hAnsi="Arial"/>
          <w:sz w:val="12"/>
          <w:szCs w:val="12"/>
          <w:color w:val="auto"/>
        </w:rPr>
      </w:pPr>
    </w:p>
    <w:p>
      <w:pPr>
        <w:ind w:left="1460" w:right="40"/>
        <w:spacing w:after="0" w:line="264" w:lineRule="auto"/>
        <w:rPr>
          <w:rFonts w:ascii="Arial" w:cs="Arial" w:eastAsia="Arial" w:hAnsi="Arial"/>
          <w:sz w:val="12"/>
          <w:szCs w:val="12"/>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5" w:lineRule="exact"/>
        <w:rPr>
          <w:rFonts w:ascii="Arial" w:cs="Arial" w:eastAsia="Arial" w:hAnsi="Arial"/>
          <w:sz w:val="12"/>
          <w:szCs w:val="12"/>
          <w:color w:val="auto"/>
        </w:rPr>
      </w:pPr>
    </w:p>
    <w:p>
      <w:pPr>
        <w:ind w:left="1460" w:right="20" w:hanging="453"/>
        <w:spacing w:after="0" w:line="243" w:lineRule="auto"/>
        <w:tabs>
          <w:tab w:leader="none" w:pos="1460" w:val="left"/>
        </w:tabs>
        <w:numPr>
          <w:ilvl w:val="0"/>
          <w:numId w:val="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Secured Loans: </w:t>
      </w:r>
      <w:r>
        <w:rPr>
          <w:rFonts w:ascii="Arial" w:cs="Arial" w:eastAsia="Arial" w:hAnsi="Arial"/>
          <w:sz w:val="13"/>
          <w:szCs w:val="13"/>
          <w:color w:val="auto"/>
        </w:rPr>
        <w:t>When we extend senior secured loans, which we define to include first lien debt, we will generally take a security interest in the available assets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25" w:lineRule="exact"/>
        <w:rPr>
          <w:rFonts w:ascii="Arial" w:cs="Arial" w:eastAsia="Arial" w:hAnsi="Arial"/>
          <w:sz w:val="13"/>
          <w:szCs w:val="13"/>
          <w:color w:val="auto"/>
        </w:rPr>
      </w:pPr>
    </w:p>
    <w:p>
      <w:pPr>
        <w:ind w:left="1460" w:right="20" w:hanging="453"/>
        <w:spacing w:after="0" w:line="245" w:lineRule="auto"/>
        <w:tabs>
          <w:tab w:leader="none" w:pos="1460" w:val="left"/>
        </w:tabs>
        <w:numPr>
          <w:ilvl w:val="0"/>
          <w:numId w:val="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Mezzanine Debt: </w:t>
      </w:r>
      <w:r>
        <w:rPr>
          <w:rFonts w:ascii="Arial" w:cs="Arial" w:eastAsia="Arial" w:hAnsi="Arial"/>
          <w:sz w:val="13"/>
          <w:szCs w:val="13"/>
          <w:color w:val="auto"/>
        </w:rPr>
        <w:t>Our mezzanine debt investments, which we define to include second lien secured and subordinated debt, will generally be subordinated to senior secured loans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23" w:lineRule="exact"/>
        <w:rPr>
          <w:rFonts w:ascii="Arial" w:cs="Arial" w:eastAsia="Arial" w:hAnsi="Arial"/>
          <w:sz w:val="13"/>
          <w:szCs w:val="13"/>
          <w:color w:val="auto"/>
        </w:rPr>
      </w:pPr>
    </w:p>
    <w:p>
      <w:pPr>
        <w:ind w:left="1460" w:hanging="453"/>
        <w:spacing w:after="0" w:line="273" w:lineRule="auto"/>
        <w:tabs>
          <w:tab w:leader="none" w:pos="146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Equity Investments: </w:t>
      </w:r>
      <w:r>
        <w:rPr>
          <w:rFonts w:ascii="Arial" w:cs="Arial" w:eastAsia="Arial" w:hAnsi="Arial"/>
          <w:sz w:val="12"/>
          <w:szCs w:val="12"/>
          <w:color w:val="auto"/>
        </w:rPr>
        <w:t>We have made and expect to continue to make select equity investments, all of which are subordinated to debt investments. In addition, when we invest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investing in middle-market companies involves a number of significant risks, including:</w:t>
      </w:r>
    </w:p>
    <w:p>
      <w:pPr>
        <w:spacing w:after="0" w:line="148" w:lineRule="exact"/>
        <w:rPr>
          <w:sz w:val="20"/>
          <w:szCs w:val="20"/>
          <w:color w:val="auto"/>
        </w:rPr>
      </w:pPr>
    </w:p>
    <w:p>
      <w:pPr>
        <w:ind w:left="1000" w:right="120" w:hanging="439"/>
        <w:spacing w:after="0" w:line="317"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0" w:lineRule="exact"/>
        <w:rPr>
          <w:rFonts w:ascii="Arial" w:cs="Arial" w:eastAsia="Arial" w:hAnsi="Arial"/>
          <w:sz w:val="12"/>
          <w:szCs w:val="12"/>
          <w:color w:val="auto"/>
        </w:rPr>
      </w:pPr>
    </w:p>
    <w:p>
      <w:pPr>
        <w:ind w:left="1000" w:right="180" w:hanging="439"/>
        <w:spacing w:after="0" w:line="27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04" w:lineRule="exact"/>
        <w:rPr>
          <w:rFonts w:ascii="Arial" w:cs="Arial" w:eastAsia="Arial" w:hAnsi="Arial"/>
          <w:sz w:val="13"/>
          <w:szCs w:val="13"/>
          <w:color w:val="auto"/>
        </w:rPr>
      </w:pPr>
    </w:p>
    <w:p>
      <w:pPr>
        <w:ind w:left="1000" w:right="100" w:hanging="439"/>
        <w:spacing w:after="0" w:line="27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4" w:lineRule="exact"/>
        <w:rPr>
          <w:rFonts w:ascii="Arial" w:cs="Arial" w:eastAsia="Arial" w:hAnsi="Arial"/>
          <w:sz w:val="13"/>
          <w:szCs w:val="13"/>
          <w:color w:val="auto"/>
        </w:rPr>
      </w:pPr>
    </w:p>
    <w:p>
      <w:pPr>
        <w:ind w:left="1000" w:right="100" w:hanging="439"/>
        <w:spacing w:after="0" w:line="288"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7" w:lineRule="exact"/>
        <w:rPr>
          <w:rFonts w:ascii="Arial" w:cs="Arial" w:eastAsia="Arial" w:hAnsi="Arial"/>
          <w:sz w:val="12"/>
          <w:szCs w:val="12"/>
          <w:color w:val="auto"/>
        </w:rPr>
      </w:pPr>
    </w:p>
    <w:p>
      <w:pPr>
        <w:ind w:left="1000" w:hanging="439"/>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188" w:lineRule="exact"/>
        <w:rPr>
          <w:sz w:val="20"/>
          <w:szCs w:val="20"/>
          <w:color w:val="auto"/>
        </w:rPr>
      </w:pPr>
    </w:p>
    <w:p>
      <w:pPr>
        <w:ind w:right="400" w:firstLine="224"/>
        <w:spacing w:after="0" w:line="274" w:lineRule="auto"/>
        <w:rPr>
          <w:sz w:val="20"/>
          <w:szCs w:val="20"/>
          <w:color w:val="auto"/>
        </w:rPr>
      </w:pPr>
      <w:r>
        <w:rPr>
          <w:rFonts w:ascii="Arial" w:cs="Arial" w:eastAsia="Arial" w:hAnsi="Arial"/>
          <w:sz w:val="13"/>
          <w:szCs w:val="13"/>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37"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6"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64" w:lineRule="exact"/>
        <w:rPr>
          <w:sz w:val="20"/>
          <w:szCs w:val="20"/>
          <w:color w:val="auto"/>
        </w:rPr>
      </w:pPr>
    </w:p>
    <w:p>
      <w:pPr>
        <w:ind w:right="360" w:firstLine="224"/>
        <w:spacing w:after="0" w:line="274" w:lineRule="auto"/>
        <w:rPr>
          <w:sz w:val="20"/>
          <w:szCs w:val="20"/>
          <w:color w:val="auto"/>
        </w:rPr>
      </w:pPr>
      <w:r>
        <w:rPr>
          <w:rFonts w:ascii="Arial" w:cs="Arial" w:eastAsia="Arial" w:hAnsi="Arial"/>
          <w:sz w:val="13"/>
          <w:szCs w:val="13"/>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18"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Economic recessions or downturns could impair our portfolio companies and harm our operating results.</w:t>
      </w:r>
    </w:p>
    <w:p>
      <w:pPr>
        <w:spacing w:after="0" w:line="161"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8"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fail to make follow-on investments in our portfolio companies, this could materially impair the value of our portfolio.</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w:t>
      </w:r>
    </w:p>
    <w:p>
      <w:pPr>
        <w:spacing w:after="0" w:line="148" w:lineRule="exact"/>
        <w:rPr>
          <w:sz w:val="20"/>
          <w:szCs w:val="20"/>
          <w:color w:val="auto"/>
        </w:rPr>
      </w:pPr>
    </w:p>
    <w:p>
      <w:pPr>
        <w:ind w:left="1000" w:hanging="43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 or maintain in whole or in part our equity ownership percentage;</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exercise warrants, options or convertible securities that were acquired in the original or subsequent financing; or</w:t>
      </w:r>
    </w:p>
    <w:p>
      <w:pPr>
        <w:spacing w:after="0" w:line="147" w:lineRule="exact"/>
        <w:rPr>
          <w:rFonts w:ascii="Arial" w:cs="Arial" w:eastAsia="Arial" w:hAnsi="Arial"/>
          <w:sz w:val="13"/>
          <w:szCs w:val="13"/>
          <w:color w:val="auto"/>
        </w:rPr>
      </w:pPr>
    </w:p>
    <w:p>
      <w:pPr>
        <w:ind w:left="1000" w:hanging="43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attempt to preserve or enhance the value of our investment.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135" w:lineRule="exact"/>
        <w:rPr>
          <w:sz w:val="20"/>
          <w:szCs w:val="20"/>
          <w:color w:val="auto"/>
        </w:rPr>
      </w:pPr>
    </w:p>
    <w:p>
      <w:pPr>
        <w:ind w:right="600" w:firstLine="224"/>
        <w:spacing w:after="0" w:line="274" w:lineRule="auto"/>
        <w:rPr>
          <w:sz w:val="20"/>
          <w:szCs w:val="20"/>
          <w:color w:val="auto"/>
        </w:rPr>
      </w:pPr>
      <w:r>
        <w:rPr>
          <w:rFonts w:ascii="Arial" w:cs="Arial" w:eastAsia="Arial" w:hAnsi="Arial"/>
          <w:sz w:val="13"/>
          <w:szCs w:val="13"/>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18" w:lineRule="exact"/>
        <w:rPr>
          <w:sz w:val="20"/>
          <w:szCs w:val="20"/>
          <w:color w:val="auto"/>
        </w:rPr>
      </w:pPr>
    </w:p>
    <w:p>
      <w:pPr>
        <w:jc w:val="both"/>
        <w:ind w:right="100" w:firstLine="562"/>
        <w:spacing w:after="0" w:line="250" w:lineRule="auto"/>
        <w:rPr>
          <w:sz w:val="20"/>
          <w:szCs w:val="20"/>
          <w:color w:val="auto"/>
        </w:rPr>
      </w:pPr>
      <w:r>
        <w:rPr>
          <w:rFonts w:ascii="Arial" w:cs="Arial" w:eastAsia="Arial" w:hAnsi="Arial"/>
          <w:sz w:val="13"/>
          <w:szCs w:val="13"/>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3" w:lineRule="exact"/>
        <w:rPr>
          <w:sz w:val="20"/>
          <w:szCs w:val="20"/>
          <w:color w:val="auto"/>
        </w:rPr>
      </w:pPr>
    </w:p>
    <w:p>
      <w:pPr>
        <w:ind w:right="140" w:firstLine="224"/>
        <w:spacing w:after="0" w:line="317"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94" w:lineRule="exact"/>
        <w:rPr>
          <w:sz w:val="20"/>
          <w:szCs w:val="20"/>
          <w:color w:val="auto"/>
        </w:rPr>
      </w:pPr>
    </w:p>
    <w:p>
      <w:pPr>
        <w:ind w:right="120" w:firstLine="562"/>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portfolio companies may incur debt that ranks equally with, or senior to, our investments in such companies.</w:t>
      </w:r>
    </w:p>
    <w:p>
      <w:pPr>
        <w:spacing w:after="0" w:line="161" w:lineRule="exact"/>
        <w:rPr>
          <w:sz w:val="20"/>
          <w:szCs w:val="20"/>
          <w:color w:val="auto"/>
        </w:rPr>
      </w:pPr>
    </w:p>
    <w:p>
      <w:pPr>
        <w:ind w:right="80" w:firstLine="562"/>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incentive fee may induce the Investment Adviser to make speculative investments.</w:t>
      </w:r>
    </w:p>
    <w:p>
      <w:pPr>
        <w:spacing w:after="0" w:line="161"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38" w:lineRule="exact"/>
        <w:rPr>
          <w:sz w:val="20"/>
          <w:szCs w:val="20"/>
          <w:color w:val="auto"/>
        </w:rPr>
      </w:pPr>
    </w:p>
    <w:p>
      <w:pPr>
        <w:ind w:right="200" w:firstLine="562"/>
        <w:spacing w:after="0" w:line="256" w:lineRule="auto"/>
        <w:rPr>
          <w:sz w:val="20"/>
          <w:szCs w:val="20"/>
          <w:color w:val="auto"/>
        </w:rPr>
      </w:pPr>
      <w:r>
        <w:rPr>
          <w:rFonts w:ascii="Arial" w:cs="Arial" w:eastAsia="Arial" w:hAnsi="Arial"/>
          <w:sz w:val="13"/>
          <w:szCs w:val="13"/>
          <w:color w:val="auto"/>
        </w:rPr>
        <w:t>The part of our incentive fee payable by us to PennantPark Investment Advisers that relates to our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foreign securities may involve significant risks in addition to the risks inherent in U.S. investments.</w:t>
      </w:r>
    </w:p>
    <w:p>
      <w:pPr>
        <w:spacing w:after="0" w:line="161"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35"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146"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effect of global climate change may impact the operations of our portfolio companies.</w:t>
      </w:r>
    </w:p>
    <w:p>
      <w:pPr>
        <w:spacing w:after="0" w:line="134"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obligated to pay our Investment Adviser incentive compensation even if we incur a loss.</w:t>
      </w:r>
    </w:p>
    <w:p>
      <w:pPr>
        <w:spacing w:after="0" w:line="134" w:lineRule="exact"/>
        <w:rPr>
          <w:sz w:val="20"/>
          <w:szCs w:val="20"/>
          <w:color w:val="auto"/>
        </w:rPr>
      </w:pPr>
    </w:p>
    <w:p>
      <w:pPr>
        <w:ind w:right="220" w:firstLine="56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expose ourselves to risks if we engage in hedging transactions.</w:t>
      </w:r>
    </w:p>
    <w:p>
      <w:pPr>
        <w:spacing w:after="0" w:line="134"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95"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investments in distressed debt may not produce income and may require us to bear large expenses in order to protect and recover our investment.</w:t>
      </w:r>
    </w:p>
    <w:p>
      <w:pPr>
        <w:spacing w:after="0" w:line="134"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AN INVESTMENT IN OUR COMMON STOCK</w:t>
      </w:r>
    </w:p>
    <w:p>
      <w:pPr>
        <w:spacing w:after="0" w:line="163" w:lineRule="exact"/>
        <w:rPr>
          <w:sz w:val="20"/>
          <w:szCs w:val="20"/>
          <w:color w:val="auto"/>
        </w:rPr>
      </w:pPr>
    </w:p>
    <w:p>
      <w:pPr>
        <w:ind w:right="220" w:firstLine="224"/>
        <w:spacing w:after="0" w:line="256" w:lineRule="auto"/>
        <w:rPr>
          <w:sz w:val="20"/>
          <w:szCs w:val="20"/>
          <w:color w:val="auto"/>
        </w:rPr>
      </w:pPr>
      <w:r>
        <w:rPr>
          <w:rFonts w:ascii="Arial" w:cs="Arial" w:eastAsia="Arial" w:hAnsi="Arial"/>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29"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29"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3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weekends and holidays) of the sale.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stockholders may not receive distributions or that our distributions may not grow over time.</w:t>
      </w:r>
    </w:p>
    <w:p>
      <w:pPr>
        <w:spacing w:after="0" w:line="161"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Investing in our shares may involve an above average degree of risk.</w:t>
      </w:r>
    </w:p>
    <w:p>
      <w:pPr>
        <w:spacing w:after="0" w:line="161"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allocate the net proceeds from any offering of our securities in ways with which you may not agree.</w:t>
      </w:r>
    </w:p>
    <w:p>
      <w:pPr>
        <w:spacing w:after="0" w:line="161"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shares may trade at discounts from NAV or at premiums that are unsustainable over the long term.</w:t>
      </w:r>
    </w:p>
    <w:p>
      <w:pPr>
        <w:spacing w:after="0" w:line="161"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NAV that is attributable to those shares. Our shares have traded above and below our NAV. Our shares closed on the NASDAQ Global Select Market at $13.78 on both September 30, 2014 and 2013. Our NAV per share was $14.40 and $14.10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market price of our common stock may fluctuate significantly.</w:t>
      </w:r>
    </w:p>
    <w:p>
      <w:pPr>
        <w:spacing w:after="0" w:line="161"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4" w:lineRule="exact"/>
        <w:rPr>
          <w:sz w:val="20"/>
          <w:szCs w:val="20"/>
          <w:color w:val="auto"/>
        </w:rPr>
      </w:pPr>
    </w:p>
    <w:p>
      <w:pPr>
        <w:ind w:left="880" w:right="260" w:hanging="427"/>
        <w:spacing w:after="0" w:line="274" w:lineRule="auto"/>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104"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regulatory policies or tax guidelines, particularly with respect to RICs or BDCs;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loss of our BDC or RIC status;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earnings or variations in operating results;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prevailing interest rates;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the value of our portfolio of investments;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shortfall in revenue or net income or any increase in losses from levels expected by investors or securities analysts;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operating performance of companies comparable to us;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general national and international economic trends and other external factors;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general price and volume fluctuations in the stock markets, including as a result of short sales;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conversion features of subscription rights, warrants or convertible debt; and</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loss of a major funding source.</w:t>
      </w:r>
    </w:p>
    <w:p>
      <w:pPr>
        <w:spacing w:after="0" w:line="134" w:lineRule="exact"/>
        <w:rPr>
          <w:sz w:val="20"/>
          <w:szCs w:val="20"/>
          <w:color w:val="auto"/>
        </w:rPr>
      </w:pPr>
    </w:p>
    <w:p>
      <w:pPr>
        <w:ind w:right="160" w:firstLine="562"/>
        <w:spacing w:after="0" w:line="274" w:lineRule="auto"/>
        <w:rPr>
          <w:sz w:val="20"/>
          <w:szCs w:val="20"/>
          <w:color w:val="auto"/>
        </w:rPr>
      </w:pPr>
      <w:r>
        <w:rPr>
          <w:rFonts w:ascii="Arial" w:cs="Arial" w:eastAsia="Arial" w:hAnsi="Arial"/>
          <w:sz w:val="13"/>
          <w:szCs w:val="13"/>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unable to invest the net proceeds raised from offerings on acceptable terms, which would harm our financial condition and operating results.</w:t>
      </w:r>
    </w:p>
    <w:p>
      <w:pPr>
        <w:spacing w:after="0" w:line="161" w:lineRule="exact"/>
        <w:rPr>
          <w:sz w:val="20"/>
          <w:szCs w:val="20"/>
          <w:color w:val="auto"/>
        </w:rPr>
      </w:pPr>
    </w:p>
    <w:p>
      <w:pPr>
        <w:ind w:right="360" w:firstLine="562"/>
        <w:spacing w:after="0" w:line="25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Sales of substantial amounts of our securities may have an adverse effect on the market price of our securities.</w:t>
      </w:r>
    </w:p>
    <w:p>
      <w:pPr>
        <w:spacing w:after="0" w:line="161"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You may have current tax liabilities on distributions you reinvest in our common stock.</w:t>
      </w:r>
    </w:p>
    <w:p>
      <w:pPr>
        <w:spacing w:after="0" w:line="161"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61"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incur significant costs as a result of being a publicly traded company.</w:t>
      </w:r>
    </w:p>
    <w:p>
      <w:pPr>
        <w:spacing w:after="0" w:line="161" w:lineRule="exact"/>
        <w:rPr>
          <w:sz w:val="20"/>
          <w:szCs w:val="20"/>
          <w:color w:val="auto"/>
        </w:rPr>
      </w:pPr>
    </w:p>
    <w:p>
      <w:pPr>
        <w:ind w:right="200" w:firstLine="562"/>
        <w:spacing w:after="0" w:line="256" w:lineRule="auto"/>
        <w:rPr>
          <w:sz w:val="20"/>
          <w:szCs w:val="20"/>
          <w:color w:val="auto"/>
        </w:rPr>
      </w:pPr>
      <w:r>
        <w:rPr>
          <w:rFonts w:ascii="Arial" w:cs="Arial" w:eastAsia="Arial" w:hAnsi="Arial"/>
          <w:sz w:val="13"/>
          <w:szCs w:val="13"/>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61"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35"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35" w:lineRule="exact"/>
        <w:rPr>
          <w:sz w:val="20"/>
          <w:szCs w:val="20"/>
          <w:color w:val="auto"/>
        </w:rPr>
      </w:pPr>
    </w:p>
    <w:p>
      <w:pPr>
        <w:jc w:val="center"/>
        <w:ind w:left="780" w:right="100"/>
        <w:spacing w:after="0" w:line="513" w:lineRule="auto"/>
        <w:rPr>
          <w:sz w:val="20"/>
          <w:szCs w:val="20"/>
          <w:color w:val="auto"/>
        </w:rPr>
      </w:pPr>
      <w:r>
        <w:rPr>
          <w:rFonts w:ascii="Arial" w:cs="Arial" w:eastAsia="Arial" w:hAnsi="Arial"/>
          <w:sz w:val="13"/>
          <w:szCs w:val="13"/>
          <w:color w:val="auto"/>
        </w:rPr>
        <w:t>These anti-takeover provisions may inhibit a change of control in circumstances that could give our stockholders the opportunity to realize a premium over the market price for our common stock. 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63"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As of September 30, 2014,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56"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63"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2"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000"/>
          </w:cols>
          <w:pgMar w:left="32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 RANGE OF COMMON STOCK</w:t>
      </w:r>
    </w:p>
    <w:p>
      <w:pPr>
        <w:spacing w:after="0" w:line="136"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13"/>
              <w:spacing w:after="0"/>
              <w:rPr>
                <w:sz w:val="20"/>
                <w:szCs w:val="20"/>
                <w:color w:val="auto"/>
              </w:rPr>
            </w:pPr>
            <w:r>
              <w:rPr>
                <w:rFonts w:ascii="Arial" w:cs="Arial" w:eastAsia="Arial" w:hAnsi="Arial"/>
                <w:sz w:val="13"/>
                <w:szCs w:val="13"/>
                <w:b w:val="1"/>
                <w:bCs w:val="1"/>
                <w:color w:val="auto"/>
                <w:w w:val="97"/>
              </w:rPr>
              <w:t>Closing Sale Prices</w:t>
            </w:r>
          </w:p>
        </w:tc>
        <w:tc>
          <w:tcPr>
            <w:tcW w:w="6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8"/>
              </w:rPr>
              <w:t>Premium /</w:t>
            </w:r>
          </w:p>
        </w:tc>
        <w:tc>
          <w:tcPr>
            <w:tcW w:w="15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Premium /</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NAV</w:t>
            </w:r>
            <w:r>
              <w:rPr>
                <w:rFonts w:ascii="Arial" w:cs="Arial" w:eastAsia="Arial" w:hAnsi="Arial"/>
                <w:sz w:val="22"/>
                <w:szCs w:val="22"/>
                <w:b w:val="1"/>
                <w:bCs w:val="1"/>
                <w:color w:val="auto"/>
                <w:vertAlign w:val="superscript"/>
              </w:rPr>
              <w:t>(1)</w:t>
            </w: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60" w:type="dxa"/>
            <w:vAlign w:val="bottom"/>
            <w:gridSpan w:val="2"/>
            <w:vMerge w:val="restart"/>
          </w:tcPr>
          <w:p>
            <w:pPr>
              <w:jc w:val="center"/>
              <w:ind w:right="480"/>
              <w:spacing w:after="0" w:line="122" w:lineRule="exact"/>
              <w:rPr>
                <w:sz w:val="20"/>
                <w:szCs w:val="20"/>
                <w:color w:val="auto"/>
              </w:rPr>
            </w:pPr>
            <w:r>
              <w:rPr>
                <w:rFonts w:ascii="Arial" w:cs="Arial" w:eastAsia="Arial" w:hAnsi="Arial"/>
                <w:sz w:val="13"/>
                <w:szCs w:val="13"/>
                <w:b w:val="1"/>
                <w:bCs w:val="1"/>
                <w:color w:val="auto"/>
                <w:w w:val="94"/>
              </w:rPr>
              <w:t>(Discount) of High</w:t>
            </w:r>
          </w:p>
        </w:tc>
        <w:tc>
          <w:tcPr>
            <w:tcW w:w="1500" w:type="dxa"/>
            <w:vAlign w:val="bottom"/>
            <w:gridSpan w:val="2"/>
            <w:vMerge w:val="restart"/>
          </w:tcPr>
          <w:p>
            <w:pPr>
              <w:jc w:val="center"/>
              <w:ind w:right="340"/>
              <w:spacing w:after="0" w:line="122" w:lineRule="exact"/>
              <w:rPr>
                <w:sz w:val="20"/>
                <w:szCs w:val="20"/>
                <w:color w:val="auto"/>
              </w:rPr>
            </w:pPr>
            <w:r>
              <w:rPr>
                <w:rFonts w:ascii="Arial" w:cs="Arial" w:eastAsia="Arial" w:hAnsi="Arial"/>
                <w:sz w:val="13"/>
                <w:szCs w:val="13"/>
                <w:b w:val="1"/>
                <w:bCs w:val="1"/>
                <w:color w:val="auto"/>
                <w:w w:val="94"/>
              </w:rPr>
              <w:t>(Discount) of Low</w:t>
            </w:r>
          </w:p>
        </w:tc>
        <w:tc>
          <w:tcPr>
            <w:tcW w:w="1220" w:type="dxa"/>
            <w:vAlign w:val="bottom"/>
            <w:gridSpan w:val="2"/>
            <w:vMerge w:val="restart"/>
          </w:tcPr>
          <w:p>
            <w:pPr>
              <w:jc w:val="right"/>
              <w:ind w:right="460"/>
              <w:spacing w:after="0" w:line="122" w:lineRule="exact"/>
              <w:rPr>
                <w:sz w:val="20"/>
                <w:szCs w:val="20"/>
                <w:color w:val="auto"/>
              </w:rPr>
            </w:pPr>
            <w:r>
              <w:rPr>
                <w:rFonts w:ascii="Arial" w:cs="Arial" w:eastAsia="Arial" w:hAnsi="Arial"/>
                <w:sz w:val="13"/>
                <w:szCs w:val="13"/>
                <w:b w:val="1"/>
                <w:bCs w:val="1"/>
                <w:color w:val="auto"/>
                <w:w w:val="92"/>
              </w:rPr>
              <w:t>Distributions</w:t>
            </w:r>
          </w:p>
        </w:tc>
        <w:tc>
          <w:tcPr>
            <w:tcW w:w="0" w:type="dxa"/>
            <w:vAlign w:val="bottom"/>
          </w:tcPr>
          <w:p>
            <w:pPr>
              <w:spacing w:after="0"/>
              <w:rPr>
                <w:sz w:val="1"/>
                <w:szCs w:val="1"/>
                <w:color w:val="auto"/>
              </w:rPr>
            </w:pPr>
          </w:p>
        </w:tc>
      </w:tr>
      <w:tr>
        <w:trPr>
          <w:trHeight w:val="75"/>
        </w:trPr>
        <w:tc>
          <w:tcPr>
            <w:tcW w:w="3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2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High</w:t>
            </w:r>
          </w:p>
        </w:tc>
        <w:tc>
          <w:tcPr>
            <w:tcW w:w="480" w:type="dxa"/>
            <w:vAlign w:val="bottom"/>
          </w:tcPr>
          <w:p>
            <w:pPr>
              <w:jc w:val="right"/>
              <w:ind w:right="53"/>
              <w:spacing w:after="0"/>
              <w:rPr>
                <w:sz w:val="20"/>
                <w:szCs w:val="20"/>
                <w:color w:val="auto"/>
              </w:rPr>
            </w:pPr>
            <w:r>
              <w:rPr>
                <w:rFonts w:ascii="Arial" w:cs="Arial" w:eastAsia="Arial" w:hAnsi="Arial"/>
                <w:sz w:val="13"/>
                <w:szCs w:val="13"/>
                <w:b w:val="1"/>
                <w:bCs w:val="1"/>
                <w:color w:val="auto"/>
              </w:rPr>
              <w:t>Low</w:t>
            </w:r>
          </w:p>
        </w:tc>
        <w:tc>
          <w:tcPr>
            <w:tcW w:w="680" w:type="dxa"/>
            <w:vAlign w:val="bottom"/>
          </w:tcPr>
          <w:p>
            <w:pPr>
              <w:spacing w:after="0"/>
              <w:rPr>
                <w:sz w:val="15"/>
                <w:szCs w:val="15"/>
                <w:color w:val="auto"/>
              </w:rPr>
            </w:pPr>
          </w:p>
        </w:tc>
        <w:tc>
          <w:tcPr>
            <w:tcW w:w="1660" w:type="dxa"/>
            <w:vAlign w:val="bottom"/>
            <w:gridSpan w:val="2"/>
          </w:tcPr>
          <w:p>
            <w:pPr>
              <w:jc w:val="center"/>
              <w:ind w:right="500"/>
              <w:spacing w:after="0" w:line="176" w:lineRule="exact"/>
              <w:rPr>
                <w:sz w:val="20"/>
                <w:szCs w:val="20"/>
                <w:color w:val="auto"/>
              </w:rPr>
            </w:pPr>
            <w:r>
              <w:rPr>
                <w:rFonts w:ascii="Arial" w:cs="Arial" w:eastAsia="Arial" w:hAnsi="Arial"/>
                <w:sz w:val="12"/>
                <w:szCs w:val="12"/>
                <w:b w:val="1"/>
                <w:bCs w:val="1"/>
                <w:color w:val="auto"/>
                <w:w w:val="99"/>
              </w:rPr>
              <w:t>Sale Price to NAV</w:t>
            </w:r>
            <w:r>
              <w:rPr>
                <w:rFonts w:ascii="Arial" w:cs="Arial" w:eastAsia="Arial" w:hAnsi="Arial"/>
                <w:sz w:val="20"/>
                <w:szCs w:val="20"/>
                <w:b w:val="1"/>
                <w:bCs w:val="1"/>
                <w:color w:val="auto"/>
                <w:w w:val="99"/>
                <w:vertAlign w:val="superscript"/>
              </w:rPr>
              <w:t>(2)</w:t>
            </w:r>
          </w:p>
        </w:tc>
        <w:tc>
          <w:tcPr>
            <w:tcW w:w="1500" w:type="dxa"/>
            <w:vAlign w:val="bottom"/>
            <w:gridSpan w:val="2"/>
          </w:tcPr>
          <w:p>
            <w:pPr>
              <w:jc w:val="center"/>
              <w:ind w:right="340"/>
              <w:spacing w:after="0" w:line="176" w:lineRule="exact"/>
              <w:rPr>
                <w:sz w:val="20"/>
                <w:szCs w:val="20"/>
                <w:color w:val="auto"/>
              </w:rPr>
            </w:pPr>
            <w:r>
              <w:rPr>
                <w:rFonts w:ascii="Arial" w:cs="Arial" w:eastAsia="Arial" w:hAnsi="Arial"/>
                <w:sz w:val="12"/>
                <w:szCs w:val="12"/>
                <w:b w:val="1"/>
                <w:bCs w:val="1"/>
                <w:color w:val="auto"/>
                <w:w w:val="99"/>
              </w:rPr>
              <w:t>Sale Price to NAV</w:t>
            </w:r>
            <w:r>
              <w:rPr>
                <w:rFonts w:ascii="Arial" w:cs="Arial" w:eastAsia="Arial" w:hAnsi="Arial"/>
                <w:sz w:val="20"/>
                <w:szCs w:val="20"/>
                <w:b w:val="1"/>
                <w:bCs w:val="1"/>
                <w:color w:val="auto"/>
                <w:w w:val="99"/>
                <w:vertAlign w:val="superscript"/>
              </w:rPr>
              <w:t>(2)</w:t>
            </w:r>
          </w:p>
        </w:tc>
        <w:tc>
          <w:tcPr>
            <w:tcW w:w="12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Fiscal Year Ended September 30, 2014</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color w:val="auto"/>
              </w:rPr>
              <w:t>Fourth quarter</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$ 14.40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  14.39</w:t>
            </w: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  13.75</w:t>
            </w:r>
          </w:p>
        </w:tc>
        <w:tc>
          <w:tcPr>
            <w:tcW w:w="680" w:type="dxa"/>
            <w:vAlign w:val="bottom"/>
          </w:tcPr>
          <w:p>
            <w:pPr>
              <w:spacing w:after="0"/>
              <w:rPr>
                <w:sz w:val="12"/>
                <w:szCs w:val="12"/>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(5)%</w:t>
            </w:r>
          </w:p>
        </w:tc>
        <w:tc>
          <w:tcPr>
            <w:tcW w:w="1220" w:type="dxa"/>
            <w:vAlign w:val="bottom"/>
            <w:gridSpan w:val="2"/>
          </w:tcPr>
          <w:p>
            <w:pPr>
              <w:jc w:val="right"/>
              <w:ind w:right="460"/>
              <w:spacing w:after="0"/>
              <w:rPr>
                <w:sz w:val="20"/>
                <w:szCs w:val="20"/>
                <w:color w:val="auto"/>
              </w:rPr>
            </w:pPr>
            <w:r>
              <w:rPr>
                <w:rFonts w:ascii="Arial" w:cs="Arial" w:eastAsia="Arial" w:hAnsi="Arial"/>
                <w:sz w:val="13"/>
                <w:szCs w:val="13"/>
                <w:color w:val="auto"/>
              </w:rPr>
              <w:t>$  0.2700</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w:t>
            </w:r>
          </w:p>
        </w:tc>
        <w:tc>
          <w:tcPr>
            <w:tcW w:w="2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0.2700</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color w:val="auto"/>
              </w:rPr>
              <w:t>Second quarter</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14.46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14.27</w:t>
            </w: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13.51</w:t>
            </w:r>
          </w:p>
        </w:tc>
        <w:tc>
          <w:tcPr>
            <w:tcW w:w="2340" w:type="dxa"/>
            <w:vAlign w:val="bottom"/>
            <w:gridSpan w:val="3"/>
          </w:tcPr>
          <w:p>
            <w:pPr>
              <w:jc w:val="right"/>
              <w:ind w:right="440"/>
              <w:spacing w:after="0"/>
              <w:rPr>
                <w:sz w:val="20"/>
                <w:szCs w:val="20"/>
                <w:color w:val="auto"/>
              </w:rPr>
            </w:pPr>
            <w:r>
              <w:rPr>
                <w:rFonts w:ascii="Arial" w:cs="Arial" w:eastAsia="Arial" w:hAnsi="Arial"/>
                <w:sz w:val="13"/>
                <w:szCs w:val="13"/>
                <w:color w:val="auto"/>
              </w:rPr>
              <w:t>(1)</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(7)</w:t>
            </w:r>
          </w:p>
        </w:tc>
        <w:tc>
          <w:tcPr>
            <w:tcW w:w="1220" w:type="dxa"/>
            <w:vAlign w:val="bottom"/>
            <w:gridSpan w:val="2"/>
          </w:tcPr>
          <w:p>
            <w:pPr>
              <w:jc w:val="right"/>
              <w:ind w:right="460"/>
              <w:spacing w:after="0"/>
              <w:rPr>
                <w:sz w:val="20"/>
                <w:szCs w:val="20"/>
                <w:color w:val="auto"/>
              </w:rPr>
            </w:pPr>
            <w:r>
              <w:rPr>
                <w:rFonts w:ascii="Arial" w:cs="Arial" w:eastAsia="Arial" w:hAnsi="Arial"/>
                <w:sz w:val="13"/>
                <w:szCs w:val="13"/>
                <w:color w:val="auto"/>
              </w:rPr>
              <w:t>0.2700</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13.93</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23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0.2675</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b w:val="1"/>
                <w:bCs w:val="1"/>
                <w:color w:val="auto"/>
              </w:rPr>
              <w:t>Fiscal Year Ended September 30, 2013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w:t>
            </w:r>
          </w:p>
        </w:tc>
        <w:tc>
          <w:tcPr>
            <w:tcW w:w="234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0.2625</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color w:val="auto"/>
              </w:rPr>
              <w:t>Third quarter</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13.98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14.90</w:t>
            </w: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13.82</w:t>
            </w:r>
          </w:p>
        </w:tc>
        <w:tc>
          <w:tcPr>
            <w:tcW w:w="2340" w:type="dxa"/>
            <w:vAlign w:val="bottom"/>
            <w:gridSpan w:val="3"/>
          </w:tcPr>
          <w:p>
            <w:pPr>
              <w:jc w:val="right"/>
              <w:ind w:right="500"/>
              <w:spacing w:after="0"/>
              <w:rPr>
                <w:sz w:val="20"/>
                <w:szCs w:val="20"/>
                <w:color w:val="auto"/>
              </w:rPr>
            </w:pPr>
            <w:r>
              <w:rPr>
                <w:rFonts w:ascii="Arial" w:cs="Arial" w:eastAsia="Arial" w:hAnsi="Arial"/>
                <w:sz w:val="13"/>
                <w:szCs w:val="13"/>
                <w:color w:val="auto"/>
              </w:rPr>
              <w:t>7</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1220" w:type="dxa"/>
            <w:vAlign w:val="bottom"/>
            <w:gridSpan w:val="2"/>
          </w:tcPr>
          <w:p>
            <w:pPr>
              <w:jc w:val="right"/>
              <w:ind w:right="460"/>
              <w:spacing w:after="0"/>
              <w:rPr>
                <w:sz w:val="20"/>
                <w:szCs w:val="20"/>
                <w:color w:val="auto"/>
              </w:rPr>
            </w:pPr>
            <w:r>
              <w:rPr>
                <w:rFonts w:ascii="Arial" w:cs="Arial" w:eastAsia="Arial" w:hAnsi="Arial"/>
                <w:sz w:val="13"/>
                <w:szCs w:val="13"/>
                <w:color w:val="auto"/>
              </w:rPr>
              <w:t>0.2625</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234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0.2550</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3"/>
                <w:szCs w:val="13"/>
                <w:color w:val="auto"/>
              </w:rPr>
              <w:t>First quarter</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13.99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13.30</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12.35</w:t>
            </w:r>
          </w:p>
        </w:tc>
        <w:tc>
          <w:tcPr>
            <w:tcW w:w="2340" w:type="dxa"/>
            <w:vAlign w:val="bottom"/>
            <w:gridSpan w:val="3"/>
          </w:tcPr>
          <w:p>
            <w:pPr>
              <w:jc w:val="right"/>
              <w:ind w:right="440"/>
              <w:spacing w:after="0"/>
              <w:rPr>
                <w:sz w:val="20"/>
                <w:szCs w:val="20"/>
                <w:color w:val="auto"/>
              </w:rPr>
            </w:pPr>
            <w:r>
              <w:rPr>
                <w:rFonts w:ascii="Arial" w:cs="Arial" w:eastAsia="Arial" w:hAnsi="Arial"/>
                <w:sz w:val="13"/>
                <w:szCs w:val="13"/>
                <w:color w:val="auto"/>
              </w:rPr>
              <w:t>(5)</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(12)</w:t>
            </w:r>
          </w:p>
        </w:tc>
        <w:tc>
          <w:tcPr>
            <w:tcW w:w="1220" w:type="dxa"/>
            <w:vAlign w:val="bottom"/>
            <w:gridSpan w:val="2"/>
          </w:tcPr>
          <w:p>
            <w:pPr>
              <w:jc w:val="right"/>
              <w:ind w:right="460"/>
              <w:spacing w:after="0"/>
              <w:rPr>
                <w:sz w:val="20"/>
                <w:szCs w:val="20"/>
                <w:color w:val="auto"/>
              </w:rPr>
            </w:pPr>
            <w:r>
              <w:rPr>
                <w:rFonts w:ascii="Arial" w:cs="Arial" w:eastAsia="Arial" w:hAnsi="Arial"/>
                <w:sz w:val="13"/>
                <w:szCs w:val="13"/>
                <w:color w:val="auto"/>
              </w:rPr>
              <w:t>0.2475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400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83" w:lineRule="exact"/>
        <w:rPr>
          <w:sz w:val="20"/>
          <w:szCs w:val="20"/>
          <w:color w:val="auto"/>
        </w:rPr>
      </w:pPr>
    </w:p>
    <w:p>
      <w:pPr>
        <w:ind w:left="460" w:right="340" w:hanging="452"/>
        <w:spacing w:after="0" w:line="184"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3"/>
          <w:szCs w:val="13"/>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line="185" w:lineRule="auto"/>
        <w:tabs>
          <w:tab w:leader="none" w:pos="460" w:val="left"/>
        </w:tabs>
        <w:numPr>
          <w:ilvl w:val="0"/>
          <w:numId w:val="33"/>
        </w:numPr>
        <w:rPr>
          <w:rFonts w:ascii="Arial" w:cs="Arial" w:eastAsia="Arial" w:hAnsi="Arial"/>
          <w:sz w:val="18"/>
          <w:szCs w:val="18"/>
          <w:color w:val="auto"/>
          <w:vertAlign w:val="superscript"/>
        </w:rPr>
      </w:pPr>
      <w:r>
        <w:rPr>
          <w:rFonts w:ascii="Arial" w:cs="Arial" w:eastAsia="Arial" w:hAnsi="Arial"/>
          <w:sz w:val="11"/>
          <w:szCs w:val="11"/>
          <w:color w:val="auto"/>
        </w:rPr>
        <w:t>Calculated as the respective high or low closing sale prices less NAV per share, divided by the quarter-end NAV per share.</w:t>
      </w:r>
    </w:p>
    <w:p>
      <w:pPr>
        <w:spacing w:after="0" w:line="112"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$13.78 on both September 30, 2014 and 2013. Our NAV was $14.40 and $14.10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13, 2014, we had five stockholders of record.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DISTRIBUTIONS</w:t>
      </w:r>
    </w:p>
    <w:p>
      <w:pPr>
        <w:spacing w:after="0" w:line="136" w:lineRule="exact"/>
        <w:rPr>
          <w:sz w:val="20"/>
          <w:szCs w:val="20"/>
          <w:color w:val="auto"/>
        </w:rPr>
      </w:pPr>
    </w:p>
    <w:p>
      <w:pPr>
        <w:ind w:right="120" w:firstLine="562"/>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in the last two fiscal years.</w:t>
      </w:r>
    </w:p>
    <w:p>
      <w:pPr>
        <w:spacing w:after="0" w:line="154"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7020" w:type="dxa"/>
            <w:vAlign w:val="bottom"/>
            <w:vMerge w:val="restart"/>
          </w:tcPr>
          <w:p>
            <w:pPr>
              <w:spacing w:after="0"/>
              <w:rPr>
                <w:sz w:val="20"/>
                <w:szCs w:val="20"/>
                <w:color w:val="auto"/>
              </w:rPr>
            </w:pPr>
            <w:r>
              <w:rPr>
                <w:rFonts w:ascii="Arial" w:cs="Arial" w:eastAsia="Arial" w:hAnsi="Arial"/>
                <w:sz w:val="13"/>
                <w:szCs w:val="13"/>
                <w:b w:val="1"/>
                <w:bCs w:val="1"/>
                <w:color w:val="auto"/>
              </w:rPr>
              <w:t>Record Dates</w:t>
            </w: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Distributions</w:t>
            </w:r>
          </w:p>
        </w:tc>
        <w:tc>
          <w:tcPr>
            <w:tcW w:w="0" w:type="dxa"/>
            <w:vAlign w:val="bottom"/>
          </w:tcPr>
          <w:p>
            <w:pPr>
              <w:spacing w:after="0"/>
              <w:rPr>
                <w:sz w:val="1"/>
                <w:szCs w:val="1"/>
                <w:color w:val="auto"/>
              </w:rPr>
            </w:pPr>
          </w:p>
        </w:tc>
      </w:tr>
      <w:tr>
        <w:trPr>
          <w:trHeight w:val="161"/>
        </w:trPr>
        <w:tc>
          <w:tcPr>
            <w:tcW w:w="7020" w:type="dxa"/>
            <w:vAlign w:val="bottom"/>
            <w:vMerge w:val="continue"/>
          </w:tcPr>
          <w:p>
            <w:pPr>
              <w:spacing w:after="0"/>
              <w:rPr>
                <w:sz w:val="14"/>
                <w:szCs w:val="14"/>
                <w:color w:val="auto"/>
              </w:rPr>
            </w:pPr>
          </w:p>
        </w:tc>
        <w:tc>
          <w:tcPr>
            <w:tcW w:w="2140" w:type="dxa"/>
            <w:vAlign w:val="bottom"/>
            <w:gridSpan w:val="3"/>
          </w:tcPr>
          <w:p>
            <w:pPr>
              <w:ind w:left="500"/>
              <w:spacing w:after="0"/>
              <w:rPr>
                <w:sz w:val="20"/>
                <w:szCs w:val="20"/>
                <w:color w:val="auto"/>
              </w:rPr>
            </w:pPr>
            <w:r>
              <w:rPr>
                <w:rFonts w:ascii="Arial" w:cs="Arial" w:eastAsia="Arial" w:hAnsi="Arial"/>
                <w:sz w:val="13"/>
                <w:szCs w:val="13"/>
                <w:b w:val="1"/>
                <w:bCs w:val="1"/>
                <w:color w:val="auto"/>
              </w:rPr>
              <w:t>Payment Dates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142"/>
        </w:trPr>
        <w:tc>
          <w:tcPr>
            <w:tcW w:w="7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Fiscal Year Ended September 30, 2014</w:t>
            </w:r>
          </w:p>
        </w:tc>
        <w:tc>
          <w:tcPr>
            <w:tcW w:w="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September 26, 2014</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October 1, 2014</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August 20, 2014</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5"/>
              </w:rPr>
              <w:t>September 2, 2014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July 18, 2014</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August 1, 2014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June 19, 2014</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July 1, 2014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May 19, 2014</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June 2, 2014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April 21, 2014</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May 1, 2014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March 20, 2014</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April 1, 2014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February 19, 2014</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March 3, 2014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January 22, 2014</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February 3, 2014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December 20,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January 2, 2014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ind w:left="420"/>
              <w:spacing w:after="0"/>
              <w:rPr>
                <w:sz w:val="20"/>
                <w:szCs w:val="20"/>
                <w:color w:val="auto"/>
              </w:rPr>
            </w:pPr>
            <w:r>
              <w:rPr>
                <w:rFonts w:ascii="Arial" w:cs="Arial" w:eastAsia="Arial" w:hAnsi="Arial"/>
                <w:sz w:val="13"/>
                <w:szCs w:val="13"/>
                <w:color w:val="auto"/>
              </w:rPr>
              <w:t>November 20,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w w:val="99"/>
              </w:rPr>
              <w:t>December 2, 2013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October 21,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9"/>
              </w:rPr>
              <w:t>November 1, 2013</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20" w:type="dxa"/>
            <w:vAlign w:val="bottom"/>
          </w:tcPr>
          <w:p>
            <w:pPr>
              <w:ind w:left="42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1.0775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2013</w:t>
            </w:r>
          </w:p>
        </w:tc>
        <w:tc>
          <w:tcPr>
            <w:tcW w:w="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September 20,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October 1, 2013</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0.0875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August 21,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5"/>
              </w:rPr>
              <w:t>September 3, 2013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July 19,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August 1, 2013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June 21,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July 1, 2013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May 20,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June 3, 2013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April 19,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May 1, 2013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March 22,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April 1, 2013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February 19, 2013</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March 1, 2013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420"/>
              <w:spacing w:after="0"/>
              <w:rPr>
                <w:sz w:val="20"/>
                <w:szCs w:val="20"/>
                <w:color w:val="auto"/>
              </w:rPr>
            </w:pPr>
            <w:r>
              <w:rPr>
                <w:rFonts w:ascii="Arial" w:cs="Arial" w:eastAsia="Arial" w:hAnsi="Arial"/>
                <w:sz w:val="13"/>
                <w:szCs w:val="13"/>
                <w:color w:val="auto"/>
              </w:rPr>
              <w:t>January 22, 2013</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rPr>
              <w:t>February 1, 2013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0.0825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December 21, 2012</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January 2, 2013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ind w:left="420"/>
              <w:spacing w:after="0"/>
              <w:rPr>
                <w:sz w:val="20"/>
                <w:szCs w:val="20"/>
                <w:color w:val="auto"/>
              </w:rPr>
            </w:pPr>
            <w:r>
              <w:rPr>
                <w:rFonts w:ascii="Arial" w:cs="Arial" w:eastAsia="Arial" w:hAnsi="Arial"/>
                <w:sz w:val="13"/>
                <w:szCs w:val="13"/>
                <w:color w:val="auto"/>
              </w:rPr>
              <w:t>November 20, 2012</w:t>
            </w:r>
          </w:p>
        </w:tc>
        <w:tc>
          <w:tcPr>
            <w:tcW w:w="500" w:type="dxa"/>
            <w:vAlign w:val="bottom"/>
          </w:tcPr>
          <w:p>
            <w:pPr>
              <w:spacing w:after="0"/>
              <w:rPr>
                <w:sz w:val="12"/>
                <w:szCs w:val="12"/>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3"/>
                <w:szCs w:val="13"/>
                <w:color w:val="auto"/>
                <w:w w:val="99"/>
              </w:rPr>
              <w:t>December 3, 2012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0.0825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October 19, 2012</w:t>
            </w:r>
          </w:p>
        </w:tc>
        <w:tc>
          <w:tcPr>
            <w:tcW w:w="5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9"/>
              </w:rPr>
              <w:t>November 1, 2012</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42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1.0275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In January 2015, a Form 1099-DIV will be sent to stockholders that will state the amount and composition of distributions and provide information with respect to appropriate tax treatment of our distributions.</w:t>
      </w:r>
    </w:p>
    <w:p>
      <w:pPr>
        <w:spacing w:after="0" w:line="91"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In accordance with Section 19(a) under the 1940 Act, $2.6 million and $0.1 million of the Company’s distributions paid to stockholders during the fiscal years ended September 30, 2014 and 2013, respectively, represents a distribution of long-term realized capital gains.</w:t>
      </w:r>
    </w:p>
    <w:p>
      <w:pPr>
        <w:spacing w:after="0" w:line="91" w:lineRule="exact"/>
        <w:rPr>
          <w:sz w:val="20"/>
          <w:szCs w:val="20"/>
          <w:color w:val="auto"/>
        </w:rPr>
      </w:pPr>
    </w:p>
    <w:p>
      <w:pPr>
        <w:ind w:right="600" w:firstLine="562"/>
        <w:spacing w:after="0" w:line="317"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7"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distributions or distributions at a particular level.</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 of Unregistered Securities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did not engage in any sales of unregistered securities during the fiscal year ended September 30, 2014.</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Performance Graph</w:t>
      </w:r>
    </w:p>
    <w:p>
      <w:pPr>
        <w:spacing w:after="0" w:line="161" w:lineRule="exact"/>
        <w:rPr>
          <w:sz w:val="20"/>
          <w:szCs w:val="20"/>
          <w:color w:val="auto"/>
        </w:rPr>
      </w:pPr>
    </w:p>
    <w:p>
      <w:pPr>
        <w:ind w:right="120" w:firstLine="562"/>
        <w:spacing w:after="0" w:line="288"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period from April 8, 2011 (initial public offering) through September 30, 2014. The graph assumes that, on April 8, 2011,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76835</wp:posOffset>
            </wp:positionV>
            <wp:extent cx="5194935" cy="2245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9493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60"/>
          </w:cols>
          <w:pgMar w:left="32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63"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6"/>
              </w:rPr>
              <w:t>For the period</w:t>
            </w:r>
          </w:p>
        </w:tc>
        <w:tc>
          <w:tcPr>
            <w:tcW w:w="180" w:type="dxa"/>
            <w:vAlign w:val="bottom"/>
          </w:tcPr>
          <w:p>
            <w:pPr>
              <w:spacing w:after="0"/>
              <w:rPr>
                <w:sz w:val="13"/>
                <w:szCs w:val="13"/>
                <w:color w:val="auto"/>
              </w:rPr>
            </w:pP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March 4, 2011</w:t>
            </w:r>
          </w:p>
        </w:tc>
        <w:tc>
          <w:tcPr>
            <w:tcW w:w="1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(commencement</w:t>
            </w:r>
          </w:p>
        </w:tc>
        <w:tc>
          <w:tcPr>
            <w:tcW w:w="1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of</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operations)</w:t>
            </w:r>
          </w:p>
        </w:tc>
        <w:tc>
          <w:tcPr>
            <w:tcW w:w="18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w w:val="99"/>
              </w:rPr>
              <w:t>Year ended</w:t>
            </w:r>
          </w:p>
        </w:tc>
        <w:tc>
          <w:tcPr>
            <w:tcW w:w="28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to</w:t>
            </w:r>
          </w:p>
        </w:tc>
        <w:tc>
          <w:tcPr>
            <w:tcW w:w="180" w:type="dxa"/>
            <w:vAlign w:val="bottom"/>
          </w:tcPr>
          <w:p>
            <w:pPr>
              <w:spacing w:after="0"/>
              <w:rPr>
                <w:sz w:val="12"/>
                <w:szCs w:val="12"/>
                <w:color w:val="auto"/>
              </w:rPr>
            </w:pPr>
          </w:p>
        </w:tc>
      </w:tr>
      <w:tr>
        <w:trPr>
          <w:trHeight w:val="161"/>
        </w:trPr>
        <w:tc>
          <w:tcPr>
            <w:tcW w:w="45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3"/>
                <w:szCs w:val="13"/>
                <w:b w:val="1"/>
                <w:bCs w:val="1"/>
                <w:color w:val="auto"/>
              </w:rPr>
              <w:t>September 30, 2014</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September 30, 2013</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September 30, 2012</w:t>
            </w:r>
          </w:p>
        </w:tc>
        <w:tc>
          <w:tcPr>
            <w:tcW w:w="11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September 30, 2011</w:t>
            </w:r>
          </w:p>
        </w:tc>
        <w:tc>
          <w:tcPr>
            <w:tcW w:w="180" w:type="dxa"/>
            <w:vAlign w:val="bottom"/>
          </w:tcPr>
          <w:p>
            <w:pPr>
              <w:spacing w:after="0"/>
              <w:rPr>
                <w:sz w:val="14"/>
                <w:szCs w:val="14"/>
                <w:color w:val="auto"/>
              </w:rPr>
            </w:pPr>
          </w:p>
        </w:tc>
      </w:tr>
      <w:tr>
        <w:trPr>
          <w:trHeight w:val="129"/>
        </w:trPr>
        <w:tc>
          <w:tcPr>
            <w:tcW w:w="4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(Dollar amounts in thousands, except per share data)</w:t>
            </w: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 income</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30,357</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18,867</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12,099</w:t>
            </w:r>
          </w:p>
        </w:tc>
        <w:tc>
          <w:tcPr>
            <w:tcW w:w="280" w:type="dxa"/>
            <w:vAlign w:val="bottom"/>
            <w:shd w:val="clear" w:color="auto" w:fill="CCEEFF"/>
          </w:tcPr>
          <w:p>
            <w:pPr>
              <w:jc w:val="right"/>
              <w:ind w:right="155"/>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color w:val="auto"/>
              </w:rPr>
              <w:t>Total expenses</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13,721</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8,344</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5,789</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2,626</w:t>
            </w:r>
          </w:p>
        </w:tc>
        <w:tc>
          <w:tcPr>
            <w:tcW w:w="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8"/>
              </w:rPr>
              <w:t>(5)</w:t>
            </w:r>
          </w:p>
        </w:tc>
      </w:tr>
      <w:tr>
        <w:trPr>
          <w:trHeight w:val="148"/>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16,636</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10,523</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6,310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color w:val="auto"/>
              </w:rPr>
              <w:t>Net realized and unrealized gain (loss)</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3,878</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1,461</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5,651</w:t>
            </w:r>
          </w:p>
        </w:tc>
        <w:tc>
          <w:tcPr>
            <w:tcW w:w="280" w:type="dxa"/>
            <w:vAlign w:val="bottom"/>
          </w:tcPr>
          <w:p>
            <w:pPr>
              <w:spacing w:after="0"/>
              <w:rPr>
                <w:sz w:val="12"/>
                <w:szCs w:val="12"/>
                <w:color w:val="auto"/>
              </w:rPr>
            </w:pPr>
          </w:p>
        </w:tc>
        <w:tc>
          <w:tcPr>
            <w:tcW w:w="1040" w:type="dxa"/>
            <w:vAlign w:val="bottom"/>
            <w:gridSpan w:val="3"/>
          </w:tcPr>
          <w:p>
            <w:pPr>
              <w:jc w:val="right"/>
              <w:ind w:right="104"/>
              <w:spacing w:after="0"/>
              <w:rPr>
                <w:sz w:val="20"/>
                <w:szCs w:val="20"/>
                <w:color w:val="auto"/>
              </w:rPr>
            </w:pPr>
            <w:r>
              <w:rPr>
                <w:rFonts w:ascii="Arial" w:cs="Arial" w:eastAsia="Arial" w:hAnsi="Arial"/>
                <w:sz w:val="13"/>
                <w:szCs w:val="13"/>
                <w:color w:val="auto"/>
              </w:rPr>
              <w:t>(3,793)</w:t>
            </w:r>
          </w:p>
        </w:tc>
      </w:tr>
      <w:tr>
        <w:trPr>
          <w:trHeight w:val="149"/>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20,514</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11,985</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11,961</w:t>
            </w:r>
          </w:p>
        </w:tc>
        <w:tc>
          <w:tcPr>
            <w:tcW w:w="2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(3,473)</w:t>
            </w:r>
          </w:p>
        </w:tc>
      </w:tr>
      <w:tr>
        <w:trPr>
          <w:trHeight w:val="148"/>
        </w:trPr>
        <w:tc>
          <w:tcPr>
            <w:tcW w:w="4540" w:type="dxa"/>
            <w:vAlign w:val="bottom"/>
          </w:tcPr>
          <w:p>
            <w:pPr>
              <w:spacing w:after="0"/>
              <w:rPr>
                <w:sz w:val="20"/>
                <w:szCs w:val="20"/>
                <w:color w:val="auto"/>
              </w:rPr>
            </w:pPr>
            <w:r>
              <w:rPr>
                <w:rFonts w:ascii="Arial" w:cs="Arial" w:eastAsia="Arial" w:hAnsi="Arial"/>
                <w:sz w:val="13"/>
                <w:szCs w:val="13"/>
                <w:b w:val="1"/>
                <w:bCs w:val="1"/>
                <w:color w:val="auto"/>
              </w:rPr>
              <w:t>Per share data: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14.40</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14.10</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13.98</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1.12</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0.92</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0.05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0.26</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0.15</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0.83</w:t>
            </w:r>
          </w:p>
        </w:tc>
        <w:tc>
          <w:tcPr>
            <w:tcW w:w="2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(0.56)</w:t>
            </w: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(1)</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1.25</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1.75</w:t>
            </w:r>
          </w:p>
        </w:tc>
        <w:tc>
          <w:tcPr>
            <w:tcW w:w="280" w:type="dxa"/>
            <w:vAlign w:val="bottom"/>
          </w:tcPr>
          <w:p>
            <w:pPr>
              <w:spacing w:after="0"/>
              <w:rPr>
                <w:sz w:val="12"/>
                <w:szCs w:val="12"/>
                <w:color w:val="auto"/>
              </w:rPr>
            </w:pPr>
          </w:p>
        </w:tc>
        <w:tc>
          <w:tcPr>
            <w:tcW w:w="1040" w:type="dxa"/>
            <w:vAlign w:val="bottom"/>
            <w:gridSpan w:val="3"/>
          </w:tcPr>
          <w:p>
            <w:pPr>
              <w:jc w:val="right"/>
              <w:ind w:right="104"/>
              <w:spacing w:after="0"/>
              <w:rPr>
                <w:sz w:val="20"/>
                <w:szCs w:val="20"/>
                <w:color w:val="auto"/>
              </w:rPr>
            </w:pPr>
            <w:r>
              <w:rPr>
                <w:rFonts w:ascii="Arial" w:cs="Arial" w:eastAsia="Arial" w:hAnsi="Arial"/>
                <w:sz w:val="13"/>
                <w:szCs w:val="13"/>
                <w:color w:val="auto"/>
              </w:rPr>
              <w:t>(0.51)</w:t>
            </w: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(1), (2)</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1.05</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0.91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b w:val="1"/>
                <w:bCs w:val="1"/>
                <w:color w:val="auto"/>
              </w:rPr>
              <w:t>Consolidated Statements of Assets and Liabilities data: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372,874</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328,802</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178,367</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121,075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color w:val="auto"/>
              </w:rPr>
              <w:t>Total investment portfolio</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348,428</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317,804</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171,834</w:t>
            </w:r>
          </w:p>
        </w:tc>
        <w:tc>
          <w:tcPr>
            <w:tcW w:w="2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110,724</w:t>
            </w:r>
          </w:p>
        </w:tc>
        <w:tc>
          <w:tcPr>
            <w:tcW w:w="180" w:type="dxa"/>
            <w:vAlign w:val="bottom"/>
          </w:tcPr>
          <w:p>
            <w:pPr>
              <w:spacing w:after="0"/>
              <w:rPr>
                <w:sz w:val="12"/>
                <w:szCs w:val="12"/>
                <w:color w:val="auto"/>
              </w:rPr>
            </w:pPr>
          </w:p>
        </w:tc>
      </w:tr>
      <w:tr>
        <w:trPr>
          <w:trHeight w:val="149"/>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Credit Facility payable</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146,949</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99,600</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75,123</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3"/>
                <w:szCs w:val="13"/>
                <w:color w:val="auto"/>
              </w:rPr>
              <w:t>Total net asset value</w:t>
            </w:r>
          </w:p>
        </w:tc>
        <w:tc>
          <w:tcPr>
            <w:tcW w:w="16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color w:val="auto"/>
              </w:rPr>
              <w:t>214,528</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color w:val="auto"/>
              </w:rPr>
              <w:t>210,066</w:t>
            </w:r>
          </w:p>
        </w:tc>
        <w:tc>
          <w:tcPr>
            <w:tcW w:w="160" w:type="dxa"/>
            <w:vAlign w:val="bottom"/>
          </w:tcPr>
          <w:p>
            <w:pPr>
              <w:spacing w:after="0"/>
              <w:rPr>
                <w:sz w:val="12"/>
                <w:szCs w:val="12"/>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color w:val="auto"/>
              </w:rPr>
              <w:t>95,744</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92,072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3"/>
                <w:szCs w:val="13"/>
                <w:color w:val="auto"/>
              </w:rPr>
              <w:t>8.05%</w:t>
            </w:r>
          </w:p>
        </w:tc>
        <w:tc>
          <w:tcPr>
            <w:tcW w:w="140" w:type="dxa"/>
            <w:vAlign w:val="bottom"/>
          </w:tcPr>
          <w:p>
            <w:pPr>
              <w:spacing w:after="0"/>
              <w:rPr>
                <w:sz w:val="12"/>
                <w:szCs w:val="12"/>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3"/>
                <w:szCs w:val="13"/>
                <w:color w:val="auto"/>
              </w:rPr>
              <w:t>17.17%</w:t>
            </w:r>
          </w:p>
        </w:tc>
        <w:tc>
          <w:tcPr>
            <w:tcW w:w="160" w:type="dxa"/>
            <w:vAlign w:val="bottom"/>
          </w:tcPr>
          <w:p>
            <w:pPr>
              <w:spacing w:after="0"/>
              <w:rPr>
                <w:sz w:val="12"/>
                <w:szCs w:val="12"/>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3"/>
                <w:szCs w:val="13"/>
                <w:color w:val="auto"/>
              </w:rPr>
              <w:t>29.43%</w:t>
            </w:r>
          </w:p>
        </w:tc>
        <w:tc>
          <w:tcPr>
            <w:tcW w:w="28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(28.13)%</w:t>
            </w: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83</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61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292"/>
        </w:trPr>
        <w:tc>
          <w:tcPr>
            <w:tcW w:w="4540" w:type="dxa"/>
            <w:vAlign w:val="bottom"/>
          </w:tcPr>
          <w:p>
            <w:pPr>
              <w:spacing w:after="0"/>
              <w:rPr>
                <w:sz w:val="20"/>
                <w:szCs w:val="20"/>
                <w:color w:val="auto"/>
              </w:rPr>
            </w:pPr>
            <w:r>
              <w:rPr>
                <w:rFonts w:ascii="Arial" w:cs="Arial" w:eastAsia="Arial" w:hAnsi="Arial"/>
                <w:sz w:val="13"/>
                <w:szCs w:val="13"/>
                <w:color w:val="auto"/>
              </w:rPr>
              <w:t xml:space="preserve">Yield on debt portfolio </w:t>
            </w:r>
            <w:r>
              <w:rPr>
                <w:rFonts w:ascii="Arial" w:cs="Arial" w:eastAsia="Arial" w:hAnsi="Arial"/>
                <w:sz w:val="22"/>
                <w:szCs w:val="22"/>
                <w:color w:val="auto"/>
                <w:vertAlign w:val="superscript"/>
              </w:rPr>
              <w:t>(4)</w:t>
            </w:r>
          </w:p>
        </w:tc>
        <w:tc>
          <w:tcPr>
            <w:tcW w:w="160" w:type="dxa"/>
            <w:vAlign w:val="bottom"/>
          </w:tcPr>
          <w:p>
            <w:pPr>
              <w:spacing w:after="0"/>
              <w:rPr>
                <w:sz w:val="24"/>
                <w:szCs w:val="2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24"/>
                <w:szCs w:val="2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3"/>
                <w:szCs w:val="13"/>
                <w:color w:val="auto"/>
              </w:rPr>
              <w:t>8.6%</w:t>
            </w:r>
          </w:p>
        </w:tc>
        <w:tc>
          <w:tcPr>
            <w:tcW w:w="280" w:type="dxa"/>
            <w:vAlign w:val="bottom"/>
          </w:tcPr>
          <w:p>
            <w:pPr>
              <w:spacing w:after="0"/>
              <w:rPr>
                <w:sz w:val="24"/>
                <w:szCs w:val="24"/>
                <w:color w:val="auto"/>
              </w:rPr>
            </w:pPr>
          </w:p>
        </w:tc>
        <w:tc>
          <w:tcPr>
            <w:tcW w:w="1040" w:type="dxa"/>
            <w:vAlign w:val="bottom"/>
            <w:gridSpan w:val="3"/>
          </w:tcPr>
          <w:p>
            <w:pPr>
              <w:jc w:val="right"/>
              <w:ind w:right="24"/>
              <w:spacing w:after="0"/>
              <w:rPr>
                <w:sz w:val="20"/>
                <w:szCs w:val="20"/>
                <w:color w:val="auto"/>
              </w:rPr>
            </w:pPr>
            <w:r>
              <w:rPr>
                <w:rFonts w:ascii="Arial" w:cs="Arial" w:eastAsia="Arial" w:hAnsi="Arial"/>
                <w:sz w:val="13"/>
                <w:szCs w:val="13"/>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370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460" w:hanging="452"/>
        <w:spacing w:after="0" w:line="197"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3"/>
          <w:szCs w:val="13"/>
          <w:color w:val="auto"/>
        </w:rPr>
        <w:t>Based on the weighted average shares outstanding for the respective periods.</w:t>
      </w:r>
    </w:p>
    <w:p>
      <w:pPr>
        <w:ind w:left="460" w:hanging="452"/>
        <w:spacing w:after="0" w:line="182" w:lineRule="auto"/>
        <w:tabs>
          <w:tab w:leader="none" w:pos="46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460" w:right="20" w:hanging="452"/>
        <w:spacing w:after="0" w:line="182" w:lineRule="auto"/>
        <w:tabs>
          <w:tab w:leader="none" w:pos="460" w:val="left"/>
        </w:tabs>
        <w:numPr>
          <w:ilvl w:val="0"/>
          <w:numId w:val="34"/>
        </w:numPr>
        <w:rPr>
          <w:rFonts w:ascii="Arial" w:cs="Arial" w:eastAsia="Arial" w:hAnsi="Arial"/>
          <w:sz w:val="21"/>
          <w:szCs w:val="21"/>
          <w:color w:val="auto"/>
          <w:vertAlign w:val="superscript"/>
        </w:rPr>
      </w:pPr>
      <w:r>
        <w:rPr>
          <w:rFonts w:ascii="Arial" w:cs="Arial" w:eastAsia="Arial" w:hAnsi="Arial"/>
          <w:sz w:val="13"/>
          <w:szCs w:val="13"/>
          <w:color w:val="auto"/>
        </w:rPr>
        <w:t>Not annualized for a period of less than a year. Based on the change in market price per share during the periods and takes into account distributions, if any, reinvested in accordance with our dividend reinvestment plan.</w:t>
      </w:r>
    </w:p>
    <w:p>
      <w:pPr>
        <w:ind w:left="460" w:hanging="452"/>
        <w:spacing w:after="0" w:line="182" w:lineRule="auto"/>
        <w:tabs>
          <w:tab w:leader="none" w:pos="46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Unaudited, at year end.</w:t>
      </w:r>
    </w:p>
    <w:p>
      <w:pPr>
        <w:ind w:left="460" w:hanging="452"/>
        <w:spacing w:after="0" w:line="185" w:lineRule="auto"/>
        <w:tabs>
          <w:tab w:leader="none" w:pos="460" w:val="left"/>
        </w:tabs>
        <w:numPr>
          <w:ilvl w:val="0"/>
          <w:numId w:val="34"/>
        </w:numPr>
        <w:rPr>
          <w:rFonts w:ascii="Arial" w:cs="Arial" w:eastAsia="Arial" w:hAnsi="Arial"/>
          <w:sz w:val="18"/>
          <w:szCs w:val="18"/>
          <w:color w:val="auto"/>
          <w:vertAlign w:val="superscript"/>
        </w:rPr>
      </w:pPr>
      <w:r>
        <w:rPr>
          <w:rFonts w:ascii="Arial" w:cs="Arial" w:eastAsia="Arial" w:hAnsi="Arial"/>
          <w:sz w:val="11"/>
          <w:szCs w:val="11"/>
          <w:color w:val="auto"/>
        </w:rPr>
        <w:t>Included start-up and organizational costs.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63" w:lineRule="exact"/>
        <w:rPr>
          <w:sz w:val="20"/>
          <w:szCs w:val="20"/>
          <w:color w:val="auto"/>
        </w:rPr>
      </w:pPr>
    </w:p>
    <w:p>
      <w:pPr>
        <w:ind w:right="60" w:firstLine="337"/>
        <w:spacing w:after="0" w:line="250"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0" w:lineRule="exact"/>
        <w:rPr>
          <w:sz w:val="20"/>
          <w:szCs w:val="20"/>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price and volume fluctuations in the stock markets;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the Investment Adviser to locate suitable investments for us and to monitor and administer our investments;</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 and</w:t>
      </w:r>
    </w:p>
    <w:p>
      <w:pPr>
        <w:spacing w:after="0" w:line="147" w:lineRule="exact"/>
        <w:rPr>
          <w:rFonts w:ascii="Arial" w:cs="Arial" w:eastAsia="Arial" w:hAnsi="Arial"/>
          <w:sz w:val="13"/>
          <w:szCs w:val="13"/>
          <w:color w:val="auto"/>
        </w:rPr>
      </w:pPr>
    </w:p>
    <w:p>
      <w:pPr>
        <w:ind w:left="1440" w:hanging="433"/>
        <w:spacing w:after="0"/>
        <w:tabs>
          <w:tab w:leader="none" w:pos="1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European sovereign debt issues.</w:t>
      </w:r>
    </w:p>
    <w:p>
      <w:pPr>
        <w:spacing w:after="0" w:line="134" w:lineRule="exact"/>
        <w:rPr>
          <w:sz w:val="20"/>
          <w:szCs w:val="20"/>
          <w:color w:val="auto"/>
        </w:rPr>
      </w:pPr>
    </w:p>
    <w:p>
      <w:pPr>
        <w:jc w:val="both"/>
        <w:ind w:right="260" w:firstLine="562"/>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6" w:lineRule="exact"/>
        <w:rPr>
          <w:sz w:val="20"/>
          <w:szCs w:val="20"/>
          <w:color w:val="auto"/>
        </w:rPr>
      </w:pPr>
    </w:p>
    <w:p>
      <w:pPr>
        <w:ind w:right="180" w:firstLine="562"/>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84"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1" w:lineRule="exact"/>
        <w:rPr>
          <w:sz w:val="20"/>
          <w:szCs w:val="20"/>
          <w:color w:val="auto"/>
        </w:rPr>
      </w:pPr>
    </w:p>
    <w:p>
      <w:pPr>
        <w:ind w:right="480" w:firstLine="562"/>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61"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18"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35"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161"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8"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161"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61"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120" w:lineRule="exact"/>
        <w:rPr>
          <w:sz w:val="20"/>
          <w:szCs w:val="20"/>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 of calculating our net asset value, including the cost of any third-party valuation services;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w:t>
      </w:r>
    </w:p>
    <w:p>
      <w:pPr>
        <w:spacing w:after="0" w:line="147" w:lineRule="exact"/>
        <w:rPr>
          <w:rFonts w:ascii="Arial" w:cs="Arial" w:eastAsia="Arial" w:hAnsi="Arial"/>
          <w:sz w:val="13"/>
          <w:szCs w:val="13"/>
          <w:color w:val="auto"/>
        </w:rPr>
      </w:pPr>
    </w:p>
    <w:p>
      <w:pPr>
        <w:ind w:left="1660" w:right="640" w:hanging="532"/>
        <w:spacing w:after="0" w:line="274" w:lineRule="auto"/>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complimentary businesses;</w:t>
      </w:r>
    </w:p>
    <w:p>
      <w:pPr>
        <w:spacing w:after="0" w:line="104"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147" w:lineRule="exact"/>
        <w:rPr>
          <w:rFonts w:ascii="Arial" w:cs="Arial" w:eastAsia="Arial" w:hAnsi="Arial"/>
          <w:sz w:val="13"/>
          <w:szCs w:val="13"/>
          <w:color w:val="auto"/>
        </w:rPr>
      </w:pPr>
    </w:p>
    <w:p>
      <w:pPr>
        <w:ind w:left="1660" w:hanging="532"/>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147" w:lineRule="exact"/>
        <w:rPr>
          <w:rFonts w:ascii="Arial" w:cs="Arial" w:eastAsia="Arial" w:hAnsi="Arial"/>
          <w:sz w:val="13"/>
          <w:szCs w:val="13"/>
          <w:color w:val="auto"/>
        </w:rPr>
      </w:pPr>
    </w:p>
    <w:p>
      <w:pPr>
        <w:ind w:left="1660" w:hanging="532"/>
        <w:spacing w:after="0" w:line="288" w:lineRule="auto"/>
        <w:tabs>
          <w:tab w:leader="none" w:pos="16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84"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163"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08" w:lineRule="exact"/>
        <w:rPr>
          <w:sz w:val="20"/>
          <w:szCs w:val="20"/>
          <w:color w:val="auto"/>
        </w:rPr>
      </w:pPr>
    </w:p>
    <w:p>
      <w:pPr>
        <w:jc w:val="both"/>
        <w:ind w:right="100" w:firstLine="562"/>
        <w:spacing w:after="0" w:line="250" w:lineRule="auto"/>
        <w:rPr>
          <w:sz w:val="20"/>
          <w:szCs w:val="20"/>
          <w:color w:val="auto"/>
        </w:rPr>
      </w:pPr>
      <w:r>
        <w:rPr>
          <w:rFonts w:ascii="Arial" w:cs="Arial" w:eastAsia="Arial" w:hAnsi="Arial"/>
          <w:sz w:val="13"/>
          <w:szCs w:val="13"/>
          <w:color w:val="auto"/>
        </w:rPr>
        <w:t>As of September 30, 2013, our portfolio totaled $317.8 million and consisted of $281.0 million of senior secured loans, $27.5 million of second lien secured debt and $9.3 million of subordinated debt, preferred and common equity.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For the fiscal year ended September 30, 2014, we invested $248.1 million of investments in 36 new and 33 existing portfolio companies with a weighted average yield on debt investments of 8.2%.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Sales and repayments of investments for the year ended September 30, 2014 totaled $225.6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For the fiscal year ended September 30, 2013, we invested $316.5 million of investments in 75 new and 19 existing portfolio companies with a weighted average yield on debt investments of 7.9%.</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Sales and repayments of investments for the year ended September 30, 2013 totaled $174.9 million.</w:t>
      </w:r>
    </w:p>
    <w:p>
      <w:pPr>
        <w:spacing w:after="0" w:line="122"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For the fiscal year ended September 30, 2012, we invested $128.7 million of investments in 47 new and seven existing portfolio companies with a weighted average yield on debt investments of 8.9%. Sales and repayments of investments for the year ended September 30, 2012 totaled $71.3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161"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400" w:firstLine="562"/>
        <w:spacing w:after="0" w:line="274"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660" w:right="100" w:hanging="653"/>
        <w:spacing w:after="0" w:line="274" w:lineRule="auto"/>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660" w:hanging="653"/>
        <w:spacing w:after="0"/>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660" w:right="60" w:hanging="653"/>
        <w:spacing w:after="0" w:line="288" w:lineRule="auto"/>
        <w:tabs>
          <w:tab w:leader="none" w:pos="16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7" w:lineRule="exact"/>
        <w:rPr>
          <w:rFonts w:ascii="Arial" w:cs="Arial" w:eastAsia="Arial" w:hAnsi="Arial"/>
          <w:sz w:val="12"/>
          <w:szCs w:val="12"/>
          <w:color w:val="auto"/>
        </w:rPr>
      </w:pPr>
    </w:p>
    <w:p>
      <w:pPr>
        <w:ind w:left="1660" w:right="200" w:hanging="653"/>
        <w:spacing w:after="0" w:line="256" w:lineRule="auto"/>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3"/>
          <w:szCs w:val="13"/>
          <w:color w:val="auto"/>
        </w:rPr>
      </w:pPr>
    </w:p>
    <w:p>
      <w:pPr>
        <w:ind w:left="1660" w:hanging="653"/>
        <w:spacing w:after="0" w:line="274" w:lineRule="auto"/>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1"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8"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48" w:lineRule="exact"/>
        <w:rPr>
          <w:sz w:val="20"/>
          <w:szCs w:val="20"/>
          <w:color w:val="auto"/>
        </w:rPr>
      </w:pPr>
    </w:p>
    <w:p>
      <w:pPr>
        <w:jc w:val="center"/>
        <w:ind w:left="780" w:right="200"/>
        <w:spacing w:after="0" w:line="274" w:lineRule="auto"/>
        <w:rPr>
          <w:sz w:val="20"/>
          <w:szCs w:val="20"/>
          <w:color w:val="auto"/>
        </w:rPr>
      </w:pPr>
      <w:r>
        <w:rPr>
          <w:rFonts w:ascii="Arial" w:cs="Arial" w:eastAsia="Arial" w:hAnsi="Arial"/>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1" w:lineRule="exact"/>
        <w:rPr>
          <w:sz w:val="20"/>
          <w:szCs w:val="20"/>
          <w:color w:val="auto"/>
        </w:rPr>
      </w:pPr>
    </w:p>
    <w:p>
      <w:pPr>
        <w:ind w:firstLine="562"/>
        <w:spacing w:after="0" w:line="264"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2013 and 2012, our Credit Facility had a net change in unrealized (appreciation) depreciation of $(0.5) million, $(0.4)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61" w:lineRule="exact"/>
        <w:rPr>
          <w:sz w:val="20"/>
          <w:szCs w:val="20"/>
          <w:color w:val="auto"/>
        </w:rPr>
      </w:pPr>
    </w:p>
    <w:p>
      <w:pPr>
        <w:ind w:right="60"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161" w:lineRule="exact"/>
        <w:rPr>
          <w:sz w:val="20"/>
          <w:szCs w:val="20"/>
          <w:color w:val="auto"/>
        </w:rPr>
      </w:pPr>
    </w:p>
    <w:p>
      <w:pPr>
        <w:ind w:right="140" w:firstLine="562"/>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Payment-in-Kind Interest or PIK</w:t>
      </w:r>
    </w:p>
    <w:p>
      <w:pPr>
        <w:spacing w:after="0" w:line="161" w:lineRule="exact"/>
        <w:rPr>
          <w:sz w:val="20"/>
          <w:szCs w:val="20"/>
          <w:color w:val="auto"/>
        </w:rPr>
      </w:pPr>
    </w:p>
    <w:p>
      <w:pPr>
        <w:ind w:right="40" w:firstLine="562"/>
        <w:spacing w:after="0" w:line="317"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interest on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161"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39"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Set forth below are the results of operations for the years ended September 30, 2014, 2013 and 2012.</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161" w:lineRule="exact"/>
        <w:rPr>
          <w:sz w:val="20"/>
          <w:szCs w:val="20"/>
          <w:color w:val="auto"/>
        </w:rPr>
      </w:pPr>
    </w:p>
    <w:p>
      <w:pPr>
        <w:jc w:val="both"/>
        <w:ind w:right="160" w:firstLine="562"/>
        <w:spacing w:after="0" w:line="274" w:lineRule="auto"/>
        <w:rPr>
          <w:sz w:val="20"/>
          <w:szCs w:val="20"/>
          <w:color w:val="auto"/>
        </w:rPr>
      </w:pPr>
      <w:r>
        <w:rPr>
          <w:rFonts w:ascii="Arial" w:cs="Arial" w:eastAsia="Arial" w:hAnsi="Arial"/>
          <w:sz w:val="13"/>
          <w:szCs w:val="13"/>
          <w:color w:val="auto"/>
        </w:rPr>
        <w:t>Investment income for the year ended September 30, 2014 was $30.4 million and was attributable to $24.5 million from senior secured loans, $4.2 million from second lien secured debt and $1.7 million from subordinated debt. The increase in investment income over the prior year is primarily due to the growth of our portfolio.</w:t>
      </w:r>
    </w:p>
    <w:p>
      <w:pPr>
        <w:spacing w:after="0" w:line="118" w:lineRule="exact"/>
        <w:rPr>
          <w:sz w:val="20"/>
          <w:szCs w:val="20"/>
          <w:color w:val="auto"/>
        </w:rPr>
      </w:pPr>
    </w:p>
    <w:p>
      <w:pPr>
        <w:jc w:val="both"/>
        <w:ind w:right="160" w:firstLine="562"/>
        <w:spacing w:after="0" w:line="256" w:lineRule="auto"/>
        <w:rPr>
          <w:sz w:val="20"/>
          <w:szCs w:val="20"/>
          <w:color w:val="auto"/>
        </w:rPr>
      </w:pPr>
      <w:r>
        <w:rPr>
          <w:rFonts w:ascii="Arial" w:cs="Arial" w:eastAsia="Arial" w:hAnsi="Arial"/>
          <w:sz w:val="13"/>
          <w:szCs w:val="13"/>
          <w:color w:val="auto"/>
        </w:rPr>
        <w:t>Investment income for the year ended September 30, 2013 was $18.9 million and was attributable to $16.0 million from senior secured loans, $1.6 million from second lien secured debt and $1.3 million from subordinated debt. The increase in investment income over the prior year is primarily the result of deploying our proceeds from our equity offerings and increased borrowings under our Credit Facility.</w:t>
      </w:r>
    </w:p>
    <w:p>
      <w:pPr>
        <w:spacing w:after="0" w:line="129"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Investment income for the year ended September 30, 2012 was $12.1 million and was attributable to $9.9 million from senior secured loans, $1.0 million from second lien secured debt and $1.2 million from subordinated debt. The increase in interest income over the prior year was due to both a full year of operation and the increased size of our portfolio.</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61"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Expenses for the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 The increase in base management fee, incentive fee and Credit Facility expenses was due to the growth of our portfolio and expanding our borrowing capacity under our Credit Facility.</w:t>
      </w:r>
    </w:p>
    <w:p>
      <w:pPr>
        <w:spacing w:after="0" w:line="133"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Expenses for the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expenses was due to the growth of our portfolio and expanding our borrowing capacity under our Credit Facility.</w:t>
      </w:r>
    </w:p>
    <w:p>
      <w:pPr>
        <w:spacing w:after="0" w:line="129"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Expenses for the year ended September 30, 2012 totaled $5.8 million. Base management fee for the same period totaled $1.5 million, incentive fee totaled $0.6 million, Credit Facility expenses totaled $1.8 million (including $0.3 million of Credit Facility amendment expenses) and general and administrative expenses totaled $1.9 million. We expect our Credit Facility expenses and management fee to continue to increase as a result of growth in our portfolio. Additionally, general and administrative costs increased over the prior year due to a full year of operation.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161"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Net investment income totaled $16.6 million or $1.12 per share, $10.5 million or $1.10 per share and $6.3 million or $0.92 per share, for the fiscal years ended September 30, 2014, 2013 and 2012, respectively. The increase in net investment income was due to a larger portfolio, which was partially offset by Credit Facility amendment costs.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161"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Sales and repayments of investments for the years ended September 30, 2014, 2013 and 2012 totaled $225.6 million, $174.9 million and $71.3 million, respectively. Net realized gains totaled $2.9 million, $3.6 million and $0.9 million for the same periods, respectively. The decrease in realized gains over the prior year was driven by changes in market conditions of our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Credit Facility</w:t>
      </w:r>
    </w:p>
    <w:p>
      <w:pPr>
        <w:spacing w:after="0" w:line="161"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For the years ended September 30, 2014, 2013 and 2012, we reported unrealized appreciation (depreciation) on investments of $1.6 million, $(1.7) million and $4.4 million, respectively. As of September 30, 2014 and 2013, net unrealized appreciation (depreciation) on investments totaled $0.1 million and $(1.5) million, respectively. The change compared to prior year was the result of the overall variation in the leveraged finance markets.</w:t>
      </w:r>
    </w:p>
    <w:p>
      <w:pPr>
        <w:spacing w:after="0" w:line="129"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For the years ended September 30, 2014, 2013 and 2012, our Credit Facility had a change in unrealized (appreciation) depreciation of $(0.5) million, $(0.4) million and $0.4 million, respectively. As of September 30, 2014 and 2013, net unrealized appreciation on our Credit Facility totaled $0.5 million and zero, respectively. The change compared to prior year was due to changes in the capital markets.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Change in Net Assets Resulting from Operations</w:t>
      </w:r>
    </w:p>
    <w:p>
      <w:pPr>
        <w:spacing w:after="0" w:line="161" w:lineRule="exact"/>
        <w:rPr>
          <w:sz w:val="20"/>
          <w:szCs w:val="20"/>
          <w:color w:val="auto"/>
        </w:rPr>
      </w:pPr>
    </w:p>
    <w:p>
      <w:pPr>
        <w:ind w:right="560" w:firstLine="562"/>
        <w:spacing w:after="0" w:line="274" w:lineRule="auto"/>
        <w:rPr>
          <w:sz w:val="20"/>
          <w:szCs w:val="20"/>
          <w:color w:val="auto"/>
        </w:rPr>
      </w:pPr>
      <w:r>
        <w:rPr>
          <w:rFonts w:ascii="Arial" w:cs="Arial" w:eastAsia="Arial" w:hAnsi="Arial"/>
          <w:sz w:val="13"/>
          <w:szCs w:val="13"/>
          <w:color w:val="auto"/>
        </w:rPr>
        <w:t>Net change in net assets resulting from operations totaled $20.5 million or $1.38 per share, $12.0 million or $1.25 per share and $12.0 million or $1.75 per share, for the fiscal years ended September 30, 2014, 2013 and 2012, respectively. We found attractive investment opportunities to grow net assets from operations.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63" w:lineRule="exact"/>
        <w:rPr>
          <w:sz w:val="20"/>
          <w:szCs w:val="20"/>
          <w:color w:val="auto"/>
        </w:rPr>
      </w:pPr>
    </w:p>
    <w:p>
      <w:pPr>
        <w:jc w:val="both"/>
        <w:ind w:right="160" w:firstLine="562"/>
        <w:spacing w:after="0" w:line="256" w:lineRule="auto"/>
        <w:rPr>
          <w:sz w:val="20"/>
          <w:szCs w:val="20"/>
          <w:color w:val="auto"/>
        </w:rPr>
      </w:pPr>
      <w:r>
        <w:rPr>
          <w:rFonts w:ascii="Arial" w:cs="Arial" w:eastAsia="Arial" w:hAnsi="Arial"/>
          <w:sz w:val="13"/>
          <w:szCs w:val="13"/>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29"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As of September 30, 2014, Funding I’s Credit Facility with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September 30,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 As of September 30, 2014 and 2013, we had $53.6 million and $25.4 million of unused borrowing capacity, respectively, subject to the regulatory restrictions that the 1940 Act imposes on us as a BDC.</w:t>
      </w:r>
    </w:p>
    <w:p>
      <w:pPr>
        <w:spacing w:after="0" w:line="137"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2014, we were in compliance with the covenants relating to our Credit Facility.</w:t>
      </w:r>
    </w:p>
    <w:p>
      <w:pPr>
        <w:spacing w:after="0" w:line="133" w:lineRule="exact"/>
        <w:rPr>
          <w:sz w:val="20"/>
          <w:szCs w:val="20"/>
          <w:color w:val="auto"/>
        </w:rPr>
      </w:pPr>
    </w:p>
    <w:p>
      <w:pPr>
        <w:ind w:right="160" w:firstLine="562"/>
        <w:spacing w:after="0" w:line="317"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180" w:firstLine="562"/>
        <w:spacing w:after="0" w:line="247"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5" w:lineRule="exact"/>
        <w:rPr>
          <w:sz w:val="20"/>
          <w:szCs w:val="20"/>
          <w:color w:val="auto"/>
        </w:rPr>
      </w:pPr>
    </w:p>
    <w:p>
      <w:pPr>
        <w:jc w:val="both"/>
        <w:ind w:right="160" w:firstLine="562"/>
        <w:spacing w:after="0" w:line="256"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9" w:lineRule="exact"/>
        <w:rPr>
          <w:sz w:val="20"/>
          <w:szCs w:val="20"/>
          <w:color w:val="auto"/>
        </w:rPr>
      </w:pPr>
    </w:p>
    <w:p>
      <w:pPr>
        <w:ind w:right="440" w:firstLine="562"/>
        <w:spacing w:after="0" w:line="274" w:lineRule="auto"/>
        <w:rPr>
          <w:sz w:val="20"/>
          <w:szCs w:val="20"/>
          <w:color w:val="auto"/>
        </w:rPr>
      </w:pPr>
      <w:r>
        <w:rPr>
          <w:rFonts w:ascii="Arial" w:cs="Arial" w:eastAsia="Arial" w:hAnsi="Arial"/>
          <w:sz w:val="13"/>
          <w:szCs w:val="13"/>
          <w:color w:val="auto"/>
        </w:rPr>
        <w:t>In 2013, we completed follow-on public offerings of 8,038,700 shares of common stock for gross proceeds of $113.4 million and net proceeds of $112.3 million after offering expenses. Our Investment Adviser paid an aggregate of $2.9 million of the sales load associated with these offerings.</w:t>
      </w:r>
    </w:p>
    <w:p>
      <w:pPr>
        <w:spacing w:after="0" w:line="118"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On September 30, 2014 and September 30, 2013, we had cash equivalents of $13.1 million and $4.6 million, respectively, available for investing and general corporate purposes. We believe our liquidity and capital resources are sufficient to take advantage of market opportunities.</w:t>
      </w:r>
    </w:p>
    <w:p>
      <w:pPr>
        <w:spacing w:after="0" w:line="118"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18"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Our operating activities used cash of $124.4 million for the year ended September 30, 2013, and our financing activities provided cash of $125.1 million for the same period. Our operating activities used cash primarily for net investing that was provided from public offerings and net draws under the Credit Facility.</w:t>
      </w:r>
    </w:p>
    <w:p>
      <w:pPr>
        <w:spacing w:after="0" w:line="118"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2014, including borrowings under our Credit Facility and other contractual obligations,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273"/>
              <w:spacing w:after="0"/>
              <w:rPr>
                <w:sz w:val="20"/>
                <w:szCs w:val="20"/>
                <w:color w:val="auto"/>
              </w:rPr>
            </w:pPr>
            <w:r>
              <w:rPr>
                <w:rFonts w:ascii="Arial" w:cs="Arial" w:eastAsia="Arial" w:hAnsi="Arial"/>
                <w:sz w:val="13"/>
                <w:szCs w:val="13"/>
                <w:b w:val="1"/>
                <w:bCs w:val="1"/>
                <w:color w:val="auto"/>
              </w:rPr>
              <w:t>Payments due by period (millions)</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6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1"/>
                <w:szCs w:val="11"/>
                <w:color w:val="auto"/>
              </w:rPr>
            </w:pPr>
          </w:p>
        </w:tc>
        <w:tc>
          <w:tcPr>
            <w:tcW w:w="980" w:type="dxa"/>
            <w:vAlign w:val="bottom"/>
            <w:gridSpan w:val="2"/>
          </w:tcPr>
          <w:p>
            <w:pPr>
              <w:jc w:val="right"/>
              <w:ind w:right="61"/>
              <w:spacing w:after="0" w:line="129" w:lineRule="exact"/>
              <w:rPr>
                <w:sz w:val="20"/>
                <w:szCs w:val="20"/>
                <w:color w:val="auto"/>
              </w:rPr>
            </w:pPr>
            <w:r>
              <w:rPr>
                <w:rFonts w:ascii="Arial" w:cs="Arial" w:eastAsia="Arial" w:hAnsi="Arial"/>
                <w:sz w:val="13"/>
                <w:szCs w:val="13"/>
                <w:b w:val="1"/>
                <w:bCs w:val="1"/>
                <w:color w:val="auto"/>
              </w:rPr>
              <w:t>1-3</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53"/>
              <w:spacing w:after="0" w:line="129" w:lineRule="exact"/>
              <w:rPr>
                <w:sz w:val="20"/>
                <w:szCs w:val="20"/>
                <w:color w:val="auto"/>
              </w:rPr>
            </w:pPr>
            <w:r>
              <w:rPr>
                <w:rFonts w:ascii="Arial" w:cs="Arial" w:eastAsia="Arial" w:hAnsi="Arial"/>
                <w:sz w:val="13"/>
                <w:szCs w:val="13"/>
                <w:b w:val="1"/>
                <w:bCs w:val="1"/>
                <w:color w:val="auto"/>
              </w:rPr>
              <w:t>3-5</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auto"/>
                <w:w w:val="99"/>
              </w:rPr>
              <w:t>More than</w:t>
            </w:r>
          </w:p>
        </w:tc>
        <w:tc>
          <w:tcPr>
            <w:tcW w:w="80" w:type="dxa"/>
            <w:vAlign w:val="bottom"/>
          </w:tcPr>
          <w:p>
            <w:pPr>
              <w:spacing w:after="0"/>
              <w:rPr>
                <w:sz w:val="11"/>
                <w:szCs w:val="11"/>
                <w:color w:val="auto"/>
              </w:rPr>
            </w:pPr>
          </w:p>
        </w:tc>
      </w:tr>
      <w:tr>
        <w:trPr>
          <w:trHeight w:val="161"/>
        </w:trPr>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Total</w:t>
            </w:r>
          </w:p>
        </w:tc>
        <w:tc>
          <w:tcPr>
            <w:tcW w:w="4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 year</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years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3"/>
                <w:szCs w:val="13"/>
                <w:b w:val="1"/>
                <w:bCs w:val="1"/>
                <w:color w:val="auto"/>
                <w:w w:val="99"/>
              </w:rPr>
              <w:t>years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5 years</w:t>
            </w: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2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146.4</w:t>
            </w:r>
          </w:p>
        </w:tc>
        <w:tc>
          <w:tcPr>
            <w:tcW w:w="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91"/>
              </w:rPr>
              <w:t>—</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3"/>
                <w:szCs w:val="13"/>
                <w:color w:val="auto"/>
                <w:w w:val="91"/>
              </w:rPr>
              <w:t>—</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146.4</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56"/>
        </w:trPr>
        <w:tc>
          <w:tcPr>
            <w:tcW w:w="3680" w:type="dxa"/>
            <w:vAlign w:val="bottom"/>
          </w:tcPr>
          <w:p>
            <w:pPr>
              <w:spacing w:after="0" w:line="149" w:lineRule="exact"/>
              <w:rPr>
                <w:sz w:val="20"/>
                <w:szCs w:val="20"/>
                <w:color w:val="auto"/>
              </w:rPr>
            </w:pPr>
            <w:r>
              <w:rPr>
                <w:rFonts w:ascii="Arial" w:cs="Arial" w:eastAsia="Arial" w:hAnsi="Arial"/>
                <w:sz w:val="11"/>
                <w:szCs w:val="11"/>
                <w:color w:val="auto"/>
              </w:rPr>
              <w:t xml:space="preserve">Unfunded investments </w:t>
            </w:r>
            <w:r>
              <w:rPr>
                <w:rFonts w:ascii="Arial" w:cs="Arial" w:eastAsia="Arial" w:hAnsi="Arial"/>
                <w:sz w:val="17"/>
                <w:szCs w:val="17"/>
                <w:color w:val="auto"/>
                <w:vertAlign w:val="superscript"/>
              </w:rPr>
              <w:t>(1)</w:t>
            </w:r>
          </w:p>
        </w:tc>
        <w:tc>
          <w:tcPr>
            <w:tcW w:w="2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r>
      <w:tr>
        <w:trPr>
          <w:trHeight w:val="14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1100" w:type="dxa"/>
            <w:vAlign w:val="bottom"/>
            <w:gridSpan w:val="2"/>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w w:val="91"/>
              </w:rPr>
              <w:t>—</w:t>
            </w:r>
          </w:p>
        </w:tc>
        <w:tc>
          <w:tcPr>
            <w:tcW w:w="980" w:type="dxa"/>
            <w:vAlign w:val="bottom"/>
            <w:gridSpan w:val="2"/>
            <w:shd w:val="clear" w:color="auto" w:fill="CCEEFF"/>
          </w:tcPr>
          <w:p>
            <w:pPr>
              <w:jc w:val="right"/>
              <w:ind w:right="461"/>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r>
      <w:tr>
        <w:trPr>
          <w:trHeight w:val="20"/>
        </w:trPr>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3"/>
          <w:szCs w:val="13"/>
          <w:color w:val="auto"/>
        </w:rPr>
        <w:t>Unfunded investments described in the Consolidated Statements of Assets and Liabilities represent unfunded delayed draws on investments and/or revolving lines of credit.</w:t>
      </w:r>
    </w:p>
    <w:p>
      <w:pPr>
        <w:spacing w:after="0" w:line="111"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4"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08"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2" w:lineRule="exact"/>
        <w:rPr>
          <w:sz w:val="20"/>
          <w:szCs w:val="20"/>
          <w:color w:val="auto"/>
        </w:rPr>
      </w:pPr>
    </w:p>
    <w:p>
      <w:pPr>
        <w:ind w:right="140" w:firstLine="562"/>
        <w:spacing w:after="0" w:line="265"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w:t>
      </w:r>
    </w:p>
    <w:p>
      <w:pPr>
        <w:ind w:right="220" w:firstLine="8"/>
        <w:spacing w:after="0" w:line="255" w:lineRule="auto"/>
        <w:tabs>
          <w:tab w:leader="none" w:pos="191" w:val="left"/>
        </w:tabs>
        <w:numPr>
          <w:ilvl w:val="0"/>
          <w:numId w:val="39"/>
        </w:numPr>
        <w:rPr>
          <w:rFonts w:ascii="Arial" w:cs="Arial" w:eastAsia="Arial" w:hAnsi="Arial"/>
          <w:sz w:val="13"/>
          <w:szCs w:val="13"/>
          <w:color w:val="auto"/>
        </w:rPr>
      </w:pPr>
      <w:r>
        <w:rPr>
          <w:rFonts w:ascii="Arial" w:cs="Arial" w:eastAsia="Arial" w:hAnsi="Arial"/>
          <w:sz w:val="13"/>
          <w:szCs w:val="13"/>
          <w:color w:val="auto"/>
        </w:rPr>
        <w:t>upon our liquidation. Based on actual returns, we met the conditions for repayment to the Investment Adviser during the quarter ended December 31, 2012 and repaid approximately $2.1 million to the Investment Adviser, which then purchased shares of our common stock in the secondary market.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currently engage in no off-balance sheet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161" w:lineRule="exact"/>
        <w:rPr>
          <w:sz w:val="20"/>
          <w:szCs w:val="20"/>
          <w:color w:val="auto"/>
        </w:rPr>
      </w:pPr>
    </w:p>
    <w:p>
      <w:pPr>
        <w:ind w:right="100" w:firstLine="562"/>
        <w:spacing w:after="0" w:line="244"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During the years ended September 30, 2014, 2013 and 2012, we declared distributions of $1.08, $1.03 and $0.91 per share, respectively, for total distributions of $16.1 million, $10.0 million and $6.2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continue to make monthly distributions to our stockholders. Our monthly distributions, if any, are determined by our board of directors quarterly.</w:t>
      </w:r>
    </w:p>
    <w:p>
      <w:pPr>
        <w:spacing w:after="0" w:line="134" w:lineRule="exact"/>
        <w:rPr>
          <w:sz w:val="20"/>
          <w:szCs w:val="20"/>
          <w:color w:val="auto"/>
        </w:rPr>
      </w:pPr>
    </w:p>
    <w:p>
      <w:pPr>
        <w:jc w:val="both"/>
        <w:ind w:right="20" w:firstLine="562"/>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1" w:lineRule="exact"/>
        <w:rPr>
          <w:sz w:val="20"/>
          <w:szCs w:val="20"/>
          <w:color w:val="auto"/>
        </w:rPr>
      </w:pPr>
    </w:p>
    <w:p>
      <w:pPr>
        <w:jc w:val="both"/>
        <w:ind w:right="40"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06"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2"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2014, our debt portfolio consisted of 95% variable-rate investments (including 92%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08" w:lineRule="exact"/>
        <w:rPr>
          <w:sz w:val="20"/>
          <w:szCs w:val="20"/>
          <w:color w:val="auto"/>
        </w:rPr>
      </w:pPr>
    </w:p>
    <w:p>
      <w:pPr>
        <w:ind w:right="500" w:firstLine="562"/>
        <w:spacing w:after="0" w:line="274" w:lineRule="auto"/>
        <w:rPr>
          <w:sz w:val="20"/>
          <w:szCs w:val="20"/>
          <w:color w:val="auto"/>
        </w:rPr>
      </w:pPr>
      <w:r>
        <w:rPr>
          <w:rFonts w:ascii="Arial" w:cs="Arial" w:eastAsia="Arial" w:hAnsi="Arial"/>
          <w:sz w:val="13"/>
          <w:szCs w:val="13"/>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3"/>
                <w:szCs w:val="13"/>
                <w:color w:val="auto"/>
                <w:w w:val="94"/>
              </w:rPr>
              <w:t>Change In Interest Income,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91"/>
              </w:rPr>
              <w:t>Change In Interest Rates</w:t>
            </w:r>
          </w:p>
        </w:tc>
        <w:tc>
          <w:tcPr>
            <w:tcW w:w="1940" w:type="dxa"/>
            <w:vAlign w:val="bottom"/>
            <w:gridSpan w:val="3"/>
          </w:tcPr>
          <w:p>
            <w:pPr>
              <w:ind w:left="160"/>
              <w:spacing w:after="0"/>
              <w:rPr>
                <w:sz w:val="20"/>
                <w:szCs w:val="20"/>
                <w:color w:val="auto"/>
              </w:rPr>
            </w:pPr>
            <w:r>
              <w:rPr>
                <w:rFonts w:ascii="Arial" w:cs="Arial" w:eastAsia="Arial" w:hAnsi="Arial"/>
                <w:sz w:val="13"/>
                <w:szCs w:val="13"/>
                <w:color w:val="auto"/>
              </w:rPr>
              <w:t>Net Of Interest Expense</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3"/>
                <w:szCs w:val="13"/>
                <w:color w:val="auto"/>
                <w:w w:val="92"/>
              </w:rPr>
              <w:t>(in thousands)</w:t>
            </w: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Per Share</w:t>
            </w:r>
          </w:p>
        </w:tc>
        <w:tc>
          <w:tcPr>
            <w:tcW w:w="0" w:type="dxa"/>
            <w:vAlign w:val="bottom"/>
          </w:tcPr>
          <w:p>
            <w:pPr>
              <w:spacing w:after="0"/>
              <w:rPr>
                <w:sz w:val="1"/>
                <w:szCs w:val="1"/>
                <w:color w:val="auto"/>
              </w:rPr>
            </w:pPr>
          </w:p>
        </w:tc>
      </w:tr>
      <w:tr>
        <w:trPr>
          <w:trHeight w:val="142"/>
        </w:trPr>
        <w:tc>
          <w:tcPr>
            <w:tcW w:w="3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7"/>
              </w:rPr>
              <w:t>Up 1%</w:t>
            </w:r>
          </w:p>
        </w:tc>
        <w:tc>
          <w:tcPr>
            <w:tcW w:w="2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(1,372)</w:t>
            </w:r>
          </w:p>
        </w:tc>
        <w:tc>
          <w:tcPr>
            <w:tcW w:w="3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center"/>
              <w:ind w:left="353"/>
              <w:spacing w:after="0" w:line="142" w:lineRule="exact"/>
              <w:rPr>
                <w:sz w:val="20"/>
                <w:szCs w:val="20"/>
                <w:color w:val="auto"/>
              </w:rPr>
            </w:pPr>
            <w:r>
              <w:rPr>
                <w:rFonts w:ascii="Arial" w:cs="Arial" w:eastAsia="Arial" w:hAnsi="Arial"/>
                <w:sz w:val="13"/>
                <w:szCs w:val="13"/>
                <w:color w:val="auto"/>
                <w:w w:val="94"/>
              </w:rPr>
              <w:t>(0.09)</w:t>
            </w: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jc w:val="center"/>
              <w:ind w:right="280"/>
              <w:spacing w:after="0"/>
              <w:rPr>
                <w:sz w:val="20"/>
                <w:szCs w:val="20"/>
                <w:color w:val="auto"/>
              </w:rPr>
            </w:pPr>
            <w:r>
              <w:rPr>
                <w:rFonts w:ascii="Arial" w:cs="Arial" w:eastAsia="Arial" w:hAnsi="Arial"/>
                <w:sz w:val="13"/>
                <w:szCs w:val="13"/>
                <w:color w:val="auto"/>
                <w:w w:val="97"/>
              </w:rPr>
              <w:t>Up 2%</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455</w:t>
            </w:r>
          </w:p>
        </w:tc>
        <w:tc>
          <w:tcPr>
            <w:tcW w:w="320" w:type="dxa"/>
            <w:vAlign w:val="bottom"/>
          </w:tcPr>
          <w:p>
            <w:pPr>
              <w:spacing w:after="0"/>
              <w:rPr>
                <w:sz w:val="12"/>
                <w:szCs w:val="12"/>
                <w:color w:val="auto"/>
              </w:rPr>
            </w:pP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tcPr>
          <w:p>
            <w:pPr>
              <w:jc w:val="center"/>
              <w:ind w:left="373"/>
              <w:spacing w:after="0"/>
              <w:rPr>
                <w:sz w:val="20"/>
                <w:szCs w:val="20"/>
                <w:color w:val="auto"/>
              </w:rPr>
            </w:pPr>
            <w:r>
              <w:rPr>
                <w:rFonts w:ascii="Arial" w:cs="Arial" w:eastAsia="Arial" w:hAnsi="Arial"/>
                <w:sz w:val="13"/>
                <w:szCs w:val="13"/>
                <w:color w:val="auto"/>
                <w:w w:val="86"/>
              </w:rPr>
              <w:t>0.03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7"/>
              </w:rPr>
              <w:t>Up 3%</w:t>
            </w:r>
          </w:p>
        </w:tc>
        <w:tc>
          <w:tcPr>
            <w:tcW w:w="3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2,282</w:t>
            </w:r>
          </w:p>
        </w:tc>
        <w:tc>
          <w:tcPr>
            <w:tcW w:w="3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center"/>
              <w:ind w:left="373"/>
              <w:spacing w:after="0"/>
              <w:rPr>
                <w:sz w:val="20"/>
                <w:szCs w:val="20"/>
                <w:color w:val="auto"/>
              </w:rPr>
            </w:pPr>
            <w:r>
              <w:rPr>
                <w:rFonts w:ascii="Arial" w:cs="Arial" w:eastAsia="Arial" w:hAnsi="Arial"/>
                <w:sz w:val="13"/>
                <w:szCs w:val="13"/>
                <w:color w:val="auto"/>
                <w:w w:val="86"/>
              </w:rPr>
              <w:t>0.15</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20" w:type="dxa"/>
            <w:vAlign w:val="bottom"/>
            <w:gridSpan w:val="2"/>
          </w:tcPr>
          <w:p>
            <w:pPr>
              <w:jc w:val="center"/>
              <w:ind w:right="280"/>
              <w:spacing w:after="0"/>
              <w:rPr>
                <w:sz w:val="20"/>
                <w:szCs w:val="20"/>
                <w:color w:val="auto"/>
              </w:rPr>
            </w:pPr>
            <w:r>
              <w:rPr>
                <w:rFonts w:ascii="Arial" w:cs="Arial" w:eastAsia="Arial" w:hAnsi="Arial"/>
                <w:sz w:val="13"/>
                <w:szCs w:val="13"/>
                <w:color w:val="auto"/>
                <w:w w:val="97"/>
              </w:rPr>
              <w:t>Up 4%</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4,109</w:t>
            </w:r>
          </w:p>
        </w:tc>
        <w:tc>
          <w:tcPr>
            <w:tcW w:w="320" w:type="dxa"/>
            <w:vAlign w:val="bottom"/>
          </w:tcPr>
          <w:p>
            <w:pPr>
              <w:spacing w:after="0"/>
              <w:rPr>
                <w:sz w:val="14"/>
                <w:szCs w:val="14"/>
                <w:color w:val="auto"/>
              </w:rPr>
            </w:pPr>
          </w:p>
        </w:tc>
        <w:tc>
          <w:tcPr>
            <w:tcW w:w="24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center"/>
              <w:ind w:left="373"/>
              <w:spacing w:after="0"/>
              <w:rPr>
                <w:sz w:val="20"/>
                <w:szCs w:val="20"/>
                <w:color w:val="auto"/>
              </w:rPr>
            </w:pPr>
            <w:r>
              <w:rPr>
                <w:rFonts w:ascii="Arial" w:cs="Arial" w:eastAsia="Arial" w:hAnsi="Arial"/>
                <w:sz w:val="13"/>
                <w:szCs w:val="13"/>
                <w:color w:val="auto"/>
                <w:w w:val="86"/>
              </w:rPr>
              <w:t>0.28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2" w:lineRule="exact"/>
        <w:rPr>
          <w:sz w:val="20"/>
          <w:szCs w:val="20"/>
          <w:color w:val="auto"/>
        </w:rPr>
      </w:pPr>
    </w:p>
    <w:p>
      <w:pPr>
        <w:ind w:right="20" w:firstLine="562"/>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7"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7600" w:type="dxa"/>
            <w:vAlign w:val="bottom"/>
          </w:tcPr>
          <w:p>
            <w:pPr>
              <w:jc w:val="right"/>
              <w:ind w:right="3693"/>
              <w:spacing w:after="0"/>
              <w:rPr>
                <w:sz w:val="20"/>
                <w:szCs w:val="20"/>
                <w:color w:val="auto"/>
              </w:rPr>
            </w:pPr>
            <w:r>
              <w:rPr>
                <w:rFonts w:ascii="Arial" w:cs="Arial" w:eastAsia="Arial" w:hAnsi="Arial"/>
                <w:sz w:val="13"/>
                <w:szCs w:val="13"/>
                <w:b w:val="1"/>
                <w:bCs w:val="1"/>
                <w:color w:val="auto"/>
              </w:rPr>
              <w:t>Consolidated Financial Statements and Supplementary Data</w:t>
            </w:r>
          </w:p>
        </w:tc>
        <w:tc>
          <w:tcPr>
            <w:tcW w:w="2820" w:type="dxa"/>
            <w:vAlign w:val="bottom"/>
          </w:tcPr>
          <w:p>
            <w:pPr>
              <w:spacing w:after="0"/>
              <w:rPr>
                <w:sz w:val="15"/>
                <w:szCs w:val="15"/>
                <w:color w:val="auto"/>
              </w:rPr>
            </w:pPr>
          </w:p>
        </w:tc>
      </w:tr>
      <w:tr>
        <w:trPr>
          <w:trHeight w:val="351"/>
        </w:trPr>
        <w:tc>
          <w:tcPr>
            <w:tcW w:w="7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83"/>
        </w:trPr>
        <w:tc>
          <w:tcPr>
            <w:tcW w:w="8380" w:type="dxa"/>
            <w:vAlign w:val="bottom"/>
            <w:gridSpan w:val="2"/>
          </w:tcPr>
          <w:p>
            <w:pPr>
              <w:spacing w:after="0"/>
              <w:rPr>
                <w:rFonts w:ascii="Arial" w:cs="Arial" w:eastAsia="Arial" w:hAnsi="Arial"/>
                <w:sz w:val="13"/>
                <w:szCs w:val="13"/>
                <w:u w:val="single" w:color="auto"/>
                <w:color w:val="0000EE"/>
              </w:rPr>
            </w:pPr>
            <w:hyperlink w:anchor="page55">
              <w:r>
                <w:rPr>
                  <w:rFonts w:ascii="Arial" w:cs="Arial" w:eastAsia="Arial" w:hAnsi="Arial"/>
                  <w:sz w:val="13"/>
                  <w:szCs w:val="13"/>
                  <w:u w:val="single" w:color="auto"/>
                  <w:color w:val="0000EE"/>
                </w:rPr>
                <w:t>Management’s Report on Internal Control Over Financial Reporting</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Reports of Independent Registered Public Accounting Firms</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54</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Report of Independent Registered Public Accounting Firm On Internal Control Over Financial Reporting</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56</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59">
              <w:r>
                <w:rPr>
                  <w:rFonts w:ascii="Arial" w:cs="Arial" w:eastAsia="Arial" w:hAnsi="Arial"/>
                  <w:sz w:val="13"/>
                  <w:szCs w:val="13"/>
                  <w:u w:val="single" w:color="auto"/>
                  <w:color w:val="0000EE"/>
                </w:rPr>
                <w:t>Consolidated Statements of Assets and Liabilities as of September 30, 2014 and 2013</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Consolidated Statements of Operations for the years ended September 30, 2014, 2013 and 2012</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Consolidated Statements of Changes in Net Assets for the years ended September 30, 2014, 2013 and 2012</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Consolidated Statements of Cash Flows for the years ended September 30, 2014, 2013 and 2012</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Consolidated Schedules of Investments as of September 30, 2014 and 2013</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216"/>
        </w:trPr>
        <w:tc>
          <w:tcPr>
            <w:tcW w:w="8380" w:type="dxa"/>
            <w:vAlign w:val="bottom"/>
            <w:gridSpan w:val="2"/>
          </w:tcPr>
          <w:p>
            <w:pPr>
              <w:spacing w:after="0"/>
              <w:rPr>
                <w:rFonts w:ascii="Arial" w:cs="Arial" w:eastAsia="Arial" w:hAnsi="Arial"/>
                <w:sz w:val="13"/>
                <w:szCs w:val="13"/>
                <w:u w:val="single" w:color="auto"/>
                <w:color w:val="0000EE"/>
              </w:rPr>
            </w:pPr>
            <w:hyperlink w:anchor="page67">
              <w:r>
                <w:rPr>
                  <w:rFonts w:ascii="Arial" w:cs="Arial" w:eastAsia="Arial" w:hAnsi="Arial"/>
                  <w:sz w:val="13"/>
                  <w:szCs w:val="13"/>
                  <w:u w:val="single" w:color="auto"/>
                  <w:color w:val="0000EE"/>
                </w:rPr>
                <w:t>Notes to the Consolidated Financial Statements</w:t>
              </w:r>
            </w:hyperlink>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66</w:t>
            </w:r>
          </w:p>
        </w:tc>
      </w:tr>
      <w:tr>
        <w:trPr>
          <w:trHeight w:val="297"/>
        </w:trPr>
        <w:tc>
          <w:tcPr>
            <w:tcW w:w="780" w:type="dxa"/>
            <w:vAlign w:val="bottom"/>
          </w:tcPr>
          <w:p>
            <w:pPr>
              <w:spacing w:after="0"/>
              <w:rPr>
                <w:sz w:val="24"/>
                <w:szCs w:val="24"/>
                <w:color w:val="auto"/>
              </w:rPr>
            </w:pPr>
          </w:p>
        </w:tc>
        <w:tc>
          <w:tcPr>
            <w:tcW w:w="7600" w:type="dxa"/>
            <w:vAlign w:val="bottom"/>
          </w:tcPr>
          <w:p>
            <w:pPr>
              <w:jc w:val="right"/>
              <w:ind w:right="2613"/>
              <w:spacing w:after="0"/>
              <w:rPr>
                <w:sz w:val="20"/>
                <w:szCs w:val="20"/>
                <w:color w:val="auto"/>
              </w:rPr>
            </w:pPr>
            <w:r>
              <w:rPr>
                <w:rFonts w:ascii="Arial" w:cs="Arial" w:eastAsia="Arial" w:hAnsi="Arial"/>
                <w:sz w:val="13"/>
                <w:szCs w:val="13"/>
                <w:color w:val="auto"/>
              </w:rPr>
              <w:t>52</w:t>
            </w:r>
          </w:p>
        </w:tc>
        <w:tc>
          <w:tcPr>
            <w:tcW w:w="282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217"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84"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 xml:space="preserve">Management assessed the effectiveness of the Company’s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Based on the assessment management believes that, as of September 30, 2014, our internal control over financial reporting is effective based on those criteria.</w:t>
      </w:r>
    </w:p>
    <w:p>
      <w:pPr>
        <w:spacing w:after="0" w:line="10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2014. This report appears on page 56.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203" w:lineRule="exact"/>
        <w:rPr>
          <w:sz w:val="20"/>
          <w:szCs w:val="20"/>
          <w:color w:val="auto"/>
        </w:rPr>
      </w:pPr>
    </w:p>
    <w:p>
      <w:pPr>
        <w:ind w:right="100" w:firstLine="562"/>
        <w:spacing w:after="0" w:line="288" w:lineRule="auto"/>
        <w:rPr>
          <w:sz w:val="20"/>
          <w:szCs w:val="20"/>
          <w:color w:val="auto"/>
        </w:rPr>
      </w:pPr>
      <w:r>
        <w:rPr>
          <w:rFonts w:ascii="Arial" w:cs="Arial" w:eastAsia="Arial" w:hAnsi="Arial"/>
          <w:sz w:val="12"/>
          <w:szCs w:val="12"/>
          <w:color w:val="auto"/>
        </w:rPr>
        <w:t>We have audited the accompanying consolidated statement of assets and liabilities of PennantPark Floating Rate Capital Ltd. and its Subsidiary (collectively referred to as the “Company”), including the consolidated schedule of investments as of September 30, 2014, and the related consolidated statements of operations, changes in net assets, and cash flows for the year ended September 30, 2014. These consolidated financial statements are the responsibility of the Company’s management. Our responsibility is to express an opinion on these consolidated financial statements based on our audit.</w:t>
      </w:r>
    </w:p>
    <w:p>
      <w:pPr>
        <w:spacing w:after="0" w:line="84"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90" w:lineRule="exact"/>
        <w:rPr>
          <w:sz w:val="20"/>
          <w:szCs w:val="20"/>
          <w:color w:val="auto"/>
        </w:rPr>
      </w:pPr>
    </w:p>
    <w:p>
      <w:pPr>
        <w:ind w:firstLine="562"/>
        <w:spacing w:after="0" w:line="317"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PennantPark Floating Rate Capital Ltd. and its Subsidiary as of September 30, 2014, and the results of their operations, changes in net assets and their cash flows for the year then ended in conformity with U.S. generally accepted accounting principles.</w:t>
      </w:r>
    </w:p>
    <w:p>
      <w:pPr>
        <w:spacing w:after="0" w:line="67" w:lineRule="exact"/>
        <w:rPr>
          <w:sz w:val="20"/>
          <w:szCs w:val="20"/>
          <w:color w:val="auto"/>
        </w:rPr>
      </w:pPr>
    </w:p>
    <w:p>
      <w:pPr>
        <w:jc w:val="both"/>
        <w:ind w:right="160" w:firstLine="562"/>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2014,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in 1992, and our report dated November 13, 2014 expressed an unqualified opinion on the effectiveness of the Company’s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McGladrey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13, 2014</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00"/>
          </w:cols>
          <w:pgMar w:left="32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203"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We have audited the accompanying consolidated statements of assets and liabilities of PennantPark Floating Rate Capital Ltd. and its Subsidiary (collectively referred to as the “Company”), including the consolidated schedule of investments as of September 30, 2013,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0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8" w:lineRule="exact"/>
        <w:rPr>
          <w:sz w:val="20"/>
          <w:szCs w:val="20"/>
          <w:color w:val="auto"/>
        </w:rPr>
      </w:pPr>
    </w:p>
    <w:p>
      <w:pPr>
        <w:ind w:right="20" w:firstLine="562"/>
        <w:spacing w:after="0" w:line="317"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PennantPark Floating Rate Capital Ltd. and its Subsidiary as of September 30, 2013 and the results of their operations and their cash flows for the years ended September 30, 2013 and 2012, in conformity with U.S. generally accepted accounting principles.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2013</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68" w:lineRule="exact"/>
        <w:rPr>
          <w:sz w:val="20"/>
          <w:szCs w:val="20"/>
          <w:color w:val="auto"/>
        </w:rPr>
      </w:pPr>
    </w:p>
    <w:p>
      <w:pPr>
        <w:ind w:right="140" w:firstLine="562"/>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Subsidiary’s (the “Company”) internal control over financial reporting as of September 30, 2014,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in 1992. The Company’s management is responsible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90" w:lineRule="exact"/>
        <w:rPr>
          <w:sz w:val="20"/>
          <w:szCs w:val="20"/>
          <w:color w:val="auto"/>
        </w:rPr>
      </w:pPr>
    </w:p>
    <w:p>
      <w:pPr>
        <w:jc w:val="both"/>
        <w:ind w:right="60" w:firstLine="562"/>
        <w:spacing w:after="0" w:line="25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 xml:space="preserve">In our opinion, PennantPark Floating Rate Capital, Ltd. and its Subsidiary maintained, in all material respects, effective internal control over financial reporting as of September 30, 2014,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 in 1992.</w:t>
      </w:r>
    </w:p>
    <w:p>
      <w:pPr>
        <w:spacing w:after="0" w:line="91"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statement of assets and liabilities of PennantPark Floating Rate Capital Ltd. and its Subsidiary, including the schedule of investments as of September 30, 2014, and the related consolidated statements of operations, changes in net assets, and cash flows for the year then ended and our report dated November 13, 2014 expressed an unqualified opinion.</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/s/ McGladrey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13, 2014</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September 30, 2014</w:t>
            </w:r>
          </w:p>
        </w:tc>
        <w:tc>
          <w:tcPr>
            <w:tcW w:w="10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September 30, 2013</w:t>
            </w:r>
          </w:p>
        </w:tc>
      </w:tr>
      <w:tr>
        <w:trPr>
          <w:trHeight w:val="129"/>
        </w:trPr>
        <w:tc>
          <w:tcPr>
            <w:tcW w:w="8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Non-controlled, non-affiliated investments (cost—$348,354,295 and $319,283,468,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348,428,492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Cash equivalents (See Note 8)</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13,113,817</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4,578,249</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1,773,870</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2,140,802</w:t>
            </w:r>
          </w:p>
        </w:tc>
        <w:tc>
          <w:tcPr>
            <w:tcW w:w="100" w:type="dxa"/>
            <w:vAlign w:val="bottom"/>
            <w:shd w:val="clear" w:color="auto" w:fill="CCEEFF"/>
          </w:tcPr>
          <w:p>
            <w:pPr>
              <w:spacing w:after="0"/>
              <w:rPr>
                <w:sz w:val="12"/>
                <w:szCs w:val="12"/>
                <w:color w:val="auto"/>
              </w:rPr>
            </w:pPr>
          </w:p>
        </w:tc>
      </w:tr>
      <w:tr>
        <w:trPr>
          <w:trHeight w:val="149"/>
        </w:trPr>
        <w:tc>
          <w:tcPr>
            <w:tcW w:w="8080" w:type="dxa"/>
            <w:vAlign w:val="bottom"/>
          </w:tcPr>
          <w:p>
            <w:pPr>
              <w:spacing w:after="0"/>
              <w:rPr>
                <w:sz w:val="20"/>
                <w:szCs w:val="20"/>
                <w:color w:val="auto"/>
              </w:rPr>
            </w:pPr>
            <w:r>
              <w:rPr>
                <w:rFonts w:ascii="Arial" w:cs="Arial" w:eastAsia="Arial" w:hAnsi="Arial"/>
                <w:sz w:val="13"/>
                <w:szCs w:val="13"/>
                <w:color w:val="auto"/>
              </w:rPr>
              <w:t>Receivable for investments sold</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9,001,938</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3,659,185</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556,359</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619,737</w:t>
            </w:r>
          </w:p>
        </w:tc>
        <w:tc>
          <w:tcPr>
            <w:tcW w:w="100" w:type="dxa"/>
            <w:vAlign w:val="bottom"/>
            <w:shd w:val="clear" w:color="auto" w:fill="CCEEFF"/>
          </w:tcPr>
          <w:p>
            <w:pPr>
              <w:spacing w:after="0"/>
              <w:rPr>
                <w:sz w:val="12"/>
                <w:szCs w:val="12"/>
                <w:color w:val="auto"/>
              </w:rPr>
            </w:pPr>
          </w:p>
        </w:tc>
      </w:tr>
      <w:tr>
        <w:trPr>
          <w:trHeight w:val="163"/>
        </w:trPr>
        <w:tc>
          <w:tcPr>
            <w:tcW w:w="8080" w:type="dxa"/>
            <w:vAlign w:val="bottom"/>
          </w:tcPr>
          <w:p>
            <w:pPr>
              <w:ind w:left="98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372,874,476</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328,801,867</w:t>
            </w:r>
          </w:p>
        </w:tc>
        <w:tc>
          <w:tcPr>
            <w:tcW w:w="100" w:type="dxa"/>
            <w:vAlign w:val="bottom"/>
          </w:tcPr>
          <w:p>
            <w:pPr>
              <w:spacing w:after="0"/>
              <w:rPr>
                <w:sz w:val="14"/>
                <w:szCs w:val="14"/>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Distributions payable</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1,340,825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1,303,580</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3,162,000</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14,021,588</w:t>
            </w: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Unfunded investments</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2,705,882</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934,555</w:t>
            </w:r>
          </w:p>
        </w:tc>
        <w:tc>
          <w:tcPr>
            <w:tcW w:w="100" w:type="dxa"/>
            <w:vAlign w:val="bottom"/>
          </w:tcPr>
          <w:p>
            <w:pPr>
              <w:spacing w:after="0"/>
              <w:rPr>
                <w:sz w:val="12"/>
                <w:szCs w:val="12"/>
                <w:color w:val="auto"/>
              </w:rPr>
            </w:pPr>
          </w:p>
        </w:tc>
      </w:tr>
      <w:tr>
        <w:trPr>
          <w:trHeight w:val="149"/>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Credit Facility payable (cost—$146,400,000 and $99,600,000, respectively) (See Notes 5 and 10)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146,949,000</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99,600,000</w:t>
            </w: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Interest payable on Credit Facility</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284,906</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189,934</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914,978</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731,635</w:t>
            </w: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Performance-based incentive fee payable (See Note 3)</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2,180,604</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1,164,090</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808,571</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790,091</w:t>
            </w:r>
          </w:p>
        </w:tc>
        <w:tc>
          <w:tcPr>
            <w:tcW w:w="100" w:type="dxa"/>
            <w:vAlign w:val="bottom"/>
            <w:shd w:val="clear" w:color="auto" w:fill="CCEEFF"/>
          </w:tcPr>
          <w:p>
            <w:pPr>
              <w:spacing w:after="0"/>
              <w:rPr>
                <w:sz w:val="12"/>
                <w:szCs w:val="12"/>
                <w:color w:val="auto"/>
              </w:rPr>
            </w:pPr>
          </w:p>
        </w:tc>
      </w:tr>
      <w:tr>
        <w:trPr>
          <w:trHeight w:val="163"/>
        </w:trPr>
        <w:tc>
          <w:tcPr>
            <w:tcW w:w="8080" w:type="dxa"/>
            <w:vAlign w:val="bottom"/>
          </w:tcPr>
          <w:p>
            <w:pPr>
              <w:ind w:left="98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158,346,766</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118,735,473</w:t>
            </w:r>
          </w:p>
        </w:tc>
      </w:tr>
      <w:tr>
        <w:trPr>
          <w:trHeight w:val="149"/>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(See Note 11)</w:t>
            </w: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8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Common stock, 14,898,056 shares issued and outstanding.</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8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Par value $0.001 per share and 100,000,000 shares authorized.</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14,898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w:t>
            </w:r>
          </w:p>
        </w:tc>
        <w:tc>
          <w:tcPr>
            <w:tcW w:w="100" w:type="dxa"/>
            <w:vAlign w:val="bottom"/>
            <w:shd w:val="clear" w:color="auto" w:fill="CCEEFF"/>
          </w:tcPr>
          <w:p>
            <w:pPr>
              <w:spacing w:after="0"/>
              <w:rPr>
                <w:sz w:val="13"/>
                <w:szCs w:val="13"/>
                <w:color w:val="auto"/>
              </w:rPr>
            </w:pPr>
          </w:p>
        </w:tc>
      </w:tr>
      <w:tr>
        <w:trPr>
          <w:trHeight w:val="148"/>
        </w:trPr>
        <w:tc>
          <w:tcPr>
            <w:tcW w:w="8080" w:type="dxa"/>
            <w:vAlign w:val="bottom"/>
          </w:tcPr>
          <w:p>
            <w:pPr>
              <w:spacing w:after="0"/>
              <w:rPr>
                <w:sz w:val="20"/>
                <w:szCs w:val="20"/>
                <w:color w:val="auto"/>
              </w:rPr>
            </w:pPr>
            <w:r>
              <w:rPr>
                <w:rFonts w:ascii="Arial" w:cs="Arial" w:eastAsia="Arial" w:hAnsi="Arial"/>
                <w:sz w:val="13"/>
                <w:szCs w:val="13"/>
                <w:color w:val="auto"/>
              </w:rPr>
              <w:t>Paid-in capital in excess of par value</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207,226,615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207,481,368</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Undistributed net investment income</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4,878,091</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474,766</w:t>
            </w:r>
          </w:p>
        </w:tc>
        <w:tc>
          <w:tcPr>
            <w:tcW w:w="100" w:type="dxa"/>
            <w:vAlign w:val="bottom"/>
            <w:shd w:val="clear" w:color="auto" w:fill="CCEEFF"/>
          </w:tcPr>
          <w:p>
            <w:pPr>
              <w:spacing w:after="0"/>
              <w:rPr>
                <w:sz w:val="12"/>
                <w:szCs w:val="12"/>
                <w:color w:val="auto"/>
              </w:rPr>
            </w:pPr>
          </w:p>
        </w:tc>
      </w:tr>
      <w:tr>
        <w:trPr>
          <w:trHeight w:val="149"/>
        </w:trPr>
        <w:tc>
          <w:tcPr>
            <w:tcW w:w="8080" w:type="dxa"/>
            <w:vAlign w:val="bottom"/>
          </w:tcPr>
          <w:p>
            <w:pPr>
              <w:spacing w:after="0"/>
              <w:rPr>
                <w:sz w:val="20"/>
                <w:szCs w:val="20"/>
                <w:color w:val="auto"/>
              </w:rPr>
            </w:pPr>
            <w:r>
              <w:rPr>
                <w:rFonts w:ascii="Arial" w:cs="Arial" w:eastAsia="Arial" w:hAnsi="Arial"/>
                <w:sz w:val="13"/>
                <w:szCs w:val="13"/>
                <w:color w:val="auto"/>
              </w:rPr>
              <w:t>Accumulated net realized gain on investments</w:t>
            </w: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2,882,909</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3,574,936</w:t>
            </w:r>
          </w:p>
        </w:tc>
        <w:tc>
          <w:tcPr>
            <w:tcW w:w="100" w:type="dxa"/>
            <w:vAlign w:val="bottom"/>
          </w:tcPr>
          <w:p>
            <w:pPr>
              <w:spacing w:after="0"/>
              <w:rPr>
                <w:sz w:val="12"/>
                <w:szCs w:val="12"/>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on investments</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74,197</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(1,479,574)</w:t>
            </w:r>
          </w:p>
        </w:tc>
      </w:tr>
      <w:tr>
        <w:trPr>
          <w:trHeight w:val="155"/>
        </w:trPr>
        <w:tc>
          <w:tcPr>
            <w:tcW w:w="8080" w:type="dxa"/>
            <w:vAlign w:val="bottom"/>
          </w:tcPr>
          <w:p>
            <w:pPr>
              <w:spacing w:after="0"/>
              <w:rPr>
                <w:sz w:val="20"/>
                <w:szCs w:val="20"/>
                <w:color w:val="auto"/>
              </w:rPr>
            </w:pPr>
            <w:r>
              <w:rPr>
                <w:rFonts w:ascii="Arial" w:cs="Arial" w:eastAsia="Arial" w:hAnsi="Arial"/>
                <w:sz w:val="13"/>
                <w:szCs w:val="13"/>
                <w:color w:val="auto"/>
              </w:rPr>
              <w:t>Net unrealized appreciation on Credit Facility</w:t>
            </w:r>
          </w:p>
        </w:tc>
        <w:tc>
          <w:tcPr>
            <w:tcW w:w="10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3"/>
                <w:szCs w:val="13"/>
                <w:color w:val="auto"/>
              </w:rPr>
              <w:t>(549,000)</w:t>
            </w:r>
          </w:p>
        </w:tc>
        <w:tc>
          <w:tcPr>
            <w:tcW w:w="1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9"/>
        </w:trPr>
        <w:tc>
          <w:tcPr>
            <w:tcW w:w="8080" w:type="dxa"/>
            <w:vAlign w:val="bottom"/>
            <w:shd w:val="clear" w:color="auto" w:fill="CCEEFF"/>
          </w:tcPr>
          <w:p>
            <w:pPr>
              <w:ind w:left="980"/>
              <w:spacing w:after="0"/>
              <w:rPr>
                <w:sz w:val="20"/>
                <w:szCs w:val="20"/>
                <w:color w:val="auto"/>
              </w:rPr>
            </w:pPr>
            <w:r>
              <w:rPr>
                <w:rFonts w:ascii="Arial" w:cs="Arial" w:eastAsia="Arial" w:hAnsi="Arial"/>
                <w:sz w:val="13"/>
                <w:szCs w:val="13"/>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214,527,710</w:t>
            </w: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210,066,394</w:t>
            </w:r>
          </w:p>
        </w:tc>
        <w:tc>
          <w:tcPr>
            <w:tcW w:w="100" w:type="dxa"/>
            <w:vAlign w:val="bottom"/>
            <w:shd w:val="clear" w:color="auto" w:fill="CCEEFF"/>
          </w:tcPr>
          <w:p>
            <w:pPr>
              <w:spacing w:after="0"/>
              <w:rPr>
                <w:sz w:val="12"/>
                <w:szCs w:val="12"/>
                <w:color w:val="auto"/>
              </w:rPr>
            </w:pPr>
          </w:p>
        </w:tc>
      </w:tr>
      <w:tr>
        <w:trPr>
          <w:trHeight w:val="163"/>
        </w:trPr>
        <w:tc>
          <w:tcPr>
            <w:tcW w:w="8080" w:type="dxa"/>
            <w:vAlign w:val="bottom"/>
          </w:tcPr>
          <w:p>
            <w:pPr>
              <w:ind w:left="980"/>
              <w:spacing w:after="0"/>
              <w:rPr>
                <w:sz w:val="20"/>
                <w:szCs w:val="20"/>
                <w:color w:val="auto"/>
              </w:rPr>
            </w:pPr>
            <w:r>
              <w:rPr>
                <w:rFonts w:ascii="Arial" w:cs="Arial" w:eastAsia="Arial" w:hAnsi="Arial"/>
                <w:sz w:val="13"/>
                <w:szCs w:val="13"/>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372,874,476</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328,801,867</w:t>
            </w:r>
          </w:p>
        </w:tc>
        <w:tc>
          <w:tcPr>
            <w:tcW w:w="100" w:type="dxa"/>
            <w:vAlign w:val="bottom"/>
          </w:tcPr>
          <w:p>
            <w:pPr>
              <w:spacing w:after="0"/>
              <w:rPr>
                <w:sz w:val="14"/>
                <w:szCs w:val="14"/>
                <w:color w:val="auto"/>
              </w:rPr>
            </w:pPr>
          </w:p>
        </w:tc>
      </w:tr>
      <w:tr>
        <w:trPr>
          <w:trHeight w:val="148"/>
        </w:trPr>
        <w:tc>
          <w:tcPr>
            <w:tcW w:w="8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w:t>
            </w:r>
          </w:p>
        </w:tc>
        <w:tc>
          <w:tcPr>
            <w:tcW w:w="100" w:type="dxa"/>
            <w:vAlign w:val="bottom"/>
            <w:shd w:val="clear" w:color="auto" w:fill="CCEEFF"/>
          </w:tcPr>
          <w:p>
            <w:pPr>
              <w:spacing w:after="0"/>
              <w:rPr>
                <w:sz w:val="12"/>
                <w:szCs w:val="12"/>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bottom w:val="single" w:sz="8" w:color="auto"/>
            </w:tcBorders>
            <w:gridSpan w:val="10"/>
          </w:tcPr>
          <w:p>
            <w:pPr>
              <w:ind w:left="740"/>
              <w:spacing w:after="0"/>
              <w:rPr>
                <w:sz w:val="20"/>
                <w:szCs w:val="20"/>
                <w:color w:val="auto"/>
              </w:rPr>
            </w:pPr>
            <w:r>
              <w:rPr>
                <w:rFonts w:ascii="Arial" w:cs="Arial" w:eastAsia="Arial" w:hAnsi="Arial"/>
                <w:sz w:val="13"/>
                <w:szCs w:val="13"/>
                <w:b w:val="1"/>
                <w:bCs w:val="1"/>
                <w:color w:val="auto"/>
              </w:rPr>
              <w:t>Years Ended September 30,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2012</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20"/>
                <w:szCs w:val="20"/>
                <w:color w:val="auto"/>
              </w:rPr>
            </w:pPr>
            <w:r>
              <w:rPr>
                <w:rFonts w:ascii="Arial" w:cs="Arial" w:eastAsia="Arial" w:hAnsi="Arial"/>
                <w:sz w:val="13"/>
                <w:szCs w:val="13"/>
                <w:color w:val="auto"/>
              </w:rPr>
              <w:t>From non-controlled, non-affiliated investments: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Interest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29,256,441</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17,635,914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11,856,483</w:t>
            </w:r>
          </w:p>
        </w:tc>
        <w:tc>
          <w:tcPr>
            <w:tcW w:w="0" w:type="dxa"/>
            <w:vAlign w:val="bottom"/>
          </w:tcPr>
          <w:p>
            <w:pPr>
              <w:spacing w:after="0"/>
              <w:rPr>
                <w:sz w:val="1"/>
                <w:szCs w:val="1"/>
                <w:color w:val="auto"/>
              </w:rPr>
            </w:pPr>
          </w:p>
        </w:tc>
      </w:tr>
      <w:tr>
        <w:trPr>
          <w:trHeight w:val="155"/>
        </w:trPr>
        <w:tc>
          <w:tcPr>
            <w:tcW w:w="7740" w:type="dxa"/>
            <w:vAlign w:val="bottom"/>
          </w:tcPr>
          <w:p>
            <w:pPr>
              <w:ind w:left="320"/>
              <w:spacing w:after="0"/>
              <w:rPr>
                <w:sz w:val="20"/>
                <w:szCs w:val="20"/>
                <w:color w:val="auto"/>
              </w:rPr>
            </w:pPr>
            <w:r>
              <w:rPr>
                <w:rFonts w:ascii="Arial" w:cs="Arial" w:eastAsia="Arial" w:hAnsi="Arial"/>
                <w:sz w:val="13"/>
                <w:szCs w:val="13"/>
                <w:color w:val="auto"/>
              </w:rPr>
              <w:t>Other income</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1,100,391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1,231,654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242,065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Total investment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30,356,832</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18,867,568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12,098,548</w:t>
            </w:r>
          </w:p>
        </w:tc>
        <w:tc>
          <w:tcPr>
            <w:tcW w:w="0" w:type="dxa"/>
            <w:vAlign w:val="bottom"/>
          </w:tcPr>
          <w:p>
            <w:pPr>
              <w:spacing w:after="0"/>
              <w:rPr>
                <w:sz w:val="1"/>
                <w:szCs w:val="1"/>
                <w:color w:val="auto"/>
              </w:rPr>
            </w:pPr>
          </w:p>
        </w:tc>
      </w:tr>
      <w:tr>
        <w:trPr>
          <w:trHeight w:val="155"/>
        </w:trPr>
        <w:tc>
          <w:tcPr>
            <w:tcW w:w="774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Base management fee (See Note 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3,702,826</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2,196,038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1,494,616</w:t>
            </w:r>
          </w:p>
        </w:tc>
        <w:tc>
          <w:tcPr>
            <w:tcW w:w="0" w:type="dxa"/>
            <w:vAlign w:val="bottom"/>
          </w:tcPr>
          <w:p>
            <w:pPr>
              <w:spacing w:after="0"/>
              <w:rPr>
                <w:sz w:val="1"/>
                <w:szCs w:val="1"/>
                <w:color w:val="auto"/>
              </w:rPr>
            </w:pPr>
          </w:p>
        </w:tc>
      </w:tr>
      <w:tr>
        <w:trPr>
          <w:trHeight w:val="149"/>
        </w:trPr>
        <w:tc>
          <w:tcPr>
            <w:tcW w:w="7740" w:type="dxa"/>
            <w:vAlign w:val="bottom"/>
          </w:tcPr>
          <w:p>
            <w:pPr>
              <w:ind w:left="320"/>
              <w:spacing w:after="0"/>
              <w:rPr>
                <w:sz w:val="20"/>
                <w:szCs w:val="20"/>
                <w:color w:val="auto"/>
              </w:rPr>
            </w:pPr>
            <w:r>
              <w:rPr>
                <w:rFonts w:ascii="Arial" w:cs="Arial" w:eastAsia="Arial" w:hAnsi="Arial"/>
                <w:sz w:val="13"/>
                <w:szCs w:val="13"/>
                <w:color w:val="auto"/>
              </w:rPr>
              <w:t>Performance-based incentive fee (See Note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3,464,344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1,891,302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564,540</w:t>
            </w: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Interest and expenses on the Credit Facility (See Note 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3,471,347</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1,853,958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1,482,339</w:t>
            </w:r>
          </w:p>
        </w:tc>
        <w:tc>
          <w:tcPr>
            <w:tcW w:w="0" w:type="dxa"/>
            <w:vAlign w:val="bottom"/>
          </w:tcPr>
          <w:p>
            <w:pPr>
              <w:spacing w:after="0"/>
              <w:rPr>
                <w:sz w:val="1"/>
                <w:szCs w:val="1"/>
                <w:color w:val="auto"/>
              </w:rPr>
            </w:pPr>
          </w:p>
        </w:tc>
      </w:tr>
      <w:tr>
        <w:trPr>
          <w:trHeight w:val="148"/>
        </w:trPr>
        <w:tc>
          <w:tcPr>
            <w:tcW w:w="7740" w:type="dxa"/>
            <w:vAlign w:val="bottom"/>
          </w:tcPr>
          <w:p>
            <w:pPr>
              <w:ind w:left="300"/>
              <w:spacing w:after="0"/>
              <w:rPr>
                <w:sz w:val="20"/>
                <w:szCs w:val="20"/>
                <w:color w:val="auto"/>
              </w:rPr>
            </w:pPr>
            <w:r>
              <w:rPr>
                <w:rFonts w:ascii="Arial" w:cs="Arial" w:eastAsia="Arial" w:hAnsi="Arial"/>
                <w:sz w:val="13"/>
                <w:szCs w:val="13"/>
                <w:color w:val="auto"/>
              </w:rPr>
              <w:t>Administrative services expenses (See Note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879,000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864,561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583,613</w:t>
            </w: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Other general and administrative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1,011,285</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988,541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1,310,084</w:t>
            </w:r>
          </w:p>
        </w:tc>
        <w:tc>
          <w:tcPr>
            <w:tcW w:w="0" w:type="dxa"/>
            <w:vAlign w:val="bottom"/>
          </w:tcPr>
          <w:p>
            <w:pPr>
              <w:spacing w:after="0"/>
              <w:rPr>
                <w:sz w:val="1"/>
                <w:szCs w:val="1"/>
                <w:color w:val="auto"/>
              </w:rPr>
            </w:pPr>
          </w:p>
        </w:tc>
      </w:tr>
      <w:tr>
        <w:trPr>
          <w:trHeight w:val="156"/>
        </w:trPr>
        <w:tc>
          <w:tcPr>
            <w:tcW w:w="7740" w:type="dxa"/>
            <w:vAlign w:val="bottom"/>
          </w:tcPr>
          <w:p>
            <w:pPr>
              <w:ind w:left="320"/>
              <w:spacing w:after="0"/>
              <w:rPr>
                <w:sz w:val="20"/>
                <w:szCs w:val="20"/>
                <w:color w:val="auto"/>
              </w:rPr>
            </w:pPr>
            <w:r>
              <w:rPr>
                <w:rFonts w:ascii="Arial" w:cs="Arial" w:eastAsia="Arial" w:hAnsi="Arial"/>
                <w:sz w:val="13"/>
                <w:szCs w:val="13"/>
                <w:b w:val="1"/>
                <w:bCs w:val="1"/>
                <w:color w:val="auto"/>
              </w:rPr>
              <w:t>Expenses before excise tax and amendment costs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12,528,802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7,794,400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5,435,192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Excise tax</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479,425</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122,897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42,027</w:t>
            </w:r>
          </w:p>
        </w:tc>
        <w:tc>
          <w:tcPr>
            <w:tcW w:w="0" w:type="dxa"/>
            <w:vAlign w:val="bottom"/>
          </w:tcPr>
          <w:p>
            <w:pPr>
              <w:spacing w:after="0"/>
              <w:rPr>
                <w:sz w:val="1"/>
                <w:szCs w:val="1"/>
                <w:color w:val="auto"/>
              </w:rPr>
            </w:pPr>
          </w:p>
        </w:tc>
      </w:tr>
      <w:tr>
        <w:trPr>
          <w:trHeight w:val="155"/>
        </w:trPr>
        <w:tc>
          <w:tcPr>
            <w:tcW w:w="7740" w:type="dxa"/>
            <w:vAlign w:val="bottom"/>
          </w:tcPr>
          <w:p>
            <w:pPr>
              <w:ind w:left="320"/>
              <w:spacing w:after="0"/>
              <w:rPr>
                <w:sz w:val="20"/>
                <w:szCs w:val="20"/>
                <w:color w:val="auto"/>
              </w:rPr>
            </w:pPr>
            <w:r>
              <w:rPr>
                <w:rFonts w:ascii="Arial" w:cs="Arial" w:eastAsia="Arial" w:hAnsi="Arial"/>
                <w:sz w:val="13"/>
                <w:szCs w:val="13"/>
                <w:color w:val="auto"/>
              </w:rPr>
              <w:t>Credit Facility issuance and amendment costs (See Notes 5 and 10)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712,930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426,924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311,648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Total expenses</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13,721,157</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8,344,221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5,788,867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740" w:type="dxa"/>
            <w:vAlign w:val="bottom"/>
          </w:tcPr>
          <w:p>
            <w:pPr>
              <w:ind w:left="320"/>
              <w:spacing w:after="0"/>
              <w:rPr>
                <w:sz w:val="20"/>
                <w:szCs w:val="20"/>
                <w:color w:val="auto"/>
              </w:rPr>
            </w:pPr>
            <w:r>
              <w:rPr>
                <w:rFonts w:ascii="Arial" w:cs="Arial" w:eastAsia="Arial" w:hAnsi="Arial"/>
                <w:sz w:val="13"/>
                <w:szCs w:val="13"/>
                <w:color w:val="auto"/>
              </w:rPr>
              <w:t>Net investment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16,635,675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10,523,347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6,309,681</w:t>
            </w: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(loss) on investments and Credit Facility:</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20"/>
                <w:szCs w:val="20"/>
                <w:color w:val="auto"/>
              </w:rPr>
            </w:pPr>
            <w:r>
              <w:rPr>
                <w:rFonts w:ascii="Arial" w:cs="Arial" w:eastAsia="Arial" w:hAnsi="Arial"/>
                <w:sz w:val="13"/>
                <w:szCs w:val="13"/>
                <w:color w:val="auto"/>
              </w:rPr>
              <w:t>Net realized gain on non-controlled, non-affiliated investments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2,873,525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3,574,936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911,925</w:t>
            </w: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appreciation (depreciation) 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40" w:type="dxa"/>
            <w:vAlign w:val="bottom"/>
          </w:tcPr>
          <w:p>
            <w:pPr>
              <w:ind w:left="320"/>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1,553,771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(1,735,965)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4,361,772</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Credit Facility (appreciation) depreciation (See Note 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(549,000)</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(377,500)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Net change in unrealized appreciation (depreciation) on investments and Credit Facility</w:t>
            </w: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1,004,771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(2,113,465)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4,739,272</w:t>
            </w:r>
          </w:p>
        </w:tc>
        <w:tc>
          <w:tcPr>
            <w:tcW w:w="0" w:type="dxa"/>
            <w:vAlign w:val="bottom"/>
          </w:tcPr>
          <w:p>
            <w:pPr>
              <w:spacing w:after="0"/>
              <w:rPr>
                <w:sz w:val="1"/>
                <w:szCs w:val="1"/>
                <w:color w:val="auto"/>
              </w:rPr>
            </w:pPr>
          </w:p>
        </w:tc>
      </w:tr>
      <w:tr>
        <w:trPr>
          <w:trHeight w:val="148"/>
        </w:trPr>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from investments and Credit Facility</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3,878,296</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1,461,471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5,651,197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740" w:type="dxa"/>
            <w:vAlign w:val="bottom"/>
          </w:tcPr>
          <w:p>
            <w:pPr>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20,513,971</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11,984,818</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11,960,878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increase in net assets resulting from operations per common share (See Note 6)</w:t>
            </w:r>
          </w:p>
        </w:tc>
        <w:tc>
          <w:tcPr>
            <w:tcW w:w="1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3"/>
                <w:szCs w:val="13"/>
                <w:color w:val="auto"/>
              </w:rPr>
              <w:t>Net investment income per common share</w:t>
            </w:r>
          </w:p>
        </w:tc>
        <w:tc>
          <w:tcPr>
            <w:tcW w:w="16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vMerge w:val="continue"/>
          </w:tcPr>
          <w:p>
            <w:pPr>
              <w:spacing w:after="0"/>
              <w:rPr>
                <w:sz w:val="13"/>
                <w:szCs w:val="13"/>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209"/>
              <w:spacing w:after="0"/>
              <w:rPr>
                <w:sz w:val="20"/>
                <w:szCs w:val="20"/>
                <w:color w:val="auto"/>
              </w:rPr>
            </w:pPr>
            <w:r>
              <w:rPr>
                <w:rFonts w:ascii="Arial" w:cs="Arial" w:eastAsia="Arial" w:hAnsi="Arial"/>
                <w:sz w:val="13"/>
                <w:szCs w:val="13"/>
                <w:b w:val="1"/>
                <w:bCs w:val="1"/>
                <w:color w:val="auto"/>
                <w:w w:val="92"/>
              </w:rPr>
              <w:t>Years Ended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2014</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7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(decrease) in net assets from operations:</w:t>
            </w:r>
          </w:p>
        </w:tc>
        <w:tc>
          <w:tcPr>
            <w:tcW w:w="1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340"/>
              <w:spacing w:after="0"/>
              <w:rPr>
                <w:sz w:val="20"/>
                <w:szCs w:val="20"/>
                <w:color w:val="auto"/>
              </w:rPr>
            </w:pPr>
            <w:r>
              <w:rPr>
                <w:rFonts w:ascii="Arial" w:cs="Arial" w:eastAsia="Arial" w:hAnsi="Arial"/>
                <w:sz w:val="13"/>
                <w:szCs w:val="13"/>
                <w:color w:val="auto"/>
              </w:rPr>
              <w:t>Net investment income</w:t>
            </w:r>
          </w:p>
        </w:tc>
        <w:tc>
          <w:tcPr>
            <w:tcW w:w="148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16,635,675</w:t>
            </w:r>
          </w:p>
        </w:tc>
        <w:tc>
          <w:tcPr>
            <w:tcW w:w="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10,523,347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6,309,681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realized gain on investments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2,873,525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3,574,936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911,925</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1,553,771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(1,735,965)</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4,361,772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change in unrealized (appreciation) depreciation on Credit Facility</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(549,000)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(377,500)</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20,513,971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11,984,818</w:t>
            </w:r>
          </w:p>
        </w:tc>
        <w:tc>
          <w:tcPr>
            <w:tcW w:w="2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11,960,878</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1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340"/>
              <w:spacing w:after="0"/>
              <w:rPr>
                <w:sz w:val="20"/>
                <w:szCs w:val="20"/>
                <w:color w:val="auto"/>
              </w:rPr>
            </w:pPr>
            <w:r>
              <w:rPr>
                <w:rFonts w:ascii="Arial" w:cs="Arial" w:eastAsia="Arial" w:hAnsi="Arial"/>
                <w:sz w:val="13"/>
                <w:szCs w:val="13"/>
                <w:color w:val="auto"/>
              </w:rPr>
              <w:t>Distribution of net investment income</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(12,477,719)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(9,129,072)</w:t>
            </w:r>
          </w:p>
        </w:tc>
        <w:tc>
          <w:tcPr>
            <w:tcW w:w="28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(5,922,118)</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Distribution of realized gains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(3,574,936)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(911,925)</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Total distributions to stockholders</w:t>
            </w: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(16,052,655)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(10,040,997)</w:t>
            </w:r>
          </w:p>
        </w:tc>
        <w:tc>
          <w:tcPr>
            <w:tcW w:w="28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(6,234,106)</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transactions:</w:t>
            </w:r>
          </w:p>
        </w:tc>
        <w:tc>
          <w:tcPr>
            <w:tcW w:w="1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rPr>
                <w:sz w:val="20"/>
                <w:szCs w:val="20"/>
                <w:color w:val="auto"/>
              </w:rPr>
            </w:pPr>
            <w:r>
              <w:rPr>
                <w:rFonts w:ascii="Arial" w:cs="Arial" w:eastAsia="Arial" w:hAnsi="Arial"/>
                <w:sz w:val="13"/>
                <w:szCs w:val="13"/>
                <w:color w:val="auto"/>
              </w:rPr>
              <w:t>Public offerings and distributions reinvested</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113,567,268</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Offering costs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(1,188,572)</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rPr>
                <w:sz w:val="20"/>
                <w:szCs w:val="20"/>
                <w:color w:val="auto"/>
              </w:rPr>
            </w:pPr>
            <w:r>
              <w:rPr>
                <w:rFonts w:ascii="Arial" w:cs="Arial" w:eastAsia="Arial" w:hAnsi="Arial"/>
                <w:sz w:val="13"/>
                <w:szCs w:val="13"/>
                <w:color w:val="auto"/>
              </w:rPr>
              <w:t>Accrued sales load charges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(2,055,000)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increase (decrease) from capital transactions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112,378,696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(2,055,000)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in net assets</w:t>
            </w: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4,461,316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114,322,517</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3,671,772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340"/>
              <w:spacing w:after="0"/>
              <w:rPr>
                <w:sz w:val="20"/>
                <w:szCs w:val="20"/>
                <w:color w:val="auto"/>
              </w:rPr>
            </w:pPr>
            <w:r>
              <w:rPr>
                <w:rFonts w:ascii="Arial" w:cs="Arial" w:eastAsia="Arial" w:hAnsi="Arial"/>
                <w:sz w:val="13"/>
                <w:szCs w:val="13"/>
                <w:color w:val="auto"/>
              </w:rPr>
              <w:t>Beginning of year</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210,066,394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95,743,877</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92,072,105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End of year</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214,527,710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210,066,394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95,743,877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340"/>
              <w:spacing w:after="0"/>
              <w:rPr>
                <w:sz w:val="20"/>
                <w:szCs w:val="20"/>
                <w:color w:val="auto"/>
              </w:rPr>
            </w:pPr>
            <w:r>
              <w:rPr>
                <w:rFonts w:ascii="Arial" w:cs="Arial" w:eastAsia="Arial" w:hAnsi="Arial"/>
                <w:sz w:val="13"/>
                <w:szCs w:val="13"/>
                <w:color w:val="auto"/>
              </w:rPr>
              <w:t>Undistributed (Distributions in excess of) net investment income, end of year</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vMerge w:val="continue"/>
          </w:tcPr>
          <w:p>
            <w:pPr>
              <w:spacing w:after="0"/>
              <w:rPr>
                <w:sz w:val="12"/>
                <w:szCs w:val="12"/>
                <w:color w:val="auto"/>
              </w:rPr>
            </w:pPr>
          </w:p>
        </w:tc>
        <w:tc>
          <w:tcPr>
            <w:tcW w:w="1480" w:type="dxa"/>
            <w:vAlign w:val="bottom"/>
            <w:gridSpan w:val="2"/>
          </w:tcPr>
          <w:p>
            <w:pPr>
              <w:jc w:val="right"/>
              <w:ind w:right="149"/>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4,878,091</w:t>
            </w:r>
          </w:p>
        </w:tc>
        <w:tc>
          <w:tcPr>
            <w:tcW w:w="60" w:type="dxa"/>
            <w:vAlign w:val="bottom"/>
          </w:tcPr>
          <w:p>
            <w:pPr>
              <w:spacing w:after="0"/>
              <w:rPr>
                <w:sz w:val="12"/>
                <w:szCs w:val="12"/>
                <w:color w:val="auto"/>
              </w:rPr>
            </w:pPr>
          </w:p>
        </w:tc>
        <w:tc>
          <w:tcPr>
            <w:tcW w:w="4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474,766</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(1,313,000)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share activity:</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rPr>
                <w:sz w:val="20"/>
                <w:szCs w:val="20"/>
                <w:color w:val="auto"/>
              </w:rPr>
            </w:pPr>
            <w:r>
              <w:rPr>
                <w:rFonts w:ascii="Arial" w:cs="Arial" w:eastAsia="Arial" w:hAnsi="Arial"/>
                <w:sz w:val="13"/>
                <w:szCs w:val="13"/>
                <w:color w:val="auto"/>
              </w:rPr>
              <w:t>Shares issued from public offerings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8,038,700</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Shares issued from reinvestment of dividends</w:t>
            </w: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8,689</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3"/>
              </w:rPr>
              <w:t>Years Ended September 30,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000" w:type="dxa"/>
            <w:vAlign w:val="bottom"/>
          </w:tcPr>
          <w:p>
            <w:pPr>
              <w:ind w:left="340"/>
              <w:spacing w:after="0"/>
              <w:rPr>
                <w:sz w:val="20"/>
                <w:szCs w:val="20"/>
                <w:color w:val="auto"/>
              </w:rPr>
            </w:pPr>
            <w:r>
              <w:rPr>
                <w:rFonts w:ascii="Arial" w:cs="Arial" w:eastAsia="Arial" w:hAnsi="Arial"/>
                <w:sz w:val="13"/>
                <w:szCs w:val="13"/>
                <w:color w:val="auto"/>
              </w:rPr>
              <w:t>Net increase in net assets resulting from operations</w:t>
            </w:r>
          </w:p>
        </w:tc>
        <w:tc>
          <w:tcPr>
            <w:tcW w:w="108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20,513,971</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11,984,818</w:t>
            </w: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w w:val="82"/>
              </w:rPr>
              <w:t>$</w:t>
            </w:r>
          </w:p>
        </w:tc>
        <w:tc>
          <w:tcPr>
            <w:tcW w:w="1100" w:type="dxa"/>
            <w:vAlign w:val="bottom"/>
            <w:gridSpan w:val="3"/>
          </w:tcPr>
          <w:p>
            <w:pPr>
              <w:jc w:val="right"/>
              <w:ind w:right="100"/>
              <w:spacing w:after="0"/>
              <w:rPr>
                <w:sz w:val="20"/>
                <w:szCs w:val="20"/>
                <w:color w:val="auto"/>
              </w:rPr>
            </w:pPr>
            <w:r>
              <w:rPr>
                <w:rFonts w:ascii="Arial" w:cs="Arial" w:eastAsia="Arial" w:hAnsi="Arial"/>
                <w:sz w:val="13"/>
                <w:szCs w:val="13"/>
                <w:color w:val="auto"/>
              </w:rPr>
              <w:t>11,960,878</w:t>
            </w:r>
          </w:p>
        </w:tc>
      </w:tr>
      <w:tr>
        <w:trPr>
          <w:trHeight w:val="138"/>
        </w:trPr>
        <w:tc>
          <w:tcPr>
            <w:tcW w:w="6000" w:type="dxa"/>
            <w:vAlign w:val="bottom"/>
            <w:shd w:val="clear" w:color="auto" w:fill="CCEEFF"/>
          </w:tcPr>
          <w:p>
            <w:pPr>
              <w:ind w:left="340"/>
              <w:spacing w:after="0" w:line="138" w:lineRule="exact"/>
              <w:rPr>
                <w:sz w:val="20"/>
                <w:szCs w:val="20"/>
                <w:color w:val="auto"/>
              </w:rPr>
            </w:pPr>
            <w:r>
              <w:rPr>
                <w:rFonts w:ascii="Arial" w:cs="Arial" w:eastAsia="Arial" w:hAnsi="Arial"/>
                <w:sz w:val="13"/>
                <w:szCs w:val="13"/>
                <w:color w:val="auto"/>
              </w:rPr>
              <w:t>Adjustments to reconcile net increase in net assets resulting from operations to net cash</w:t>
            </w:r>
          </w:p>
        </w:tc>
        <w:tc>
          <w:tcPr>
            <w:tcW w:w="9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tcBorders>
              <w:left w:val="single" w:sz="8" w:color="CCEEFF"/>
            </w:tcBorders>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60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used for operating activities:</w:t>
            </w:r>
          </w:p>
        </w:tc>
        <w:tc>
          <w:tcPr>
            <w:tcW w:w="96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1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(1,553,771)</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1,735,965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(4,361,772)</w:t>
            </w: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Net change in unrealized appreciation (depreciation) on Credit Facility</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549,000</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(377,500)</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Net realized gain on investments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(2,873,525)</w:t>
            </w:r>
          </w:p>
        </w:tc>
        <w:tc>
          <w:tcPr>
            <w:tcW w:w="2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(3,574,936)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(911,925)</w:t>
            </w: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Net accretion of discount and amortization of premium</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(1,253,776)</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(1,178,778)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(704,452)</w:t>
            </w:r>
          </w:p>
        </w:tc>
      </w:tr>
      <w:tr>
        <w:trPr>
          <w:trHeight w:val="149"/>
        </w:trPr>
        <w:tc>
          <w:tcPr>
            <w:tcW w:w="6000" w:type="dxa"/>
            <w:vAlign w:val="bottom"/>
          </w:tcPr>
          <w:p>
            <w:pPr>
              <w:ind w:left="760"/>
              <w:spacing w:after="0"/>
              <w:rPr>
                <w:sz w:val="20"/>
                <w:szCs w:val="20"/>
                <w:color w:val="auto"/>
              </w:rPr>
            </w:pPr>
            <w:r>
              <w:rPr>
                <w:rFonts w:ascii="Arial" w:cs="Arial" w:eastAsia="Arial" w:hAnsi="Arial"/>
                <w:sz w:val="13"/>
                <w:szCs w:val="13"/>
                <w:color w:val="auto"/>
              </w:rPr>
              <w:t>Purchases of investments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(248,124,673)</w:t>
            </w:r>
          </w:p>
        </w:tc>
        <w:tc>
          <w:tcPr>
            <w:tcW w:w="2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(316,463,651)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(128,673,695)</w:t>
            </w: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Payment-in-kind interest</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(662,226)</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(471,675)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(119,552)</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Proceeds from dispositions of investments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225,614,700</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174,918,136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71,337,986</w:t>
            </w:r>
          </w:p>
        </w:tc>
        <w:tc>
          <w:tcPr>
            <w:tcW w:w="100" w:type="dxa"/>
            <w:vAlign w:val="bottom"/>
          </w:tcPr>
          <w:p>
            <w:pPr>
              <w:spacing w:after="0"/>
              <w:rPr>
                <w:sz w:val="12"/>
                <w:szCs w:val="12"/>
                <w:color w:val="auto"/>
              </w:rPr>
            </w:pP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Decrease (increase) in interest receivable</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366,932</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(751,935)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(656,172)</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(Increase) decrease in receivable for investments sold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(5,342,753)</w:t>
            </w:r>
          </w:p>
        </w:tc>
        <w:tc>
          <w:tcPr>
            <w:tcW w:w="2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(2,672,907)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1,481,222</w:t>
            </w:r>
          </w:p>
        </w:tc>
        <w:tc>
          <w:tcPr>
            <w:tcW w:w="100" w:type="dxa"/>
            <w:vAlign w:val="bottom"/>
          </w:tcPr>
          <w:p>
            <w:pPr>
              <w:spacing w:after="0"/>
              <w:rPr>
                <w:sz w:val="12"/>
                <w:szCs w:val="12"/>
                <w:color w:val="auto"/>
              </w:rPr>
            </w:pPr>
          </w:p>
        </w:tc>
      </w:tr>
      <w:tr>
        <w:trPr>
          <w:trHeight w:val="149"/>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Decrease (increase) in prepaid expenses and other assets</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63,378</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(308,424)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(147,939)</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(Decrease) increase in payable for investments purchased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(10,859,588)</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10,664,088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2,367,500</w:t>
            </w:r>
          </w:p>
        </w:tc>
        <w:tc>
          <w:tcPr>
            <w:tcW w:w="100" w:type="dxa"/>
            <w:vAlign w:val="bottom"/>
          </w:tcPr>
          <w:p>
            <w:pPr>
              <w:spacing w:after="0"/>
              <w:rPr>
                <w:sz w:val="12"/>
                <w:szCs w:val="12"/>
                <w:color w:val="auto"/>
              </w:rPr>
            </w:pP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Increase in interest payable on Credit Facility</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94,972</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28,384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11,304</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Increase in management fee payable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183,343</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306,888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158,315</w:t>
            </w:r>
          </w:p>
        </w:tc>
        <w:tc>
          <w:tcPr>
            <w:tcW w:w="100" w:type="dxa"/>
            <w:vAlign w:val="bottom"/>
          </w:tcPr>
          <w:p>
            <w:pPr>
              <w:spacing w:after="0"/>
              <w:rPr>
                <w:sz w:val="12"/>
                <w:szCs w:val="12"/>
                <w:color w:val="auto"/>
              </w:rPr>
            </w:pP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Increase in performance-based incentive fee payable</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1,016,514</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657,776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506,314</w:t>
            </w:r>
          </w:p>
        </w:tc>
        <w:tc>
          <w:tcPr>
            <w:tcW w:w="100" w:type="dxa"/>
            <w:vAlign w:val="bottom"/>
            <w:shd w:val="clear" w:color="auto" w:fill="CCEEFF"/>
          </w:tcPr>
          <w:p>
            <w:pPr>
              <w:spacing w:after="0"/>
              <w:rPr>
                <w:sz w:val="12"/>
                <w:szCs w:val="12"/>
                <w:color w:val="auto"/>
              </w:rPr>
            </w:pPr>
          </w:p>
        </w:tc>
      </w:tr>
      <w:tr>
        <w:trPr>
          <w:trHeight w:val="156"/>
        </w:trPr>
        <w:tc>
          <w:tcPr>
            <w:tcW w:w="6000" w:type="dxa"/>
            <w:vAlign w:val="bottom"/>
          </w:tcPr>
          <w:p>
            <w:pPr>
              <w:ind w:left="760"/>
              <w:spacing w:after="0"/>
              <w:rPr>
                <w:sz w:val="20"/>
                <w:szCs w:val="20"/>
                <w:color w:val="auto"/>
              </w:rPr>
            </w:pPr>
            <w:r>
              <w:rPr>
                <w:rFonts w:ascii="Arial" w:cs="Arial" w:eastAsia="Arial" w:hAnsi="Arial"/>
                <w:sz w:val="13"/>
                <w:szCs w:val="13"/>
                <w:color w:val="auto"/>
              </w:rPr>
              <w:t>Increase in accrued other expenses</w:t>
            </w:r>
          </w:p>
        </w:tc>
        <w:tc>
          <w:tcPr>
            <w:tcW w:w="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18,480</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342,971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303,440</w:t>
            </w:r>
          </w:p>
        </w:tc>
        <w:tc>
          <w:tcPr>
            <w:tcW w:w="100" w:type="dxa"/>
            <w:vAlign w:val="bottom"/>
          </w:tcPr>
          <w:p>
            <w:pPr>
              <w:spacing w:after="0"/>
              <w:rPr>
                <w:sz w:val="13"/>
                <w:szCs w:val="13"/>
                <w:color w:val="auto"/>
              </w:rPr>
            </w:pPr>
          </w:p>
        </w:tc>
      </w:tr>
      <w:tr>
        <w:trPr>
          <w:trHeight w:val="148"/>
        </w:trPr>
        <w:tc>
          <w:tcPr>
            <w:tcW w:w="60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Net cash used for operating activities</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(22,249,022)</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(124,405,780)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(47,826,048)</w:t>
            </w:r>
          </w:p>
        </w:tc>
      </w:tr>
      <w:tr>
        <w:trPr>
          <w:trHeight w:val="156"/>
        </w:trPr>
        <w:tc>
          <w:tcPr>
            <w:tcW w:w="60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Public offerings</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113,443,028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Offering costs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(1,188,572)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Deferred sales load paid</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(2,055,000)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000" w:type="dxa"/>
            <w:vAlign w:val="bottom"/>
          </w:tcPr>
          <w:p>
            <w:pPr>
              <w:ind w:left="760"/>
              <w:spacing w:after="0"/>
              <w:rPr>
                <w:sz w:val="20"/>
                <w:szCs w:val="20"/>
                <w:color w:val="auto"/>
              </w:rPr>
            </w:pPr>
            <w:r>
              <w:rPr>
                <w:rFonts w:ascii="Arial" w:cs="Arial" w:eastAsia="Arial" w:hAnsi="Arial"/>
                <w:sz w:val="13"/>
                <w:szCs w:val="13"/>
                <w:color w:val="auto"/>
              </w:rPr>
              <w:t>Distributions paid to stockholders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(16,015,410)</w:t>
            </w:r>
          </w:p>
        </w:tc>
        <w:tc>
          <w:tcPr>
            <w:tcW w:w="2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(9,161,230)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(6,165,599)</w:t>
            </w:r>
          </w:p>
        </w:tc>
      </w:tr>
      <w:tr>
        <w:trPr>
          <w:trHeight w:val="149"/>
        </w:trPr>
        <w:tc>
          <w:tcPr>
            <w:tcW w:w="6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Borrowings under Credit Facility (See Notes 5 and 10)</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148,200,000</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235,350,000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97,650,000</w:t>
            </w:r>
          </w:p>
        </w:tc>
        <w:tc>
          <w:tcPr>
            <w:tcW w:w="100" w:type="dxa"/>
            <w:vAlign w:val="bottom"/>
            <w:shd w:val="clear" w:color="auto" w:fill="CCEEFF"/>
          </w:tcPr>
          <w:p>
            <w:pPr>
              <w:spacing w:after="0"/>
              <w:rPr>
                <w:sz w:val="12"/>
                <w:szCs w:val="12"/>
                <w:color w:val="auto"/>
              </w:rPr>
            </w:pPr>
          </w:p>
        </w:tc>
      </w:tr>
      <w:tr>
        <w:trPr>
          <w:trHeight w:val="155"/>
        </w:trPr>
        <w:tc>
          <w:tcPr>
            <w:tcW w:w="6000" w:type="dxa"/>
            <w:vAlign w:val="bottom"/>
          </w:tcPr>
          <w:p>
            <w:pPr>
              <w:ind w:left="760"/>
              <w:spacing w:after="0"/>
              <w:rPr>
                <w:sz w:val="20"/>
                <w:szCs w:val="20"/>
                <w:color w:val="auto"/>
              </w:rPr>
            </w:pPr>
            <w:r>
              <w:rPr>
                <w:rFonts w:ascii="Arial" w:cs="Arial" w:eastAsia="Arial" w:hAnsi="Arial"/>
                <w:sz w:val="13"/>
                <w:szCs w:val="13"/>
                <w:color w:val="auto"/>
              </w:rPr>
              <w:t>Repayments under Credit Facility (See Notes 5 and 10)</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73"/>
              <w:spacing w:after="0"/>
              <w:rPr>
                <w:sz w:val="20"/>
                <w:szCs w:val="20"/>
                <w:color w:val="auto"/>
              </w:rPr>
            </w:pPr>
            <w:r>
              <w:rPr>
                <w:rFonts w:ascii="Arial" w:cs="Arial" w:eastAsia="Arial" w:hAnsi="Arial"/>
                <w:sz w:val="13"/>
                <w:szCs w:val="13"/>
                <w:color w:val="auto"/>
              </w:rPr>
              <w:t>(101,400,000)</w:t>
            </w: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(211,250,000)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(46,800,000)</w:t>
            </w:r>
          </w:p>
        </w:tc>
      </w:tr>
      <w:tr>
        <w:trPr>
          <w:trHeight w:val="148"/>
        </w:trPr>
        <w:tc>
          <w:tcPr>
            <w:tcW w:w="60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Net cash provided by financing activities</w:t>
            </w:r>
          </w:p>
        </w:tc>
        <w:tc>
          <w:tcPr>
            <w:tcW w:w="960" w:type="dxa"/>
            <w:vAlign w:val="bottom"/>
            <w:shd w:val="clear" w:color="auto" w:fill="CCEEFF"/>
          </w:tcPr>
          <w:p>
            <w:pPr>
              <w:spacing w:after="0"/>
              <w:rPr>
                <w:sz w:val="12"/>
                <w:szCs w:val="12"/>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30,784,590</w:t>
            </w:r>
          </w:p>
        </w:tc>
        <w:tc>
          <w:tcPr>
            <w:tcW w:w="180" w:type="dxa"/>
            <w:vAlign w:val="bottom"/>
            <w:shd w:val="clear" w:color="auto" w:fill="CCEEFF"/>
          </w:tcPr>
          <w:p>
            <w:pPr>
              <w:spacing w:after="0"/>
              <w:rPr>
                <w:sz w:val="12"/>
                <w:szCs w:val="12"/>
                <w:color w:val="auto"/>
              </w:rPr>
            </w:pPr>
          </w:p>
        </w:tc>
        <w:tc>
          <w:tcPr>
            <w:tcW w:w="28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125,138,226</w:t>
            </w: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44,684,401</w:t>
            </w:r>
          </w:p>
        </w:tc>
        <w:tc>
          <w:tcPr>
            <w:tcW w:w="100" w:type="dxa"/>
            <w:vAlign w:val="bottom"/>
            <w:shd w:val="clear" w:color="auto" w:fill="CCEEFF"/>
          </w:tcPr>
          <w:p>
            <w:pPr>
              <w:spacing w:after="0"/>
              <w:rPr>
                <w:sz w:val="12"/>
                <w:szCs w:val="12"/>
                <w:color w:val="auto"/>
              </w:rPr>
            </w:pPr>
          </w:p>
        </w:tc>
      </w:tr>
      <w:tr>
        <w:trPr>
          <w:trHeight w:val="156"/>
        </w:trPr>
        <w:tc>
          <w:tcPr>
            <w:tcW w:w="6000" w:type="dxa"/>
            <w:vAlign w:val="bottom"/>
          </w:tcPr>
          <w:p>
            <w:pPr>
              <w:spacing w:after="0"/>
              <w:rPr>
                <w:sz w:val="20"/>
                <w:szCs w:val="20"/>
                <w:color w:val="auto"/>
              </w:rPr>
            </w:pPr>
            <w:r>
              <w:rPr>
                <w:rFonts w:ascii="Arial" w:cs="Arial" w:eastAsia="Arial" w:hAnsi="Arial"/>
                <w:sz w:val="13"/>
                <w:szCs w:val="13"/>
                <w:b w:val="1"/>
                <w:bCs w:val="1"/>
                <w:color w:val="auto"/>
              </w:rPr>
              <w:t>Net increase (decrease) in cash equivalents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8,535,568</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732,446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(3,141,647)</w:t>
            </w: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year</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4,578,249</w:t>
            </w:r>
          </w:p>
        </w:tc>
        <w:tc>
          <w:tcPr>
            <w:tcW w:w="180" w:type="dxa"/>
            <w:vAlign w:val="bottom"/>
            <w:shd w:val="clear" w:color="auto" w:fill="CCEEFF"/>
          </w:tcPr>
          <w:p>
            <w:pPr>
              <w:spacing w:after="0"/>
              <w:rPr>
                <w:sz w:val="12"/>
                <w:szCs w:val="12"/>
                <w:color w:val="auto"/>
              </w:rPr>
            </w:pPr>
          </w:p>
        </w:tc>
        <w:tc>
          <w:tcPr>
            <w:tcW w:w="280" w:type="dxa"/>
            <w:vAlign w:val="bottom"/>
            <w:tcBorders>
              <w:left w:val="single" w:sz="8" w:color="CCEEFF"/>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3,845,803</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6,987,450</w:t>
            </w:r>
          </w:p>
        </w:tc>
        <w:tc>
          <w:tcPr>
            <w:tcW w:w="100" w:type="dxa"/>
            <w:vAlign w:val="bottom"/>
            <w:shd w:val="clear" w:color="auto" w:fill="CCEEFF"/>
          </w:tcPr>
          <w:p>
            <w:pPr>
              <w:spacing w:after="0"/>
              <w:rPr>
                <w:sz w:val="12"/>
                <w:szCs w:val="12"/>
                <w:color w:val="auto"/>
              </w:rPr>
            </w:pPr>
          </w:p>
        </w:tc>
      </w:tr>
      <w:tr>
        <w:trPr>
          <w:trHeight w:val="156"/>
        </w:trPr>
        <w:tc>
          <w:tcPr>
            <w:tcW w:w="6000" w:type="dxa"/>
            <w:vAlign w:val="bottom"/>
          </w:tcPr>
          <w:p>
            <w:pPr>
              <w:spacing w:after="0"/>
              <w:rPr>
                <w:sz w:val="20"/>
                <w:szCs w:val="20"/>
                <w:color w:val="auto"/>
              </w:rPr>
            </w:pPr>
            <w:r>
              <w:rPr>
                <w:rFonts w:ascii="Arial" w:cs="Arial" w:eastAsia="Arial" w:hAnsi="Arial"/>
                <w:sz w:val="13"/>
                <w:szCs w:val="13"/>
                <w:b w:val="1"/>
                <w:bCs w:val="1"/>
                <w:color w:val="auto"/>
              </w:rPr>
              <w:t>Cash equivalents, end of year</w:t>
            </w:r>
          </w:p>
        </w:tc>
        <w:tc>
          <w:tcPr>
            <w:tcW w:w="108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13"/>
              <w:spacing w:after="0"/>
              <w:rPr>
                <w:sz w:val="20"/>
                <w:szCs w:val="20"/>
                <w:color w:val="auto"/>
              </w:rPr>
            </w:pPr>
            <w:r>
              <w:rPr>
                <w:rFonts w:ascii="Arial" w:cs="Arial" w:eastAsia="Arial" w:hAnsi="Arial"/>
                <w:sz w:val="13"/>
                <w:szCs w:val="13"/>
                <w:color w:val="auto"/>
              </w:rPr>
              <w:t>13,113,817</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4,578,249</w:t>
            </w:r>
          </w:p>
        </w:tc>
        <w:tc>
          <w:tcPr>
            <w:tcW w:w="180" w:type="dxa"/>
            <w:vAlign w:val="bottom"/>
          </w:tcPr>
          <w:p>
            <w:pPr>
              <w:spacing w:after="0"/>
              <w:rPr>
                <w:sz w:val="13"/>
                <w:szCs w:val="13"/>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3,845,803</w:t>
            </w:r>
          </w:p>
        </w:tc>
        <w:tc>
          <w:tcPr>
            <w:tcW w:w="100" w:type="dxa"/>
            <w:vAlign w:val="bottom"/>
          </w:tcPr>
          <w:p>
            <w:pPr>
              <w:spacing w:after="0"/>
              <w:rPr>
                <w:sz w:val="13"/>
                <w:szCs w:val="13"/>
                <w:color w:val="auto"/>
              </w:rPr>
            </w:pPr>
          </w:p>
        </w:tc>
      </w:tr>
      <w:tr>
        <w:trPr>
          <w:trHeight w:val="20"/>
        </w:trPr>
        <w:tc>
          <w:tcPr>
            <w:tcW w:w="6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6000" w:type="dxa"/>
            <w:vAlign w:val="bottom"/>
          </w:tcPr>
          <w:p>
            <w:pPr>
              <w:ind w:left="340"/>
              <w:spacing w:after="0"/>
              <w:rPr>
                <w:sz w:val="20"/>
                <w:szCs w:val="20"/>
                <w:color w:val="auto"/>
              </w:rPr>
            </w:pPr>
            <w:r>
              <w:rPr>
                <w:rFonts w:ascii="Arial" w:cs="Arial" w:eastAsia="Arial" w:hAnsi="Arial"/>
                <w:sz w:val="13"/>
                <w:szCs w:val="13"/>
                <w:color w:val="auto"/>
              </w:rPr>
              <w:t>Interest paid</w:t>
            </w:r>
          </w:p>
        </w:tc>
        <w:tc>
          <w:tcPr>
            <w:tcW w:w="96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3,341,375</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1,825,574</w:t>
            </w:r>
          </w:p>
        </w:tc>
        <w:tc>
          <w:tcPr>
            <w:tcW w:w="180" w:type="dxa"/>
            <w:vAlign w:val="bottom"/>
          </w:tcPr>
          <w:p>
            <w:pPr>
              <w:spacing w:after="0"/>
              <w:rPr>
                <w:sz w:val="13"/>
                <w:szCs w:val="13"/>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1,471,035</w:t>
            </w:r>
          </w:p>
        </w:tc>
        <w:tc>
          <w:tcPr>
            <w:tcW w:w="100" w:type="dxa"/>
            <w:vAlign w:val="bottom"/>
          </w:tcPr>
          <w:p>
            <w:pPr>
              <w:spacing w:after="0"/>
              <w:rPr>
                <w:sz w:val="13"/>
                <w:szCs w:val="13"/>
                <w:color w:val="auto"/>
              </w:rPr>
            </w:pPr>
          </w:p>
        </w:tc>
      </w:tr>
      <w:tr>
        <w:trPr>
          <w:trHeight w:val="148"/>
        </w:trPr>
        <w:tc>
          <w:tcPr>
            <w:tcW w:w="6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Taxes paid</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254,753</w:t>
            </w:r>
          </w:p>
        </w:tc>
        <w:tc>
          <w:tcPr>
            <w:tcW w:w="180" w:type="dxa"/>
            <w:vAlign w:val="bottom"/>
            <w:shd w:val="clear" w:color="auto" w:fill="CCEEFF"/>
          </w:tcPr>
          <w:p>
            <w:pPr>
              <w:spacing w:after="0"/>
              <w:rPr>
                <w:sz w:val="12"/>
                <w:szCs w:val="12"/>
                <w:color w:val="auto"/>
              </w:rPr>
            </w:pPr>
          </w:p>
        </w:tc>
        <w:tc>
          <w:tcPr>
            <w:tcW w:w="280" w:type="dxa"/>
            <w:vAlign w:val="bottom"/>
            <w:tcBorders>
              <w:left w:val="single" w:sz="8" w:color="CCEEFF"/>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82,378</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00" w:type="dxa"/>
            <w:vAlign w:val="bottom"/>
            <w:shd w:val="clear" w:color="auto" w:fill="CCEEFF"/>
          </w:tcPr>
          <w:p>
            <w:pPr>
              <w:spacing w:after="0"/>
              <w:rPr>
                <w:sz w:val="12"/>
                <w:szCs w:val="12"/>
                <w:color w:val="auto"/>
              </w:rPr>
            </w:pPr>
          </w:p>
        </w:tc>
      </w:tr>
      <w:tr>
        <w:trPr>
          <w:trHeight w:val="155"/>
        </w:trPr>
        <w:tc>
          <w:tcPr>
            <w:tcW w:w="6000" w:type="dxa"/>
            <w:vAlign w:val="bottom"/>
          </w:tcPr>
          <w:p>
            <w:pPr>
              <w:ind w:left="340"/>
              <w:spacing w:after="0"/>
              <w:rPr>
                <w:sz w:val="20"/>
                <w:szCs w:val="20"/>
                <w:color w:val="auto"/>
              </w:rPr>
            </w:pPr>
            <w:r>
              <w:rPr>
                <w:rFonts w:ascii="Arial" w:cs="Arial" w:eastAsia="Arial" w:hAnsi="Arial"/>
                <w:sz w:val="13"/>
                <w:szCs w:val="13"/>
                <w:color w:val="auto"/>
              </w:rPr>
              <w:t>Distributions reinvested</w:t>
            </w:r>
          </w:p>
        </w:tc>
        <w:tc>
          <w:tcPr>
            <w:tcW w:w="9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124,240</w:t>
            </w:r>
          </w:p>
        </w:tc>
        <w:tc>
          <w:tcPr>
            <w:tcW w:w="180" w:type="dxa"/>
            <w:vAlign w:val="bottom"/>
          </w:tcPr>
          <w:p>
            <w:pPr>
              <w:spacing w:after="0"/>
              <w:rPr>
                <w:sz w:val="13"/>
                <w:szCs w:val="13"/>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w w:val="82"/>
              </w:rPr>
              <w:t>$</w:t>
            </w:r>
          </w:p>
        </w:tc>
        <w:tc>
          <w:tcPr>
            <w:tcW w:w="11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27"/>
        </w:trPr>
        <w:tc>
          <w:tcPr>
            <w:tcW w:w="6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6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Conversions and non-cash exchanges</w:t>
            </w:r>
          </w:p>
        </w:tc>
        <w:tc>
          <w:tcPr>
            <w:tcW w:w="9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6,902,784</w:t>
            </w:r>
          </w:p>
        </w:tc>
        <w:tc>
          <w:tcPr>
            <w:tcW w:w="18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jc w:val="center"/>
              <w:ind w:right="113"/>
              <w:spacing w:after="0"/>
              <w:rPr>
                <w:sz w:val="20"/>
                <w:szCs w:val="20"/>
                <w:color w:val="auto"/>
              </w:rPr>
            </w:pPr>
            <w:r>
              <w:rPr>
                <w:rFonts w:ascii="Arial" w:cs="Arial" w:eastAsia="Arial" w:hAnsi="Arial"/>
                <w:sz w:val="13"/>
                <w:szCs w:val="13"/>
                <w:b w:val="1"/>
                <w:bCs w:val="1"/>
                <w:color w:val="auto"/>
                <w:w w:val="90"/>
              </w:rPr>
              <w:t>Basis Point</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Spread</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ind w:right="93"/>
              <w:spacing w:after="0" w:line="134" w:lineRule="exact"/>
              <w:rPr>
                <w:sz w:val="20"/>
                <w:szCs w:val="20"/>
                <w:color w:val="auto"/>
              </w:rPr>
            </w:pPr>
            <w:r>
              <w:rPr>
                <w:rFonts w:ascii="Arial" w:cs="Arial" w:eastAsia="Arial" w:hAnsi="Arial"/>
                <w:sz w:val="13"/>
                <w:szCs w:val="13"/>
                <w:b w:val="1"/>
                <w:bCs w:val="1"/>
                <w:color w:val="auto"/>
                <w:w w:val="95"/>
              </w:rPr>
              <w:t>Above</w:t>
            </w:r>
          </w:p>
        </w:tc>
        <w:tc>
          <w:tcPr>
            <w:tcW w:w="760" w:type="dxa"/>
            <w:vAlign w:val="bottom"/>
          </w:tcPr>
          <w:p>
            <w:pPr>
              <w:jc w:val="right"/>
              <w:ind w:right="173"/>
              <w:spacing w:after="0" w:line="134" w:lineRule="exact"/>
              <w:rPr>
                <w:sz w:val="20"/>
                <w:szCs w:val="20"/>
                <w:color w:val="auto"/>
              </w:rPr>
            </w:pPr>
            <w:r>
              <w:rPr>
                <w:rFonts w:ascii="Arial" w:cs="Arial" w:eastAsia="Arial" w:hAnsi="Arial"/>
                <w:sz w:val="13"/>
                <w:szCs w:val="13"/>
                <w:b w:val="1"/>
                <w:bCs w:val="1"/>
                <w:color w:val="auto"/>
              </w:rPr>
              <w:t>Par /</w:t>
            </w:r>
          </w:p>
        </w:tc>
        <w:tc>
          <w:tcPr>
            <w:tcW w:w="840" w:type="dxa"/>
            <w:vAlign w:val="bottom"/>
          </w:tcPr>
          <w:p>
            <w:pPr>
              <w:spacing w:after="0"/>
              <w:rPr>
                <w:sz w:val="11"/>
                <w:szCs w:val="1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280" w:type="dxa"/>
            <w:vAlign w:val="bottom"/>
          </w:tcPr>
          <w:p>
            <w:pPr>
              <w:ind w:left="620"/>
              <w:spacing w:after="0"/>
              <w:rPr>
                <w:sz w:val="20"/>
                <w:szCs w:val="20"/>
                <w:color w:val="auto"/>
              </w:rPr>
            </w:pPr>
            <w:r>
              <w:rPr>
                <w:rFonts w:ascii="Arial" w:cs="Arial" w:eastAsia="Arial" w:hAnsi="Arial"/>
                <w:sz w:val="13"/>
                <w:szCs w:val="13"/>
                <w:b w:val="1"/>
                <w:bCs w:val="1"/>
                <w:color w:val="auto"/>
              </w:rPr>
              <w:t>Maturity</w:t>
            </w: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2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ind w:right="9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right"/>
              <w:ind w:right="213"/>
              <w:spacing w:after="0"/>
              <w:rPr>
                <w:sz w:val="20"/>
                <w:szCs w:val="20"/>
                <w:color w:val="auto"/>
              </w:rPr>
            </w:pPr>
            <w:r>
              <w:rPr>
                <w:rFonts w:ascii="Arial" w:cs="Arial" w:eastAsia="Arial" w:hAnsi="Arial"/>
                <w:sz w:val="13"/>
                <w:szCs w:val="13"/>
                <w:b w:val="1"/>
                <w:bCs w:val="1"/>
                <w:color w:val="auto"/>
              </w:rPr>
              <w:t>Cost</w:t>
            </w: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40" w:type="dxa"/>
            <w:vAlign w:val="bottom"/>
            <w:tcBorders>
              <w:top w:val="single" w:sz="8" w:color="auto"/>
            </w:tcBorders>
            <w:gridSpan w:val="3"/>
            <w:shd w:val="clear" w:color="auto" w:fill="CCEEFF"/>
          </w:tcPr>
          <w:p>
            <w:pPr>
              <w:spacing w:after="0" w:line="143"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Companies—162.4% </w:t>
            </w:r>
            <w:r>
              <w:rPr>
                <w:rFonts w:ascii="Arial" w:cs="Arial" w:eastAsia="Arial" w:hAnsi="Arial"/>
                <w:sz w:val="16"/>
                <w:szCs w:val="16"/>
                <w:b w:val="1"/>
                <w:bCs w:val="1"/>
                <w:color w:val="auto"/>
                <w:vertAlign w:val="superscript"/>
              </w:rPr>
              <w:t>(3), (4)</w:t>
            </w:r>
          </w:p>
        </w:tc>
        <w:tc>
          <w:tcPr>
            <w:tcW w:w="8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Debt—141.0%</w:t>
            </w:r>
          </w:p>
        </w:tc>
        <w:tc>
          <w:tcPr>
            <w:tcW w:w="12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AKA Diversified Holdings,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04/02/2018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11.92%</w:t>
            </w:r>
          </w:p>
        </w:tc>
        <w:tc>
          <w:tcPr>
            <w:tcW w:w="900" w:type="dxa"/>
            <w:vAlign w:val="bottom"/>
          </w:tcPr>
          <w:p>
            <w:pPr>
              <w:jc w:val="right"/>
              <w:ind w:right="13"/>
              <w:spacing w:after="0" w:line="149" w:lineRule="exact"/>
              <w:rPr>
                <w:sz w:val="20"/>
                <w:szCs w:val="20"/>
                <w:color w:val="auto"/>
              </w:rPr>
            </w:pPr>
            <w:r>
              <w:rPr>
                <w:rFonts w:ascii="Arial" w:cs="Arial" w:eastAsia="Arial" w:hAnsi="Arial"/>
                <w:sz w:val="11"/>
                <w:szCs w:val="11"/>
                <w:color w:val="auto"/>
              </w:rPr>
              <w:t>L+1,175</w:t>
            </w:r>
            <w:r>
              <w:rPr>
                <w:rFonts w:ascii="Arial" w:cs="Arial" w:eastAsia="Arial" w:hAnsi="Arial"/>
                <w:sz w:val="17"/>
                <w:szCs w:val="17"/>
                <w:color w:val="auto"/>
                <w:vertAlign w:val="superscript"/>
              </w:rPr>
              <w:t>(9)</w:t>
            </w:r>
          </w:p>
        </w:tc>
        <w:tc>
          <w:tcPr>
            <w:tcW w:w="760" w:type="dxa"/>
            <w:vAlign w:val="bottom"/>
          </w:tcPr>
          <w:p>
            <w:pPr>
              <w:jc w:val="right"/>
              <w:spacing w:after="0"/>
              <w:rPr>
                <w:sz w:val="20"/>
                <w:szCs w:val="20"/>
                <w:color w:val="auto"/>
              </w:rPr>
            </w:pPr>
            <w:r>
              <w:rPr>
                <w:rFonts w:ascii="Arial" w:cs="Arial" w:eastAsia="Arial" w:hAnsi="Arial"/>
                <w:sz w:val="13"/>
                <w:szCs w:val="13"/>
                <w:color w:val="auto"/>
              </w:rPr>
              <w:t>9,060,104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$ 8,865,835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   9,167,028</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AKA Diversified Holdings, Inc. </w:t>
            </w:r>
            <w:r>
              <w:rPr>
                <w:rFonts w:ascii="Arial" w:cs="Arial" w:eastAsia="Arial" w:hAnsi="Arial"/>
                <w:sz w:val="17"/>
                <w:szCs w:val="17"/>
                <w:color w:val="auto"/>
                <w:vertAlign w:val="superscript"/>
              </w:rPr>
              <w:t>(10)</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04/02/2018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2,023,603</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ALG USA Holdings,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02/28/2019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spacing w:after="0"/>
              <w:rPr>
                <w:sz w:val="20"/>
                <w:szCs w:val="20"/>
                <w:color w:val="auto"/>
              </w:rPr>
            </w:pPr>
            <w:r>
              <w:rPr>
                <w:rFonts w:ascii="Arial" w:cs="Arial" w:eastAsia="Arial" w:hAnsi="Arial"/>
                <w:sz w:val="13"/>
                <w:szCs w:val="13"/>
                <w:color w:val="auto"/>
              </w:rPr>
              <w:t>7,334,751</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7,289,756</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7,261,403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Alvogen Pharma US,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05/23/2018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2,764,276</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2,738,582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2,781,553</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Ancile Solutions,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07/16/2018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L+500</w:t>
            </w:r>
          </w:p>
        </w:tc>
        <w:tc>
          <w:tcPr>
            <w:tcW w:w="760" w:type="dxa"/>
            <w:vAlign w:val="bottom"/>
          </w:tcPr>
          <w:p>
            <w:pPr>
              <w:jc w:val="right"/>
              <w:spacing w:after="0"/>
              <w:rPr>
                <w:sz w:val="20"/>
                <w:szCs w:val="20"/>
                <w:color w:val="auto"/>
              </w:rPr>
            </w:pPr>
            <w:r>
              <w:rPr>
                <w:rFonts w:ascii="Arial" w:cs="Arial" w:eastAsia="Arial" w:hAnsi="Arial"/>
                <w:sz w:val="13"/>
                <w:szCs w:val="13"/>
                <w:color w:val="auto"/>
              </w:rPr>
              <w:t>4,333,333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4,299,220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4,327,917</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AP Gaming I, LLC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12/21/2020</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L+825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1,351,463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1,396,447</w:t>
            </w:r>
          </w:p>
        </w:tc>
        <w:tc>
          <w:tcPr>
            <w:tcW w:w="0" w:type="dxa"/>
            <w:vAlign w:val="bottom"/>
          </w:tcPr>
          <w:p>
            <w:pPr>
              <w:spacing w:after="0"/>
              <w:rPr>
                <w:sz w:val="1"/>
                <w:szCs w:val="1"/>
                <w:color w:val="auto"/>
              </w:rPr>
            </w:pPr>
          </w:p>
        </w:tc>
      </w:tr>
      <w:tr>
        <w:trPr>
          <w:trHeight w:val="138"/>
        </w:trPr>
        <w:tc>
          <w:tcPr>
            <w:tcW w:w="3360" w:type="dxa"/>
            <w:vAlign w:val="bottom"/>
          </w:tcPr>
          <w:p>
            <w:pPr>
              <w:spacing w:after="0" w:line="138" w:lineRule="exact"/>
              <w:rPr>
                <w:sz w:val="20"/>
                <w:szCs w:val="20"/>
                <w:color w:val="auto"/>
              </w:rPr>
            </w:pPr>
            <w:r>
              <w:rPr>
                <w:rFonts w:ascii="Arial" w:cs="Arial" w:eastAsia="Arial" w:hAnsi="Arial"/>
                <w:sz w:val="13"/>
                <w:szCs w:val="13"/>
                <w:color w:val="auto"/>
              </w:rPr>
              <w:t>Ascend Learning, LLC</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07/31/2019</w:t>
            </w:r>
          </w:p>
        </w:tc>
        <w:tc>
          <w:tcPr>
            <w:tcW w:w="220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L+500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3,476,244</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3,463,094</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3,479,720</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10/06/2016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2,917,500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2,900,680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2,902,912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ATI Holdings, Inc.</w:t>
            </w:r>
          </w:p>
        </w:tc>
        <w:tc>
          <w:tcPr>
            <w:tcW w:w="1280" w:type="dxa"/>
            <w:vAlign w:val="bottom"/>
          </w:tcPr>
          <w:p>
            <w:pPr>
              <w:ind w:left="580"/>
              <w:spacing w:after="0"/>
              <w:rPr>
                <w:sz w:val="20"/>
                <w:szCs w:val="20"/>
                <w:color w:val="auto"/>
              </w:rPr>
            </w:pPr>
            <w:r>
              <w:rPr>
                <w:rFonts w:ascii="Arial" w:cs="Arial" w:eastAsia="Arial" w:hAnsi="Arial"/>
                <w:sz w:val="13"/>
                <w:szCs w:val="13"/>
                <w:color w:val="auto"/>
              </w:rPr>
              <w:t>12/20/2019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L+400</w:t>
            </w:r>
          </w:p>
        </w:tc>
        <w:tc>
          <w:tcPr>
            <w:tcW w:w="760" w:type="dxa"/>
            <w:vAlign w:val="bottom"/>
          </w:tcPr>
          <w:p>
            <w:pPr>
              <w:jc w:val="right"/>
              <w:spacing w:after="0"/>
              <w:rPr>
                <w:sz w:val="20"/>
                <w:szCs w:val="20"/>
                <w:color w:val="auto"/>
              </w:rPr>
            </w:pPr>
            <w:r>
              <w:rPr>
                <w:rFonts w:ascii="Arial" w:cs="Arial" w:eastAsia="Arial" w:hAnsi="Arial"/>
                <w:sz w:val="13"/>
                <w:szCs w:val="13"/>
                <w:color w:val="auto"/>
              </w:rPr>
              <w:t>2,947,500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2,924,974</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2,956,107</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Azure Midstream Energy LLC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11/15/2018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5,293,750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5,228,951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5,240,812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BBB Industries,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03/27/2019</w:t>
            </w:r>
          </w:p>
        </w:tc>
        <w:tc>
          <w:tcPr>
            <w:tcW w:w="220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L+425</w:t>
            </w:r>
          </w:p>
        </w:tc>
        <w:tc>
          <w:tcPr>
            <w:tcW w:w="760" w:type="dxa"/>
            <w:vAlign w:val="bottom"/>
          </w:tcPr>
          <w:p>
            <w:pPr>
              <w:jc w:val="right"/>
              <w:spacing w:after="0"/>
              <w:rPr>
                <w:sz w:val="20"/>
                <w:szCs w:val="20"/>
                <w:color w:val="auto"/>
              </w:rPr>
            </w:pPr>
            <w:r>
              <w:rPr>
                <w:rFonts w:ascii="Arial" w:cs="Arial" w:eastAsia="Arial" w:hAnsi="Arial"/>
                <w:sz w:val="13"/>
                <w:szCs w:val="13"/>
                <w:color w:val="auto"/>
              </w:rPr>
              <w:t>3,023,140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3,004,531</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3,005,515</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Blue Bird Body Company</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06/29/2020</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4,927,548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Bowlmor AMF, Corp.</w:t>
            </w:r>
          </w:p>
        </w:tc>
        <w:tc>
          <w:tcPr>
            <w:tcW w:w="1280" w:type="dxa"/>
            <w:vAlign w:val="bottom"/>
          </w:tcPr>
          <w:p>
            <w:pPr>
              <w:ind w:left="580"/>
              <w:spacing w:after="0"/>
              <w:rPr>
                <w:sz w:val="20"/>
                <w:szCs w:val="20"/>
                <w:color w:val="auto"/>
              </w:rPr>
            </w:pPr>
            <w:r>
              <w:rPr>
                <w:rFonts w:ascii="Arial" w:cs="Arial" w:eastAsia="Arial" w:hAnsi="Arial"/>
                <w:sz w:val="13"/>
                <w:szCs w:val="13"/>
                <w:color w:val="auto"/>
              </w:rPr>
              <w:t>09/17/2021</w:t>
            </w: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L+625</w:t>
            </w:r>
          </w:p>
        </w:tc>
        <w:tc>
          <w:tcPr>
            <w:tcW w:w="760" w:type="dxa"/>
            <w:vAlign w:val="bottom"/>
          </w:tcPr>
          <w:p>
            <w:pPr>
              <w:jc w:val="right"/>
              <w:spacing w:after="0"/>
              <w:rPr>
                <w:sz w:val="20"/>
                <w:szCs w:val="20"/>
                <w:color w:val="auto"/>
              </w:rPr>
            </w:pPr>
            <w:r>
              <w:rPr>
                <w:rFonts w:ascii="Arial" w:cs="Arial" w:eastAsia="Arial" w:hAnsi="Arial"/>
                <w:sz w:val="13"/>
                <w:szCs w:val="13"/>
                <w:color w:val="auto"/>
              </w:rPr>
              <w:t>8,000,000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7,880,197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7,970,000</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07/02/2020</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4,957,132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5,087,500</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Charming Charlie LLC</w:t>
            </w:r>
          </w:p>
        </w:tc>
        <w:tc>
          <w:tcPr>
            <w:tcW w:w="1280" w:type="dxa"/>
            <w:vAlign w:val="bottom"/>
          </w:tcPr>
          <w:p>
            <w:pPr>
              <w:ind w:left="580"/>
              <w:spacing w:after="0"/>
              <w:rPr>
                <w:sz w:val="20"/>
                <w:szCs w:val="20"/>
                <w:color w:val="auto"/>
              </w:rPr>
            </w:pPr>
            <w:r>
              <w:rPr>
                <w:rFonts w:ascii="Arial" w:cs="Arial" w:eastAsia="Arial" w:hAnsi="Arial"/>
                <w:sz w:val="13"/>
                <w:szCs w:val="13"/>
                <w:color w:val="auto"/>
              </w:rPr>
              <w:t>12/24/2019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L+800</w:t>
            </w:r>
          </w:p>
        </w:tc>
        <w:tc>
          <w:tcPr>
            <w:tcW w:w="760" w:type="dxa"/>
            <w:vAlign w:val="bottom"/>
          </w:tcPr>
          <w:p>
            <w:pPr>
              <w:jc w:val="right"/>
              <w:spacing w:after="0"/>
              <w:rPr>
                <w:sz w:val="20"/>
                <w:szCs w:val="20"/>
                <w:color w:val="auto"/>
              </w:rPr>
            </w:pPr>
            <w:r>
              <w:rPr>
                <w:rFonts w:ascii="Arial" w:cs="Arial" w:eastAsia="Arial" w:hAnsi="Arial"/>
                <w:sz w:val="13"/>
                <w:szCs w:val="13"/>
                <w:color w:val="auto"/>
              </w:rPr>
              <w:t>4,477,500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4,416,233</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Chicken Soup for the Soul Publishing, LLC</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01/08/2019</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4,975,000</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4,928,906</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line="138" w:lineRule="exact"/>
              <w:rPr>
                <w:sz w:val="20"/>
                <w:szCs w:val="20"/>
                <w:color w:val="auto"/>
              </w:rPr>
            </w:pPr>
            <w:r>
              <w:rPr>
                <w:rFonts w:ascii="Arial" w:cs="Arial" w:eastAsia="Arial" w:hAnsi="Arial"/>
                <w:sz w:val="13"/>
                <w:szCs w:val="13"/>
                <w:color w:val="auto"/>
              </w:rPr>
              <w:t>Creative Circle, LLC</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06/25/2020</w:t>
            </w:r>
          </w:p>
        </w:tc>
        <w:tc>
          <w:tcPr>
            <w:tcW w:w="220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L+450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5,900,000</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5,843,227</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5,811,500</w:t>
            </w: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Curo Health Services, LLC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06/08/2020</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1,947,166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1,963,419</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03/19/2018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spacing w:after="0"/>
              <w:rPr>
                <w:sz w:val="20"/>
                <w:szCs w:val="20"/>
                <w:color w:val="auto"/>
              </w:rPr>
            </w:pPr>
            <w:r>
              <w:rPr>
                <w:rFonts w:ascii="Arial" w:cs="Arial" w:eastAsia="Arial" w:hAnsi="Arial"/>
                <w:sz w:val="13"/>
                <w:szCs w:val="13"/>
                <w:color w:val="auto"/>
              </w:rPr>
              <w:t>3,253,740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3,218,698</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3,172,396</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Edmentum, Inc.</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05/17/2018</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924,982</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924,982</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915,732</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280" w:type="dxa"/>
            <w:vAlign w:val="bottom"/>
          </w:tcPr>
          <w:p>
            <w:pPr>
              <w:ind w:left="580"/>
              <w:spacing w:after="0"/>
              <w:rPr>
                <w:sz w:val="20"/>
                <w:szCs w:val="20"/>
                <w:color w:val="auto"/>
              </w:rPr>
            </w:pPr>
            <w:r>
              <w:rPr>
                <w:rFonts w:ascii="Arial" w:cs="Arial" w:eastAsia="Arial" w:hAnsi="Arial"/>
                <w:sz w:val="13"/>
                <w:szCs w:val="13"/>
                <w:color w:val="auto"/>
              </w:rPr>
              <w:t>05/02/2018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tcPr>
          <w:p>
            <w:pPr>
              <w:jc w:val="right"/>
              <w:spacing w:after="0"/>
              <w:rPr>
                <w:sz w:val="20"/>
                <w:szCs w:val="20"/>
                <w:color w:val="auto"/>
              </w:rPr>
            </w:pPr>
            <w:r>
              <w:rPr>
                <w:rFonts w:ascii="Arial" w:cs="Arial" w:eastAsia="Arial" w:hAnsi="Arial"/>
                <w:sz w:val="13"/>
                <w:szCs w:val="13"/>
                <w:color w:val="auto"/>
              </w:rPr>
              <w:t>2,858,864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2,847,367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2,855,291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e-Rewards,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10/29/2018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9,812,500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9,652,736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9,665,312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01/09/2018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tcPr>
          <w:p>
            <w:pPr>
              <w:jc w:val="right"/>
              <w:spacing w:after="0"/>
              <w:rPr>
                <w:sz w:val="20"/>
                <w:szCs w:val="20"/>
                <w:color w:val="auto"/>
              </w:rPr>
            </w:pPr>
            <w:r>
              <w:rPr>
                <w:rFonts w:ascii="Arial" w:cs="Arial" w:eastAsia="Arial" w:hAnsi="Arial"/>
                <w:sz w:val="13"/>
                <w:szCs w:val="13"/>
                <w:color w:val="auto"/>
              </w:rPr>
              <w:t>4,258,929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4,226,747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4,258,929</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11/30/2017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3,610,688</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3,591,818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3,592,634</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GlobalLogic Holdings,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05/31/2019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L+525</w:t>
            </w:r>
          </w:p>
        </w:tc>
        <w:tc>
          <w:tcPr>
            <w:tcW w:w="760" w:type="dxa"/>
            <w:vAlign w:val="bottom"/>
          </w:tcPr>
          <w:p>
            <w:pPr>
              <w:jc w:val="right"/>
              <w:spacing w:after="0"/>
              <w:rPr>
                <w:sz w:val="20"/>
                <w:szCs w:val="20"/>
                <w:color w:val="auto"/>
              </w:rPr>
            </w:pPr>
            <w:r>
              <w:rPr>
                <w:rFonts w:ascii="Arial" w:cs="Arial" w:eastAsia="Arial" w:hAnsi="Arial"/>
                <w:sz w:val="13"/>
                <w:szCs w:val="13"/>
                <w:color w:val="auto"/>
              </w:rPr>
              <w:t>3,970,000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3,934,577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3,840,975</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05/23/2018</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1,096,930</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1,094,839</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1,094,188</w:t>
            </w:r>
          </w:p>
        </w:tc>
        <w:tc>
          <w:tcPr>
            <w:tcW w:w="0" w:type="dxa"/>
            <w:vAlign w:val="bottom"/>
          </w:tcPr>
          <w:p>
            <w:pPr>
              <w:spacing w:after="0"/>
              <w:rPr>
                <w:sz w:val="1"/>
                <w:szCs w:val="1"/>
                <w:color w:val="auto"/>
              </w:rPr>
            </w:pPr>
          </w:p>
        </w:tc>
      </w:tr>
      <w:tr>
        <w:trPr>
          <w:trHeight w:val="173"/>
        </w:trPr>
        <w:tc>
          <w:tcPr>
            <w:tcW w:w="3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Greenway Health, LLC</w:t>
            </w:r>
          </w:p>
        </w:tc>
        <w:tc>
          <w:tcPr>
            <w:tcW w:w="1280" w:type="dxa"/>
            <w:vAlign w:val="bottom"/>
          </w:tcPr>
          <w:p>
            <w:pPr>
              <w:ind w:left="580"/>
              <w:spacing w:after="0"/>
              <w:rPr>
                <w:sz w:val="20"/>
                <w:szCs w:val="20"/>
                <w:color w:val="auto"/>
              </w:rPr>
            </w:pPr>
            <w:r>
              <w:rPr>
                <w:rFonts w:ascii="Arial" w:cs="Arial" w:eastAsia="Arial" w:hAnsi="Arial"/>
                <w:sz w:val="13"/>
                <w:szCs w:val="13"/>
                <w:color w:val="auto"/>
              </w:rPr>
              <w:t>11/04/2020</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L+500</w:t>
            </w:r>
          </w:p>
        </w:tc>
        <w:tc>
          <w:tcPr>
            <w:tcW w:w="760" w:type="dxa"/>
            <w:vAlign w:val="bottom"/>
          </w:tcPr>
          <w:p>
            <w:pPr>
              <w:jc w:val="right"/>
              <w:spacing w:after="0"/>
              <w:rPr>
                <w:sz w:val="20"/>
                <w:szCs w:val="20"/>
                <w:color w:val="auto"/>
              </w:rPr>
            </w:pPr>
            <w:r>
              <w:rPr>
                <w:rFonts w:ascii="Arial" w:cs="Arial" w:eastAsia="Arial" w:hAnsi="Arial"/>
                <w:sz w:val="13"/>
                <w:szCs w:val="13"/>
                <w:color w:val="auto"/>
              </w:rPr>
              <w:t>6,947,500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6,888,768</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6,912,762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Help/Systems Holdings,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06/28/2019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4,909,380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4,894,312</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Hollander Sleep Products, LLC</w:t>
            </w:r>
          </w:p>
        </w:tc>
        <w:tc>
          <w:tcPr>
            <w:tcW w:w="1280" w:type="dxa"/>
            <w:vAlign w:val="bottom"/>
          </w:tcPr>
          <w:p>
            <w:pPr>
              <w:ind w:left="580"/>
              <w:spacing w:after="0"/>
              <w:rPr>
                <w:sz w:val="20"/>
                <w:szCs w:val="20"/>
                <w:color w:val="auto"/>
              </w:rPr>
            </w:pPr>
            <w:r>
              <w:rPr>
                <w:rFonts w:ascii="Arial" w:cs="Arial" w:eastAsia="Arial" w:hAnsi="Arial"/>
                <w:sz w:val="13"/>
                <w:szCs w:val="13"/>
                <w:color w:val="auto"/>
              </w:rPr>
              <w:t>10/20/2020</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L+800</w:t>
            </w:r>
          </w:p>
        </w:tc>
        <w:tc>
          <w:tcPr>
            <w:tcW w:w="760" w:type="dxa"/>
            <w:vAlign w:val="bottom"/>
          </w:tcPr>
          <w:p>
            <w:pPr>
              <w:jc w:val="right"/>
              <w:spacing w:after="0"/>
              <w:rPr>
                <w:sz w:val="20"/>
                <w:szCs w:val="20"/>
                <w:color w:val="auto"/>
              </w:rPr>
            </w:pPr>
            <w:r>
              <w:rPr>
                <w:rFonts w:ascii="Arial" w:cs="Arial" w:eastAsia="Arial" w:hAnsi="Arial"/>
                <w:sz w:val="13"/>
                <w:szCs w:val="13"/>
                <w:color w:val="auto"/>
              </w:rPr>
              <w:t>1,200,000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1,182,000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1,182,000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Hostway Corporation</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12/13/2019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4,906,250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4,864,869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4,881,719</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Hunter Defense Technologies,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08/05/2019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spacing w:after="0"/>
              <w:rPr>
                <w:sz w:val="20"/>
                <w:szCs w:val="20"/>
                <w:color w:val="auto"/>
              </w:rPr>
            </w:pPr>
            <w:r>
              <w:rPr>
                <w:rFonts w:ascii="Arial" w:cs="Arial" w:eastAsia="Arial" w:hAnsi="Arial"/>
                <w:sz w:val="13"/>
                <w:szCs w:val="13"/>
                <w:color w:val="auto"/>
              </w:rPr>
              <w:t>7,000,000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6,931,037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03/30/2017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1,977,245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2,167,500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280" w:type="dxa"/>
            <w:vAlign w:val="bottom"/>
          </w:tcPr>
          <w:p>
            <w:pPr>
              <w:ind w:left="580"/>
              <w:spacing w:after="0"/>
              <w:rPr>
                <w:sz w:val="20"/>
                <w:szCs w:val="20"/>
                <w:color w:val="auto"/>
              </w:rPr>
            </w:pPr>
            <w:r>
              <w:rPr>
                <w:rFonts w:ascii="Arial" w:cs="Arial" w:eastAsia="Arial" w:hAnsi="Arial"/>
                <w:sz w:val="13"/>
                <w:szCs w:val="13"/>
                <w:color w:val="auto"/>
              </w:rPr>
              <w:t>05/01/2019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L+600</w:t>
            </w:r>
          </w:p>
        </w:tc>
        <w:tc>
          <w:tcPr>
            <w:tcW w:w="760" w:type="dxa"/>
            <w:vAlign w:val="bottom"/>
          </w:tcPr>
          <w:p>
            <w:pPr>
              <w:jc w:val="right"/>
              <w:spacing w:after="0"/>
              <w:rPr>
                <w:sz w:val="20"/>
                <w:szCs w:val="20"/>
                <w:color w:val="auto"/>
              </w:rPr>
            </w:pPr>
            <w:r>
              <w:rPr>
                <w:rFonts w:ascii="Arial" w:cs="Arial" w:eastAsia="Arial" w:hAnsi="Arial"/>
                <w:sz w:val="13"/>
                <w:szCs w:val="13"/>
                <w:color w:val="auto"/>
              </w:rPr>
              <w:t>12,409,413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12,270,960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11,788,942</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InfuSystem Holdings,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11/30/2016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13.16%</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P+992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1,500,000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1,535,715</w:t>
            </w:r>
          </w:p>
        </w:tc>
        <w:tc>
          <w:tcPr>
            <w:tcW w:w="0" w:type="dxa"/>
            <w:vAlign w:val="bottom"/>
          </w:tcPr>
          <w:p>
            <w:pPr>
              <w:spacing w:after="0"/>
              <w:rPr>
                <w:sz w:val="1"/>
                <w:szCs w:val="1"/>
                <w:color w:val="auto"/>
              </w:rPr>
            </w:pPr>
          </w:p>
        </w:tc>
      </w:tr>
      <w:tr>
        <w:trPr>
          <w:trHeight w:val="138"/>
        </w:trPr>
        <w:tc>
          <w:tcPr>
            <w:tcW w:w="3360" w:type="dxa"/>
            <w:vAlign w:val="bottom"/>
          </w:tcPr>
          <w:p>
            <w:pPr>
              <w:spacing w:after="0" w:line="138" w:lineRule="exact"/>
              <w:rPr>
                <w:sz w:val="20"/>
                <w:szCs w:val="20"/>
                <w:color w:val="auto"/>
              </w:rPr>
            </w:pPr>
            <w:r>
              <w:rPr>
                <w:rFonts w:ascii="Arial" w:cs="Arial" w:eastAsia="Arial" w:hAnsi="Arial"/>
                <w:sz w:val="13"/>
                <w:szCs w:val="13"/>
                <w:color w:val="auto"/>
              </w:rPr>
              <w:t>Instant Web, LLC, Term Loan A</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03/28/2019</w:t>
            </w:r>
          </w:p>
        </w:tc>
        <w:tc>
          <w:tcPr>
            <w:tcW w:w="220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L+450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5,453,617</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5,377,967</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5,453,617</w:t>
            </w: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LLC, Term Loan B</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03/28/2019</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4,500,000</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4,436,038</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280" w:type="dxa"/>
            <w:vAlign w:val="bottom"/>
          </w:tcPr>
          <w:p>
            <w:pPr>
              <w:ind w:left="580"/>
              <w:spacing w:after="0"/>
              <w:rPr>
                <w:sz w:val="20"/>
                <w:szCs w:val="20"/>
                <w:color w:val="auto"/>
              </w:rPr>
            </w:pPr>
            <w:r>
              <w:rPr>
                <w:rFonts w:ascii="Arial" w:cs="Arial" w:eastAsia="Arial" w:hAnsi="Arial"/>
                <w:sz w:val="13"/>
                <w:szCs w:val="13"/>
                <w:color w:val="auto"/>
              </w:rPr>
              <w:t>10/16/2017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L+850</w:t>
            </w:r>
          </w:p>
        </w:tc>
        <w:tc>
          <w:tcPr>
            <w:tcW w:w="760" w:type="dxa"/>
            <w:vAlign w:val="bottom"/>
          </w:tcPr>
          <w:p>
            <w:pPr>
              <w:jc w:val="right"/>
              <w:spacing w:after="0"/>
              <w:rPr>
                <w:sz w:val="20"/>
                <w:szCs w:val="20"/>
                <w:color w:val="auto"/>
              </w:rPr>
            </w:pPr>
            <w:r>
              <w:rPr>
                <w:rFonts w:ascii="Arial" w:cs="Arial" w:eastAsia="Arial" w:hAnsi="Arial"/>
                <w:sz w:val="13"/>
                <w:szCs w:val="13"/>
                <w:color w:val="auto"/>
              </w:rPr>
              <w:t>5,140,179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5,059,028</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08/19/2019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L+900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6,157,648</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6,048,214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6,064,275</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Lanyon Solutions, Inc.</w:t>
            </w:r>
          </w:p>
        </w:tc>
        <w:tc>
          <w:tcPr>
            <w:tcW w:w="1280" w:type="dxa"/>
            <w:vAlign w:val="bottom"/>
          </w:tcPr>
          <w:p>
            <w:pPr>
              <w:ind w:left="580"/>
              <w:spacing w:after="0"/>
              <w:rPr>
                <w:sz w:val="20"/>
                <w:szCs w:val="20"/>
                <w:color w:val="auto"/>
              </w:rPr>
            </w:pPr>
            <w:r>
              <w:rPr>
                <w:rFonts w:ascii="Arial" w:cs="Arial" w:eastAsia="Arial" w:hAnsi="Arial"/>
                <w:sz w:val="13"/>
                <w:szCs w:val="13"/>
                <w:color w:val="auto"/>
              </w:rPr>
              <w:t>11/13/2020</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L+450</w:t>
            </w:r>
          </w:p>
        </w:tc>
        <w:tc>
          <w:tcPr>
            <w:tcW w:w="760" w:type="dxa"/>
            <w:vAlign w:val="bottom"/>
          </w:tcPr>
          <w:p>
            <w:pPr>
              <w:jc w:val="right"/>
              <w:spacing w:after="0"/>
              <w:rPr>
                <w:sz w:val="20"/>
                <w:szCs w:val="20"/>
                <w:color w:val="auto"/>
              </w:rPr>
            </w:pPr>
            <w:r>
              <w:rPr>
                <w:rFonts w:ascii="Arial" w:cs="Arial" w:eastAsia="Arial" w:hAnsi="Arial"/>
                <w:sz w:val="13"/>
                <w:szCs w:val="13"/>
                <w:color w:val="auto"/>
              </w:rPr>
              <w:t>1,985,004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1,977,359</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1,967,635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11/30/2018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5,855,212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5,821,312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Meritas Schools Holdings,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06/25/2019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spacing w:after="0"/>
              <w:rPr>
                <w:sz w:val="20"/>
                <w:szCs w:val="20"/>
                <w:color w:val="auto"/>
              </w:rPr>
            </w:pPr>
            <w:r>
              <w:rPr>
                <w:rFonts w:ascii="Arial" w:cs="Arial" w:eastAsia="Arial" w:hAnsi="Arial"/>
                <w:sz w:val="13"/>
                <w:szCs w:val="13"/>
                <w:color w:val="auto"/>
              </w:rPr>
              <w:t>2,505,285</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2,484,597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2,506,864</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National Surgical Hospitals,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08/01/2019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L+425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8,130,872</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8,111,416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8,090,218</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New Trident HoldCorp, Inc.</w:t>
            </w:r>
          </w:p>
        </w:tc>
        <w:tc>
          <w:tcPr>
            <w:tcW w:w="1280" w:type="dxa"/>
            <w:vAlign w:val="bottom"/>
          </w:tcPr>
          <w:p>
            <w:pPr>
              <w:ind w:left="580"/>
              <w:spacing w:after="0"/>
              <w:rPr>
                <w:sz w:val="20"/>
                <w:szCs w:val="20"/>
                <w:color w:val="auto"/>
              </w:rPr>
            </w:pPr>
            <w:r>
              <w:rPr>
                <w:rFonts w:ascii="Arial" w:cs="Arial" w:eastAsia="Arial" w:hAnsi="Arial"/>
                <w:sz w:val="13"/>
                <w:szCs w:val="13"/>
                <w:color w:val="auto"/>
              </w:rPr>
              <w:t>07/31/2019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L+525</w:t>
            </w:r>
          </w:p>
        </w:tc>
        <w:tc>
          <w:tcPr>
            <w:tcW w:w="760" w:type="dxa"/>
            <w:vAlign w:val="bottom"/>
          </w:tcPr>
          <w:p>
            <w:pPr>
              <w:jc w:val="right"/>
              <w:spacing w:after="0"/>
              <w:rPr>
                <w:sz w:val="20"/>
                <w:szCs w:val="20"/>
                <w:color w:val="auto"/>
              </w:rPr>
            </w:pPr>
            <w:r>
              <w:rPr>
                <w:rFonts w:ascii="Arial" w:cs="Arial" w:eastAsia="Arial" w:hAnsi="Arial"/>
                <w:sz w:val="13"/>
                <w:szCs w:val="13"/>
                <w:color w:val="auto"/>
              </w:rPr>
              <w:t>9,900,000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9,817,130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9,809,217</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Patriot National, Inc.</w:t>
            </w:r>
          </w:p>
        </w:tc>
        <w:tc>
          <w:tcPr>
            <w:tcW w:w="12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Banking, Finance, Insurance and Real</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12.50%</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L+1,150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13,293,846</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12,716,069</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13,426,785</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Old Guard Risk Services,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11/27/2018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Estate</w:t>
            </w: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Polyconcept Finance B.V.</w:t>
            </w:r>
          </w:p>
        </w:tc>
        <w:tc>
          <w:tcPr>
            <w:tcW w:w="1280" w:type="dxa"/>
            <w:vAlign w:val="bottom"/>
          </w:tcPr>
          <w:p>
            <w:pPr>
              <w:ind w:left="580"/>
              <w:spacing w:after="0"/>
              <w:rPr>
                <w:sz w:val="20"/>
                <w:szCs w:val="20"/>
                <w:color w:val="auto"/>
              </w:rPr>
            </w:pPr>
            <w:r>
              <w:rPr>
                <w:rFonts w:ascii="Arial" w:cs="Arial" w:eastAsia="Arial" w:hAnsi="Arial"/>
                <w:sz w:val="13"/>
                <w:szCs w:val="13"/>
                <w:color w:val="auto"/>
              </w:rPr>
              <w:t>06/28/2019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tcPr>
          <w:p>
            <w:pPr>
              <w:jc w:val="right"/>
              <w:spacing w:after="0"/>
              <w:rPr>
                <w:sz w:val="20"/>
                <w:szCs w:val="20"/>
                <w:color w:val="auto"/>
              </w:rPr>
            </w:pPr>
            <w:r>
              <w:rPr>
                <w:rFonts w:ascii="Arial" w:cs="Arial" w:eastAsia="Arial" w:hAnsi="Arial"/>
                <w:sz w:val="13"/>
                <w:szCs w:val="13"/>
                <w:color w:val="auto"/>
              </w:rPr>
              <w:t>7,717,766</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7,653,621</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7,669,530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11/01/2018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8,303,261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8,187,838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8,220,228</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Quality Home Brands Holdings LLC</w:t>
            </w:r>
          </w:p>
        </w:tc>
        <w:tc>
          <w:tcPr>
            <w:tcW w:w="1280" w:type="dxa"/>
            <w:vAlign w:val="bottom"/>
          </w:tcPr>
          <w:p>
            <w:pPr>
              <w:ind w:left="580"/>
              <w:spacing w:after="0"/>
              <w:rPr>
                <w:sz w:val="20"/>
                <w:szCs w:val="20"/>
                <w:color w:val="auto"/>
              </w:rPr>
            </w:pPr>
            <w:r>
              <w:rPr>
                <w:rFonts w:ascii="Arial" w:cs="Arial" w:eastAsia="Arial" w:hAnsi="Arial"/>
                <w:sz w:val="13"/>
                <w:szCs w:val="13"/>
                <w:color w:val="auto"/>
              </w:rPr>
              <w:t>12/17/2018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Consumer Goods: Durable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L+650</w:t>
            </w:r>
          </w:p>
        </w:tc>
        <w:tc>
          <w:tcPr>
            <w:tcW w:w="760" w:type="dxa"/>
            <w:vAlign w:val="bottom"/>
          </w:tcPr>
          <w:p>
            <w:pPr>
              <w:jc w:val="right"/>
              <w:spacing w:after="0"/>
              <w:rPr>
                <w:sz w:val="20"/>
                <w:szCs w:val="20"/>
                <w:color w:val="auto"/>
              </w:rPr>
            </w:pPr>
            <w:r>
              <w:rPr>
                <w:rFonts w:ascii="Arial" w:cs="Arial" w:eastAsia="Arial" w:hAnsi="Arial"/>
                <w:sz w:val="13"/>
                <w:szCs w:val="13"/>
                <w:color w:val="auto"/>
              </w:rPr>
              <w:t>4,962,500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4,921,444</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4,970,787</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RCS Capital Corporation</w:t>
            </w:r>
          </w:p>
        </w:tc>
        <w:tc>
          <w:tcPr>
            <w:tcW w:w="34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w w:val="97"/>
              </w:rPr>
              <w:t>04/29/2019   Banking, Finance, Insurance and Real</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4,937,500</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4,891,688</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4,956,016</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Estate</w:t>
            </w: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line="138" w:lineRule="exact"/>
              <w:rPr>
                <w:sz w:val="20"/>
                <w:szCs w:val="20"/>
                <w:color w:val="auto"/>
              </w:rPr>
            </w:pPr>
            <w:r>
              <w:rPr>
                <w:rFonts w:ascii="Arial" w:cs="Arial" w:eastAsia="Arial" w:hAnsi="Arial"/>
                <w:sz w:val="13"/>
                <w:szCs w:val="13"/>
                <w:color w:val="auto"/>
              </w:rPr>
              <w:t>Robertshaw US Holding Corp.</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06/18/2019</w:t>
            </w:r>
          </w:p>
        </w:tc>
        <w:tc>
          <w:tcPr>
            <w:tcW w:w="2200" w:type="dxa"/>
            <w:vAlign w:val="bottom"/>
          </w:tcPr>
          <w:p>
            <w:pPr>
              <w:jc w:val="center"/>
              <w:spacing w:after="0" w:line="138" w:lineRule="exact"/>
              <w:rPr>
                <w:sz w:val="20"/>
                <w:szCs w:val="20"/>
                <w:color w:val="auto"/>
              </w:rPr>
            </w:pPr>
            <w:r>
              <w:rPr>
                <w:rFonts w:ascii="Arial" w:cs="Arial" w:eastAsia="Arial" w:hAnsi="Arial"/>
                <w:sz w:val="13"/>
                <w:szCs w:val="13"/>
                <w:color w:val="auto"/>
                <w:w w:val="94"/>
              </w:rPr>
              <w:t>Consumer Goods: Durable</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L+750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3,294,118</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3,262,700</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3,288,278</w:t>
            </w:r>
          </w:p>
        </w:tc>
        <w:tc>
          <w:tcPr>
            <w:tcW w:w="0" w:type="dxa"/>
            <w:vAlign w:val="bottom"/>
          </w:tcPr>
          <w:p>
            <w:pPr>
              <w:spacing w:after="0"/>
              <w:rPr>
                <w:sz w:val="1"/>
                <w:szCs w:val="1"/>
                <w:color w:val="auto"/>
              </w:rPr>
            </w:pPr>
          </w:p>
        </w:tc>
      </w:tr>
      <w:tr>
        <w:trPr>
          <w:trHeight w:val="159"/>
        </w:trPr>
        <w:tc>
          <w:tcPr>
            <w:tcW w:w="3360" w:type="dxa"/>
            <w:vAlign w:val="bottom"/>
          </w:tcPr>
          <w:p>
            <w:pPr>
              <w:ind w:left="220"/>
              <w:spacing w:after="0"/>
              <w:rPr>
                <w:sz w:val="20"/>
                <w:szCs w:val="20"/>
                <w:color w:val="auto"/>
              </w:rPr>
            </w:pPr>
            <w:r>
              <w:rPr>
                <w:rFonts w:ascii="Arial" w:cs="Arial" w:eastAsia="Arial" w:hAnsi="Arial"/>
                <w:sz w:val="13"/>
                <w:szCs w:val="13"/>
                <w:color w:val="auto"/>
              </w:rPr>
              <w:t>(f/k/a Fox US Bidco Corp.)</w:t>
            </w:r>
          </w:p>
        </w:tc>
        <w:tc>
          <w:tcPr>
            <w:tcW w:w="1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Robertshaw US Holding Corp.</w:t>
            </w:r>
          </w:p>
        </w:tc>
        <w:tc>
          <w:tcPr>
            <w:tcW w:w="1280" w:type="dxa"/>
            <w:vAlign w:val="bottom"/>
            <w:shd w:val="clear" w:color="auto" w:fill="CCEEFF"/>
          </w:tcPr>
          <w:p>
            <w:pPr>
              <w:ind w:left="580"/>
              <w:spacing w:after="0" w:line="122" w:lineRule="exact"/>
              <w:rPr>
                <w:sz w:val="20"/>
                <w:szCs w:val="20"/>
                <w:color w:val="auto"/>
              </w:rPr>
            </w:pPr>
            <w:r>
              <w:rPr>
                <w:rFonts w:ascii="Arial" w:cs="Arial" w:eastAsia="Arial" w:hAnsi="Arial"/>
                <w:sz w:val="13"/>
                <w:szCs w:val="13"/>
                <w:color w:val="auto"/>
              </w:rPr>
              <w:t>06/18/2019</w:t>
            </w:r>
          </w:p>
        </w:tc>
        <w:tc>
          <w:tcPr>
            <w:tcW w:w="22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4"/>
              </w:rPr>
              <w:t>Consumer Goods: Durable</w:t>
            </w:r>
          </w:p>
        </w:tc>
        <w:tc>
          <w:tcPr>
            <w:tcW w:w="820" w:type="dxa"/>
            <w:vAlign w:val="bottom"/>
            <w:shd w:val="clear" w:color="auto" w:fill="CCEEFF"/>
          </w:tcPr>
          <w:p>
            <w:pPr>
              <w:jc w:val="right"/>
              <w:ind w:right="153"/>
              <w:spacing w:after="0" w:line="122"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3"/>
              <w:spacing w:after="0" w:line="122"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705,882</w:t>
            </w:r>
          </w:p>
        </w:tc>
        <w:tc>
          <w:tcPr>
            <w:tcW w:w="840" w:type="dxa"/>
            <w:vAlign w:val="bottom"/>
            <w:shd w:val="clear" w:color="auto" w:fill="CCEEFF"/>
          </w:tcPr>
          <w:p>
            <w:pPr>
              <w:jc w:val="right"/>
              <w:ind w:right="13"/>
              <w:spacing w:after="0" w:line="122" w:lineRule="exact"/>
              <w:rPr>
                <w:sz w:val="20"/>
                <w:szCs w:val="20"/>
                <w:color w:val="auto"/>
              </w:rPr>
            </w:pPr>
            <w:r>
              <w:rPr>
                <w:rFonts w:ascii="Arial" w:cs="Arial" w:eastAsia="Arial" w:hAnsi="Arial"/>
                <w:sz w:val="13"/>
                <w:szCs w:val="13"/>
                <w:color w:val="auto"/>
              </w:rPr>
              <w:t>705,882</w:t>
            </w:r>
          </w:p>
        </w:tc>
        <w:tc>
          <w:tcPr>
            <w:tcW w:w="10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704,631</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20"/>
              <w:spacing w:after="0" w:line="176" w:lineRule="exact"/>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20"/>
                <w:szCs w:val="20"/>
                <w:color w:val="auto"/>
                <w:vertAlign w:val="superscript"/>
              </w:rPr>
              <w:t>(10)</w:t>
            </w:r>
          </w:p>
        </w:tc>
        <w:tc>
          <w:tcPr>
            <w:tcW w:w="12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SCE Partners,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08/14/2019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8.25%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L+725</w:t>
            </w:r>
          </w:p>
        </w:tc>
        <w:tc>
          <w:tcPr>
            <w:tcW w:w="760" w:type="dxa"/>
            <w:vAlign w:val="bottom"/>
          </w:tcPr>
          <w:p>
            <w:pPr>
              <w:jc w:val="right"/>
              <w:spacing w:after="0"/>
              <w:rPr>
                <w:sz w:val="20"/>
                <w:szCs w:val="20"/>
                <w:color w:val="auto"/>
              </w:rPr>
            </w:pPr>
            <w:r>
              <w:rPr>
                <w:rFonts w:ascii="Arial" w:cs="Arial" w:eastAsia="Arial" w:hAnsi="Arial"/>
                <w:sz w:val="13"/>
                <w:szCs w:val="13"/>
                <w:color w:val="auto"/>
              </w:rPr>
              <w:t>12,000,000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11,898,121</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04/30/2020</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L+350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1,980,002</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1,963,277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1,955,252</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04/21/2017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L+750</w:t>
            </w:r>
          </w:p>
        </w:tc>
        <w:tc>
          <w:tcPr>
            <w:tcW w:w="760" w:type="dxa"/>
            <w:vAlign w:val="bottom"/>
          </w:tcPr>
          <w:p>
            <w:pPr>
              <w:jc w:val="right"/>
              <w:spacing w:after="0"/>
              <w:rPr>
                <w:sz w:val="20"/>
                <w:szCs w:val="20"/>
                <w:color w:val="auto"/>
              </w:rPr>
            </w:pPr>
            <w:r>
              <w:rPr>
                <w:rFonts w:ascii="Arial" w:cs="Arial" w:eastAsia="Arial" w:hAnsi="Arial"/>
                <w:sz w:val="13"/>
                <w:szCs w:val="13"/>
                <w:color w:val="auto"/>
              </w:rPr>
              <w:t>6,643,409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6,382,042</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5,979,068</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St. George’s University Scholastic Services LLC </w:t>
            </w:r>
            <w:r>
              <w:rPr>
                <w:rFonts w:ascii="Arial" w:cs="Arial" w:eastAsia="Arial" w:hAnsi="Arial"/>
                <w:sz w:val="17"/>
                <w:szCs w:val="17"/>
                <w:color w:val="auto"/>
                <w:vertAlign w:val="superscript"/>
              </w:rPr>
              <w:t>(6)</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08/09/2021</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Surgical Specialties Corporation (US),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08/22/2018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spacing w:after="0"/>
              <w:rPr>
                <w:sz w:val="20"/>
                <w:szCs w:val="20"/>
                <w:color w:val="auto"/>
              </w:rPr>
            </w:pPr>
            <w:r>
              <w:rPr>
                <w:rFonts w:ascii="Arial" w:cs="Arial" w:eastAsia="Arial" w:hAnsi="Arial"/>
                <w:sz w:val="13"/>
                <w:szCs w:val="13"/>
                <w:color w:val="auto"/>
              </w:rPr>
              <w:t>3,375,000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3,347,830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3,366,563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Sutherland Global Services,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03/06/2019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910,694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922,688</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Systems Maintenance Services Holding, Inc.</w:t>
            </w:r>
          </w:p>
        </w:tc>
        <w:tc>
          <w:tcPr>
            <w:tcW w:w="1280" w:type="dxa"/>
            <w:vAlign w:val="bottom"/>
          </w:tcPr>
          <w:p>
            <w:pPr>
              <w:ind w:left="580"/>
              <w:spacing w:after="0"/>
              <w:rPr>
                <w:sz w:val="20"/>
                <w:szCs w:val="20"/>
                <w:color w:val="auto"/>
              </w:rPr>
            </w:pPr>
            <w:r>
              <w:rPr>
                <w:rFonts w:ascii="Arial" w:cs="Arial" w:eastAsia="Arial" w:hAnsi="Arial"/>
                <w:sz w:val="13"/>
                <w:szCs w:val="13"/>
                <w:color w:val="auto"/>
              </w:rPr>
              <w:t>10/18/2019</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L+400</w:t>
            </w:r>
          </w:p>
        </w:tc>
        <w:tc>
          <w:tcPr>
            <w:tcW w:w="760" w:type="dxa"/>
            <w:vAlign w:val="bottom"/>
          </w:tcPr>
          <w:p>
            <w:pPr>
              <w:jc w:val="right"/>
              <w:spacing w:after="0"/>
              <w:rPr>
                <w:sz w:val="20"/>
                <w:szCs w:val="20"/>
                <w:color w:val="auto"/>
              </w:rPr>
            </w:pPr>
            <w:r>
              <w:rPr>
                <w:rFonts w:ascii="Arial" w:cs="Arial" w:eastAsia="Arial" w:hAnsi="Arial"/>
                <w:sz w:val="13"/>
                <w:szCs w:val="13"/>
                <w:color w:val="auto"/>
              </w:rPr>
              <w:t>5,955,000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5,931,546</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5,910,338</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Tensar Corporation</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07/09/2021</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Construction and Building</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4,950,448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4,968,750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Therakos, Inc.</w:t>
            </w:r>
          </w:p>
        </w:tc>
        <w:tc>
          <w:tcPr>
            <w:tcW w:w="1280" w:type="dxa"/>
            <w:vAlign w:val="bottom"/>
          </w:tcPr>
          <w:p>
            <w:pPr>
              <w:ind w:left="580"/>
              <w:spacing w:after="0"/>
              <w:rPr>
                <w:sz w:val="20"/>
                <w:szCs w:val="20"/>
                <w:color w:val="auto"/>
              </w:rPr>
            </w:pPr>
            <w:r>
              <w:rPr>
                <w:rFonts w:ascii="Arial" w:cs="Arial" w:eastAsia="Arial" w:hAnsi="Arial"/>
                <w:sz w:val="13"/>
                <w:szCs w:val="13"/>
                <w:color w:val="auto"/>
              </w:rPr>
              <w:t>12/27/2017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L+625</w:t>
            </w:r>
          </w:p>
        </w:tc>
        <w:tc>
          <w:tcPr>
            <w:tcW w:w="760" w:type="dxa"/>
            <w:vAlign w:val="bottom"/>
          </w:tcPr>
          <w:p>
            <w:pPr>
              <w:jc w:val="right"/>
              <w:spacing w:after="0"/>
              <w:rPr>
                <w:sz w:val="20"/>
                <w:szCs w:val="20"/>
                <w:color w:val="auto"/>
              </w:rPr>
            </w:pPr>
            <w:r>
              <w:rPr>
                <w:rFonts w:ascii="Arial" w:cs="Arial" w:eastAsia="Arial" w:hAnsi="Arial"/>
                <w:sz w:val="13"/>
                <w:szCs w:val="13"/>
                <w:color w:val="auto"/>
              </w:rPr>
              <w:t>4,843,177</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4,775,215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4,861,339</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04/15/2016</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Telecommunications</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12.25%</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L+1,125</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135,817</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135,817</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135,817</w:t>
            </w:r>
          </w:p>
        </w:tc>
        <w:tc>
          <w:tcPr>
            <w:tcW w:w="0" w:type="dxa"/>
            <w:vAlign w:val="bottom"/>
          </w:tcPr>
          <w:p>
            <w:pPr>
              <w:spacing w:after="0"/>
              <w:rPr>
                <w:sz w:val="1"/>
                <w:szCs w:val="1"/>
                <w:color w:val="auto"/>
              </w:rPr>
            </w:pPr>
          </w:p>
        </w:tc>
      </w:tr>
      <w:tr>
        <w:trPr>
          <w:trHeight w:val="173"/>
        </w:trPr>
        <w:tc>
          <w:tcPr>
            <w:tcW w:w="3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(PIK 7.25%)</w:t>
            </w: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360" w:type="dxa"/>
            <w:vAlign w:val="bottom"/>
          </w:tcPr>
          <w:p>
            <w:pPr>
              <w:spacing w:after="0"/>
              <w:rPr>
                <w:sz w:val="20"/>
                <w:szCs w:val="20"/>
                <w:color w:val="auto"/>
              </w:rPr>
            </w:pPr>
            <w:r>
              <w:rPr>
                <w:rFonts w:ascii="Arial" w:cs="Arial" w:eastAsia="Arial" w:hAnsi="Arial"/>
                <w:sz w:val="13"/>
                <w:szCs w:val="13"/>
                <w:color w:val="auto"/>
              </w:rPr>
              <w:t>UniTek Global Services,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04/16/2018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820" w:type="dxa"/>
            <w:vAlign w:val="bottom"/>
          </w:tcPr>
          <w:p>
            <w:pPr>
              <w:jc w:val="right"/>
              <w:ind w:right="13"/>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(7)</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2,184,319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2,150,875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1,332,435</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3"/>
          <w:szCs w:val="13"/>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240"/>
          </w:cols>
          <w:pgMar w:left="320" w:top="459"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0"/>
              </w:rPr>
              <w:t>Above</w:t>
            </w:r>
          </w:p>
        </w:tc>
        <w:tc>
          <w:tcPr>
            <w:tcW w:w="940" w:type="dxa"/>
            <w:vAlign w:val="bottom"/>
            <w:gridSpan w:val="2"/>
          </w:tcPr>
          <w:p>
            <w:pPr>
              <w:jc w:val="right"/>
              <w:ind w:right="480"/>
              <w:spacing w:after="0" w:line="134"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 xml:space="preserve">Fair Value </w:t>
            </w:r>
            <w:r>
              <w:rPr>
                <w:rFonts w:ascii="Arial" w:cs="Arial" w:eastAsia="Arial" w:hAnsi="Arial"/>
                <w:sz w:val="22"/>
                <w:szCs w:val="22"/>
                <w:b w:val="1"/>
                <w:bCs w:val="1"/>
                <w:color w:val="auto"/>
                <w:w w:val="93"/>
                <w:vertAlign w:val="superscript"/>
              </w:rPr>
              <w:t>(2)</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3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Coupon</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spacing w:after="0" w:line="142" w:lineRule="exact"/>
              <w:rPr>
                <w:sz w:val="20"/>
                <w:szCs w:val="20"/>
                <w:color w:val="auto"/>
              </w:rPr>
            </w:pPr>
            <w:r>
              <w:rPr>
                <w:rFonts w:ascii="Arial" w:cs="Arial" w:eastAsia="Arial" w:hAnsi="Arial"/>
                <w:sz w:val="10"/>
                <w:szCs w:val="10"/>
                <w:color w:val="auto"/>
              </w:rPr>
              <w:t xml:space="preserve">Virtual Radiologic Corporation </w:t>
            </w:r>
            <w:r>
              <w:rPr>
                <w:rFonts w:ascii="Arial" w:cs="Arial" w:eastAsia="Arial" w:hAnsi="Arial"/>
                <w:sz w:val="16"/>
                <w:szCs w:val="16"/>
                <w:color w:val="auto"/>
                <w:vertAlign w:val="superscript"/>
              </w:rPr>
              <w:t>(8)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12/22/2016</w:t>
            </w: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Business Services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7.26%</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L+550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2,925,663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2,915,553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2,157,677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08/30/2018</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Consumer Goods: Non-Durable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7.50%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L+625</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3,017,653</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2,977,186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2,844,138</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YP LLC</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w w:val="98"/>
              </w:rPr>
              <w:t>06/04/2018</w:t>
            </w:r>
          </w:p>
        </w:tc>
        <w:tc>
          <w:tcPr>
            <w:tcW w:w="21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8.00%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L+675</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3,224,845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3,160,701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3,230,907</w:t>
            </w: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rPr>
                <w:sz w:val="20"/>
                <w:szCs w:val="20"/>
                <w:color w:val="auto"/>
              </w:rPr>
            </w:pPr>
            <w:r>
              <w:rPr>
                <w:rFonts w:ascii="Arial" w:cs="Arial" w:eastAsia="Arial" w:hAnsi="Arial"/>
                <w:sz w:val="13"/>
                <w:szCs w:val="13"/>
                <w:color w:val="auto"/>
              </w:rPr>
              <w:t>Zest Holdings, LLC</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08/17/2020</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Healthcare and Pharmaceuticals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5.25%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L+425</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8,910,169</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8,910,169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8,910,169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302,889,195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302,565,355</w:t>
            </w: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Debt—17.0%</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09/01/2017</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Metals and Mining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11.50%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1,080,000</w:t>
            </w: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10/02/2019</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L+875</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1,675,421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1,687,250</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08/01/2018</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Beverage, Food and Tobacco</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10.63%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3,613,750</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J.A. Cosmetics Holdings, Inc. </w:t>
            </w:r>
            <w:r>
              <w:rPr>
                <w:rFonts w:ascii="Arial" w:cs="Arial" w:eastAsia="Arial" w:hAnsi="Arial"/>
                <w:sz w:val="17"/>
                <w:szCs w:val="17"/>
                <w:color w:val="auto"/>
                <w:vertAlign w:val="superscript"/>
              </w:rPr>
              <w:t>(8)</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07/31/2019</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Durable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L+1,000</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3,926,394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4,059,524</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12/20/2016</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Consumer Services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7,100,000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7,026,077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7,023,107</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rPr>
                <w:sz w:val="20"/>
                <w:szCs w:val="20"/>
                <w:color w:val="auto"/>
              </w:rPr>
            </w:pPr>
            <w:r>
              <w:rPr>
                <w:rFonts w:ascii="Arial" w:cs="Arial" w:eastAsia="Arial" w:hAnsi="Arial"/>
                <w:sz w:val="13"/>
                <w:szCs w:val="13"/>
                <w:color w:val="auto"/>
              </w:rPr>
              <w:t>Novitex Acquisition, LLC</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07/07/2021</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11.75%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L+1,050</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w w:val="95"/>
              </w:rPr>
              <w:t>11,000,000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10,893,446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Penton Media, Inc. </w:t>
            </w:r>
            <w:r>
              <w:rPr>
                <w:rFonts w:ascii="Arial" w:cs="Arial" w:eastAsia="Arial" w:hAnsi="Arial"/>
                <w:sz w:val="17"/>
                <w:szCs w:val="17"/>
                <w:color w:val="auto"/>
                <w:vertAlign w:val="superscript"/>
              </w:rPr>
              <w:t>(8)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10/02/2020</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Media: Diversified and Production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L+775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5,527,495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5,593,000</w:t>
            </w: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Sunshine Oilsands Ltd. </w:t>
            </w:r>
            <w:r>
              <w:rPr>
                <w:rFonts w:ascii="Arial" w:cs="Arial" w:eastAsia="Arial" w:hAnsi="Arial"/>
                <w:sz w:val="17"/>
                <w:szCs w:val="17"/>
                <w:color w:val="auto"/>
                <w:vertAlign w:val="superscript"/>
              </w:rPr>
              <w:t>(5), (6), (8)</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08/01/2017</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Energy: Oil and Gas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2,645,114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2,638,153</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36,193,947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36,474,784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Notes—3.3% </w:t>
            </w:r>
            <w:r>
              <w:rPr>
                <w:rFonts w:ascii="Arial" w:cs="Arial" w:eastAsia="Arial" w:hAnsi="Arial"/>
                <w:sz w:val="18"/>
                <w:szCs w:val="18"/>
                <w:b w:val="1"/>
                <w:bCs w:val="1"/>
                <w:color w:val="auto"/>
                <w:vertAlign w:val="superscript"/>
              </w:rPr>
              <w:t>(8)</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w w:val="98"/>
              </w:rPr>
              <w:t>09/14/2018</w:t>
            </w:r>
          </w:p>
        </w:tc>
        <w:tc>
          <w:tcPr>
            <w:tcW w:w="21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4"/>
              </w:rPr>
              <w:t>Consumer Goods: Durable</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14.50%</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4,161,233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3,639,478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3,537,048</w:t>
            </w:r>
          </w:p>
        </w:tc>
        <w:tc>
          <w:tcPr>
            <w:tcW w:w="0" w:type="dxa"/>
            <w:vAlign w:val="bottom"/>
          </w:tcPr>
          <w:p>
            <w:pPr>
              <w:spacing w:after="0"/>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(PIK 14.50 %)</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Affinion Investments LLC </w:t>
            </w:r>
            <w:r>
              <w:rPr>
                <w:rFonts w:ascii="Arial" w:cs="Arial" w:eastAsia="Arial" w:hAnsi="Arial"/>
                <w:sz w:val="17"/>
                <w:szCs w:val="17"/>
                <w:color w:val="auto"/>
                <w:vertAlign w:val="superscript"/>
              </w:rPr>
              <w:t>(5)</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08/15/2018</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Durable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13.50%</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1,734,000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1,734,000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1,612,620</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Credit Infonet, Inc.</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w w:val="98"/>
              </w:rPr>
              <w:t>10/26/2018</w:t>
            </w:r>
          </w:p>
        </w:tc>
        <w:tc>
          <w:tcPr>
            <w:tcW w:w="21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5"/>
              </w:rPr>
              <w:t>High Tech Industries</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12.50%</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1,993,762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1,961,974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(PIK 1.25 %)</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7,335,452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7,073,685</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17"/>
                <w:szCs w:val="17"/>
                <w:b w:val="1"/>
                <w:bCs w:val="1"/>
                <w:color w:val="auto"/>
                <w:vertAlign w:val="superscript"/>
              </w:rPr>
              <w:t>(7), (8)</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20" w:type="dxa"/>
            <w:vAlign w:val="bottom"/>
            <w:gridSpan w:val="2"/>
          </w:tcPr>
          <w:p>
            <w:pPr>
              <w:spacing w:after="0" w:line="138" w:lineRule="exact"/>
              <w:rPr>
                <w:sz w:val="20"/>
                <w:szCs w:val="20"/>
                <w:color w:val="auto"/>
              </w:rPr>
            </w:pPr>
            <w:r>
              <w:rPr>
                <w:rFonts w:ascii="Arial" w:cs="Arial" w:eastAsia="Arial" w:hAnsi="Arial"/>
                <w:sz w:val="13"/>
                <w:szCs w:val="13"/>
                <w:color w:val="auto"/>
              </w:rPr>
              <w:t>J.A. Cosmetics US, Inc.</w:t>
            </w:r>
          </w:p>
        </w:tc>
        <w:tc>
          <w:tcPr>
            <w:tcW w:w="96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w:t>
            </w:r>
          </w:p>
        </w:tc>
        <w:tc>
          <w:tcPr>
            <w:tcW w:w="21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4"/>
              </w:rPr>
              <w:t>Consumer Goods: Durable</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8.00%</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400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399,704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421,215</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(J.A. Cosmetics Holdings, Inc.)</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Equity/Warrants—0.9% </w:t>
            </w:r>
            <w:r>
              <w:rPr>
                <w:rFonts w:ascii="Arial" w:cs="Arial" w:eastAsia="Arial" w:hAnsi="Arial"/>
                <w:sz w:val="17"/>
                <w:szCs w:val="17"/>
                <w:b w:val="1"/>
                <w:bCs w:val="1"/>
                <w:color w:val="auto"/>
                <w:vertAlign w:val="superscript"/>
              </w:rPr>
              <w:t>(7), (8)</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rPr>
                <w:sz w:val="20"/>
                <w:szCs w:val="20"/>
                <w:color w:val="auto"/>
              </w:rPr>
            </w:pPr>
            <w:r>
              <w:rPr>
                <w:rFonts w:ascii="Arial" w:cs="Arial" w:eastAsia="Arial" w:hAnsi="Arial"/>
                <w:sz w:val="13"/>
                <w:szCs w:val="13"/>
                <w:color w:val="auto"/>
              </w:rPr>
              <w:t>Affinion Group Holdings, Inc., Series A (Warrants)</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12/12/2023</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Durable</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554,715</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1,186,649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1,040,091</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 Series B (Warrants)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12/12/2023</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Durable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1,135,743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38"/>
        </w:trPr>
        <w:tc>
          <w:tcPr>
            <w:tcW w:w="3520" w:type="dxa"/>
            <w:vAlign w:val="bottom"/>
            <w:gridSpan w:val="2"/>
          </w:tcPr>
          <w:p>
            <w:pPr>
              <w:spacing w:after="0" w:line="138" w:lineRule="exact"/>
              <w:rPr>
                <w:sz w:val="20"/>
                <w:szCs w:val="20"/>
                <w:color w:val="auto"/>
              </w:rPr>
            </w:pPr>
            <w:r>
              <w:rPr>
                <w:rFonts w:ascii="Arial" w:cs="Arial" w:eastAsia="Arial" w:hAnsi="Arial"/>
                <w:sz w:val="13"/>
                <w:szCs w:val="13"/>
                <w:color w:val="auto"/>
              </w:rPr>
              <w:t>J.A. Cosmetics US, Inc.</w:t>
            </w:r>
          </w:p>
        </w:tc>
        <w:tc>
          <w:tcPr>
            <w:tcW w:w="96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w:t>
            </w:r>
          </w:p>
        </w:tc>
        <w:tc>
          <w:tcPr>
            <w:tcW w:w="21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4"/>
              </w:rPr>
              <w:t>Consumer Goods: Durable</w:t>
            </w:r>
          </w:p>
        </w:tc>
        <w:tc>
          <w:tcPr>
            <w:tcW w:w="960" w:type="dxa"/>
            <w:vAlign w:val="bottom"/>
            <w:gridSpan w:val="2"/>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58,055</w:t>
            </w:r>
          </w:p>
        </w:tc>
        <w:tc>
          <w:tcPr>
            <w:tcW w:w="0" w:type="dxa"/>
            <w:vAlign w:val="bottom"/>
          </w:tcPr>
          <w:p>
            <w:pPr>
              <w:spacing w:after="0"/>
              <w:rPr>
                <w:sz w:val="1"/>
                <w:szCs w:val="1"/>
                <w:color w:val="auto"/>
              </w:rPr>
            </w:pPr>
          </w:p>
        </w:tc>
      </w:tr>
      <w:tr>
        <w:trPr>
          <w:trHeight w:val="159"/>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(J.A. Cosmetics Holdings, Inc.)</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Patriot National, Inc.</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w w:val="98"/>
              </w:rPr>
              <w:t>11/27/2023</w:t>
            </w:r>
          </w:p>
        </w:tc>
        <w:tc>
          <w:tcPr>
            <w:tcW w:w="21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3"/>
              </w:rPr>
              <w:t>Banking, Finance, Insurance and Real</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7,403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151,853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399,833</w:t>
            </w:r>
          </w:p>
        </w:tc>
        <w:tc>
          <w:tcPr>
            <w:tcW w:w="0" w:type="dxa"/>
            <w:vAlign w:val="bottom"/>
          </w:tcPr>
          <w:p>
            <w:pPr>
              <w:spacing w:after="0"/>
              <w:rPr>
                <w:sz w:val="1"/>
                <w:szCs w:val="1"/>
                <w:color w:val="auto"/>
              </w:rPr>
            </w:pPr>
          </w:p>
        </w:tc>
      </w:tr>
      <w:tr>
        <w:trPr>
          <w:trHeight w:val="159"/>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(f/k/a Old Guard Risk Services, Inc.) (Warrants)</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Estate</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rPr>
                <w:sz w:val="20"/>
                <w:szCs w:val="20"/>
                <w:color w:val="auto"/>
              </w:rPr>
            </w:pPr>
            <w:r>
              <w:rPr>
                <w:rFonts w:ascii="Arial" w:cs="Arial" w:eastAsia="Arial" w:hAnsi="Arial"/>
                <w:sz w:val="13"/>
                <w:szCs w:val="13"/>
                <w:color w:val="auto"/>
              </w:rPr>
              <w:t>UniTek Global Services, Inc. (Warrants)</w:t>
            </w:r>
          </w:p>
        </w:tc>
        <w:tc>
          <w:tcPr>
            <w:tcW w:w="96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214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Telecommunications</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56,717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95,285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6,239</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Parent Holdings, Inc.</w:t>
            </w:r>
          </w:p>
        </w:tc>
        <w:tc>
          <w:tcPr>
            <w:tcW w:w="96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21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(Vestcom International, Inc.)</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244,631</w:t>
            </w:r>
          </w:p>
        </w:tc>
        <w:tc>
          <w:tcPr>
            <w:tcW w:w="0" w:type="dxa"/>
            <w:vAlign w:val="bottom"/>
          </w:tcPr>
          <w:p>
            <w:pPr>
              <w:spacing w:after="0"/>
              <w:rPr>
                <w:sz w:val="1"/>
                <w:szCs w:val="1"/>
                <w:color w:val="auto"/>
              </w:rPr>
            </w:pPr>
          </w:p>
        </w:tc>
      </w:tr>
      <w:tr>
        <w:trPr>
          <w:trHeight w:val="138"/>
        </w:trPr>
        <w:tc>
          <w:tcPr>
            <w:tcW w:w="3520" w:type="dxa"/>
            <w:vAlign w:val="bottom"/>
            <w:gridSpan w:val="2"/>
          </w:tcPr>
          <w:p>
            <w:pPr>
              <w:spacing w:after="0" w:line="138" w:lineRule="exact"/>
              <w:rPr>
                <w:sz w:val="20"/>
                <w:szCs w:val="20"/>
                <w:color w:val="auto"/>
              </w:rPr>
            </w:pPr>
            <w:r>
              <w:rPr>
                <w:rFonts w:ascii="Arial" w:cs="Arial" w:eastAsia="Arial" w:hAnsi="Arial"/>
                <w:sz w:val="13"/>
                <w:szCs w:val="13"/>
                <w:color w:val="auto"/>
              </w:rPr>
              <w:t>Z Wireless Holdings, Inc. (AKA Diversified</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w w:val="98"/>
              </w:rPr>
              <w:t>10/21/2021</w:t>
            </w:r>
          </w:p>
        </w:tc>
        <w:tc>
          <w:tcPr>
            <w:tcW w:w="21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rPr>
              <w:t>Retail</w:t>
            </w:r>
          </w:p>
        </w:tc>
        <w:tc>
          <w:tcPr>
            <w:tcW w:w="960" w:type="dxa"/>
            <w:vAlign w:val="bottom"/>
            <w:gridSpan w:val="2"/>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463</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45,019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121,889</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Holdings, Inc.) (Warrants)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1,535,997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80" w:type="dxa"/>
            <w:vAlign w:val="bottom"/>
            <w:gridSpan w:val="4"/>
          </w:tcPr>
          <w:p>
            <w:pPr>
              <w:spacing w:after="0"/>
              <w:rPr>
                <w:sz w:val="20"/>
                <w:szCs w:val="20"/>
                <w:color w:val="auto"/>
              </w:rPr>
            </w:pPr>
            <w:r>
              <w:rPr>
                <w:rFonts w:ascii="Arial" w:cs="Arial" w:eastAsia="Arial" w:hAnsi="Arial"/>
                <w:sz w:val="13"/>
                <w:szCs w:val="13"/>
                <w:b w:val="1"/>
                <w:bCs w:val="1"/>
                <w:color w:val="auto"/>
                <w:w w:val="99"/>
              </w:rPr>
              <w:t>Total Investments in Non-Controlled, Non-Affiliated Portfolio Companies</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8"/>
              </w:rPr>
              <w:t>348,354,295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348,428,492</w:t>
            </w: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Equivalents—6.1%</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4"/>
          </w:tcPr>
          <w:p>
            <w:pPr>
              <w:spacing w:after="0"/>
              <w:rPr>
                <w:sz w:val="20"/>
                <w:szCs w:val="20"/>
                <w:color w:val="auto"/>
              </w:rPr>
            </w:pPr>
            <w:r>
              <w:rPr>
                <w:rFonts w:ascii="Arial" w:cs="Arial" w:eastAsia="Arial" w:hAnsi="Arial"/>
                <w:sz w:val="13"/>
                <w:szCs w:val="13"/>
                <w:color w:val="auto"/>
              </w:rPr>
              <w:t>BlackRock Liquidity Funds, Temp Cash and Temp Fund, Institutional Shares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13,113,817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13,113,817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Equivalents—168.5%</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361,468,112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361,542,309</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Assets—(68.5)%</w:t>
            </w: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(147,014,599)</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214,527,710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0" w:lineRule="exact"/>
        <w:rPr>
          <w:sz w:val="20"/>
          <w:szCs w:val="20"/>
          <w:color w:val="auto"/>
        </w:rPr>
      </w:pPr>
    </w:p>
    <w:p>
      <w:pPr>
        <w:ind w:left="340" w:right="140" w:hanging="332"/>
        <w:spacing w:after="0" w:line="24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4" w:lineRule="exact"/>
        <w:rPr>
          <w:rFonts w:ascii="Arial" w:cs="Arial" w:eastAsia="Arial" w:hAnsi="Arial"/>
          <w:sz w:val="13"/>
          <w:szCs w:val="13"/>
          <w:color w:val="auto"/>
        </w:rPr>
      </w:pPr>
    </w:p>
    <w:p>
      <w:pPr>
        <w:ind w:left="340" w:right="60" w:hanging="332"/>
        <w:spacing w:after="0" w:line="274"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Spread</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Par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4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95"/>
              </w:rPr>
              <w:t>Above</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40" w:type="dxa"/>
            <w:vAlign w:val="bottom"/>
          </w:tcPr>
          <w:p>
            <w:pPr>
              <w:ind w:left="580"/>
              <w:spacing w:after="0"/>
              <w:rPr>
                <w:sz w:val="20"/>
                <w:szCs w:val="20"/>
                <w:color w:val="auto"/>
              </w:rPr>
            </w:pPr>
            <w:r>
              <w:rPr>
                <w:rFonts w:ascii="Arial" w:cs="Arial" w:eastAsia="Arial" w:hAnsi="Arial"/>
                <w:sz w:val="13"/>
                <w:szCs w:val="13"/>
                <w:b w:val="1"/>
                <w:bCs w:val="1"/>
                <w:color w:val="auto"/>
              </w:rPr>
              <w:t>Maturity</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4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ind w:right="1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760" w:type="dxa"/>
            <w:vAlign w:val="bottom"/>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540" w:type="dxa"/>
            <w:vAlign w:val="bottom"/>
            <w:tcBorders>
              <w:top w:val="single" w:sz="8" w:color="auto"/>
            </w:tcBorders>
            <w:gridSpan w:val="3"/>
            <w:shd w:val="clear" w:color="auto" w:fill="CCEEFF"/>
          </w:tcPr>
          <w:p>
            <w:pPr>
              <w:spacing w:after="0" w:line="143"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Companies—151.3% </w:t>
            </w:r>
            <w:r>
              <w:rPr>
                <w:rFonts w:ascii="Arial" w:cs="Arial" w:eastAsia="Arial" w:hAnsi="Arial"/>
                <w:sz w:val="16"/>
                <w:szCs w:val="16"/>
                <w:b w:val="1"/>
                <w:bCs w:val="1"/>
                <w:color w:val="auto"/>
                <w:vertAlign w:val="superscript"/>
              </w:rPr>
              <w:t>(3),(4)</w:t>
            </w:r>
          </w:p>
        </w:tc>
        <w:tc>
          <w:tcPr>
            <w:tcW w:w="9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Debt—133.8%</w:t>
            </w:r>
          </w:p>
        </w:tc>
        <w:tc>
          <w:tcPr>
            <w:tcW w:w="1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1340" w:type="dxa"/>
            <w:vAlign w:val="bottom"/>
          </w:tcPr>
          <w:p>
            <w:pPr>
              <w:ind w:left="640"/>
              <w:spacing w:after="0" w:line="138" w:lineRule="exact"/>
              <w:rPr>
                <w:sz w:val="20"/>
                <w:szCs w:val="20"/>
                <w:color w:val="auto"/>
              </w:rPr>
            </w:pPr>
            <w:r>
              <w:rPr>
                <w:rFonts w:ascii="Arial" w:cs="Arial" w:eastAsia="Arial" w:hAnsi="Arial"/>
                <w:sz w:val="13"/>
                <w:szCs w:val="13"/>
                <w:color w:val="auto"/>
              </w:rPr>
              <w:t>12/21/2016</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940" w:type="dxa"/>
            <w:vAlign w:val="bottom"/>
          </w:tcPr>
          <w:p>
            <w:pPr>
              <w:jc w:val="right"/>
              <w:ind w:right="1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9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L+1,225</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2,728,141</w:t>
            </w:r>
          </w:p>
        </w:tc>
        <w:tc>
          <w:tcPr>
            <w:tcW w:w="9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  2,684,231</w:t>
            </w:r>
          </w:p>
        </w:tc>
        <w:tc>
          <w:tcPr>
            <w:tcW w:w="2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2,755,278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(PIK 1.50%)</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02/28/2019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8,457,500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8,394,246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340" w:type="dxa"/>
            <w:vAlign w:val="bottom"/>
          </w:tcPr>
          <w:p>
            <w:pPr>
              <w:ind w:left="640"/>
              <w:spacing w:after="0"/>
              <w:rPr>
                <w:sz w:val="20"/>
                <w:szCs w:val="20"/>
                <w:color w:val="auto"/>
              </w:rPr>
            </w:pPr>
            <w:r>
              <w:rPr>
                <w:rFonts w:ascii="Arial" w:cs="Arial" w:eastAsia="Arial" w:hAnsi="Arial"/>
                <w:sz w:val="13"/>
                <w:szCs w:val="13"/>
                <w:color w:val="auto"/>
              </w:rPr>
              <w:t>05/23/2018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1,995,000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1,976,374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1,980,037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06/29/2018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7,950,000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7,711,500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7,870,500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Ancile Solutions, Inc.</w:t>
            </w:r>
          </w:p>
        </w:tc>
        <w:tc>
          <w:tcPr>
            <w:tcW w:w="1340" w:type="dxa"/>
            <w:vAlign w:val="bottom"/>
          </w:tcPr>
          <w:p>
            <w:pPr>
              <w:ind w:left="640"/>
              <w:spacing w:after="0"/>
              <w:rPr>
                <w:sz w:val="20"/>
                <w:szCs w:val="20"/>
                <w:color w:val="auto"/>
              </w:rPr>
            </w:pPr>
            <w:r>
              <w:rPr>
                <w:rFonts w:ascii="Arial" w:cs="Arial" w:eastAsia="Arial" w:hAnsi="Arial"/>
                <w:sz w:val="13"/>
                <w:szCs w:val="13"/>
                <w:color w:val="auto"/>
              </w:rPr>
              <w:t>07/16/2018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4,951,516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11/15/2018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2,530,875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2,510,159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340" w:type="dxa"/>
            <w:vAlign w:val="bottom"/>
          </w:tcPr>
          <w:p>
            <w:pPr>
              <w:ind w:left="640"/>
              <w:spacing w:after="0"/>
              <w:rPr>
                <w:sz w:val="20"/>
                <w:szCs w:val="20"/>
                <w:color w:val="auto"/>
              </w:rPr>
            </w:pPr>
            <w:r>
              <w:rPr>
                <w:rFonts w:ascii="Arial" w:cs="Arial" w:eastAsia="Arial" w:hAnsi="Arial"/>
                <w:sz w:val="13"/>
                <w:szCs w:val="13"/>
                <w:color w:val="auto"/>
              </w:rPr>
              <w:t>10/06/2016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2,947,500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2,916,715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2,829,600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12/20/2019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2,977,500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2,951,133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BBB Industries, LLC</w:t>
            </w:r>
          </w:p>
        </w:tc>
        <w:tc>
          <w:tcPr>
            <w:tcW w:w="1340" w:type="dxa"/>
            <w:vAlign w:val="bottom"/>
          </w:tcPr>
          <w:p>
            <w:pPr>
              <w:ind w:left="640"/>
              <w:spacing w:after="0"/>
              <w:rPr>
                <w:sz w:val="20"/>
                <w:szCs w:val="20"/>
                <w:color w:val="auto"/>
              </w:rPr>
            </w:pPr>
            <w:r>
              <w:rPr>
                <w:rFonts w:ascii="Arial" w:cs="Arial" w:eastAsia="Arial" w:hAnsi="Arial"/>
                <w:sz w:val="13"/>
                <w:szCs w:val="13"/>
                <w:color w:val="auto"/>
              </w:rPr>
              <w:t>03/27/2019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2,925,000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2,903,031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2,917,687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06/04/2019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6,965,000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6,899,024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7,034,650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line="122" w:lineRule="exact"/>
              <w:rPr>
                <w:sz w:val="20"/>
                <w:szCs w:val="20"/>
                <w:color w:val="auto"/>
              </w:rPr>
            </w:pPr>
            <w:r>
              <w:rPr>
                <w:rFonts w:ascii="Arial" w:cs="Arial" w:eastAsia="Arial" w:hAnsi="Arial"/>
                <w:sz w:val="13"/>
                <w:szCs w:val="13"/>
                <w:color w:val="auto"/>
              </w:rPr>
              <w:t>Bellisio Foods, Inc.</w:t>
            </w:r>
          </w:p>
        </w:tc>
        <w:tc>
          <w:tcPr>
            <w:tcW w:w="1340" w:type="dxa"/>
            <w:vAlign w:val="bottom"/>
          </w:tcPr>
          <w:p>
            <w:pPr>
              <w:ind w:left="640"/>
              <w:spacing w:after="0" w:line="122" w:lineRule="exact"/>
              <w:rPr>
                <w:sz w:val="20"/>
                <w:szCs w:val="20"/>
                <w:color w:val="auto"/>
              </w:rPr>
            </w:pPr>
            <w:r>
              <w:rPr>
                <w:rFonts w:ascii="Arial" w:cs="Arial" w:eastAsia="Arial" w:hAnsi="Arial"/>
                <w:sz w:val="13"/>
                <w:szCs w:val="13"/>
                <w:color w:val="auto"/>
              </w:rPr>
              <w:t>08/01/2019</w:t>
            </w:r>
          </w:p>
        </w:tc>
        <w:tc>
          <w:tcPr>
            <w:tcW w:w="1960" w:type="dxa"/>
            <w:vAlign w:val="bottom"/>
          </w:tcPr>
          <w:p>
            <w:pPr>
              <w:jc w:val="center"/>
              <w:spacing w:after="0" w:line="122" w:lineRule="exact"/>
              <w:rPr>
                <w:sz w:val="20"/>
                <w:szCs w:val="20"/>
                <w:color w:val="auto"/>
              </w:rPr>
            </w:pPr>
            <w:r>
              <w:rPr>
                <w:rFonts w:ascii="Arial" w:cs="Arial" w:eastAsia="Arial" w:hAnsi="Arial"/>
                <w:sz w:val="13"/>
                <w:szCs w:val="13"/>
                <w:color w:val="auto"/>
                <w:w w:val="91"/>
              </w:rPr>
              <w:t>Beverage, Food and Tobacco</w:t>
            </w:r>
          </w:p>
        </w:tc>
        <w:tc>
          <w:tcPr>
            <w:tcW w:w="940" w:type="dxa"/>
            <w:vAlign w:val="bottom"/>
          </w:tcPr>
          <w:p>
            <w:pPr>
              <w:jc w:val="right"/>
              <w:ind w:right="153"/>
              <w:spacing w:after="0" w:line="122" w:lineRule="exact"/>
              <w:rPr>
                <w:sz w:val="20"/>
                <w:szCs w:val="20"/>
                <w:color w:val="auto"/>
              </w:rPr>
            </w:pPr>
            <w:r>
              <w:rPr>
                <w:rFonts w:ascii="Arial" w:cs="Arial" w:eastAsia="Arial" w:hAnsi="Arial"/>
                <w:sz w:val="13"/>
                <w:szCs w:val="13"/>
                <w:color w:val="auto"/>
              </w:rPr>
              <w:t>5.25%</w:t>
            </w:r>
          </w:p>
        </w:tc>
        <w:tc>
          <w:tcPr>
            <w:tcW w:w="900" w:type="dxa"/>
            <w:vAlign w:val="bottom"/>
          </w:tcPr>
          <w:p>
            <w:pPr>
              <w:jc w:val="right"/>
              <w:ind w:right="33"/>
              <w:spacing w:after="0" w:line="122" w:lineRule="exact"/>
              <w:rPr>
                <w:sz w:val="20"/>
                <w:szCs w:val="20"/>
                <w:color w:val="auto"/>
              </w:rPr>
            </w:pPr>
            <w:r>
              <w:rPr>
                <w:rFonts w:ascii="Arial" w:cs="Arial" w:eastAsia="Arial" w:hAnsi="Arial"/>
                <w:sz w:val="13"/>
                <w:szCs w:val="13"/>
                <w:color w:val="auto"/>
              </w:rPr>
              <w:t>L+425</w:t>
            </w:r>
          </w:p>
        </w:tc>
        <w:tc>
          <w:tcPr>
            <w:tcW w:w="7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4,237,288</w:t>
            </w:r>
          </w:p>
        </w:tc>
        <w:tc>
          <w:tcPr>
            <w:tcW w:w="940" w:type="dxa"/>
            <w:vAlign w:val="bottom"/>
            <w:gridSpan w:val="2"/>
          </w:tcPr>
          <w:p>
            <w:pPr>
              <w:jc w:val="right"/>
              <w:ind w:right="140"/>
              <w:spacing w:after="0" w:line="122" w:lineRule="exact"/>
              <w:rPr>
                <w:sz w:val="20"/>
                <w:szCs w:val="20"/>
                <w:color w:val="auto"/>
              </w:rPr>
            </w:pPr>
            <w:r>
              <w:rPr>
                <w:rFonts w:ascii="Arial" w:cs="Arial" w:eastAsia="Arial" w:hAnsi="Arial"/>
                <w:sz w:val="13"/>
                <w:szCs w:val="13"/>
                <w:color w:val="auto"/>
              </w:rPr>
              <w:t>4,216,574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auto"/>
              </w:rPr>
              <w:t>4,216,102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line="176" w:lineRule="exact"/>
              <w:rPr>
                <w:sz w:val="20"/>
                <w:szCs w:val="20"/>
                <w:color w:val="auto"/>
              </w:rPr>
            </w:pPr>
            <w:r>
              <w:rPr>
                <w:rFonts w:ascii="Arial" w:cs="Arial" w:eastAsia="Arial" w:hAnsi="Arial"/>
                <w:sz w:val="12"/>
                <w:szCs w:val="12"/>
                <w:color w:val="auto"/>
              </w:rPr>
              <w:t xml:space="preserve">Bellisio Foods, Inc. </w:t>
            </w:r>
            <w:r>
              <w:rPr>
                <w:rFonts w:ascii="Arial" w:cs="Arial" w:eastAsia="Arial" w:hAnsi="Arial"/>
                <w:sz w:val="20"/>
                <w:szCs w:val="20"/>
                <w:color w:val="auto"/>
                <w:vertAlign w:val="superscript"/>
              </w:rPr>
              <w:t>(10)</w:t>
            </w:r>
          </w:p>
        </w:tc>
        <w:tc>
          <w:tcPr>
            <w:tcW w:w="1340" w:type="dxa"/>
            <w:vAlign w:val="bottom"/>
          </w:tcPr>
          <w:p>
            <w:pPr>
              <w:ind w:left="640"/>
              <w:spacing w:after="0"/>
              <w:rPr>
                <w:sz w:val="20"/>
                <w:szCs w:val="20"/>
                <w:color w:val="auto"/>
              </w:rPr>
            </w:pPr>
            <w:r>
              <w:rPr>
                <w:rFonts w:ascii="Arial" w:cs="Arial" w:eastAsia="Arial" w:hAnsi="Arial"/>
                <w:sz w:val="13"/>
                <w:szCs w:val="13"/>
                <w:color w:val="auto"/>
              </w:rPr>
              <w:t>08/01/2019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tcPr>
          <w:p>
            <w:pPr>
              <w:jc w:val="right"/>
              <w:ind w:right="133"/>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0"/>
                <w:szCs w:val="10"/>
                <w:color w:val="auto"/>
              </w:rPr>
              <w:t xml:space="preserve"> (9)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762,712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759,021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758,898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BioScrip, Inc.</w:t>
            </w:r>
          </w:p>
        </w:tc>
        <w:tc>
          <w:tcPr>
            <w:tcW w:w="1340" w:type="dxa"/>
            <w:vAlign w:val="bottom"/>
          </w:tcPr>
          <w:p>
            <w:pPr>
              <w:ind w:left="640"/>
              <w:spacing w:after="0"/>
              <w:rPr>
                <w:sz w:val="20"/>
                <w:szCs w:val="20"/>
                <w:color w:val="auto"/>
              </w:rPr>
            </w:pPr>
            <w:r>
              <w:rPr>
                <w:rFonts w:ascii="Arial" w:cs="Arial" w:eastAsia="Arial" w:hAnsi="Arial"/>
                <w:sz w:val="13"/>
                <w:szCs w:val="13"/>
                <w:color w:val="auto"/>
              </w:rPr>
              <w:t>07/31/2020</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1,970,525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07/02/2020</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4,950,774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Cetera Financial Group, Inc. </w:t>
            </w:r>
            <w:r>
              <w:rPr>
                <w:rFonts w:ascii="Arial" w:cs="Arial" w:eastAsia="Arial" w:hAnsi="Arial"/>
                <w:sz w:val="17"/>
                <w:szCs w:val="17"/>
                <w:color w:val="auto"/>
                <w:vertAlign w:val="superscript"/>
              </w:rPr>
              <w:t>(8)</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w w:val="98"/>
              </w:rPr>
              <w:t>08/07/2019  Banking, Finance and Real Estate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4,902,298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4,954,150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CPG International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09/30/2020</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L+375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4,975,000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Cydcor LLC</w:t>
            </w:r>
          </w:p>
        </w:tc>
        <w:tc>
          <w:tcPr>
            <w:tcW w:w="1340" w:type="dxa"/>
            <w:vAlign w:val="bottom"/>
          </w:tcPr>
          <w:p>
            <w:pPr>
              <w:ind w:left="640"/>
              <w:spacing w:after="0"/>
              <w:rPr>
                <w:sz w:val="20"/>
                <w:szCs w:val="20"/>
                <w:color w:val="auto"/>
              </w:rPr>
            </w:pPr>
            <w:r>
              <w:rPr>
                <w:rFonts w:ascii="Arial" w:cs="Arial" w:eastAsia="Arial" w:hAnsi="Arial"/>
                <w:sz w:val="13"/>
                <w:szCs w:val="13"/>
                <w:color w:val="auto"/>
              </w:rPr>
              <w:t>06/12/2017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9.75%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L+725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1,958,125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1,958,125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1,958,125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03/19/2018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3,603,061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3,554,898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3,603,061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340" w:type="dxa"/>
            <w:vAlign w:val="bottom"/>
          </w:tcPr>
          <w:p>
            <w:pPr>
              <w:ind w:left="640"/>
              <w:spacing w:after="0"/>
              <w:rPr>
                <w:sz w:val="20"/>
                <w:szCs w:val="20"/>
                <w:color w:val="auto"/>
              </w:rPr>
            </w:pPr>
            <w:r>
              <w:rPr>
                <w:rFonts w:ascii="Arial" w:cs="Arial" w:eastAsia="Arial" w:hAnsi="Arial"/>
                <w:sz w:val="13"/>
                <w:szCs w:val="13"/>
                <w:color w:val="auto"/>
              </w:rPr>
              <w:t>12/03/2018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961,264</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954,199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961,263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07/28/2017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888,721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888,721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Edmenturn, Inc.</w:t>
            </w:r>
          </w:p>
        </w:tc>
        <w:tc>
          <w:tcPr>
            <w:tcW w:w="1340" w:type="dxa"/>
            <w:vAlign w:val="bottom"/>
          </w:tcPr>
          <w:p>
            <w:pPr>
              <w:ind w:left="640"/>
              <w:spacing w:after="0" w:line="138" w:lineRule="exact"/>
              <w:rPr>
                <w:sz w:val="20"/>
                <w:szCs w:val="20"/>
                <w:color w:val="auto"/>
              </w:rPr>
            </w:pPr>
            <w:r>
              <w:rPr>
                <w:rFonts w:ascii="Arial" w:cs="Arial" w:eastAsia="Arial" w:hAnsi="Arial"/>
                <w:sz w:val="13"/>
                <w:szCs w:val="13"/>
                <w:color w:val="auto"/>
              </w:rPr>
              <w:t>05/17/2018</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938,438</w:t>
            </w:r>
          </w:p>
        </w:tc>
        <w:tc>
          <w:tcPr>
            <w:tcW w:w="9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938,438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941,563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11/12/2019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2,209,435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2,191,417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rPr>
              <w:t>05/18/2018   Chemicals, Plastics and Rubber</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6.75%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2,469,992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2,451,906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2,482,342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05/02/2018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2,970,056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2,955,416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340" w:type="dxa"/>
            <w:vAlign w:val="bottom"/>
          </w:tcPr>
          <w:p>
            <w:pPr>
              <w:ind w:left="640"/>
              <w:spacing w:after="0"/>
              <w:rPr>
                <w:sz w:val="20"/>
                <w:szCs w:val="20"/>
                <w:color w:val="auto"/>
              </w:rPr>
            </w:pPr>
            <w:r>
              <w:rPr>
                <w:rFonts w:ascii="Arial" w:cs="Arial" w:eastAsia="Arial" w:hAnsi="Arial"/>
                <w:sz w:val="13"/>
                <w:szCs w:val="13"/>
                <w:color w:val="auto"/>
              </w:rPr>
              <w:t>01/09/2018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4,937,500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4,890,024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4,962,187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11/30/2017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3,647,438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3,623,608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3,632,228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340" w:type="dxa"/>
            <w:vAlign w:val="bottom"/>
          </w:tcPr>
          <w:p>
            <w:pPr>
              <w:ind w:left="640"/>
              <w:spacing w:after="0" w:line="138" w:lineRule="exact"/>
              <w:rPr>
                <w:sz w:val="20"/>
                <w:szCs w:val="20"/>
                <w:color w:val="auto"/>
              </w:rPr>
            </w:pPr>
            <w:r>
              <w:rPr>
                <w:rFonts w:ascii="Arial" w:cs="Arial" w:eastAsia="Arial" w:hAnsi="Arial"/>
                <w:sz w:val="13"/>
                <w:szCs w:val="13"/>
                <w:color w:val="auto"/>
              </w:rPr>
              <w:t>05/23/2018</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6.75%</w:t>
            </w:r>
          </w:p>
        </w:tc>
        <w:tc>
          <w:tcPr>
            <w:tcW w:w="9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2,985,000</w:t>
            </w:r>
          </w:p>
        </w:tc>
        <w:tc>
          <w:tcPr>
            <w:tcW w:w="9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2,978,216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2,987,478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09/02/2019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9.63%</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340" w:type="dxa"/>
            <w:vAlign w:val="bottom"/>
          </w:tcPr>
          <w:p>
            <w:pPr>
              <w:ind w:left="640"/>
              <w:spacing w:after="0"/>
              <w:rPr>
                <w:sz w:val="20"/>
                <w:szCs w:val="20"/>
                <w:color w:val="auto"/>
              </w:rPr>
            </w:pPr>
            <w:r>
              <w:rPr>
                <w:rFonts w:ascii="Arial" w:cs="Arial" w:eastAsia="Arial" w:hAnsi="Arial"/>
                <w:sz w:val="13"/>
                <w:szCs w:val="13"/>
                <w:color w:val="auto"/>
              </w:rPr>
              <w:t>05/27/2016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8.99%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L+750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2,934,372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2,926,116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2,567,575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10/31/2013</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175,657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175,657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340" w:type="dxa"/>
            <w:vAlign w:val="bottom"/>
          </w:tcPr>
          <w:p>
            <w:pPr>
              <w:ind w:left="640"/>
              <w:spacing w:after="0"/>
              <w:rPr>
                <w:sz w:val="20"/>
                <w:szCs w:val="20"/>
                <w:color w:val="auto"/>
              </w:rPr>
            </w:pPr>
            <w:r>
              <w:rPr>
                <w:rFonts w:ascii="Arial" w:cs="Arial" w:eastAsia="Arial" w:hAnsi="Arial"/>
                <w:sz w:val="13"/>
                <w:szCs w:val="13"/>
                <w:color w:val="auto"/>
              </w:rPr>
              <w:t>06/28/2019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4,952,010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Howard Berger Co. LLC</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08/03/2017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2,585,993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2,555,979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340" w:type="dxa"/>
            <w:vAlign w:val="bottom"/>
          </w:tcPr>
          <w:p>
            <w:pPr>
              <w:ind w:left="640"/>
              <w:spacing w:after="0"/>
              <w:rPr>
                <w:sz w:val="20"/>
                <w:szCs w:val="20"/>
                <w:color w:val="auto"/>
              </w:rPr>
            </w:pPr>
            <w:r>
              <w:rPr>
                <w:rFonts w:ascii="Arial" w:cs="Arial" w:eastAsia="Arial" w:hAnsi="Arial"/>
                <w:sz w:val="13"/>
                <w:szCs w:val="13"/>
                <w:color w:val="auto"/>
              </w:rPr>
              <w:t>03/30/2017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11.50%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1,969,758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05/01/2019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8,775,000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8,632,866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340" w:type="dxa"/>
            <w:vAlign w:val="bottom"/>
          </w:tcPr>
          <w:p>
            <w:pPr>
              <w:ind w:left="640"/>
              <w:spacing w:after="0"/>
              <w:rPr>
                <w:sz w:val="20"/>
                <w:szCs w:val="20"/>
                <w:color w:val="auto"/>
              </w:rPr>
            </w:pPr>
            <w:r>
              <w:rPr>
                <w:rFonts w:ascii="Arial" w:cs="Arial" w:eastAsia="Arial" w:hAnsi="Arial"/>
                <w:sz w:val="13"/>
                <w:szCs w:val="13"/>
                <w:color w:val="auto"/>
              </w:rPr>
              <w:t>11/30/2016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11.95%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P+625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2,175,000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2,195,331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340" w:type="dxa"/>
            <w:vAlign w:val="bottom"/>
            <w:shd w:val="clear" w:color="auto" w:fill="CCEEFF"/>
          </w:tcPr>
          <w:p>
            <w:pPr>
              <w:ind w:left="640"/>
              <w:spacing w:after="0" w:line="138" w:lineRule="exact"/>
              <w:rPr>
                <w:sz w:val="20"/>
                <w:szCs w:val="20"/>
                <w:color w:val="auto"/>
              </w:rPr>
            </w:pPr>
            <w:r>
              <w:rPr>
                <w:rFonts w:ascii="Arial" w:cs="Arial" w:eastAsia="Arial" w:hAnsi="Arial"/>
                <w:sz w:val="13"/>
                <w:szCs w:val="13"/>
                <w:color w:val="auto"/>
              </w:rPr>
              <w:t>08/07/2014</w:t>
            </w: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9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L+338</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6,836,389</w:t>
            </w:r>
          </w:p>
        </w:tc>
        <w:tc>
          <w:tcPr>
            <w:tcW w:w="9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6,698,584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5,469,111</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340" w:type="dxa"/>
            <w:vAlign w:val="bottom"/>
          </w:tcPr>
          <w:p>
            <w:pPr>
              <w:ind w:left="640"/>
              <w:spacing w:after="0"/>
              <w:rPr>
                <w:sz w:val="20"/>
                <w:szCs w:val="20"/>
                <w:color w:val="auto"/>
              </w:rPr>
            </w:pPr>
            <w:r>
              <w:rPr>
                <w:rFonts w:ascii="Arial" w:cs="Arial" w:eastAsia="Arial" w:hAnsi="Arial"/>
                <w:sz w:val="13"/>
                <w:szCs w:val="13"/>
                <w:color w:val="auto"/>
              </w:rPr>
              <w:t>10/16/2017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L+850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5,521,875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5,406,642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5,439,047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07/11/2019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Cargo</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1,965,824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rPr>
              <w:t>08/19/2019   Chemicals, Plastics and Rubber</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L+900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6,157,648</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6,034,495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6,065,283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11/30/2018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5,985,000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5,900,289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Meritas Schools Holdings, LLC</w:t>
            </w:r>
          </w:p>
        </w:tc>
        <w:tc>
          <w:tcPr>
            <w:tcW w:w="1340" w:type="dxa"/>
            <w:vAlign w:val="bottom"/>
          </w:tcPr>
          <w:p>
            <w:pPr>
              <w:ind w:left="640"/>
              <w:spacing w:after="0"/>
              <w:rPr>
                <w:sz w:val="20"/>
                <w:szCs w:val="20"/>
                <w:color w:val="auto"/>
              </w:rPr>
            </w:pPr>
            <w:r>
              <w:rPr>
                <w:rFonts w:ascii="Arial" w:cs="Arial" w:eastAsia="Arial" w:hAnsi="Arial"/>
                <w:sz w:val="13"/>
                <w:szCs w:val="13"/>
                <w:color w:val="auto"/>
              </w:rPr>
              <w:t>06/25/2019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2,992,500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2,963,605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2,987,503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Milk Specialties Company</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11/09/2018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3,383,000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3,354,728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w w:val="98"/>
              </w:rPr>
              <w:t>05/07/2018  Media: Diversified and Production</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2,348,510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2,344,859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2,345,574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330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w w:val="99"/>
              </w:rPr>
              <w:t>04/24/2018   Banking, Finance, Insurance and</w:t>
            </w:r>
          </w:p>
        </w:tc>
        <w:tc>
          <w:tcPr>
            <w:tcW w:w="9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937,500</w:t>
            </w:r>
          </w:p>
        </w:tc>
        <w:tc>
          <w:tcPr>
            <w:tcW w:w="9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926,724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941,016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Real Estate</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1340" w:type="dxa"/>
            <w:vAlign w:val="bottom"/>
          </w:tcPr>
          <w:p>
            <w:pPr>
              <w:ind w:left="640"/>
              <w:spacing w:after="0"/>
              <w:rPr>
                <w:sz w:val="20"/>
                <w:szCs w:val="20"/>
                <w:color w:val="auto"/>
              </w:rPr>
            </w:pPr>
            <w:r>
              <w:rPr>
                <w:rFonts w:ascii="Arial" w:cs="Arial" w:eastAsia="Arial" w:hAnsi="Arial"/>
                <w:sz w:val="13"/>
                <w:szCs w:val="13"/>
                <w:color w:val="auto"/>
              </w:rPr>
              <w:t>08/01/2019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6,500,000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6,436,491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6,475,625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07/31/2019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9,903,508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1340" w:type="dxa"/>
            <w:vAlign w:val="bottom"/>
          </w:tcPr>
          <w:p>
            <w:pPr>
              <w:ind w:left="640"/>
              <w:spacing w:after="0"/>
              <w:rPr>
                <w:sz w:val="20"/>
                <w:szCs w:val="20"/>
                <w:color w:val="auto"/>
              </w:rPr>
            </w:pPr>
            <w:r>
              <w:rPr>
                <w:rFonts w:ascii="Arial" w:cs="Arial" w:eastAsia="Arial" w:hAnsi="Arial"/>
                <w:sz w:val="13"/>
                <w:szCs w:val="13"/>
                <w:color w:val="auto"/>
              </w:rPr>
              <w:t>12/19/2018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L+775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4,500,000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4,421,591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4,635,000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B-1 Loan</w:t>
            </w:r>
          </w:p>
        </w:tc>
        <w:tc>
          <w:tcPr>
            <w:tcW w:w="33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08/20/2019   Chemicals, Plastics and Rubber</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3,125,000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3,079,073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OCI Beaumont LLC, Term B-2 Loan</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rPr>
              <w:t>08/20/2019   Chemicals, Plastics and Rubber</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5,875,000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5,788,657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03/25/2019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Consumer</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3,990,000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3,990,000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4,003,287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w w:val="98"/>
              </w:rPr>
              <w:t>05/11/2020   Containers, Packaging and Glass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2,500,000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2,488,883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Paladin Brands Holding,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08/16/2019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2,956,071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Pelican Products, Inc.</w:t>
            </w:r>
          </w:p>
        </w:tc>
        <w:tc>
          <w:tcPr>
            <w:tcW w:w="3300" w:type="dxa"/>
            <w:vAlign w:val="bottom"/>
            <w:gridSpan w:val="2"/>
          </w:tcPr>
          <w:p>
            <w:pPr>
              <w:ind w:left="640"/>
              <w:spacing w:after="0"/>
              <w:rPr>
                <w:sz w:val="20"/>
                <w:szCs w:val="20"/>
                <w:color w:val="auto"/>
              </w:rPr>
            </w:pPr>
            <w:r>
              <w:rPr>
                <w:rFonts w:ascii="Arial" w:cs="Arial" w:eastAsia="Arial" w:hAnsi="Arial"/>
                <w:sz w:val="13"/>
                <w:szCs w:val="13"/>
                <w:color w:val="auto"/>
                <w:w w:val="98"/>
              </w:rPr>
              <w:t>07/11/2018   Containers, Packaging and Glass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1,481,250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1,456,674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1,473,844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330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w w:val="98"/>
              </w:rPr>
              <w:t>08/01/2014  Media: Diversified and Production</w:t>
            </w:r>
          </w:p>
        </w:tc>
        <w:tc>
          <w:tcPr>
            <w:tcW w:w="9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7,517,838</w:t>
            </w:r>
          </w:p>
        </w:tc>
        <w:tc>
          <w:tcPr>
            <w:tcW w:w="9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7,234,538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7,433,263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(PIK 2.00%)</w:t>
            </w: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40" w:type="dxa"/>
            <w:vAlign w:val="bottom"/>
          </w:tcPr>
          <w:p>
            <w:pPr>
              <w:spacing w:after="0"/>
              <w:rPr>
                <w:sz w:val="20"/>
                <w:szCs w:val="20"/>
                <w:color w:val="auto"/>
              </w:rPr>
            </w:pPr>
            <w:r>
              <w:rPr>
                <w:rFonts w:ascii="Arial" w:cs="Arial" w:eastAsia="Arial" w:hAnsi="Arial"/>
                <w:sz w:val="13"/>
                <w:szCs w:val="13"/>
                <w:color w:val="auto"/>
              </w:rPr>
              <w:t>Polyconcept Finance B.V.</w:t>
            </w:r>
          </w:p>
        </w:tc>
        <w:tc>
          <w:tcPr>
            <w:tcW w:w="1340" w:type="dxa"/>
            <w:vAlign w:val="bottom"/>
          </w:tcPr>
          <w:p>
            <w:pPr>
              <w:ind w:left="640"/>
              <w:spacing w:after="0"/>
              <w:rPr>
                <w:sz w:val="20"/>
                <w:szCs w:val="20"/>
                <w:color w:val="auto"/>
              </w:rPr>
            </w:pPr>
            <w:r>
              <w:rPr>
                <w:rFonts w:ascii="Arial" w:cs="Arial" w:eastAsia="Arial" w:hAnsi="Arial"/>
                <w:sz w:val="13"/>
                <w:szCs w:val="13"/>
                <w:color w:val="auto"/>
              </w:rPr>
              <w:t>06/28/2019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6.00%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7,832,755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7,757,882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7,744,636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11/01/2018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3,374,503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3,286,903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3,382,939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340" w:type="dxa"/>
            <w:vAlign w:val="bottom"/>
          </w:tcPr>
          <w:p>
            <w:pPr>
              <w:ind w:left="640"/>
              <w:spacing w:after="0"/>
              <w:rPr>
                <w:sz w:val="20"/>
                <w:szCs w:val="20"/>
                <w:color w:val="auto"/>
              </w:rPr>
            </w:pPr>
            <w:r>
              <w:rPr>
                <w:rFonts w:ascii="Arial" w:cs="Arial" w:eastAsia="Arial" w:hAnsi="Arial"/>
                <w:sz w:val="13"/>
                <w:szCs w:val="13"/>
                <w:color w:val="auto"/>
              </w:rPr>
              <w:t>11/29/2016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L+875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4,250,000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4,188,136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08/24/2018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4,972,500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4,923,269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5,009,794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SCE Partners, LLC</w:t>
            </w:r>
          </w:p>
        </w:tc>
        <w:tc>
          <w:tcPr>
            <w:tcW w:w="1340" w:type="dxa"/>
            <w:vAlign w:val="bottom"/>
          </w:tcPr>
          <w:p>
            <w:pPr>
              <w:ind w:left="640"/>
              <w:spacing w:after="0"/>
              <w:rPr>
                <w:sz w:val="20"/>
                <w:szCs w:val="20"/>
                <w:color w:val="auto"/>
              </w:rPr>
            </w:pPr>
            <w:r>
              <w:rPr>
                <w:rFonts w:ascii="Arial" w:cs="Arial" w:eastAsia="Arial" w:hAnsi="Arial"/>
                <w:sz w:val="13"/>
                <w:szCs w:val="13"/>
                <w:color w:val="auto"/>
              </w:rPr>
              <w:t>08/14/2019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8.25%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L+725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12,000,000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11,881,935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04/30/2020</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L+350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1,981,121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340" w:type="dxa"/>
            <w:vAlign w:val="bottom"/>
          </w:tcPr>
          <w:p>
            <w:pPr>
              <w:ind w:left="640"/>
              <w:spacing w:after="0"/>
              <w:rPr>
                <w:sz w:val="20"/>
                <w:szCs w:val="20"/>
                <w:color w:val="auto"/>
              </w:rPr>
            </w:pPr>
            <w:r>
              <w:rPr>
                <w:rFonts w:ascii="Arial" w:cs="Arial" w:eastAsia="Arial" w:hAnsi="Arial"/>
                <w:sz w:val="13"/>
                <w:szCs w:val="13"/>
                <w:color w:val="auto"/>
              </w:rPr>
              <w:t>04/21/2017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L+600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2,646,725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2,629,647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2,382,052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St. George’s University Scholastic Services LLC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12/20/2017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1,948,471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1,915,350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1,955,778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Surgical Specialties Corporation (US), Inc.</w:t>
            </w:r>
          </w:p>
        </w:tc>
        <w:tc>
          <w:tcPr>
            <w:tcW w:w="1340" w:type="dxa"/>
            <w:vAlign w:val="bottom"/>
          </w:tcPr>
          <w:p>
            <w:pPr>
              <w:ind w:left="640"/>
              <w:spacing w:after="0"/>
              <w:rPr>
                <w:sz w:val="20"/>
                <w:szCs w:val="20"/>
                <w:color w:val="auto"/>
              </w:rPr>
            </w:pPr>
            <w:r>
              <w:rPr>
                <w:rFonts w:ascii="Arial" w:cs="Arial" w:eastAsia="Arial" w:hAnsi="Arial"/>
                <w:sz w:val="13"/>
                <w:szCs w:val="13"/>
                <w:color w:val="auto"/>
              </w:rPr>
              <w:t>08/22/2018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3,555,000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3,520,302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3,590,550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Sutherland Global Services, Inc.</w:t>
            </w:r>
          </w:p>
        </w:tc>
        <w:tc>
          <w:tcPr>
            <w:tcW w:w="13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03/06/2019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975,000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957,196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971,344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240"/>
          </w:cols>
          <w:pgMar w:left="320" w:top="459"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5"/>
              </w:rPr>
              <w:t>Basis Point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Spread</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Current</w:t>
            </w:r>
          </w:p>
        </w:tc>
        <w:tc>
          <w:tcPr>
            <w:tcW w:w="9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5"/>
              </w:rPr>
              <w:t>Above</w:t>
            </w:r>
          </w:p>
        </w:tc>
        <w:tc>
          <w:tcPr>
            <w:tcW w:w="86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6"/>
              </w:rPr>
              <w:t xml:space="preserve">Fair Value  </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Maturity</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920" w:type="dxa"/>
            <w:vAlign w:val="bottom"/>
            <w:gridSpan w:val="2"/>
          </w:tcPr>
          <w:p>
            <w:pPr>
              <w:jc w:val="center"/>
              <w:ind w:right="140"/>
              <w:spacing w:after="0" w:line="176" w:lineRule="exact"/>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20"/>
                <w:szCs w:val="20"/>
                <w:b w:val="1"/>
                <w:bCs w:val="1"/>
                <w:color w:val="auto"/>
                <w:vertAlign w:val="superscript"/>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The National Underwriter Company</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05/31/2018</w:t>
            </w:r>
          </w:p>
        </w:tc>
        <w:tc>
          <w:tcPr>
            <w:tcW w:w="1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Media: Advertising, Printing and</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6.00</w:t>
            </w:r>
          </w:p>
        </w:tc>
        <w:tc>
          <w:tcPr>
            <w:tcW w:w="280" w:type="dxa"/>
            <w:vAlign w:val="bottom"/>
            <w:tcBorders>
              <w:top w:val="single" w:sz="8" w:color="CCEEFF"/>
            </w:tcBorders>
            <w:shd w:val="clear" w:color="auto" w:fill="CCEEFF"/>
          </w:tcPr>
          <w:p>
            <w:pPr>
              <w:jc w:val="right"/>
              <w:ind w:right="93"/>
              <w:spacing w:after="0" w:line="131" w:lineRule="exact"/>
              <w:rPr>
                <w:sz w:val="20"/>
                <w:szCs w:val="20"/>
                <w:color w:val="auto"/>
              </w:rPr>
            </w:pPr>
            <w:r>
              <w:rPr>
                <w:rFonts w:ascii="Arial" w:cs="Arial" w:eastAsia="Arial" w:hAnsi="Arial"/>
                <w:sz w:val="13"/>
                <w:szCs w:val="13"/>
                <w:color w:val="auto"/>
                <w:w w:val="86"/>
              </w:rPr>
              <w:t>%</w:t>
            </w:r>
          </w:p>
        </w:tc>
        <w:tc>
          <w:tcPr>
            <w:tcW w:w="7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L+475</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4,415,625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4,374,813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4,393,547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rPr>
                <w:sz w:val="20"/>
                <w:szCs w:val="20"/>
                <w:color w:val="auto"/>
              </w:rPr>
            </w:pPr>
            <w:r>
              <w:rPr>
                <w:rFonts w:ascii="Arial" w:cs="Arial" w:eastAsia="Arial" w:hAnsi="Arial"/>
                <w:sz w:val="13"/>
                <w:szCs w:val="13"/>
                <w:color w:val="auto"/>
              </w:rPr>
              <w:t>Therakos, Inc.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12/27/2017</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Healthcare and Pharmaceuticals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7.50%</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L+625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2,977,500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2,899,121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2,973,778</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04/16/2018</w:t>
            </w:r>
          </w:p>
        </w:tc>
        <w:tc>
          <w:tcPr>
            <w:tcW w:w="186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Telecommunications</w:t>
            </w:r>
          </w:p>
        </w:tc>
        <w:tc>
          <w:tcPr>
            <w:tcW w:w="860" w:type="dxa"/>
            <w:vAlign w:val="bottom"/>
            <w:gridSpan w:val="2"/>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15.00%</w:t>
            </w: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L+1,350</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w w:val="96"/>
              </w:rPr>
              <w:t>2,112,349</w:t>
            </w: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2,074,200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2,096,507</w:t>
            </w:r>
          </w:p>
        </w:tc>
        <w:tc>
          <w:tcPr>
            <w:tcW w:w="0" w:type="dxa"/>
            <w:vAlign w:val="bottom"/>
          </w:tcPr>
          <w:p>
            <w:pPr>
              <w:spacing w:after="0"/>
              <w:rPr>
                <w:sz w:val="1"/>
                <w:szCs w:val="1"/>
                <w:color w:val="auto"/>
              </w:rPr>
            </w:pPr>
          </w:p>
        </w:tc>
      </w:tr>
      <w:tr>
        <w:trPr>
          <w:trHeight w:val="173"/>
        </w:trPr>
        <w:tc>
          <w:tcPr>
            <w:tcW w:w="3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(PIK 4.00%)</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06/19/2017</w:t>
            </w:r>
          </w:p>
        </w:tc>
        <w:tc>
          <w:tcPr>
            <w:tcW w:w="18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Consumer Services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6.50%</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2,932,500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2,912,802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2,800,538</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04/19/2016</w:t>
            </w:r>
          </w:p>
        </w:tc>
        <w:tc>
          <w:tcPr>
            <w:tcW w:w="186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8"/>
              </w:rPr>
              <w:t>Media: Advertising, Printing</w:t>
            </w:r>
          </w:p>
        </w:tc>
        <w:tc>
          <w:tcPr>
            <w:tcW w:w="860" w:type="dxa"/>
            <w:vAlign w:val="bottom"/>
            <w:gridSpan w:val="2"/>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7.00%</w:t>
            </w: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3,304,277</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3,280,480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3,304,277</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and</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12/22/2016</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7.25%</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2,932,500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2,916,949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1,847,475</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08/30/2018</w:t>
            </w:r>
          </w:p>
        </w:tc>
        <w:tc>
          <w:tcPr>
            <w:tcW w:w="18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4"/>
              </w:rPr>
              <w:t>Consumer Goods: Non-Durable</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7.50%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L+625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3,230,000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3,177,789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3,165,400</w:t>
            </w:r>
          </w:p>
        </w:tc>
        <w:tc>
          <w:tcPr>
            <w:tcW w:w="0" w:type="dxa"/>
            <w:vAlign w:val="bottom"/>
          </w:tcPr>
          <w:p>
            <w:pPr>
              <w:spacing w:after="0"/>
              <w:rPr>
                <w:sz w:val="1"/>
                <w:szCs w:val="1"/>
                <w:color w:val="auto"/>
              </w:rPr>
            </w:pPr>
          </w:p>
        </w:tc>
      </w:tr>
      <w:tr>
        <w:trPr>
          <w:trHeight w:val="138"/>
        </w:trPr>
        <w:tc>
          <w:tcPr>
            <w:tcW w:w="35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9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06/04/2018</w:t>
            </w:r>
          </w:p>
        </w:tc>
        <w:tc>
          <w:tcPr>
            <w:tcW w:w="186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8"/>
              </w:rPr>
              <w:t>Media: Advertising, Printing</w:t>
            </w:r>
          </w:p>
        </w:tc>
        <w:tc>
          <w:tcPr>
            <w:tcW w:w="860" w:type="dxa"/>
            <w:vAlign w:val="bottom"/>
            <w:gridSpan w:val="2"/>
          </w:tcPr>
          <w:p>
            <w:pPr>
              <w:jc w:val="right"/>
              <w:ind w:right="93"/>
              <w:spacing w:after="0" w:line="138" w:lineRule="exact"/>
              <w:rPr>
                <w:sz w:val="20"/>
                <w:szCs w:val="20"/>
                <w:color w:val="auto"/>
              </w:rPr>
            </w:pPr>
            <w:r>
              <w:rPr>
                <w:rFonts w:ascii="Arial" w:cs="Arial" w:eastAsia="Arial" w:hAnsi="Arial"/>
                <w:sz w:val="13"/>
                <w:szCs w:val="13"/>
                <w:color w:val="auto"/>
              </w:rPr>
              <w:t>8.06%</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L+675</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5,085,000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4,964,517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5,046,863</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and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Zest Anchors, LLC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08/17/2020</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Healthcare and Pharmaceuticals</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6.50%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9,000,000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8,822,056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8,887,500</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281,260,179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281,046,248</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Debt—13.1%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09/01/2017</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Metals and Mining</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11.50%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3,000,000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Arsloane Acquisition, LLC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10/01/2020</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11.75%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L+1,050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5,000,000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4,983,350</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10/23/2019</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Energy: Oil and Gas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L+975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1,906,607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1,861,523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1,946,322</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10/02/2019</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1,671,746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1,576,750</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08/01/2018</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Beverage, Food and Tobacco</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10.63%</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3,500,000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3,578,750</w:t>
            </w: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05/15/2018</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Energy: Oil and Gas</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8.63%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1,890,000</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rPr>
                <w:sz w:val="20"/>
                <w:szCs w:val="20"/>
                <w:color w:val="auto"/>
              </w:rPr>
            </w:pPr>
            <w:r>
              <w:rPr>
                <w:rFonts w:ascii="Arial" w:cs="Arial" w:eastAsia="Arial" w:hAnsi="Arial"/>
                <w:sz w:val="13"/>
                <w:szCs w:val="13"/>
                <w:color w:val="auto"/>
              </w:rPr>
              <w:t>ILC Industries, LLC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06/14/2019</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High Tech Industries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11.50%</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L+1,000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1,920,000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12/20/2016</w:t>
            </w:r>
          </w:p>
        </w:tc>
        <w:tc>
          <w:tcPr>
            <w:tcW w:w="18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Consumer Services</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10.50%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7,100,000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6,998,223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6,981,643</w:t>
            </w: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05/15/2019</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9.13%</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1,635,000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27,351,492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27,499,315</w:t>
            </w: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Notes—4.3% </w:t>
            </w:r>
            <w:r>
              <w:rPr>
                <w:rFonts w:ascii="Arial" w:cs="Arial" w:eastAsia="Arial" w:hAnsi="Arial"/>
                <w:sz w:val="18"/>
                <w:szCs w:val="18"/>
                <w:b w:val="1"/>
                <w:bCs w:val="1"/>
                <w:color w:val="auto"/>
                <w:vertAlign w:val="superscript"/>
              </w:rPr>
              <w:t>(8)</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11/15/2015</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Durable</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11.63%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3,873,657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2,357,500</w:t>
            </w:r>
          </w:p>
        </w:tc>
        <w:tc>
          <w:tcPr>
            <w:tcW w:w="0" w:type="dxa"/>
            <w:vAlign w:val="bottom"/>
          </w:tcPr>
          <w:p>
            <w:pPr>
              <w:spacing w:after="0"/>
              <w:rPr>
                <w:sz w:val="1"/>
                <w:szCs w:val="1"/>
                <w:color w:val="auto"/>
              </w:rPr>
            </w:pPr>
          </w:p>
        </w:tc>
      </w:tr>
      <w:tr>
        <w:trPr>
          <w:trHeight w:val="256"/>
        </w:trPr>
        <w:tc>
          <w:tcPr>
            <w:tcW w:w="3520" w:type="dxa"/>
            <w:vAlign w:val="bottom"/>
            <w:gridSpan w:val="2"/>
          </w:tcPr>
          <w:p>
            <w:pPr>
              <w:spacing w:after="0"/>
              <w:rPr>
                <w:sz w:val="20"/>
                <w:szCs w:val="20"/>
                <w:color w:val="auto"/>
              </w:rPr>
            </w:pPr>
            <w:r>
              <w:rPr>
                <w:rFonts w:ascii="Arial" w:cs="Arial" w:eastAsia="Arial" w:hAnsi="Arial"/>
                <w:sz w:val="13"/>
                <w:szCs w:val="13"/>
                <w:color w:val="auto"/>
              </w:rPr>
              <w:t>Credit Infonet, Inc.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10/26/2018</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High Tech Industries</w:t>
            </w: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12.25%</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1,987,500</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1,949,883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1,997,517</w:t>
            </w:r>
          </w:p>
        </w:tc>
        <w:tc>
          <w:tcPr>
            <w:tcW w:w="0" w:type="dxa"/>
            <w:vAlign w:val="bottom"/>
          </w:tcPr>
          <w:p>
            <w:pPr>
              <w:spacing w:after="0"/>
              <w:rPr>
                <w:sz w:val="1"/>
                <w:szCs w:val="1"/>
                <w:color w:val="auto"/>
              </w:rPr>
            </w:pPr>
          </w:p>
        </w:tc>
      </w:tr>
      <w:tr>
        <w:trPr>
          <w:trHeight w:val="138"/>
        </w:trPr>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01/15/2018</w:t>
            </w:r>
          </w:p>
        </w:tc>
        <w:tc>
          <w:tcPr>
            <w:tcW w:w="186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3"/>
              </w:rPr>
              <w:t>Energy: Oil and Gas</w:t>
            </w:r>
          </w:p>
        </w:tc>
        <w:tc>
          <w:tcPr>
            <w:tcW w:w="860" w:type="dxa"/>
            <w:vAlign w:val="bottom"/>
            <w:gridSpan w:val="2"/>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14.00%</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1,810,934</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1,780,211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1,793,834</w:t>
            </w:r>
          </w:p>
        </w:tc>
        <w:tc>
          <w:tcPr>
            <w:tcW w:w="0" w:type="dxa"/>
            <w:vAlign w:val="bottom"/>
          </w:tcPr>
          <w:p>
            <w:pPr>
              <w:spacing w:after="0"/>
              <w:rPr>
                <w:sz w:val="1"/>
                <w:szCs w:val="1"/>
                <w:color w:val="auto"/>
              </w:rPr>
            </w:pPr>
          </w:p>
        </w:tc>
      </w:tr>
      <w:tr>
        <w:trPr>
          <w:trHeight w:val="173"/>
        </w:trPr>
        <w:tc>
          <w:tcPr>
            <w:tcW w:w="3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(PIK 4.00%)</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20" w:type="dxa"/>
            <w:vAlign w:val="bottom"/>
            <w:gridSpan w:val="2"/>
          </w:tcPr>
          <w:p>
            <w:pPr>
              <w:spacing w:after="0" w:line="138" w:lineRule="exact"/>
              <w:rPr>
                <w:sz w:val="20"/>
                <w:szCs w:val="20"/>
                <w:color w:val="auto"/>
              </w:rPr>
            </w:pPr>
            <w:r>
              <w:rPr>
                <w:rFonts w:ascii="Arial" w:cs="Arial" w:eastAsia="Arial" w:hAnsi="Arial"/>
                <w:sz w:val="13"/>
                <w:szCs w:val="13"/>
                <w:color w:val="auto"/>
              </w:rPr>
              <w:t>Vestcom International, Inc.</w:t>
            </w:r>
          </w:p>
        </w:tc>
        <w:tc>
          <w:tcPr>
            <w:tcW w:w="9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06/27/2019</w:t>
            </w:r>
          </w:p>
        </w:tc>
        <w:tc>
          <w:tcPr>
            <w:tcW w:w="186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60" w:type="dxa"/>
            <w:vAlign w:val="bottom"/>
            <w:gridSpan w:val="2"/>
          </w:tcPr>
          <w:p>
            <w:pPr>
              <w:jc w:val="right"/>
              <w:ind w:right="93"/>
              <w:spacing w:after="0" w:line="138" w:lineRule="exact"/>
              <w:rPr>
                <w:sz w:val="20"/>
                <w:szCs w:val="20"/>
                <w:color w:val="auto"/>
              </w:rPr>
            </w:pPr>
            <w:r>
              <w:rPr>
                <w:rFonts w:ascii="Arial" w:cs="Arial" w:eastAsia="Arial" w:hAnsi="Arial"/>
                <w:sz w:val="13"/>
                <w:szCs w:val="13"/>
                <w:color w:val="auto"/>
              </w:rPr>
              <w:t>12.00%</w:t>
            </w:r>
          </w:p>
        </w:tc>
        <w:tc>
          <w:tcPr>
            <w:tcW w:w="92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2,859,027</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2,806,095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2,854,319</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10,409,846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9,003,170</w:t>
            </w: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8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3"/>
              </w:rPr>
              <w:t>Telecommunications</w:t>
            </w:r>
          </w:p>
        </w:tc>
        <w:tc>
          <w:tcPr>
            <w:tcW w:w="86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56,717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95,284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246"/>
        </w:trPr>
        <w:tc>
          <w:tcPr>
            <w:tcW w:w="3520" w:type="dxa"/>
            <w:vAlign w:val="bottom"/>
            <w:gridSpan w:val="2"/>
          </w:tcPr>
          <w:p>
            <w:pPr>
              <w:spacing w:after="0"/>
              <w:rPr>
                <w:sz w:val="20"/>
                <w:szCs w:val="20"/>
                <w:color w:val="auto"/>
              </w:rPr>
            </w:pPr>
            <w:r>
              <w:rPr>
                <w:rFonts w:ascii="Arial" w:cs="Arial" w:eastAsia="Arial" w:hAnsi="Arial"/>
                <w:sz w:val="13"/>
                <w:szCs w:val="13"/>
                <w:color w:val="auto"/>
              </w:rPr>
              <w:t>Vestcom Parent Holdings, Inc.</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Media: Advertising, Printing and</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(Vestcom International, Inc.)</w:t>
            </w:r>
          </w:p>
        </w:tc>
        <w:tc>
          <w:tcPr>
            <w:tcW w:w="9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86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15,179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166,667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261,951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255,161</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4"/>
            <w:vMerge w:val="continue"/>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319,283,468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317,803,894</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Equivalents—2.2%</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2,747,327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2,747,327</w:t>
            </w:r>
          </w:p>
        </w:tc>
        <w:tc>
          <w:tcPr>
            <w:tcW w:w="0" w:type="dxa"/>
            <w:vAlign w:val="bottom"/>
          </w:tcPr>
          <w:p>
            <w:pPr>
              <w:spacing w:after="0"/>
              <w:rPr>
                <w:sz w:val="1"/>
                <w:szCs w:val="1"/>
                <w:color w:val="auto"/>
              </w:rPr>
            </w:pPr>
          </w:p>
        </w:tc>
      </w:tr>
      <w:tr>
        <w:trPr>
          <w:trHeight w:val="149"/>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1,830,922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1,830,922</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Cash Equivalents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4,578,249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4,578,249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Equivalents—153.5%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323,861,717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322,382,143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Assets—(53.5)%</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(112,315,749)</w:t>
            </w:r>
          </w:p>
        </w:tc>
        <w:tc>
          <w:tcPr>
            <w:tcW w:w="0" w:type="dxa"/>
            <w:vAlign w:val="bottom"/>
          </w:tcPr>
          <w:p>
            <w:pPr>
              <w:spacing w:after="0"/>
              <w:rPr>
                <w:sz w:val="1"/>
                <w:szCs w:val="1"/>
                <w:color w:val="auto"/>
              </w:rPr>
            </w:pPr>
          </w:p>
        </w:tc>
      </w:tr>
      <w:tr>
        <w:trPr>
          <w:trHeight w:val="14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210,066,394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99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60"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26" w:lineRule="exact"/>
        <w:rPr>
          <w:rFonts w:ascii="Arial" w:cs="Arial" w:eastAsia="Arial" w:hAnsi="Arial"/>
          <w:sz w:val="13"/>
          <w:szCs w:val="13"/>
          <w:color w:val="auto"/>
        </w:rPr>
      </w:pPr>
    </w:p>
    <w:p>
      <w:pPr>
        <w:ind w:left="340" w:right="540" w:hanging="332"/>
        <w:spacing w:after="0" w:line="281"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60"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60"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26"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26"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26"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26"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136"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91" w:lineRule="exact"/>
        <w:rPr>
          <w:sz w:val="20"/>
          <w:szCs w:val="20"/>
          <w:color w:val="auto"/>
        </w:rPr>
      </w:pPr>
    </w:p>
    <w:p>
      <w:pPr>
        <w:ind w:right="60" w:firstLine="562"/>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95" w:lineRule="exact"/>
        <w:rPr>
          <w:sz w:val="20"/>
          <w:szCs w:val="20"/>
          <w:color w:val="auto"/>
        </w:rPr>
      </w:pPr>
    </w:p>
    <w:p>
      <w:pPr>
        <w:ind w:right="580" w:firstLine="562"/>
        <w:spacing w:after="0" w:line="274" w:lineRule="auto"/>
        <w:rPr>
          <w:sz w:val="20"/>
          <w:szCs w:val="20"/>
          <w:color w:val="auto"/>
        </w:rPr>
      </w:pPr>
      <w:r>
        <w:rPr>
          <w:rFonts w:ascii="Arial" w:cs="Arial" w:eastAsia="Arial" w:hAnsi="Arial"/>
          <w:sz w:val="13"/>
          <w:szCs w:val="13"/>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1"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10.</w:t>
      </w:r>
    </w:p>
    <w:p>
      <w:pPr>
        <w:spacing w:after="0" w:line="106" w:lineRule="exact"/>
        <w:rPr>
          <w:sz w:val="20"/>
          <w:szCs w:val="20"/>
          <w:color w:val="auto"/>
        </w:rPr>
      </w:pPr>
    </w:p>
    <w:p>
      <w:pPr>
        <w:ind w:right="560" w:firstLine="562"/>
        <w:spacing w:after="0" w:line="274" w:lineRule="auto"/>
        <w:rPr>
          <w:sz w:val="20"/>
          <w:szCs w:val="20"/>
          <w:color w:val="auto"/>
        </w:rPr>
      </w:pPr>
      <w:r>
        <w:rPr>
          <w:rFonts w:ascii="Arial" w:cs="Arial" w:eastAsia="Arial" w:hAnsi="Arial"/>
          <w:sz w:val="13"/>
          <w:szCs w:val="13"/>
          <w:color w:val="auto"/>
        </w:rPr>
        <w:t>In April 2011, we closed our initial public offering and our common stock trades on the NASDAQ Global Select Market under the symbol “PFLT.” From inception to date, we have issued 14,889,367 shares of common stock for gross proceeds of $216.2 million, or $207.5 million after deducting the sales load and underwriting expenses paid by us.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3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Our Consolidated Financial Statements are prepared in accordance with GAAP and pursuant to the requirements for reporting on Form 10-K/Q and Article 6 or 10 of Regulation S-X, as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appropriate. In accordance with Article 6-09 of Regulation S-X, we have provided a Consolidated Statement of Changes in Net Assets in lieu of a Consolidated Statement of Changes in Stockholders’ Equity.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134"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900" w:right="480" w:hanging="447"/>
        <w:spacing w:after="0" w:line="274"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900" w:hanging="447"/>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900" w:right="320" w:hanging="447"/>
        <w:spacing w:after="0" w:line="256"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left="900" w:right="120" w:hanging="447"/>
        <w:spacing w:after="0" w:line="256"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3"/>
          <w:szCs w:val="13"/>
          <w:color w:val="auto"/>
        </w:rPr>
      </w:pPr>
    </w:p>
    <w:p>
      <w:pPr>
        <w:ind w:left="900" w:right="180" w:hanging="447"/>
        <w:spacing w:after="0" w:line="274"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1"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Security Transactions, Revenue Recognition, and Realized/Unrealized Gains or Losses</w:t>
      </w:r>
    </w:p>
    <w:p>
      <w:pPr>
        <w:spacing w:after="0" w:line="134"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06"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Income Taxes</w:t>
      </w:r>
    </w:p>
    <w:p>
      <w:pPr>
        <w:spacing w:after="0" w:line="134"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an excise tax of $0.5 million, $0.1 million and less than $0.1 million for the years ended September 30, 2014, 2013 and 2012, respectively.</w:t>
      </w:r>
    </w:p>
    <w:p>
      <w:pPr>
        <w:spacing w:after="0" w:line="93"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06"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 Distributions and Capital Transactions</w:t>
      </w:r>
    </w:p>
    <w:p>
      <w:pPr>
        <w:spacing w:after="0" w:line="134"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0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 Consolidation</w:t>
      </w:r>
    </w:p>
    <w:p>
      <w:pPr>
        <w:spacing w:after="0" w:line="134" w:lineRule="exact"/>
        <w:rPr>
          <w:sz w:val="20"/>
          <w:szCs w:val="20"/>
          <w:color w:val="auto"/>
        </w:rPr>
      </w:pPr>
    </w:p>
    <w:p>
      <w:pPr>
        <w:ind w:right="480" w:firstLine="562"/>
        <w:spacing w:after="0" w:line="256"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 Asset Transfers and Servicing</w:t>
      </w:r>
    </w:p>
    <w:p>
      <w:pPr>
        <w:spacing w:after="0" w:line="134"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affiliate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134" w:lineRule="exact"/>
        <w:rPr>
          <w:sz w:val="20"/>
          <w:szCs w:val="20"/>
          <w:color w:val="auto"/>
        </w:rPr>
      </w:pPr>
    </w:p>
    <w:p>
      <w:pPr>
        <w:ind w:right="100" w:firstLine="562"/>
        <w:spacing w:after="0" w:line="261"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00"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90"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59"/>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11" w:lineRule="exact"/>
        <w:rPr>
          <w:sz w:val="20"/>
          <w:szCs w:val="20"/>
          <w:color w:val="auto"/>
        </w:rPr>
      </w:pPr>
    </w:p>
    <w:p>
      <w:pPr>
        <w:ind w:right="80" w:firstLine="562"/>
        <w:spacing w:after="0" w:line="265"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w:t>
      </w:r>
    </w:p>
    <w:p>
      <w:pPr>
        <w:ind w:right="420" w:firstLine="8"/>
        <w:spacing w:after="0" w:line="255" w:lineRule="auto"/>
        <w:tabs>
          <w:tab w:leader="none" w:pos="191" w:val="left"/>
        </w:tabs>
        <w:numPr>
          <w:ilvl w:val="0"/>
          <w:numId w:val="44"/>
        </w:numPr>
        <w:rPr>
          <w:rFonts w:ascii="Arial" w:cs="Arial" w:eastAsia="Arial" w:hAnsi="Arial"/>
          <w:sz w:val="13"/>
          <w:szCs w:val="13"/>
          <w:color w:val="auto"/>
        </w:rPr>
      </w:pPr>
      <w:r>
        <w:rPr>
          <w:rFonts w:ascii="Arial" w:cs="Arial" w:eastAsia="Arial" w:hAnsi="Arial"/>
          <w:sz w:val="13"/>
          <w:szCs w:val="13"/>
          <w:color w:val="auto"/>
        </w:rPr>
        <w:t>upon our liquidation. Based on actual returns, we met the conditions for repayment to the Investment Adviser at the quarter ended December 31, 2012 and repaid approximately $2.1 million to the Investment Adviser, who then purchased shares of our common stock in the secondary market.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36"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Purchases of investments, including PIK, for the years ended September 30, 2014, 2013 and 2012 totaled $248.8 million, $316.9 million and $128.8 million, respectively. Sales and repayments of investments for the same periods totaled $225.6 million, $174.9 million and $71.3 million, respectively.</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20" w:type="dxa"/>
            <w:vAlign w:val="bottom"/>
            <w:gridSpan w:val="2"/>
          </w:tcPr>
          <w:p>
            <w:pPr>
              <w:ind w:left="240"/>
              <w:spacing w:after="0"/>
              <w:rPr>
                <w:sz w:val="20"/>
                <w:szCs w:val="20"/>
                <w:color w:val="auto"/>
              </w:rPr>
            </w:pPr>
            <w:r>
              <w:rPr>
                <w:rFonts w:ascii="Arial" w:cs="Arial" w:eastAsia="Arial" w:hAnsi="Arial"/>
                <w:sz w:val="13"/>
                <w:szCs w:val="13"/>
                <w:color w:val="auto"/>
              </w:rPr>
              <w:t>Investments and cash equivalents consisted of the following:</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40" w:type="dxa"/>
            <w:vAlign w:val="bottom"/>
          </w:tcPr>
          <w:p>
            <w:pPr>
              <w:spacing w:after="0"/>
              <w:rPr>
                <w:sz w:val="24"/>
                <w:szCs w:val="24"/>
                <w:color w:val="auto"/>
              </w:rPr>
            </w:pPr>
          </w:p>
        </w:tc>
        <w:tc>
          <w:tcPr>
            <w:tcW w:w="22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September 30, 2014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September 30, 2013</w:t>
            </w:r>
          </w:p>
        </w:tc>
        <w:tc>
          <w:tcPr>
            <w:tcW w:w="0" w:type="dxa"/>
            <w:vAlign w:val="bottom"/>
          </w:tcPr>
          <w:p>
            <w:pPr>
              <w:spacing w:after="0"/>
              <w:rPr>
                <w:sz w:val="1"/>
                <w:szCs w:val="1"/>
                <w:color w:val="auto"/>
              </w:rPr>
            </w:pPr>
          </w:p>
        </w:tc>
      </w:tr>
      <w:tr>
        <w:trPr>
          <w:trHeight w:val="142"/>
        </w:trPr>
        <w:tc>
          <w:tcPr>
            <w:tcW w:w="58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Cost</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Cost</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302,889,195</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302,565,355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281,260,179</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36,193,947</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36,474,784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27,351,492</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27,499,315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7,335,452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7,073,685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10,409,846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Preferred equity / common equity / warrants</w:t>
            </w:r>
          </w:p>
        </w:tc>
        <w:tc>
          <w:tcPr>
            <w:tcW w:w="14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1,935,701</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2,314,668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261,951</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255,161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348,354,295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348,428,492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319,283,468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3"/>
                <w:szCs w:val="13"/>
                <w:color w:val="auto"/>
              </w:rPr>
              <w:t>Cash equivalents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13,113,817</w:t>
            </w:r>
          </w:p>
        </w:tc>
        <w:tc>
          <w:tcPr>
            <w:tcW w:w="1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13,113,817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4,578,249</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361,468,112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361,542,309</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323,861,717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2400" w:type="dxa"/>
            <w:vAlign w:val="bottom"/>
            <w:tcBorders>
              <w:bottom w:val="single" w:sz="8" w:color="auto"/>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September 30, 2014</w:t>
            </w:r>
          </w:p>
        </w:tc>
        <w:tc>
          <w:tcPr>
            <w:tcW w:w="8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September 30, 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Healthcare and Pharmaceuticals</w:t>
            </w: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760"/>
              <w:spacing w:after="0" w:line="142" w:lineRule="exact"/>
              <w:rPr>
                <w:sz w:val="20"/>
                <w:szCs w:val="20"/>
                <w:color w:val="auto"/>
              </w:rPr>
            </w:pPr>
            <w:r>
              <w:rPr>
                <w:rFonts w:ascii="Arial" w:cs="Arial" w:eastAsia="Arial" w:hAnsi="Arial"/>
                <w:sz w:val="13"/>
                <w:szCs w:val="13"/>
                <w:color w:val="auto"/>
              </w:rPr>
              <w:t>16%</w:t>
            </w:r>
          </w:p>
        </w:tc>
        <w:tc>
          <w:tcPr>
            <w:tcW w:w="1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High Tech Industries</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Consumer Services</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8</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Hotel, Gaming and Leisure</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Media: Advertising, Printing and Publishing</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7</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3"/>
                <w:szCs w:val="13"/>
                <w:color w:val="auto"/>
              </w:rPr>
              <w:t>Consumer Goods: Durable</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Banking, Finance, Insurance and Real Estate</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Aerospace and Defense</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4</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Automotive</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Consumer Goods: Non-Durable</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3</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Chemicals, Plastics and Rubber</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Energy: Oil and Gas</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Media: Broadcasting and Subscription</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3"/>
                <w:szCs w:val="13"/>
                <w:color w:val="auto"/>
              </w:rPr>
              <w:t>Media: Diversified and Production</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Construction and Building</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Telecommunications</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Containers, Packaging and Glass</w:t>
            </w: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Metals and Mining</w:t>
            </w: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20"/>
                <w:szCs w:val="20"/>
                <w:color w:val="auto"/>
              </w:rPr>
            </w:pPr>
            <w:r>
              <w:rPr>
                <w:rFonts w:ascii="Arial" w:cs="Arial" w:eastAsia="Arial" w:hAnsi="Arial"/>
                <w:sz w:val="13"/>
                <w:szCs w:val="13"/>
                <w:color w:val="auto"/>
              </w:rPr>
              <w:t>All Other</w:t>
            </w:r>
          </w:p>
        </w:tc>
        <w:tc>
          <w:tcPr>
            <w:tcW w:w="2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5140" w:type="dxa"/>
            <w:vAlign w:val="bottom"/>
            <w:gridSpan w:val="4"/>
            <w:shd w:val="clear" w:color="auto" w:fill="CCEEFF"/>
          </w:tcPr>
          <w:p>
            <w:pPr>
              <w:jc w:val="right"/>
              <w:ind w:right="760"/>
              <w:spacing w:after="0"/>
              <w:rPr>
                <w:sz w:val="20"/>
                <w:szCs w:val="20"/>
                <w:color w:val="auto"/>
              </w:rPr>
            </w:pPr>
            <w:r>
              <w:rPr>
                <w:rFonts w:ascii="Arial" w:cs="Arial" w:eastAsia="Arial" w:hAnsi="Arial"/>
                <w:sz w:val="13"/>
                <w:szCs w:val="13"/>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0" w:type="dxa"/>
            <w:vAlign w:val="bottom"/>
            <w:vMerge w:val="restart"/>
          </w:tcPr>
          <w:p>
            <w:pPr>
              <w:jc w:val="right"/>
              <w:ind w:right="913"/>
              <w:spacing w:after="0"/>
              <w:rPr>
                <w:sz w:val="20"/>
                <w:szCs w:val="20"/>
                <w:color w:val="auto"/>
              </w:rPr>
            </w:pPr>
            <w:r>
              <w:rPr>
                <w:rFonts w:ascii="Arial" w:cs="Arial" w:eastAsia="Arial" w:hAnsi="Arial"/>
                <w:sz w:val="13"/>
                <w:szCs w:val="13"/>
                <w:color w:val="auto"/>
              </w:rPr>
              <w:t>69</w:t>
            </w: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2014</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36"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380" w:right="820" w:hanging="809"/>
        <w:spacing w:after="0" w:line="317" w:lineRule="auto"/>
        <w:tabs>
          <w:tab w:leader="none" w:pos="136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8"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08" w:lineRule="exact"/>
        <w:rPr>
          <w:sz w:val="20"/>
          <w:szCs w:val="20"/>
          <w:color w:val="auto"/>
        </w:rPr>
      </w:pPr>
    </w:p>
    <w:p>
      <w:pPr>
        <w:ind w:right="80" w:firstLine="562"/>
        <w:spacing w:after="0" w:line="278"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0" w:lineRule="exact"/>
        <w:rPr>
          <w:sz w:val="20"/>
          <w:szCs w:val="20"/>
          <w:color w:val="auto"/>
        </w:rPr>
      </w:pPr>
    </w:p>
    <w:p>
      <w:pPr>
        <w:ind w:right="100" w:firstLine="562"/>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84" w:lineRule="exact"/>
        <w:rPr>
          <w:sz w:val="20"/>
          <w:szCs w:val="20"/>
          <w:color w:val="auto"/>
        </w:rPr>
      </w:pPr>
    </w:p>
    <w:p>
      <w:pPr>
        <w:ind w:right="160" w:firstLine="562"/>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7" w:lineRule="exact"/>
        <w:rPr>
          <w:sz w:val="20"/>
          <w:szCs w:val="20"/>
          <w:color w:val="auto"/>
        </w:rPr>
      </w:pPr>
    </w:p>
    <w:p>
      <w:pPr>
        <w:ind w:right="220" w:firstLine="562"/>
        <w:spacing w:after="0" w:line="250"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6" w:lineRule="exact"/>
        <w:rPr>
          <w:sz w:val="20"/>
          <w:szCs w:val="20"/>
          <w:color w:val="auto"/>
        </w:rPr>
      </w:pPr>
    </w:p>
    <w:p>
      <w:pPr>
        <w:ind w:right="60" w:firstLine="562"/>
        <w:spacing w:after="0" w:line="243"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 Value as of</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1"/>
        </w:trPr>
        <w:tc>
          <w:tcPr>
            <w:tcW w:w="5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September 30, 2014</w:t>
            </w:r>
          </w:p>
        </w:tc>
        <w:tc>
          <w:tcPr>
            <w:tcW w:w="2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Unobservable Input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282,659,683</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5040" w:type="dxa"/>
            <w:vAlign w:val="bottom"/>
            <w:gridSpan w:val="2"/>
          </w:tcPr>
          <w:p>
            <w:pPr>
              <w:spacing w:after="0" w:line="138" w:lineRule="exact"/>
              <w:rPr>
                <w:sz w:val="20"/>
                <w:szCs w:val="20"/>
                <w:color w:val="auto"/>
              </w:rPr>
            </w:pPr>
            <w:r>
              <w:rPr>
                <w:rFonts w:ascii="Arial" w:cs="Arial" w:eastAsia="Arial" w:hAnsi="Arial"/>
                <w:sz w:val="13"/>
                <w:szCs w:val="13"/>
                <w:color w:val="auto"/>
              </w:rPr>
              <w:t>Debt investments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58,304,473</w:t>
            </w:r>
          </w:p>
        </w:tc>
        <w:tc>
          <w:tcPr>
            <w:tcW w:w="280" w:type="dxa"/>
            <w:vAlign w:val="bottom"/>
          </w:tcPr>
          <w:p>
            <w:pPr>
              <w:spacing w:after="0"/>
              <w:rPr>
                <w:sz w:val="11"/>
                <w:szCs w:val="11"/>
                <w:color w:val="auto"/>
              </w:rPr>
            </w:pPr>
          </w:p>
        </w:tc>
        <w:tc>
          <w:tcPr>
            <w:tcW w:w="16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4"/>
              </w:rPr>
              <w:t>Market Comparable</w:t>
            </w:r>
          </w:p>
        </w:tc>
        <w:tc>
          <w:tcPr>
            <w:tcW w:w="170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9"/>
              </w:rPr>
              <w:t>Market Yield</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3"/>
              </w:rPr>
              <w:t>6.5% – 14.1%</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(11.6%)</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1,062,806</w:t>
            </w:r>
          </w:p>
        </w:tc>
        <w:tc>
          <w:tcPr>
            <w:tcW w:w="2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Market Comparable</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Broker/Dealer bid quotes</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5040" w:type="dxa"/>
            <w:vAlign w:val="bottom"/>
            <w:gridSpan w:val="2"/>
          </w:tcPr>
          <w:p>
            <w:pPr>
              <w:spacing w:after="0" w:line="138" w:lineRule="exact"/>
              <w:rPr>
                <w:sz w:val="20"/>
                <w:szCs w:val="20"/>
                <w:color w:val="auto"/>
              </w:rPr>
            </w:pPr>
            <w:r>
              <w:rPr>
                <w:rFonts w:ascii="Arial" w:cs="Arial" w:eastAsia="Arial" w:hAnsi="Arial"/>
                <w:sz w:val="13"/>
                <w:szCs w:val="13"/>
                <w:color w:val="auto"/>
              </w:rPr>
              <w:t>Equity investments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1,245,623</w:t>
            </w:r>
          </w:p>
        </w:tc>
        <w:tc>
          <w:tcPr>
            <w:tcW w:w="280" w:type="dxa"/>
            <w:vAlign w:val="bottom"/>
          </w:tcPr>
          <w:p>
            <w:pPr>
              <w:spacing w:after="0"/>
              <w:rPr>
                <w:sz w:val="11"/>
                <w:szCs w:val="11"/>
                <w:color w:val="auto"/>
              </w:rPr>
            </w:pPr>
          </w:p>
        </w:tc>
        <w:tc>
          <w:tcPr>
            <w:tcW w:w="16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4"/>
              </w:rPr>
              <w:t>Enterprise Market Value</w:t>
            </w:r>
          </w:p>
        </w:tc>
        <w:tc>
          <w:tcPr>
            <w:tcW w:w="170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rPr>
              <w:t>EBITDA multiple</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4"/>
              </w:rPr>
              <w:t>5.0x – 9.5x</w:t>
            </w: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(7.6x)</w:t>
            </w:r>
          </w:p>
        </w:tc>
        <w:tc>
          <w:tcPr>
            <w:tcW w:w="0" w:type="dxa"/>
            <w:vAlign w:val="bottom"/>
          </w:tcPr>
          <w:p>
            <w:pPr>
              <w:spacing w:after="0"/>
              <w:rPr>
                <w:sz w:val="1"/>
                <w:szCs w:val="1"/>
                <w:color w:val="auto"/>
              </w:rPr>
            </w:pPr>
          </w:p>
        </w:tc>
      </w:tr>
      <w:tr>
        <w:trPr>
          <w:trHeight w:val="148"/>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Level 3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343,272,585</w:t>
            </w: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4"/>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9"/>
              </w:rPr>
              <w:t>Market Yield</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w w:val="94"/>
              </w:rPr>
              <w:t>3.6%</w:t>
            </w:r>
          </w:p>
        </w:tc>
        <w:tc>
          <w:tcPr>
            <w:tcW w:w="0" w:type="dxa"/>
            <w:vAlign w:val="bottom"/>
          </w:tcPr>
          <w:p>
            <w:pPr>
              <w:spacing w:after="0" w:line="20" w:lineRule="exact"/>
              <w:rPr>
                <w:sz w:val="1"/>
                <w:szCs w:val="1"/>
                <w:color w:val="auto"/>
              </w:rPr>
            </w:pPr>
          </w:p>
        </w:tc>
      </w:tr>
      <w:tr>
        <w:trPr>
          <w:trHeight w:val="143"/>
        </w:trPr>
        <w:tc>
          <w:tcPr>
            <w:tcW w:w="5040" w:type="dxa"/>
            <w:vAlign w:val="bottom"/>
            <w:gridSpan w:val="2"/>
            <w:vMerge w:val="continue"/>
          </w:tcPr>
          <w:p>
            <w:pPr>
              <w:spacing w:after="0"/>
              <w:rPr>
                <w:sz w:val="12"/>
                <w:szCs w:val="12"/>
                <w:color w:val="auto"/>
              </w:rPr>
            </w:pPr>
          </w:p>
        </w:tc>
        <w:tc>
          <w:tcPr>
            <w:tcW w:w="1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auto"/>
              </w:rPr>
              <w:t>146,949,000</w:t>
            </w:r>
          </w:p>
        </w:tc>
        <w:tc>
          <w:tcPr>
            <w:tcW w:w="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Fair Value as of</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1"/>
        </w:trPr>
        <w:tc>
          <w:tcPr>
            <w:tcW w:w="4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2"/>
              </w:rPr>
              <w:t>September 30, 2013</w:t>
            </w:r>
          </w:p>
        </w:tc>
        <w:tc>
          <w:tcPr>
            <w:tcW w:w="16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Unobservable Input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298,655,677</w:t>
            </w:r>
          </w:p>
        </w:tc>
        <w:tc>
          <w:tcPr>
            <w:tcW w:w="3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4820" w:type="dxa"/>
            <w:vAlign w:val="bottom"/>
          </w:tcPr>
          <w:p>
            <w:pPr>
              <w:spacing w:after="0" w:line="138" w:lineRule="exact"/>
              <w:rPr>
                <w:sz w:val="20"/>
                <w:szCs w:val="20"/>
                <w:color w:val="auto"/>
              </w:rPr>
            </w:pPr>
            <w:r>
              <w:rPr>
                <w:rFonts w:ascii="Arial" w:cs="Arial" w:eastAsia="Arial" w:hAnsi="Arial"/>
                <w:sz w:val="13"/>
                <w:szCs w:val="13"/>
                <w:color w:val="auto"/>
              </w:rPr>
              <w:t>Debt investments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14,900,556</w:t>
            </w:r>
          </w:p>
        </w:tc>
        <w:tc>
          <w:tcPr>
            <w:tcW w:w="16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4"/>
              </w:rPr>
              <w:t>Market Comparable</w:t>
            </w:r>
          </w:p>
        </w:tc>
        <w:tc>
          <w:tcPr>
            <w:tcW w:w="170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9"/>
              </w:rPr>
              <w:t>Market Yield</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3"/>
              </w:rPr>
              <w:t>7.3% – 15.2%</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(11.7%)</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Equity investments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188,235</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Enterprise Market Value</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EBITDA multiple</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7.0x</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20"/>
              <w:spacing w:after="0"/>
              <w:rPr>
                <w:sz w:val="20"/>
                <w:szCs w:val="20"/>
                <w:color w:val="auto"/>
              </w:rPr>
            </w:pPr>
            <w:r>
              <w:rPr>
                <w:rFonts w:ascii="Arial" w:cs="Arial" w:eastAsia="Arial" w:hAnsi="Arial"/>
                <w:sz w:val="13"/>
                <w:szCs w:val="13"/>
                <w:color w:val="auto"/>
              </w:rPr>
              <w:t>Total Level 3 investments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2"/>
          </w:tcPr>
          <w:p>
            <w:pPr>
              <w:jc w:val="right"/>
              <w:ind w:right="300"/>
              <w:spacing w:after="0"/>
              <w:rPr>
                <w:sz w:val="20"/>
                <w:szCs w:val="20"/>
                <w:color w:val="auto"/>
              </w:rPr>
            </w:pPr>
            <w:r>
              <w:rPr>
                <w:rFonts w:ascii="Arial" w:cs="Arial" w:eastAsia="Arial" w:hAnsi="Arial"/>
                <w:sz w:val="13"/>
                <w:szCs w:val="13"/>
                <w:color w:val="auto"/>
              </w:rPr>
              <w:t>313,744,468</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99,600,000</w:t>
            </w: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4"/>
              </w:rPr>
              <w:t>Market Comparable</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9"/>
              </w:rPr>
              <w:t>Market Yield</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4"/>
              </w:rPr>
              <w:t>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investments, cash equivalents and Credit Facility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3"/>
                <w:szCs w:val="13"/>
                <w:b w:val="1"/>
                <w:bCs w:val="1"/>
                <w:color w:val="auto"/>
              </w:rPr>
              <w:t>Fair Value at September 30, 2014</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413"/>
              <w:spacing w:after="0" w:line="142"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Debt investments (First lien)</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302,565,355</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302,565,355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gridSpan w:val="2"/>
          </w:tcPr>
          <w:p>
            <w:pPr>
              <w:spacing w:after="0"/>
              <w:rPr>
                <w:sz w:val="20"/>
                <w:szCs w:val="20"/>
                <w:color w:val="auto"/>
              </w:rPr>
            </w:pPr>
            <w:r>
              <w:rPr>
                <w:rFonts w:ascii="Arial" w:cs="Arial" w:eastAsia="Arial" w:hAnsi="Arial"/>
                <w:sz w:val="13"/>
                <w:szCs w:val="13"/>
                <w:color w:val="auto"/>
              </w:rPr>
              <w:t>Debt investments (Second lien)</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36,474,784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36,474,784</w:t>
            </w:r>
          </w:p>
        </w:tc>
        <w:tc>
          <w:tcPr>
            <w:tcW w:w="0" w:type="dxa"/>
            <w:vAlign w:val="bottom"/>
          </w:tcPr>
          <w:p>
            <w:pPr>
              <w:spacing w:after="0"/>
              <w:rPr>
                <w:sz w:val="1"/>
                <w:szCs w:val="1"/>
                <w:color w:val="auto"/>
              </w:rPr>
            </w:pPr>
          </w:p>
        </w:tc>
      </w:tr>
      <w:tr>
        <w:trPr>
          <w:trHeight w:val="148"/>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investments (Subordinated debt / corporate notes)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7,073,685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5,149,668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48"/>
        </w:trPr>
        <w:tc>
          <w:tcPr>
            <w:tcW w:w="584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2,314,668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6,239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2,308,429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348,428,492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5,155,907</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343,272,585</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3"/>
                <w:szCs w:val="13"/>
                <w:color w:val="auto"/>
              </w:rPr>
              <w:t>Cash equivalents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13,113,817</w:t>
            </w:r>
          </w:p>
        </w:tc>
        <w:tc>
          <w:tcPr>
            <w:tcW w:w="22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13,113,817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361,542,309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13,113,817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5,155,907</w:t>
            </w:r>
          </w:p>
        </w:tc>
        <w:tc>
          <w:tcPr>
            <w:tcW w:w="4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343,272,585</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gridSpan w:val="2"/>
            <w:vMerge w:val="continue"/>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146,949,000</w:t>
            </w:r>
          </w:p>
        </w:tc>
        <w:tc>
          <w:tcPr>
            <w:tcW w:w="180" w:type="dxa"/>
            <w:vAlign w:val="bottom"/>
          </w:tcPr>
          <w:p>
            <w:pPr>
              <w:spacing w:after="0"/>
              <w:rPr>
                <w:sz w:val="12"/>
                <w:szCs w:val="12"/>
                <w:color w:val="auto"/>
              </w:rPr>
            </w:pPr>
          </w:p>
        </w:tc>
        <w:tc>
          <w:tcPr>
            <w:tcW w:w="220" w:type="dxa"/>
            <w:vAlign w:val="bottom"/>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9"/>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9"/>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146,949,000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3"/>
                <w:szCs w:val="13"/>
                <w:b w:val="1"/>
                <w:bCs w:val="1"/>
                <w:color w:val="auto"/>
              </w:rPr>
              <w:t>Fair Value at September 30, 2013</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413"/>
              <w:spacing w:after="0" w:line="142"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Debt investments (First lien)</w:t>
            </w: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Debt investments (Second lien)</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27,499,315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1,635,000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25,864,315</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Debt investments (Subordinated debt / corporate notes)</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2,357,500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6,645,670</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Equity investments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255,161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66,926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4,059,426</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313,744,468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Cash equivalents</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4,578,249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15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4,059,426</w:t>
            </w:r>
          </w:p>
        </w:tc>
        <w:tc>
          <w:tcPr>
            <w:tcW w:w="4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313,744,468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Long-Term Credit Facility</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vMerge w:val="continue"/>
          </w:tcPr>
          <w:p>
            <w:pPr>
              <w:spacing w:after="0"/>
              <w:rPr>
                <w:sz w:val="12"/>
                <w:szCs w:val="12"/>
                <w:color w:val="auto"/>
              </w:rPr>
            </w:pPr>
          </w:p>
        </w:tc>
        <w:tc>
          <w:tcPr>
            <w:tcW w:w="1720" w:type="dxa"/>
            <w:vAlign w:val="bottom"/>
            <w:gridSpan w:val="3"/>
          </w:tcPr>
          <w:p>
            <w:pPr>
              <w:jc w:val="right"/>
              <w:ind w:right="49"/>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99,600,000</w:t>
            </w:r>
          </w:p>
        </w:tc>
        <w:tc>
          <w:tcPr>
            <w:tcW w:w="400" w:type="dxa"/>
            <w:vAlign w:val="bottom"/>
            <w:gridSpan w:val="2"/>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9"/>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9"/>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99,600,000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center"/>
              <w:ind w:left="613"/>
              <w:spacing w:after="0"/>
              <w:rPr>
                <w:sz w:val="20"/>
                <w:szCs w:val="20"/>
                <w:color w:val="auto"/>
              </w:rPr>
            </w:pPr>
            <w:r>
              <w:rPr>
                <w:rFonts w:ascii="Arial" w:cs="Arial" w:eastAsia="Arial" w:hAnsi="Arial"/>
                <w:sz w:val="13"/>
                <w:szCs w:val="13"/>
                <w:b w:val="1"/>
                <w:bCs w:val="1"/>
                <w:color w:val="auto"/>
                <w:w w:val="93"/>
              </w:rPr>
              <w:t>Year Ended September 30, 2014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subordinated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debt and equity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First 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investments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32,698,220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2,097,241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774,948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2,872,189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(depreciation) appreciation</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(109,909)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567,020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457,111</w:t>
            </w:r>
          </w:p>
        </w:tc>
        <w:tc>
          <w:tcPr>
            <w:tcW w:w="0" w:type="dxa"/>
            <w:vAlign w:val="bottom"/>
          </w:tcPr>
          <w:p>
            <w:pPr>
              <w:spacing w:after="0"/>
              <w:rPr>
                <w:sz w:val="1"/>
                <w:szCs w:val="1"/>
                <w:color w:val="auto"/>
              </w:rPr>
            </w:pPr>
          </w:p>
        </w:tc>
      </w:tr>
      <w:tr>
        <w:trPr>
          <w:trHeight w:val="148"/>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 and non-cash exchanges</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221,495,119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28,675,897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250,171,016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exchanges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(201,963,344)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(22,008,855)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(223,972,199)</w:t>
            </w:r>
          </w:p>
        </w:tc>
        <w:tc>
          <w:tcPr>
            <w:tcW w:w="0" w:type="dxa"/>
            <w:vAlign w:val="bottom"/>
          </w:tcPr>
          <w:p>
            <w:pPr>
              <w:spacing w:after="0"/>
              <w:rPr>
                <w:sz w:val="1"/>
                <w:szCs w:val="1"/>
                <w:color w:val="auto"/>
              </w:rPr>
            </w:pPr>
          </w:p>
        </w:tc>
      </w:tr>
      <w:tr>
        <w:trPr>
          <w:trHeight w:val="148"/>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302,565,355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40,707,230</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343,272,585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3"/>
                <w:szCs w:val="13"/>
                <w:color w:val="auto"/>
                <w:w w:val="97"/>
              </w:rPr>
              <w:t>Net change in unrealized (depreciation) appreciation reported within the net change in unrealized appreciation on investments in our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0" w:type="dxa"/>
            <w:vAlign w:val="bottom"/>
            <w:gridSpan w:val="2"/>
          </w:tcPr>
          <w:p>
            <w:pPr>
              <w:ind w:left="220"/>
              <w:spacing w:after="0"/>
              <w:rPr>
                <w:sz w:val="20"/>
                <w:szCs w:val="20"/>
                <w:color w:val="auto"/>
              </w:rPr>
            </w:pPr>
            <w:r>
              <w:rPr>
                <w:rFonts w:ascii="Arial" w:cs="Arial" w:eastAsia="Arial" w:hAnsi="Arial"/>
                <w:sz w:val="13"/>
                <w:szCs w:val="13"/>
                <w:color w:val="auto"/>
              </w:rPr>
              <w:t>Consolidated Statement of Operations attributable to our Level 3 assets still held at the reporting date.</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(327,255)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523,666</w:t>
            </w:r>
          </w:p>
        </w:tc>
        <w:tc>
          <w:tcPr>
            <w:tcW w:w="160" w:type="dxa"/>
            <w:vAlign w:val="bottom"/>
          </w:tcPr>
          <w:p>
            <w:pPr>
              <w:spacing w:after="0"/>
              <w:rPr>
                <w:sz w:val="13"/>
                <w:szCs w:val="13"/>
                <w:color w:val="auto"/>
              </w:rPr>
            </w:pPr>
          </w:p>
        </w:tc>
        <w:tc>
          <w:tcPr>
            <w:tcW w:w="36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196,411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left="613"/>
              <w:spacing w:after="0"/>
              <w:rPr>
                <w:sz w:val="20"/>
                <w:szCs w:val="20"/>
                <w:color w:val="auto"/>
              </w:rPr>
            </w:pPr>
            <w:r>
              <w:rPr>
                <w:rFonts w:ascii="Arial" w:cs="Arial" w:eastAsia="Arial" w:hAnsi="Arial"/>
                <w:sz w:val="13"/>
                <w:szCs w:val="13"/>
                <w:b w:val="1"/>
                <w:bCs w:val="1"/>
                <w:color w:val="auto"/>
                <w:w w:val="93"/>
              </w:rPr>
              <w:t>Year Ended September 30, 2013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subordinated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debt and equity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First 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investments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18,836,653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169,046,400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1,806,088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1,768,848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3,574,936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depreciation</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(165,636)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(1,068,579)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(1,234,215)</w:t>
            </w:r>
          </w:p>
        </w:tc>
        <w:tc>
          <w:tcPr>
            <w:tcW w:w="0" w:type="dxa"/>
            <w:vAlign w:val="bottom"/>
          </w:tcPr>
          <w:p>
            <w:pPr>
              <w:spacing w:after="0"/>
              <w:rPr>
                <w:sz w:val="1"/>
                <w:szCs w:val="1"/>
                <w:color w:val="auto"/>
              </w:rPr>
            </w:pPr>
          </w:p>
        </w:tc>
      </w:tr>
      <w:tr>
        <w:trPr>
          <w:trHeight w:val="149"/>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285,042,834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33,818,899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318,861,733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exchanges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(155,846,785)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(19,071,351)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(174,918,136)</w:t>
            </w:r>
          </w:p>
        </w:tc>
        <w:tc>
          <w:tcPr>
            <w:tcW w:w="0" w:type="dxa"/>
            <w:vAlign w:val="bottom"/>
          </w:tcPr>
          <w:p>
            <w:pPr>
              <w:spacing w:after="0"/>
              <w:rPr>
                <w:sz w:val="1"/>
                <w:szCs w:val="1"/>
                <w:color w:val="auto"/>
              </w:rPr>
            </w:pPr>
          </w:p>
        </w:tc>
      </w:tr>
      <w:tr>
        <w:trPr>
          <w:trHeight w:val="148"/>
        </w:trPr>
        <w:tc>
          <w:tcPr>
            <w:tcW w:w="740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(1,586,250)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(1,586,250)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281,046,248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32,698,220</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313,744,468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3"/>
                <w:szCs w:val="13"/>
                <w:color w:val="auto"/>
                <w:w w:val="97"/>
              </w:rPr>
              <w:t>Net change in unrealized appreciation (depreciation) reported within the net change in unrealized depreciation on investments in our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0" w:type="dxa"/>
            <w:vAlign w:val="bottom"/>
            <w:gridSpan w:val="2"/>
          </w:tcPr>
          <w:p>
            <w:pPr>
              <w:ind w:left="220"/>
              <w:spacing w:after="0"/>
              <w:rPr>
                <w:sz w:val="20"/>
                <w:szCs w:val="20"/>
                <w:color w:val="auto"/>
              </w:rPr>
            </w:pPr>
            <w:r>
              <w:rPr>
                <w:rFonts w:ascii="Arial" w:cs="Arial" w:eastAsia="Arial" w:hAnsi="Arial"/>
                <w:sz w:val="13"/>
                <w:szCs w:val="13"/>
                <w:color w:val="auto"/>
              </w:rPr>
              <w:t>Consolidated Statement of Operations attributable to our Level 3 assets still held at the reporting date.</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1,279,203</w:t>
            </w:r>
          </w:p>
        </w:tc>
        <w:tc>
          <w:tcPr>
            <w:tcW w:w="18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(2,777,703)</w:t>
            </w:r>
          </w:p>
        </w:tc>
        <w:tc>
          <w:tcPr>
            <w:tcW w:w="36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(1,498,500)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60"/>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shows a reconciliation of the beginning and ending balances for fair valued liabilities measured using significant unobservable inputs (Level 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00" w:type="dxa"/>
            <w:vAlign w:val="bottom"/>
            <w:gridSpan w:val="3"/>
          </w:tcPr>
          <w:p>
            <w:pPr>
              <w:jc w:val="right"/>
              <w:ind w:right="253"/>
              <w:spacing w:after="0"/>
              <w:rPr>
                <w:sz w:val="20"/>
                <w:szCs w:val="20"/>
                <w:color w:val="auto"/>
              </w:rPr>
            </w:pPr>
            <w:r>
              <w:rPr>
                <w:rFonts w:ascii="Arial" w:cs="Arial" w:eastAsia="Arial" w:hAnsi="Arial"/>
                <w:sz w:val="13"/>
                <w:szCs w:val="13"/>
                <w:b w:val="1"/>
                <w:bCs w:val="1"/>
                <w:color w:val="auto"/>
              </w:rPr>
              <w:t>Carrying/Fair Value</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4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Year Ended September 30,</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right"/>
              <w:ind w:right="693"/>
              <w:spacing w:after="0" w:line="142" w:lineRule="exact"/>
              <w:rPr>
                <w:sz w:val="20"/>
                <w:szCs w:val="20"/>
                <w:color w:val="auto"/>
              </w:rPr>
            </w:pPr>
            <w:r>
              <w:rPr>
                <w:rFonts w:ascii="Arial" w:cs="Arial" w:eastAsia="Arial" w:hAnsi="Arial"/>
                <w:sz w:val="13"/>
                <w:szCs w:val="13"/>
                <w:b w:val="1"/>
                <w:bCs w:val="1"/>
                <w:color w:val="auto"/>
              </w:rPr>
              <w:t>2014</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right"/>
              <w:ind w:right="69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 (cost – $99,600,000 and $75,500,000, respectively)</w:t>
            </w:r>
          </w:p>
        </w:tc>
        <w:tc>
          <w:tcPr>
            <w:tcW w:w="4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53"/>
              <w:spacing w:after="0" w:line="142" w:lineRule="exact"/>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3"/>
                <w:szCs w:val="13"/>
                <w:color w:val="auto"/>
              </w:rPr>
              <w:t>99,600,000</w:t>
            </w:r>
          </w:p>
        </w:tc>
        <w:tc>
          <w:tcPr>
            <w:tcW w:w="5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433"/>
              <w:spacing w:after="0" w:line="142" w:lineRule="exact"/>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3"/>
                <w:szCs w:val="13"/>
                <w:color w:val="auto"/>
              </w:rPr>
              <w:t>75,122,500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60" w:type="dxa"/>
            <w:vAlign w:val="bottom"/>
            <w:gridSpan w:val="2"/>
          </w:tcPr>
          <w:p>
            <w:pPr>
              <w:ind w:left="440"/>
              <w:spacing w:after="0"/>
              <w:rPr>
                <w:sz w:val="20"/>
                <w:szCs w:val="20"/>
                <w:color w:val="auto"/>
              </w:rPr>
            </w:pPr>
            <w:r>
              <w:rPr>
                <w:rFonts w:ascii="Arial" w:cs="Arial" w:eastAsia="Arial" w:hAnsi="Arial"/>
                <w:sz w:val="13"/>
                <w:szCs w:val="13"/>
                <w:color w:val="auto"/>
              </w:rPr>
              <w:t>Total unrealized appreciation included in earnings</w:t>
            </w:r>
          </w:p>
        </w:tc>
        <w:tc>
          <w:tcPr>
            <w:tcW w:w="460" w:type="dxa"/>
            <w:vAlign w:val="bottom"/>
          </w:tcPr>
          <w:p>
            <w:pPr>
              <w:spacing w:after="0"/>
              <w:rPr>
                <w:sz w:val="12"/>
                <w:szCs w:val="12"/>
                <w:color w:val="auto"/>
              </w:rPr>
            </w:pP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549,000</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377,500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Borrowings</w:t>
            </w: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148,200,000</w:t>
            </w: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235,350,000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gridSpan w:val="2"/>
          </w:tcPr>
          <w:p>
            <w:pPr>
              <w:ind w:left="440"/>
              <w:spacing w:after="0"/>
              <w:rPr>
                <w:sz w:val="20"/>
                <w:szCs w:val="20"/>
                <w:color w:val="auto"/>
              </w:rPr>
            </w:pPr>
            <w:r>
              <w:rPr>
                <w:rFonts w:ascii="Arial" w:cs="Arial" w:eastAsia="Arial" w:hAnsi="Arial"/>
                <w:sz w:val="13"/>
                <w:szCs w:val="13"/>
                <w:color w:val="auto"/>
              </w:rPr>
              <w:t>Repayments</w:t>
            </w:r>
          </w:p>
        </w:tc>
        <w:tc>
          <w:tcPr>
            <w:tcW w:w="460" w:type="dxa"/>
            <w:vAlign w:val="bottom"/>
          </w:tcPr>
          <w:p>
            <w:pPr>
              <w:spacing w:after="0"/>
              <w:rPr>
                <w:sz w:val="12"/>
                <w:szCs w:val="12"/>
                <w:color w:val="auto"/>
              </w:rPr>
            </w:pPr>
          </w:p>
        </w:tc>
        <w:tc>
          <w:tcPr>
            <w:tcW w:w="1340" w:type="dxa"/>
            <w:vAlign w:val="bottom"/>
          </w:tcPr>
          <w:p>
            <w:pPr>
              <w:jc w:val="right"/>
              <w:ind w:right="73"/>
              <w:spacing w:after="0"/>
              <w:rPr>
                <w:sz w:val="20"/>
                <w:szCs w:val="20"/>
                <w:color w:val="auto"/>
              </w:rPr>
            </w:pPr>
            <w:r>
              <w:rPr>
                <w:rFonts w:ascii="Arial" w:cs="Arial" w:eastAsia="Arial" w:hAnsi="Arial"/>
                <w:sz w:val="13"/>
                <w:szCs w:val="13"/>
                <w:color w:val="auto"/>
              </w:rPr>
              <w:t>(101,400,000)</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(211,250,000)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Transfers in and/or out of Level 3</w:t>
            </w:r>
          </w:p>
        </w:tc>
        <w:tc>
          <w:tcPr>
            <w:tcW w:w="4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60" w:type="dxa"/>
            <w:vAlign w:val="bottom"/>
            <w:gridSpan w:val="2"/>
          </w:tcPr>
          <w:p>
            <w:pPr>
              <w:spacing w:after="0"/>
              <w:rPr>
                <w:sz w:val="20"/>
                <w:szCs w:val="20"/>
                <w:color w:val="auto"/>
              </w:rPr>
            </w:pPr>
            <w:r>
              <w:rPr>
                <w:rFonts w:ascii="Arial" w:cs="Arial" w:eastAsia="Arial" w:hAnsi="Arial"/>
                <w:sz w:val="13"/>
                <w:szCs w:val="13"/>
                <w:color w:val="auto"/>
              </w:rPr>
              <w:t>Ending Balance (cost – $146,400,000 and $99,600,000, respectively)</w:t>
            </w:r>
          </w:p>
        </w:tc>
        <w:tc>
          <w:tcPr>
            <w:tcW w:w="4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3"/>
              <w:spacing w:after="0"/>
              <w:rPr>
                <w:sz w:val="20"/>
                <w:szCs w:val="20"/>
                <w:color w:val="auto"/>
              </w:rPr>
            </w:pPr>
            <w:r>
              <w:rPr>
                <w:rFonts w:ascii="Arial" w:cs="Arial" w:eastAsia="Arial" w:hAnsi="Arial"/>
                <w:sz w:val="13"/>
                <w:szCs w:val="13"/>
                <w:color w:val="auto"/>
              </w:rPr>
              <w:t>146,949,000</w:t>
            </w:r>
          </w:p>
        </w:tc>
        <w:tc>
          <w:tcPr>
            <w:tcW w:w="1160" w:type="dxa"/>
            <w:vAlign w:val="bottom"/>
            <w:gridSpan w:val="2"/>
          </w:tcPr>
          <w:p>
            <w:pPr>
              <w:jc w:val="right"/>
              <w:ind w:right="43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99,600,000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firstLine="562"/>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and 2013, our Credit Facility had a net change in unrealized appreciation of $0.5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CHANGE IN NET ASSETS FROM OPERATIONS PER COMMON SHARE</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in net assets resulting from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4"/>
          </w:tcPr>
          <w:p>
            <w:pPr>
              <w:ind w:left="100"/>
              <w:spacing w:after="0"/>
              <w:rPr>
                <w:sz w:val="20"/>
                <w:szCs w:val="20"/>
                <w:color w:val="auto"/>
              </w:rPr>
            </w:pPr>
            <w:r>
              <w:rPr>
                <w:rFonts w:ascii="Arial" w:cs="Arial" w:eastAsia="Arial" w:hAnsi="Arial"/>
                <w:sz w:val="13"/>
                <w:szCs w:val="13"/>
                <w:b w:val="1"/>
                <w:bCs w:val="1"/>
                <w:color w:val="auto"/>
                <w:w w:val="96"/>
              </w:rPr>
              <w:t>Year Ended September 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49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53"/>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53"/>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4"/>
                <w:szCs w:val="14"/>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in net assets resulting from operations</w:t>
            </w:r>
          </w:p>
        </w:tc>
        <w:tc>
          <w:tcPr>
            <w:tcW w:w="13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753"/>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20,513,971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11,984,818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4900" w:type="dxa"/>
            <w:vAlign w:val="bottom"/>
          </w:tcPr>
          <w:p>
            <w:pPr>
              <w:spacing w:after="0"/>
              <w:rPr>
                <w:sz w:val="20"/>
                <w:szCs w:val="20"/>
                <w:color w:val="auto"/>
              </w:rPr>
            </w:pPr>
            <w:r>
              <w:rPr>
                <w:rFonts w:ascii="Arial" w:cs="Arial" w:eastAsia="Arial" w:hAnsi="Arial"/>
                <w:sz w:val="13"/>
                <w:szCs w:val="13"/>
                <w:color w:val="auto"/>
              </w:rPr>
              <w:t>Denominator for basic and diluted weighted average shares</w:t>
            </w: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14,898,056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9,587,877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3"/>
                <w:szCs w:val="13"/>
                <w:color w:val="auto"/>
              </w:rPr>
              <w:t>6,850,667</w:t>
            </w:r>
          </w:p>
        </w:tc>
      </w:tr>
      <w:tr>
        <w:trPr>
          <w:trHeight w:val="14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increase in net assets per share resulting from operations</w:t>
            </w:r>
          </w:p>
        </w:tc>
        <w:tc>
          <w:tcPr>
            <w:tcW w:w="2280" w:type="dxa"/>
            <w:vAlign w:val="bottom"/>
            <w:gridSpan w:val="2"/>
            <w:shd w:val="clear" w:color="auto" w:fill="CCEEFF"/>
          </w:tcPr>
          <w:p>
            <w:pPr>
              <w:jc w:val="right"/>
              <w:ind w:right="753"/>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c>
          <w:tcPr>
            <w:tcW w:w="42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w:t>
            </w:r>
          </w:p>
        </w:tc>
      </w:tr>
      <w:tr>
        <w:trPr>
          <w:trHeight w:val="310"/>
        </w:trPr>
        <w:tc>
          <w:tcPr>
            <w:tcW w:w="4900" w:type="dxa"/>
            <w:vAlign w:val="bottom"/>
          </w:tcPr>
          <w:p>
            <w:pPr>
              <w:spacing w:after="0"/>
              <w:rPr>
                <w:sz w:val="24"/>
                <w:szCs w:val="24"/>
                <w:color w:val="auto"/>
              </w:rPr>
            </w:pP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73</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TAXES AND DISTRIBUTIONS</w:t>
      </w:r>
    </w:p>
    <w:p>
      <w:pPr>
        <w:spacing w:after="0" w:line="82"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06"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As of September 30, 2014 and 2013, the cost of investments for federal income tax purposes was $348.4 million and $319.3 million, respectively, resulting in a gross unrealized appreciation of $3.8 million and $3.7 million, respectively, and depreciation of $3.7 million and $5.2 million, respectively.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permanent differences were reclassified for tax purposes for the years ended September 30, 2014,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99"/>
              </w:rPr>
              <w:t>Year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Decrease in paid-in capital</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254,753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(81,503)</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(3,952)</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20"/>
                <w:szCs w:val="20"/>
                <w:color w:val="auto"/>
              </w:rPr>
            </w:pPr>
            <w:r>
              <w:rPr>
                <w:rFonts w:ascii="Arial" w:cs="Arial" w:eastAsia="Arial" w:hAnsi="Arial"/>
                <w:sz w:val="13"/>
                <w:szCs w:val="13"/>
                <w:color w:val="auto"/>
              </w:rPr>
              <w:t>Increase (decrease) in accumulated net realized gain</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9,384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(1,223,913)</w:t>
            </w:r>
          </w:p>
        </w:tc>
        <w:tc>
          <w:tcPr>
            <w:tcW w:w="320" w:type="dxa"/>
            <w:vAlign w:val="bottom"/>
          </w:tcPr>
          <w:p>
            <w:pPr>
              <w:spacing w:after="0"/>
              <w:rPr>
                <w:sz w:val="12"/>
                <w:szCs w:val="12"/>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Increase in undistributed net investment income</w:t>
            </w:r>
          </w:p>
        </w:tc>
        <w:tc>
          <w:tcPr>
            <w:tcW w:w="3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245,369</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1,305,416</w:t>
            </w:r>
          </w:p>
        </w:tc>
        <w:tc>
          <w:tcPr>
            <w:tcW w:w="32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3"/>
                <w:szCs w:val="13"/>
                <w:color w:val="auto"/>
              </w:rPr>
              <w:t>3,952</w:t>
            </w:r>
          </w:p>
        </w:tc>
        <w:tc>
          <w:tcPr>
            <w:tcW w:w="0" w:type="dxa"/>
            <w:vAlign w:val="bottom"/>
          </w:tcPr>
          <w:p>
            <w:pPr>
              <w:spacing w:after="0"/>
              <w:rPr>
                <w:sz w:val="1"/>
                <w:szCs w:val="1"/>
                <w:color w:val="auto"/>
              </w:rPr>
            </w:pPr>
          </w:p>
        </w:tc>
      </w:tr>
      <w:tr>
        <w:trPr>
          <w:trHeight w:val="125"/>
        </w:trPr>
        <w:tc>
          <w:tcPr>
            <w:tcW w:w="5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following reconciles net increase in net assets resulting from operations to taxable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3"/>
              </w:rPr>
              <w:t>Year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2014</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3"/>
                <w:szCs w:val="13"/>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 in net assets resulting from operations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38"/>
              <w:spacing w:after="0"/>
              <w:rPr>
                <w:sz w:val="20"/>
                <w:szCs w:val="20"/>
                <w:color w:val="auto"/>
              </w:rPr>
            </w:pPr>
            <w:r>
              <w:rPr>
                <w:rFonts w:ascii="Arial" w:cs="Arial" w:eastAsia="Arial" w:hAnsi="Arial"/>
                <w:sz w:val="4"/>
                <w:szCs w:val="4"/>
                <w:color w:val="auto"/>
                <w:w w:val="87"/>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20,513,971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11,984,818</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20"/>
                <w:szCs w:val="20"/>
                <w:color w:val="auto"/>
              </w:rPr>
            </w:pPr>
            <w:r>
              <w:rPr>
                <w:rFonts w:ascii="Arial" w:cs="Arial" w:eastAsia="Arial" w:hAnsi="Arial"/>
                <w:sz w:val="13"/>
                <w:szCs w:val="13"/>
                <w:color w:val="auto"/>
              </w:rPr>
              <w:t>Net change in unrealized (appreciation) depreciation on investments and Credit Facility</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(1,004,771)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2,113,465</w:t>
            </w:r>
          </w:p>
        </w:tc>
        <w:tc>
          <w:tcPr>
            <w:tcW w:w="320" w:type="dxa"/>
            <w:vAlign w:val="bottom"/>
          </w:tcPr>
          <w:p>
            <w:pPr>
              <w:spacing w:after="0"/>
              <w:rPr>
                <w:sz w:val="12"/>
                <w:szCs w:val="12"/>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3"/>
                <w:szCs w:val="13"/>
                <w:color w:val="auto"/>
              </w:rPr>
              <w:t>(4,739,272)</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Other temporary book-to-tax differences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(505,752)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(380,461)</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307,975</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20"/>
                <w:szCs w:val="20"/>
                <w:color w:val="auto"/>
              </w:rPr>
            </w:pPr>
            <w:r>
              <w:rPr>
                <w:rFonts w:ascii="Arial" w:cs="Arial" w:eastAsia="Arial" w:hAnsi="Arial"/>
                <w:sz w:val="13"/>
                <w:szCs w:val="13"/>
                <w:color w:val="auto"/>
              </w:rPr>
              <w:t>Other non-deductible expenses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1,251,555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917,665</w:t>
            </w:r>
          </w:p>
        </w:tc>
        <w:tc>
          <w:tcPr>
            <w:tcW w:w="320" w:type="dxa"/>
            <w:vAlign w:val="bottom"/>
          </w:tcPr>
          <w:p>
            <w:pPr>
              <w:spacing w:after="0"/>
              <w:rPr>
                <w:sz w:val="12"/>
                <w:szCs w:val="12"/>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42,027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Taxable income before deductions for distribution</w:t>
            </w:r>
          </w:p>
        </w:tc>
        <w:tc>
          <w:tcPr>
            <w:tcW w:w="320" w:type="dxa"/>
            <w:vAlign w:val="bottom"/>
            <w:gridSpan w:val="2"/>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20,255,003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14,635,487</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7,571,608</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160" w:type="dxa"/>
            <w:vAlign w:val="bottom"/>
            <w:gridSpan w:val="10"/>
          </w:tcPr>
          <w:p>
            <w:pPr>
              <w:ind w:left="580"/>
              <w:spacing w:after="0"/>
              <w:rPr>
                <w:sz w:val="20"/>
                <w:szCs w:val="20"/>
                <w:color w:val="auto"/>
              </w:rPr>
            </w:pPr>
            <w:r>
              <w:rPr>
                <w:rFonts w:ascii="Arial" w:cs="Arial" w:eastAsia="Arial" w:hAnsi="Arial"/>
                <w:sz w:val="13"/>
                <w:szCs w:val="13"/>
                <w:color w:val="auto"/>
              </w:rPr>
              <w:t>The components of undistributed taxable income on a tax basis and reconciliation to accumulated surplus on a book basis are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2"/>
              </w:rPr>
              <w:t>As of September 30,</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2014</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3"/>
                <w:szCs w:val="13"/>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Undistributed ordinary income – tax basis</w:t>
            </w:r>
          </w:p>
        </w:tc>
        <w:tc>
          <w:tcPr>
            <w:tcW w:w="320" w:type="dxa"/>
            <w:vAlign w:val="bottom"/>
            <w:gridSpan w:val="2"/>
            <w:vMerge w:val="restart"/>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10,097,482</w:t>
            </w:r>
          </w:p>
        </w:tc>
        <w:tc>
          <w:tcPr>
            <w:tcW w:w="12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4,931,935</w:t>
            </w:r>
          </w:p>
        </w:tc>
        <w:tc>
          <w:tcPr>
            <w:tcW w:w="320" w:type="dxa"/>
            <w:vAlign w:val="bottom"/>
            <w:vMerge w:val="restart"/>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3"/>
                <w:szCs w:val="13"/>
                <w:color w:val="auto"/>
              </w:rPr>
              <w:t>2,035,854</w:t>
            </w:r>
          </w:p>
        </w:tc>
        <w:tc>
          <w:tcPr>
            <w:tcW w:w="0" w:type="dxa"/>
            <w:vAlign w:val="bottom"/>
          </w:tcPr>
          <w:p>
            <w:pPr>
              <w:spacing w:after="0"/>
              <w:rPr>
                <w:sz w:val="1"/>
                <w:szCs w:val="1"/>
                <w:color w:val="auto"/>
              </w:rPr>
            </w:pPr>
          </w:p>
        </w:tc>
      </w:tr>
      <w:tr>
        <w:trPr>
          <w:trHeight w:val="138"/>
        </w:trPr>
        <w:tc>
          <w:tcPr>
            <w:tcW w:w="572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17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20"/>
                <w:szCs w:val="20"/>
                <w:color w:val="auto"/>
              </w:rPr>
            </w:pPr>
            <w:r>
              <w:rPr>
                <w:rFonts w:ascii="Arial" w:cs="Arial" w:eastAsia="Arial" w:hAnsi="Arial"/>
                <w:sz w:val="13"/>
                <w:szCs w:val="13"/>
                <w:color w:val="auto"/>
              </w:rPr>
              <w:t>Undistributed long-term capital gain</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1,652,842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2,578,795</w:t>
            </w:r>
          </w:p>
        </w:tc>
        <w:tc>
          <w:tcPr>
            <w:tcW w:w="320" w:type="dxa"/>
            <w:vAlign w:val="bottom"/>
          </w:tcPr>
          <w:p>
            <w:pPr>
              <w:spacing w:after="0"/>
              <w:rPr>
                <w:sz w:val="12"/>
                <w:szCs w:val="12"/>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103,884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Total undistributed taxable income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11,750,324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7,510,730</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2,139,738</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20"/>
                <w:szCs w:val="20"/>
                <w:color w:val="auto"/>
              </w:rPr>
            </w:pPr>
            <w:r>
              <w:rPr>
                <w:rFonts w:ascii="Arial" w:cs="Arial" w:eastAsia="Arial" w:hAnsi="Arial"/>
                <w:sz w:val="13"/>
                <w:szCs w:val="13"/>
                <w:color w:val="auto"/>
              </w:rPr>
              <w:t>Dividends payable and other book to tax differences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(3,989,324)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(3,461,027)</w:t>
            </w:r>
          </w:p>
        </w:tc>
        <w:tc>
          <w:tcPr>
            <w:tcW w:w="320" w:type="dxa"/>
            <w:vAlign w:val="bottom"/>
          </w:tcPr>
          <w:p>
            <w:pPr>
              <w:spacing w:after="0"/>
              <w:rPr>
                <w:sz w:val="12"/>
                <w:szCs w:val="12"/>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3"/>
                <w:szCs w:val="13"/>
                <w:color w:val="auto"/>
              </w:rPr>
              <w:t>(2,228,826)</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(474,803)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(1,479,574)</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633,891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3"/>
                <w:szCs w:val="13"/>
                <w:color w:val="auto"/>
              </w:rPr>
              <w:t>Total accumulated surplus – book basis</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20" w:type="dxa"/>
            <w:vAlign w:val="bottom"/>
            <w:vMerge w:val="continue"/>
          </w:tcPr>
          <w:p>
            <w:pPr>
              <w:spacing w:after="0"/>
              <w:rPr>
                <w:sz w:val="13"/>
                <w:szCs w:val="13"/>
                <w:color w:val="auto"/>
              </w:rPr>
            </w:pPr>
          </w:p>
        </w:tc>
        <w:tc>
          <w:tcPr>
            <w:tcW w:w="320" w:type="dxa"/>
            <w:vAlign w:val="bottom"/>
            <w:gridSpan w:val="2"/>
          </w:tcPr>
          <w:p>
            <w:pPr>
              <w:jc w:val="right"/>
              <w:ind w:right="23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7,286,197</w:t>
            </w:r>
          </w:p>
        </w:tc>
        <w:tc>
          <w:tcPr>
            <w:tcW w:w="1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2,570,129</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544,803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tax characteristics of distributions declared, in accordance with Section 19(a) under the 1940 Act,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99"/>
              </w:rPr>
              <w:t>Year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Ordinary income</w:t>
            </w:r>
          </w:p>
        </w:tc>
        <w:tc>
          <w:tcPr>
            <w:tcW w:w="2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13,473,860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9,937,113</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6,234,106</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Long-term capital gain</w:t>
            </w: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2,578,795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103,884</w:t>
            </w:r>
          </w:p>
        </w:tc>
        <w:tc>
          <w:tcPr>
            <w:tcW w:w="320" w:type="dxa"/>
            <w:vAlign w:val="bottom"/>
          </w:tcPr>
          <w:p>
            <w:pPr>
              <w:spacing w:after="0"/>
              <w:rPr>
                <w:sz w:val="12"/>
                <w:szCs w:val="12"/>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Total distributions</w:t>
            </w:r>
          </w:p>
        </w:tc>
        <w:tc>
          <w:tcPr>
            <w:tcW w:w="2500" w:type="dxa"/>
            <w:vAlign w:val="bottom"/>
            <w:gridSpan w:val="2"/>
            <w:vMerge w:val="restart"/>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16,052,655</w:t>
            </w:r>
          </w:p>
        </w:tc>
        <w:tc>
          <w:tcPr>
            <w:tcW w:w="500" w:type="dxa"/>
            <w:vAlign w:val="bottom"/>
            <w:gridSpan w:val="2"/>
            <w:vMerge w:val="restart"/>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10,040,997</w:t>
            </w:r>
          </w:p>
        </w:tc>
        <w:tc>
          <w:tcPr>
            <w:tcW w:w="320" w:type="dxa"/>
            <w:vAlign w:val="bottom"/>
            <w:vMerge w:val="restart"/>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3"/>
                <w:szCs w:val="13"/>
                <w:color w:val="auto"/>
              </w:rPr>
              <w:t>6,234,106</w:t>
            </w:r>
          </w:p>
        </w:tc>
        <w:tc>
          <w:tcPr>
            <w:tcW w:w="0" w:type="dxa"/>
            <w:vAlign w:val="bottom"/>
          </w:tcPr>
          <w:p>
            <w:pPr>
              <w:spacing w:after="0"/>
              <w:rPr>
                <w:sz w:val="1"/>
                <w:szCs w:val="1"/>
                <w:color w:val="auto"/>
              </w:rPr>
            </w:pPr>
          </w:p>
        </w:tc>
      </w:tr>
      <w:tr>
        <w:trPr>
          <w:trHeight w:val="125"/>
        </w:trPr>
        <w:tc>
          <w:tcPr>
            <w:tcW w:w="3540" w:type="dxa"/>
            <w:vAlign w:val="bottom"/>
            <w:shd w:val="clear" w:color="auto" w:fill="CCEEFF"/>
          </w:tcPr>
          <w:p>
            <w:pPr>
              <w:spacing w:after="0"/>
              <w:rPr>
                <w:sz w:val="10"/>
                <w:szCs w:val="10"/>
                <w:color w:val="auto"/>
              </w:rPr>
            </w:pPr>
          </w:p>
        </w:tc>
        <w:tc>
          <w:tcPr>
            <w:tcW w:w="2500" w:type="dxa"/>
            <w:vAlign w:val="bottom"/>
            <w:gridSpan w:val="2"/>
            <w:vMerge w:val="continue"/>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Total distributions per share</w:t>
            </w:r>
          </w:p>
        </w:tc>
        <w:tc>
          <w:tcPr>
            <w:tcW w:w="2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250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1.08</w:t>
            </w:r>
          </w:p>
        </w:tc>
        <w:tc>
          <w:tcPr>
            <w:tcW w:w="50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640"/>
              <w:spacing w:after="0"/>
              <w:rPr>
                <w:sz w:val="20"/>
                <w:szCs w:val="20"/>
                <w:color w:val="auto"/>
              </w:rPr>
            </w:pPr>
            <w:r>
              <w:rPr>
                <w:rFonts w:ascii="Arial" w:cs="Arial" w:eastAsia="Arial" w:hAnsi="Arial"/>
                <w:sz w:val="13"/>
                <w:szCs w:val="13"/>
                <w:color w:val="auto"/>
              </w:rPr>
              <w:t>0.91</w:t>
            </w: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74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2014</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CASH EQUIVALENTS</w:t>
      </w:r>
    </w:p>
    <w:p>
      <w:pPr>
        <w:spacing w:after="0" w:line="136" w:lineRule="exact"/>
        <w:rPr>
          <w:sz w:val="20"/>
          <w:szCs w:val="20"/>
          <w:color w:val="auto"/>
        </w:rPr>
      </w:pPr>
    </w:p>
    <w:p>
      <w:pPr>
        <w:ind w:right="40" w:firstLine="562"/>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2014 and 2013, cash equivalents consisted of money market funds in the amounts of $13.1 million and $4.6 million,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20"/>
                <w:szCs w:val="20"/>
                <w:color w:val="auto"/>
              </w:rPr>
            </w:pPr>
            <w:r>
              <w:rPr>
                <w:rFonts w:ascii="Arial" w:cs="Arial" w:eastAsia="Arial" w:hAnsi="Arial"/>
                <w:sz w:val="13"/>
                <w:szCs w:val="13"/>
                <w:b w:val="1"/>
                <w:bCs w:val="1"/>
                <w:color w:val="auto"/>
              </w:rPr>
              <w:t>9. FINANCIAL HIGHLIGHTS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380" w:type="dxa"/>
            <w:vAlign w:val="bottom"/>
          </w:tcPr>
          <w:p>
            <w:pPr>
              <w:ind w:left="560"/>
              <w:spacing w:after="0"/>
              <w:rPr>
                <w:sz w:val="20"/>
                <w:szCs w:val="20"/>
                <w:color w:val="auto"/>
              </w:rPr>
            </w:pPr>
            <w:r>
              <w:rPr>
                <w:rFonts w:ascii="Arial" w:cs="Arial" w:eastAsia="Arial" w:hAnsi="Arial"/>
                <w:sz w:val="13"/>
                <w:szCs w:val="13"/>
                <w:color w:val="auto"/>
              </w:rPr>
              <w:t>Below are the financial highlights: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For the period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from March 4,</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2"/>
              </w:rPr>
              <w:t>Year Ended 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restart"/>
          </w:tcPr>
          <w:p>
            <w:pPr>
              <w:jc w:val="center"/>
              <w:ind w:right="300"/>
              <w:spacing w:after="0" w:line="123" w:lineRule="exact"/>
              <w:rPr>
                <w:sz w:val="20"/>
                <w:szCs w:val="20"/>
                <w:color w:val="auto"/>
              </w:rPr>
            </w:pPr>
            <w:r>
              <w:rPr>
                <w:rFonts w:ascii="Arial" w:cs="Arial" w:eastAsia="Arial" w:hAnsi="Arial"/>
                <w:sz w:val="13"/>
                <w:szCs w:val="13"/>
                <w:b w:val="1"/>
                <w:bCs w:val="1"/>
                <w:color w:val="auto"/>
                <w:w w:val="90"/>
              </w:rPr>
              <w:t>(commencement of</w:t>
            </w:r>
          </w:p>
        </w:tc>
        <w:tc>
          <w:tcPr>
            <w:tcW w:w="0" w:type="dxa"/>
            <w:vAlign w:val="bottom"/>
          </w:tcPr>
          <w:p>
            <w:pPr>
              <w:spacing w:after="0"/>
              <w:rPr>
                <w:sz w:val="1"/>
                <w:szCs w:val="1"/>
                <w:color w:val="auto"/>
              </w:rPr>
            </w:pPr>
          </w:p>
        </w:tc>
      </w:tr>
      <w:tr>
        <w:trPr>
          <w:trHeight w:val="75"/>
        </w:trPr>
        <w:tc>
          <w:tcPr>
            <w:tcW w:w="4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operations) to</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2014</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 Share Data:</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20"/>
                <w:szCs w:val="20"/>
                <w:color w:val="auto"/>
              </w:rPr>
            </w:pPr>
            <w:r>
              <w:rPr>
                <w:rFonts w:ascii="Arial" w:cs="Arial" w:eastAsia="Arial" w:hAnsi="Arial"/>
                <w:sz w:val="13"/>
                <w:szCs w:val="13"/>
                <w:color w:val="auto"/>
              </w:rPr>
              <w:t>Net asset value, beginning of period</w:t>
            </w:r>
          </w:p>
        </w:tc>
        <w:tc>
          <w:tcPr>
            <w:tcW w:w="11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14.10</w:t>
            </w:r>
          </w:p>
        </w:tc>
        <w:tc>
          <w:tcPr>
            <w:tcW w:w="14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13.98</w:t>
            </w:r>
          </w:p>
        </w:tc>
        <w:tc>
          <w:tcPr>
            <w:tcW w:w="3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13.44</w:t>
            </w:r>
          </w:p>
        </w:tc>
        <w:tc>
          <w:tcPr>
            <w:tcW w:w="26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(1)</w:t>
            </w:r>
          </w:p>
        </w:tc>
        <w:tc>
          <w:tcPr>
            <w:tcW w:w="9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1"/>
                <w:szCs w:val="11"/>
                <w:color w:val="auto"/>
              </w:rPr>
              <w:t>Net change in realized and unrealized gain (loss)</w:t>
            </w:r>
            <w:r>
              <w:rPr>
                <w:rFonts w:ascii="Arial" w:cs="Arial" w:eastAsia="Arial" w:hAnsi="Arial"/>
                <w:sz w:val="17"/>
                <w:szCs w:val="17"/>
                <w:color w:val="auto"/>
                <w:vertAlign w:val="superscript"/>
              </w:rPr>
              <w:t>(1)</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0.83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(1)</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1"/>
                <w:szCs w:val="11"/>
                <w:color w:val="auto"/>
              </w:rPr>
              <w:t>Distributions to stockholders</w:t>
            </w:r>
            <w:r>
              <w:rPr>
                <w:rFonts w:ascii="Arial" w:cs="Arial" w:eastAsia="Arial" w:hAnsi="Arial"/>
                <w:sz w:val="17"/>
                <w:szCs w:val="17"/>
                <w:color w:val="auto"/>
                <w:vertAlign w:val="superscript"/>
              </w:rPr>
              <w:t>(1),(2)</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Distribution of net investment income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(0.95)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80" w:type="dxa"/>
            <w:vAlign w:val="bottom"/>
          </w:tcPr>
          <w:p>
            <w:pPr>
              <w:ind w:left="280"/>
              <w:spacing w:after="0"/>
              <w:rPr>
                <w:sz w:val="20"/>
                <w:szCs w:val="20"/>
                <w:color w:val="auto"/>
              </w:rPr>
            </w:pPr>
            <w:r>
              <w:rPr>
                <w:rFonts w:ascii="Arial" w:cs="Arial" w:eastAsia="Arial" w:hAnsi="Arial"/>
                <w:sz w:val="13"/>
                <w:szCs w:val="13"/>
                <w:color w:val="auto"/>
              </w:rPr>
              <w:t>Distribution of realized gains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(0.24)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(0.10)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distributions to stockholders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20"/>
                <w:szCs w:val="20"/>
                <w:color w:val="auto"/>
              </w:rPr>
            </w:pPr>
            <w:r>
              <w:rPr>
                <w:rFonts w:ascii="Arial" w:cs="Arial" w:eastAsia="Arial" w:hAnsi="Arial"/>
                <w:sz w:val="13"/>
                <w:szCs w:val="13"/>
                <w:color w:val="auto"/>
              </w:rPr>
              <w:t>Initial issuance of common stock</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Effect of offering costs</w:t>
            </w:r>
            <w:r>
              <w:rPr>
                <w:rFonts w:ascii="Arial" w:cs="Arial" w:eastAsia="Arial" w:hAnsi="Arial"/>
                <w:sz w:val="17"/>
                <w:szCs w:val="17"/>
                <w:color w:val="auto"/>
                <w:vertAlign w:val="superscript"/>
              </w:rPr>
              <w:t>(1)</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(0.30)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(0.80)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3"/>
                <w:szCs w:val="13"/>
                <w:color w:val="auto"/>
              </w:rPr>
              <w:t>Net asset value, end of period</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14.40</w:t>
            </w:r>
          </w:p>
        </w:tc>
        <w:tc>
          <w:tcPr>
            <w:tcW w:w="14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14.10</w:t>
            </w:r>
          </w:p>
        </w:tc>
        <w:tc>
          <w:tcPr>
            <w:tcW w:w="3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13.98</w:t>
            </w:r>
          </w:p>
        </w:tc>
        <w:tc>
          <w:tcPr>
            <w:tcW w:w="26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13.44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Per share market value, end of period</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line="176" w:lineRule="exact"/>
              <w:rPr>
                <w:sz w:val="20"/>
                <w:szCs w:val="20"/>
                <w:color w:val="auto"/>
              </w:rPr>
            </w:pPr>
            <w:r>
              <w:rPr>
                <w:rFonts w:ascii="Arial" w:cs="Arial" w:eastAsia="Arial" w:hAnsi="Arial"/>
                <w:sz w:val="12"/>
                <w:szCs w:val="12"/>
                <w:color w:val="auto"/>
              </w:rPr>
              <w:t>Total return*</w:t>
            </w:r>
            <w:r>
              <w:rPr>
                <w:rFonts w:ascii="Arial" w:cs="Arial" w:eastAsia="Arial" w:hAnsi="Arial"/>
                <w:sz w:val="20"/>
                <w:szCs w:val="20"/>
                <w:color w:val="auto"/>
                <w:vertAlign w:val="superscript"/>
              </w:rPr>
              <w:t>(3)</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8.05%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17.17%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29.43%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3"/>
                <w:szCs w:val="13"/>
                <w:color w:val="auto"/>
              </w:rPr>
              <w:t>(28.13)%</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Shares outstanding at end of period</w:t>
            </w:r>
          </w:p>
        </w:tc>
        <w:tc>
          <w:tcPr>
            <w:tcW w:w="9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14,898,056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14,898,056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6,850,667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6,850,667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20"/>
                <w:szCs w:val="20"/>
                <w:color w:val="auto"/>
              </w:rPr>
            </w:pPr>
            <w:r>
              <w:rPr>
                <w:rFonts w:ascii="Arial" w:cs="Arial" w:eastAsia="Arial" w:hAnsi="Arial"/>
                <w:sz w:val="13"/>
                <w:szCs w:val="13"/>
                <w:b w:val="1"/>
                <w:bCs w:val="1"/>
                <w:color w:val="auto"/>
              </w:rPr>
              <w:t>Ratios / Supplemental Data*:</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1"/>
                <w:szCs w:val="11"/>
                <w:color w:val="auto"/>
              </w:rPr>
              <w:t>Ratio of Credit Facility related expenses to average net assets</w:t>
            </w:r>
            <w:r>
              <w:rPr>
                <w:rFonts w:ascii="Arial" w:cs="Arial" w:eastAsia="Arial" w:hAnsi="Arial"/>
                <w:sz w:val="17"/>
                <w:szCs w:val="17"/>
                <w:color w:val="auto"/>
                <w:vertAlign w:val="superscript"/>
              </w:rPr>
              <w:t>(5)</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1.95%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1.66%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Ratio of total expenses to average net assets</w:t>
            </w:r>
            <w:r>
              <w:rPr>
                <w:rFonts w:ascii="Arial" w:cs="Arial" w:eastAsia="Arial" w:hAnsi="Arial"/>
                <w:sz w:val="17"/>
                <w:szCs w:val="17"/>
                <w:color w:val="auto"/>
                <w:vertAlign w:val="superscript"/>
              </w:rPr>
              <w:t>(5)</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1"/>
                <w:szCs w:val="11"/>
                <w:color w:val="auto"/>
              </w:rPr>
              <w:t>Ratio of net investment income to average net assets</w:t>
            </w:r>
            <w:r>
              <w:rPr>
                <w:rFonts w:ascii="Arial" w:cs="Arial" w:eastAsia="Arial" w:hAnsi="Arial"/>
                <w:sz w:val="17"/>
                <w:szCs w:val="17"/>
                <w:color w:val="auto"/>
                <w:vertAlign w:val="superscript"/>
              </w:rPr>
              <w:t>(5)</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7.77%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7.68%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6.64%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3"/>
                <w:szCs w:val="13"/>
                <w:color w:val="auto"/>
              </w:rPr>
              <w:t>0.34%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Net assets at end of period</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214,527,710</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210,066,394</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95,743,877</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92,072,105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3"/>
                <w:szCs w:val="13"/>
                <w:color w:val="auto"/>
              </w:rPr>
              <w:t>Average debt outstanding</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147,599,452</w:t>
            </w:r>
          </w:p>
        </w:tc>
        <w:tc>
          <w:tcPr>
            <w:tcW w:w="14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71,678,836</w:t>
            </w:r>
          </w:p>
        </w:tc>
        <w:tc>
          <w:tcPr>
            <w:tcW w:w="3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46,133,607</w:t>
            </w:r>
          </w:p>
        </w:tc>
        <w:tc>
          <w:tcPr>
            <w:tcW w:w="26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7,550,877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Average debt per share</w:t>
            </w:r>
            <w:r>
              <w:rPr>
                <w:rFonts w:ascii="Arial" w:cs="Arial" w:eastAsia="Arial" w:hAnsi="Arial"/>
                <w:sz w:val="17"/>
                <w:szCs w:val="17"/>
                <w:color w:val="auto"/>
                <w:vertAlign w:val="superscript"/>
              </w:rPr>
              <w:t>(1)</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1"/>
                <w:szCs w:val="11"/>
                <w:color w:val="auto"/>
              </w:rPr>
              <w:t>Asset coverage per unit</w:t>
            </w:r>
            <w:r>
              <w:rPr>
                <w:rFonts w:ascii="Arial" w:cs="Arial" w:eastAsia="Arial" w:hAnsi="Arial"/>
                <w:sz w:val="17"/>
                <w:szCs w:val="17"/>
                <w:color w:val="auto"/>
                <w:vertAlign w:val="superscript"/>
              </w:rPr>
              <w:t>(6)</w:t>
            </w:r>
          </w:p>
        </w:tc>
        <w:tc>
          <w:tcPr>
            <w:tcW w:w="11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2,460</w:t>
            </w:r>
          </w:p>
        </w:tc>
        <w:tc>
          <w:tcPr>
            <w:tcW w:w="14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3,109</w:t>
            </w:r>
          </w:p>
        </w:tc>
        <w:tc>
          <w:tcPr>
            <w:tcW w:w="3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2,275</w:t>
            </w:r>
          </w:p>
        </w:tc>
        <w:tc>
          <w:tcPr>
            <w:tcW w:w="26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4,735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Portfolio turnover ratio</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62.74%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81.89%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426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08" w:lineRule="exact"/>
        <w:rPr>
          <w:sz w:val="20"/>
          <w:szCs w:val="20"/>
          <w:color w:val="auto"/>
        </w:rPr>
      </w:pPr>
    </w:p>
    <w:p>
      <w:pPr>
        <w:ind w:left="1000" w:hanging="992"/>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Not annualized for periods less than one year.</w:t>
      </w:r>
    </w:p>
    <w:p>
      <w:pPr>
        <w:ind w:left="1000" w:hanging="992"/>
        <w:spacing w:after="0" w:line="185" w:lineRule="auto"/>
        <w:tabs>
          <w:tab w:leader="none" w:pos="1000" w:val="left"/>
        </w:tabs>
        <w:numPr>
          <w:ilvl w:val="0"/>
          <w:numId w:val="46"/>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1000" w:right="340" w:hanging="992"/>
        <w:spacing w:after="0" w:line="182" w:lineRule="auto"/>
        <w:tabs>
          <w:tab w:leader="none" w:pos="1000" w:val="left"/>
        </w:tabs>
        <w:numPr>
          <w:ilvl w:val="0"/>
          <w:numId w:val="46"/>
        </w:numPr>
        <w:rPr>
          <w:rFonts w:ascii="Arial" w:cs="Arial" w:eastAsia="Arial" w:hAnsi="Arial"/>
          <w:sz w:val="21"/>
          <w:szCs w:val="21"/>
          <w:color w:val="auto"/>
          <w:vertAlign w:val="superscript"/>
        </w:rPr>
      </w:pPr>
      <w:r>
        <w:rPr>
          <w:rFonts w:ascii="Arial" w:cs="Arial" w:eastAsia="Arial" w:hAnsi="Arial"/>
          <w:sz w:val="13"/>
          <w:szCs w:val="13"/>
          <w:color w:val="auto"/>
        </w:rPr>
        <w:t>The tax status of distributions is calculated in accordance with income tax regulations, which may differ from amounts determined under GAAP, and reported on Form 1099-DIV each calendar year.</w:t>
      </w:r>
    </w:p>
    <w:p>
      <w:pPr>
        <w:ind w:left="1000" w:hanging="992"/>
        <w:spacing w:after="0" w:line="182" w:lineRule="auto"/>
        <w:tabs>
          <w:tab w:leader="none" w:pos="1000"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distributions, if any, reinvested in accordance with our dividend reinvestment plan.</w:t>
      </w:r>
    </w:p>
    <w:p>
      <w:pPr>
        <w:ind w:left="1000" w:hanging="992"/>
        <w:spacing w:after="0" w:line="182" w:lineRule="auto"/>
        <w:tabs>
          <w:tab w:leader="none" w:pos="1000"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Operating expenses exclude Credit Facility related costs.</w:t>
      </w:r>
    </w:p>
    <w:p>
      <w:pPr>
        <w:ind w:left="1000" w:hanging="992"/>
        <w:spacing w:after="0" w:line="182" w:lineRule="auto"/>
        <w:tabs>
          <w:tab w:leader="none" w:pos="1000"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Credit Facility amendment costs, if any, are not annualized.</w:t>
      </w:r>
    </w:p>
    <w:p>
      <w:pPr>
        <w:ind w:left="1000" w:right="100" w:hanging="992"/>
        <w:spacing w:after="0" w:line="201" w:lineRule="auto"/>
        <w:tabs>
          <w:tab w:leader="none" w:pos="1000" w:val="left"/>
        </w:tabs>
        <w:numPr>
          <w:ilvl w:val="0"/>
          <w:numId w:val="46"/>
        </w:numPr>
        <w:rPr>
          <w:rFonts w:ascii="Arial" w:cs="Arial" w:eastAsia="Arial" w:hAnsi="Arial"/>
          <w:sz w:val="20"/>
          <w:szCs w:val="20"/>
          <w:color w:val="auto"/>
          <w:vertAlign w:val="superscript"/>
        </w:rPr>
      </w:pPr>
      <w:r>
        <w:rPr>
          <w:rFonts w:ascii="Arial" w:cs="Arial" w:eastAsia="Arial" w:hAnsi="Arial"/>
          <w:sz w:val="12"/>
          <w:szCs w:val="12"/>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2014</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CREDIT FACILITY</w:t>
      </w:r>
    </w:p>
    <w:p>
      <w:pPr>
        <w:spacing w:after="0" w:line="13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Funding I’s Credit Facility with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September 30,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w:t>
      </w:r>
    </w:p>
    <w:p>
      <w:pPr>
        <w:spacing w:after="0" w:line="108"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2"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2014, we were in compliance with the covenants relating to our Credit Facility.</w:t>
      </w:r>
    </w:p>
    <w:p>
      <w:pPr>
        <w:spacing w:after="0" w:line="106" w:lineRule="exact"/>
        <w:rPr>
          <w:sz w:val="20"/>
          <w:szCs w:val="20"/>
          <w:color w:val="auto"/>
        </w:rPr>
      </w:pPr>
    </w:p>
    <w:p>
      <w:pPr>
        <w:ind w:right="180" w:firstLine="562"/>
        <w:spacing w:after="0" w:line="317"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67" w:lineRule="exact"/>
        <w:rPr>
          <w:sz w:val="20"/>
          <w:szCs w:val="20"/>
          <w:color w:val="auto"/>
        </w:rPr>
      </w:pPr>
    </w:p>
    <w:p>
      <w:pPr>
        <w:ind w:right="200" w:firstLine="562"/>
        <w:spacing w:after="0" w:line="268" w:lineRule="auto"/>
        <w:rPr>
          <w:sz w:val="20"/>
          <w:szCs w:val="20"/>
          <w:color w:val="auto"/>
        </w:rPr>
      </w:pPr>
      <w:r>
        <w:rPr>
          <w:rFonts w:ascii="Arial" w:cs="Arial" w:eastAsia="Arial" w:hAnsi="Arial"/>
          <w:sz w:val="12"/>
          <w:szCs w:val="12"/>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w:t>
      </w:r>
    </w:p>
    <w:p>
      <w:pPr>
        <w:spacing w:after="0" w:line="1" w:lineRule="exact"/>
        <w:rPr>
          <w:sz w:val="20"/>
          <w:szCs w:val="20"/>
          <w:color w:val="auto"/>
        </w:rPr>
      </w:pPr>
    </w:p>
    <w:p>
      <w:pPr>
        <w:ind w:firstLine="8"/>
        <w:spacing w:after="0" w:line="255" w:lineRule="auto"/>
        <w:tabs>
          <w:tab w:leader="none" w:pos="191"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136"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Supplementary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Quarterly Data (Unaudited)</w:t>
      </w:r>
    </w:p>
    <w:p>
      <w:pPr>
        <w:jc w:val="center"/>
        <w:spacing w:after="0"/>
        <w:rPr>
          <w:sz w:val="20"/>
          <w:szCs w:val="20"/>
          <w:color w:val="auto"/>
        </w:rPr>
      </w:pPr>
      <w:r>
        <w:rPr>
          <w:rFonts w:ascii="Arial" w:cs="Arial" w:eastAsia="Arial" w:hAnsi="Arial"/>
          <w:sz w:val="13"/>
          <w:szCs w:val="13"/>
          <w:b w:val="1"/>
          <w:bCs w:val="1"/>
          <w:color w:val="auto"/>
        </w:rPr>
        <w:t>(dollar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2014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Q4</w:t>
            </w:r>
          </w:p>
        </w:tc>
        <w:tc>
          <w:tcPr>
            <w:tcW w:w="180" w:type="dxa"/>
            <w:vAlign w:val="bottom"/>
          </w:tcPr>
          <w:p>
            <w:pPr>
              <w:spacing w:after="0"/>
              <w:rPr>
                <w:sz w:val="12"/>
                <w:szCs w:val="12"/>
                <w:color w:val="auto"/>
              </w:rPr>
            </w:pPr>
          </w:p>
        </w:tc>
        <w:tc>
          <w:tcPr>
            <w:tcW w:w="72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Q3</w:t>
            </w:r>
          </w:p>
        </w:tc>
        <w:tc>
          <w:tcPr>
            <w:tcW w:w="16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Q2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3"/>
              <w:spacing w:after="0" w:line="142" w:lineRule="exact"/>
              <w:rPr>
                <w:sz w:val="20"/>
                <w:szCs w:val="20"/>
                <w:color w:val="auto"/>
              </w:rPr>
            </w:pPr>
            <w:r>
              <w:rPr>
                <w:rFonts w:ascii="Arial" w:cs="Arial" w:eastAsia="Arial" w:hAnsi="Arial"/>
                <w:sz w:val="13"/>
                <w:szCs w:val="13"/>
                <w:b w:val="1"/>
                <w:bCs w:val="1"/>
                <w:color w:val="auto"/>
              </w:rPr>
              <w:t>Q1</w:t>
            </w:r>
          </w:p>
        </w:tc>
        <w:tc>
          <w:tcPr>
            <w:tcW w:w="100" w:type="dxa"/>
            <w:vAlign w:val="bottom"/>
          </w:tcPr>
          <w:p>
            <w:pPr>
              <w:spacing w:after="0"/>
              <w:rPr>
                <w:sz w:val="12"/>
                <w:szCs w:val="12"/>
                <w:color w:val="auto"/>
              </w:rPr>
            </w:pPr>
          </w:p>
        </w:tc>
      </w:tr>
      <w:tr>
        <w:trPr>
          <w:trHeight w:val="142"/>
        </w:trPr>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19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8,221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7,669</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7,623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820" w:type="dxa"/>
            <w:vAlign w:val="bottom"/>
          </w:tcPr>
          <w:p>
            <w:pPr>
              <w:spacing w:after="0"/>
              <w:rPr>
                <w:sz w:val="20"/>
                <w:szCs w:val="20"/>
                <w:color w:val="auto"/>
              </w:rPr>
            </w:pPr>
            <w:r>
              <w:rPr>
                <w:rFonts w:ascii="Arial" w:cs="Arial" w:eastAsia="Arial" w:hAnsi="Arial"/>
                <w:sz w:val="13"/>
                <w:szCs w:val="13"/>
                <w:color w:val="auto"/>
              </w:rPr>
              <w:t>Net investment income</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5,320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4,363</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3,725</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3,228</w:t>
            </w:r>
          </w:p>
        </w:tc>
        <w:tc>
          <w:tcPr>
            <w:tcW w:w="100" w:type="dxa"/>
            <w:vAlign w:val="bottom"/>
          </w:tcPr>
          <w:p>
            <w:pPr>
              <w:spacing w:after="0"/>
              <w:rPr>
                <w:sz w:val="12"/>
                <w:szCs w:val="12"/>
                <w:color w:val="auto"/>
              </w:rPr>
            </w:pP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 gain</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3,513</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2,829</w:t>
            </w:r>
          </w:p>
        </w:tc>
        <w:tc>
          <w:tcPr>
            <w:tcW w:w="100" w:type="dxa"/>
            <w:vAlign w:val="bottom"/>
            <w:shd w:val="clear" w:color="auto" w:fill="CCEEFF"/>
          </w:tcPr>
          <w:p>
            <w:pPr>
              <w:spacing w:after="0"/>
              <w:rPr>
                <w:sz w:val="12"/>
                <w:szCs w:val="12"/>
                <w:color w:val="auto"/>
              </w:rPr>
            </w:pP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2,278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4,942</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7,237</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6,057</w:t>
            </w:r>
          </w:p>
        </w:tc>
        <w:tc>
          <w:tcPr>
            <w:tcW w:w="100" w:type="dxa"/>
            <w:vAlign w:val="bottom"/>
          </w:tcPr>
          <w:p>
            <w:pPr>
              <w:spacing w:after="0"/>
              <w:rPr>
                <w:sz w:val="12"/>
                <w:szCs w:val="12"/>
                <w:color w:val="auto"/>
              </w:rPr>
            </w:pP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 *</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0.49</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w:t>
            </w:r>
          </w:p>
        </w:tc>
        <w:tc>
          <w:tcPr>
            <w:tcW w:w="100" w:type="dxa"/>
            <w:vAlign w:val="bottom"/>
            <w:shd w:val="clear" w:color="auto" w:fill="CCEEFF"/>
          </w:tcPr>
          <w:p>
            <w:pPr>
              <w:spacing w:after="0"/>
              <w:rPr>
                <w:sz w:val="12"/>
                <w:szCs w:val="12"/>
                <w:color w:val="auto"/>
              </w:rPr>
            </w:pP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14.40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14.52</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14.46</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12"/>
                <w:szCs w:val="12"/>
                <w:color w:val="auto"/>
              </w:rPr>
            </w:pPr>
          </w:p>
        </w:tc>
      </w:tr>
      <w:tr>
        <w:trPr>
          <w:trHeight w:val="149"/>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13.82</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Q4</w:t>
            </w:r>
          </w:p>
        </w:tc>
        <w:tc>
          <w:tcPr>
            <w:tcW w:w="180" w:type="dxa"/>
            <w:vAlign w:val="bottom"/>
          </w:tcPr>
          <w:p>
            <w:pPr>
              <w:spacing w:after="0"/>
              <w:rPr>
                <w:sz w:val="12"/>
                <w:szCs w:val="12"/>
                <w:color w:val="auto"/>
              </w:rPr>
            </w:pPr>
          </w:p>
        </w:tc>
        <w:tc>
          <w:tcPr>
            <w:tcW w:w="72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Q3</w:t>
            </w:r>
          </w:p>
        </w:tc>
        <w:tc>
          <w:tcPr>
            <w:tcW w:w="16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Q2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3"/>
              <w:spacing w:after="0" w:line="142" w:lineRule="exact"/>
              <w:rPr>
                <w:sz w:val="20"/>
                <w:szCs w:val="20"/>
                <w:color w:val="auto"/>
              </w:rPr>
            </w:pPr>
            <w:r>
              <w:rPr>
                <w:rFonts w:ascii="Arial" w:cs="Arial" w:eastAsia="Arial" w:hAnsi="Arial"/>
                <w:sz w:val="13"/>
                <w:szCs w:val="13"/>
                <w:b w:val="1"/>
                <w:bCs w:val="1"/>
                <w:color w:val="auto"/>
              </w:rPr>
              <w:t>Q1</w:t>
            </w:r>
          </w:p>
        </w:tc>
        <w:tc>
          <w:tcPr>
            <w:tcW w:w="100" w:type="dxa"/>
            <w:vAlign w:val="bottom"/>
          </w:tcPr>
          <w:p>
            <w:pPr>
              <w:spacing w:after="0"/>
              <w:rPr>
                <w:sz w:val="12"/>
                <w:szCs w:val="12"/>
                <w:color w:val="auto"/>
              </w:rPr>
            </w:pPr>
          </w:p>
        </w:tc>
      </w:tr>
      <w:tr>
        <w:trPr>
          <w:trHeight w:val="142"/>
        </w:trPr>
        <w:tc>
          <w:tcPr>
            <w:tcW w:w="5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19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6,095</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4,670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4,140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800" w:type="dxa"/>
            <w:vAlign w:val="bottom"/>
          </w:tcPr>
          <w:p>
            <w:pPr>
              <w:spacing w:after="0"/>
              <w:rPr>
                <w:sz w:val="20"/>
                <w:szCs w:val="20"/>
                <w:color w:val="auto"/>
              </w:rPr>
            </w:pPr>
            <w:r>
              <w:rPr>
                <w:rFonts w:ascii="Arial" w:cs="Arial" w:eastAsia="Arial" w:hAnsi="Arial"/>
                <w:sz w:val="13"/>
                <w:szCs w:val="13"/>
                <w:color w:val="auto"/>
              </w:rPr>
              <w:t>Net investment income</w:t>
            </w:r>
          </w:p>
        </w:tc>
        <w:tc>
          <w:tcPr>
            <w:tcW w:w="21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3,581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3,217</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1,666</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2,059</w:t>
            </w:r>
          </w:p>
        </w:tc>
        <w:tc>
          <w:tcPr>
            <w:tcW w:w="100" w:type="dxa"/>
            <w:vAlign w:val="bottom"/>
          </w:tcPr>
          <w:p>
            <w:pPr>
              <w:spacing w:after="0"/>
              <w:rPr>
                <w:sz w:val="12"/>
                <w:szCs w:val="12"/>
                <w:color w:val="auto"/>
              </w:rPr>
            </w:pPr>
          </w:p>
        </w:tc>
      </w:tr>
      <w:tr>
        <w:trPr>
          <w:trHeight w:val="148"/>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1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1,540</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w:t>
            </w:r>
          </w:p>
        </w:tc>
      </w:tr>
      <w:tr>
        <w:trPr>
          <w:trHeight w:val="148"/>
        </w:trPr>
        <w:tc>
          <w:tcPr>
            <w:tcW w:w="580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1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5,447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1,567</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3,206</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1,765</w:t>
            </w:r>
          </w:p>
        </w:tc>
        <w:tc>
          <w:tcPr>
            <w:tcW w:w="100" w:type="dxa"/>
            <w:vAlign w:val="bottom"/>
          </w:tcPr>
          <w:p>
            <w:pPr>
              <w:spacing w:after="0"/>
              <w:rPr>
                <w:sz w:val="12"/>
                <w:szCs w:val="12"/>
                <w:color w:val="auto"/>
              </w:rPr>
            </w:pPr>
          </w:p>
        </w:tc>
      </w:tr>
      <w:tr>
        <w:trPr>
          <w:trHeight w:val="148"/>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1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0.39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0.45</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spacing w:after="0"/>
              <w:rPr>
                <w:sz w:val="12"/>
                <w:szCs w:val="12"/>
                <w:color w:val="auto"/>
              </w:rPr>
            </w:pPr>
          </w:p>
        </w:tc>
      </w:tr>
      <w:tr>
        <w:trPr>
          <w:trHeight w:val="149"/>
        </w:trPr>
        <w:tc>
          <w:tcPr>
            <w:tcW w:w="580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1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14.10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13.98</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14.10</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13.99</w:t>
            </w:r>
          </w:p>
        </w:tc>
        <w:tc>
          <w:tcPr>
            <w:tcW w:w="100" w:type="dxa"/>
            <w:vAlign w:val="bottom"/>
          </w:tcPr>
          <w:p>
            <w:pPr>
              <w:spacing w:after="0"/>
              <w:rPr>
                <w:sz w:val="12"/>
                <w:szCs w:val="12"/>
                <w:color w:val="auto"/>
              </w:rPr>
            </w:pPr>
          </w:p>
        </w:tc>
      </w:tr>
      <w:tr>
        <w:trPr>
          <w:trHeight w:val="148"/>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1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13.96</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Q4</w:t>
            </w:r>
          </w:p>
        </w:tc>
        <w:tc>
          <w:tcPr>
            <w:tcW w:w="180" w:type="dxa"/>
            <w:vAlign w:val="bottom"/>
          </w:tcPr>
          <w:p>
            <w:pPr>
              <w:spacing w:after="0"/>
              <w:rPr>
                <w:sz w:val="12"/>
                <w:szCs w:val="12"/>
                <w:color w:val="auto"/>
              </w:rPr>
            </w:pPr>
          </w:p>
        </w:tc>
        <w:tc>
          <w:tcPr>
            <w:tcW w:w="72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Q3</w:t>
            </w:r>
          </w:p>
        </w:tc>
        <w:tc>
          <w:tcPr>
            <w:tcW w:w="16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Q2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3"/>
              <w:spacing w:after="0" w:line="142" w:lineRule="exact"/>
              <w:rPr>
                <w:sz w:val="20"/>
                <w:szCs w:val="20"/>
                <w:color w:val="auto"/>
              </w:rPr>
            </w:pPr>
            <w:r>
              <w:rPr>
                <w:rFonts w:ascii="Arial" w:cs="Arial" w:eastAsia="Arial" w:hAnsi="Arial"/>
                <w:sz w:val="13"/>
                <w:szCs w:val="13"/>
                <w:b w:val="1"/>
                <w:bCs w:val="1"/>
                <w:color w:val="auto"/>
              </w:rPr>
              <w:t>Q1</w:t>
            </w:r>
          </w:p>
        </w:tc>
        <w:tc>
          <w:tcPr>
            <w:tcW w:w="100" w:type="dxa"/>
            <w:vAlign w:val="bottom"/>
          </w:tcPr>
          <w:p>
            <w:pPr>
              <w:spacing w:after="0"/>
              <w:rPr>
                <w:sz w:val="12"/>
                <w:szCs w:val="12"/>
                <w:color w:val="auto"/>
              </w:rPr>
            </w:pPr>
          </w:p>
        </w:tc>
      </w:tr>
      <w:tr>
        <w:trPr>
          <w:trHeight w:val="142"/>
        </w:trPr>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19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3,487</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3,201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2,944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2,467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820" w:type="dxa"/>
            <w:vAlign w:val="bottom"/>
            <w:gridSpan w:val="2"/>
          </w:tcPr>
          <w:p>
            <w:pPr>
              <w:spacing w:after="0"/>
              <w:rPr>
                <w:sz w:val="20"/>
                <w:szCs w:val="20"/>
                <w:color w:val="auto"/>
              </w:rPr>
            </w:pPr>
            <w:r>
              <w:rPr>
                <w:rFonts w:ascii="Arial" w:cs="Arial" w:eastAsia="Arial" w:hAnsi="Arial"/>
                <w:sz w:val="13"/>
                <w:szCs w:val="13"/>
                <w:color w:val="auto"/>
              </w:rPr>
              <w:t>Net investment income</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1,544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1,846</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1,545</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1,375</w:t>
            </w:r>
          </w:p>
        </w:tc>
        <w:tc>
          <w:tcPr>
            <w:tcW w:w="100" w:type="dxa"/>
            <w:vAlign w:val="bottom"/>
          </w:tcPr>
          <w:p>
            <w:pPr>
              <w:spacing w:after="0"/>
              <w:rPr>
                <w:sz w:val="12"/>
                <w:szCs w:val="12"/>
                <w:color w:val="auto"/>
              </w:rPr>
            </w:pPr>
          </w:p>
        </w:tc>
      </w:tr>
      <w:tr>
        <w:trPr>
          <w:trHeight w:val="148"/>
        </w:trPr>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2,400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(1,459)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2,980</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w:t>
            </w:r>
          </w:p>
        </w:tc>
        <w:tc>
          <w:tcPr>
            <w:tcW w:w="100" w:type="dxa"/>
            <w:vAlign w:val="bottom"/>
            <w:shd w:val="clear" w:color="auto" w:fill="CCEEFF"/>
          </w:tcPr>
          <w:p>
            <w:pPr>
              <w:spacing w:after="0"/>
              <w:rPr>
                <w:sz w:val="12"/>
                <w:szCs w:val="12"/>
                <w:color w:val="auto"/>
              </w:rPr>
            </w:pPr>
          </w:p>
        </w:tc>
      </w:tr>
      <w:tr>
        <w:trPr>
          <w:trHeight w:val="149"/>
        </w:trPr>
        <w:tc>
          <w:tcPr>
            <w:tcW w:w="5820" w:type="dxa"/>
            <w:vAlign w:val="bottom"/>
            <w:gridSpan w:val="2"/>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3,944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387</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4,525</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3,105</w:t>
            </w:r>
          </w:p>
        </w:tc>
        <w:tc>
          <w:tcPr>
            <w:tcW w:w="100" w:type="dxa"/>
            <w:vAlign w:val="bottom"/>
          </w:tcPr>
          <w:p>
            <w:pPr>
              <w:spacing w:after="0"/>
              <w:rPr>
                <w:sz w:val="12"/>
                <w:szCs w:val="12"/>
                <w:color w:val="auto"/>
              </w:rPr>
            </w:pPr>
          </w:p>
        </w:tc>
      </w:tr>
      <w:tr>
        <w:trPr>
          <w:trHeight w:val="148"/>
        </w:trPr>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 *</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0.58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0.66</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100" w:type="dxa"/>
            <w:vAlign w:val="bottom"/>
            <w:shd w:val="clear" w:color="auto" w:fill="CCEEFF"/>
          </w:tcPr>
          <w:p>
            <w:pPr>
              <w:spacing w:after="0"/>
              <w:rPr>
                <w:sz w:val="12"/>
                <w:szCs w:val="12"/>
                <w:color w:val="auto"/>
              </w:rPr>
            </w:pPr>
          </w:p>
        </w:tc>
      </w:tr>
      <w:tr>
        <w:trPr>
          <w:trHeight w:val="148"/>
        </w:trPr>
        <w:tc>
          <w:tcPr>
            <w:tcW w:w="5820" w:type="dxa"/>
            <w:vAlign w:val="bottom"/>
            <w:gridSpan w:val="2"/>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1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13.98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13.94</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14.12</w:t>
            </w:r>
          </w:p>
        </w:tc>
        <w:tc>
          <w:tcPr>
            <w:tcW w:w="26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13.68</w:t>
            </w:r>
          </w:p>
        </w:tc>
        <w:tc>
          <w:tcPr>
            <w:tcW w:w="100" w:type="dxa"/>
            <w:vAlign w:val="bottom"/>
          </w:tcPr>
          <w:p>
            <w:pPr>
              <w:spacing w:after="0"/>
              <w:rPr>
                <w:sz w:val="12"/>
                <w:szCs w:val="12"/>
                <w:color w:val="auto"/>
              </w:rPr>
            </w:pPr>
          </w:p>
        </w:tc>
      </w:tr>
      <w:tr>
        <w:trPr>
          <w:trHeight w:val="148"/>
        </w:trPr>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1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12.67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11.90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11.75</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2"/>
                <w:szCs w:val="12"/>
                <w:color w:val="auto"/>
              </w:rPr>
            </w:pPr>
          </w:p>
        </w:tc>
      </w:tr>
      <w:tr>
        <w:trPr>
          <w:trHeight w:val="108"/>
        </w:trPr>
        <w:tc>
          <w:tcPr>
            <w:tcW w:w="2380" w:type="dxa"/>
            <w:vAlign w:val="bottom"/>
            <w:tcBorders>
              <w:bottom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 Based on the weighted average shares outstanding for the respective periods.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Evaluation of Disclosure Controls and Procedures</w:t>
      </w:r>
    </w:p>
    <w:p>
      <w:pPr>
        <w:spacing w:after="0" w:line="80"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As of September 30, 2014,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Management’s Report on Internal Control Over Financial Reporting</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Management’s Report on Internal Control Over Financial Reporting, which appears on page 53 of this Report,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Changes in Internal Controls Over Financial Reporting.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PART III</w:t>
      </w:r>
    </w:p>
    <w:p>
      <w:pPr>
        <w:spacing w:after="0" w:line="13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will file a definitive Proxy Statement for our 2015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68"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6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10 is hereby incorporated by reference from our definitive Proxy Statement relating to our 2015 Annual Meeting of Stockholders, to be filed with the Securities and Exchange Commission within 120 days following the end of our fiscal year.</w:t>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6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11 is hereby incorporated by reference from our definitive Proxy Statement relating to our 2015 Annual Meeting of Stockholders, to be filed with the Securities and Exchange Commission within 120 days following the end of our fiscal year.</w:t>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6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12 is hereby incorporated by reference from our definitive Proxy Statement relating to our 2015 Annual Meeting of Stockholders, to be filed with the Securities and Exchange Commission within 120 days following the end of our fiscal year.</w:t>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6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13 is hereby incorporated by reference from our definitive Proxy Statement relating to our 2015 Annual Meeting of Stockholders, to be filed with the Securities and Exchange Commission within 120 days following the end of our fiscal year.</w:t>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63"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14 is hereby incorporated by reference from our definitive Proxy Statement relating to our 2015 Annual Meeting of Stockholders, to be filed with the Securities and Exchange Commission within 120 days following the end of our fiscal year.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IV</w:t>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documents are filed as part of this Annual Report:</w:t>
      </w:r>
    </w:p>
    <w:p>
      <w:pPr>
        <w:spacing w:after="0" w:line="8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Index to Financial Statements — Refer to Item 8 starting on page 52.</w:t>
      </w:r>
    </w:p>
    <w:p>
      <w:pPr>
        <w:spacing w:after="0" w:line="80" w:lineRule="exact"/>
        <w:rPr>
          <w:rFonts w:ascii="Arial" w:cs="Arial" w:eastAsia="Arial" w:hAnsi="Arial"/>
          <w:sz w:val="13"/>
          <w:szCs w:val="13"/>
          <w:color w:val="auto"/>
        </w:rPr>
      </w:pPr>
    </w:p>
    <w:p>
      <w:pPr>
        <w:ind w:left="660" w:hanging="328"/>
        <w:spacing w:after="0"/>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Financial Statement Schedules — None.</w:t>
      </w:r>
    </w:p>
    <w:p>
      <w:pPr>
        <w:spacing w:after="0" w:line="80" w:lineRule="exact"/>
        <w:rPr>
          <w:rFonts w:ascii="Arial" w:cs="Arial" w:eastAsia="Arial" w:hAnsi="Arial"/>
          <w:sz w:val="13"/>
          <w:szCs w:val="13"/>
          <w:color w:val="auto"/>
        </w:rPr>
      </w:pPr>
    </w:p>
    <w:p>
      <w:pPr>
        <w:ind w:left="660" w:hanging="328"/>
        <w:spacing w:after="0"/>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jc w:val="right"/>
              <w:ind w:right="233"/>
              <w:spacing w:after="0"/>
              <w:rPr>
                <w:sz w:val="20"/>
                <w:szCs w:val="20"/>
                <w:color w:val="auto"/>
              </w:rPr>
            </w:pPr>
            <w:r>
              <w:rPr>
                <w:rFonts w:ascii="Arial" w:cs="Arial" w:eastAsia="Arial" w:hAnsi="Arial"/>
                <w:sz w:val="13"/>
                <w:szCs w:val="13"/>
                <w:color w:val="auto"/>
              </w:rPr>
              <w:t>3.1</w:t>
            </w:r>
          </w:p>
        </w:tc>
        <w:tc>
          <w:tcPr>
            <w:tcW w:w="10640" w:type="dxa"/>
            <w:vAlign w:val="bottom"/>
          </w:tcPr>
          <w:p>
            <w:pPr>
              <w:ind w:left="220"/>
              <w:spacing w:after="0"/>
              <w:rPr>
                <w:sz w:val="20"/>
                <w:szCs w:val="20"/>
                <w:color w:val="auto"/>
              </w:rPr>
            </w:pPr>
            <w:r>
              <w:rPr>
                <w:rFonts w:ascii="Arial" w:cs="Arial" w:eastAsia="Arial" w:hAnsi="Arial"/>
                <w:sz w:val="13"/>
                <w:szCs w:val="13"/>
                <w:color w:val="auto"/>
                <w:w w:val="97"/>
              </w:rPr>
              <w:t>Articles of Amendment and Restatement of the Registrant (Incorporated by reference to the Registrant’s Pre-Effective Amendment No. 3 to the Registration Statement on Form N-2 (File</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No. 333-170243), filed on March 29, 2011).</w:t>
            </w:r>
          </w:p>
        </w:tc>
      </w:tr>
      <w:tr>
        <w:trPr>
          <w:trHeight w:val="257"/>
        </w:trPr>
        <w:tc>
          <w:tcPr>
            <w:tcW w:w="540" w:type="dxa"/>
            <w:vAlign w:val="bottom"/>
          </w:tcPr>
          <w:p>
            <w:pPr>
              <w:jc w:val="right"/>
              <w:ind w:right="233"/>
              <w:spacing w:after="0"/>
              <w:rPr>
                <w:sz w:val="20"/>
                <w:szCs w:val="20"/>
                <w:color w:val="auto"/>
              </w:rPr>
            </w:pPr>
            <w:r>
              <w:rPr>
                <w:rFonts w:ascii="Arial" w:cs="Arial" w:eastAsia="Arial" w:hAnsi="Arial"/>
                <w:sz w:val="13"/>
                <w:szCs w:val="13"/>
                <w:color w:val="auto"/>
              </w:rPr>
              <w:t>3.2</w:t>
            </w:r>
          </w:p>
        </w:tc>
        <w:tc>
          <w:tcPr>
            <w:tcW w:w="10640" w:type="dxa"/>
            <w:vAlign w:val="bottom"/>
          </w:tcPr>
          <w:p>
            <w:pPr>
              <w:ind w:left="220"/>
              <w:spacing w:after="0"/>
              <w:rPr>
                <w:sz w:val="20"/>
                <w:szCs w:val="20"/>
                <w:color w:val="auto"/>
              </w:rPr>
            </w:pPr>
            <w:r>
              <w:rPr>
                <w:rFonts w:ascii="Arial" w:cs="Arial" w:eastAsia="Arial" w:hAnsi="Arial"/>
                <w:sz w:val="13"/>
                <w:szCs w:val="13"/>
                <w:color w:val="auto"/>
              </w:rPr>
              <w:t>Amended and Restated Bylaws of the Registrant (Incorporated by reference to the Registrant’s Annual Report on Form 10-K (File No. 814-00891), filed on November 14, 2013).</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rPr>
              <w:t>4.1</w:t>
            </w:r>
          </w:p>
        </w:tc>
        <w:tc>
          <w:tcPr>
            <w:tcW w:w="10640" w:type="dxa"/>
            <w:vAlign w:val="bottom"/>
          </w:tcPr>
          <w:p>
            <w:pPr>
              <w:ind w:left="220"/>
              <w:spacing w:after="0"/>
              <w:rPr>
                <w:sz w:val="20"/>
                <w:szCs w:val="20"/>
                <w:color w:val="auto"/>
              </w:rPr>
            </w:pPr>
            <w:r>
              <w:rPr>
                <w:rFonts w:ascii="Arial" w:cs="Arial" w:eastAsia="Arial" w:hAnsi="Arial"/>
                <w:sz w:val="13"/>
                <w:szCs w:val="13"/>
                <w:color w:val="auto"/>
                <w:w w:val="97"/>
              </w:rPr>
              <w:t>Form of Share Certificate (Incorporated by reference to the Registrant’s Pre-Effective Amendment No. 5 to the Registration Statement on Form N-2 (File No. 333-170243), filed on April 5,</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2011).</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10.1</w:t>
            </w:r>
          </w:p>
        </w:tc>
        <w:tc>
          <w:tcPr>
            <w:tcW w:w="10640" w:type="dxa"/>
            <w:vAlign w:val="bottom"/>
          </w:tcPr>
          <w:p>
            <w:pPr>
              <w:ind w:left="220"/>
              <w:spacing w:after="0"/>
              <w:rPr>
                <w:sz w:val="20"/>
                <w:szCs w:val="20"/>
                <w:color w:val="auto"/>
              </w:rPr>
            </w:pPr>
            <w:r>
              <w:rPr>
                <w:rFonts w:ascii="Arial" w:cs="Arial" w:eastAsia="Arial" w:hAnsi="Arial"/>
                <w:sz w:val="13"/>
                <w:szCs w:val="13"/>
                <w:color w:val="auto"/>
                <w:w w:val="93"/>
              </w:rPr>
              <w:t>Second Amended and Restated Revolving Credit and Security Agreement, dated as of October 1, 2013 among PennantPark Floating Rate Funding I, LLC, as borrower, PennantPark Investment</w:t>
            </w:r>
          </w:p>
        </w:tc>
      </w:tr>
      <w:tr>
        <w:trPr>
          <w:trHeight w:val="148"/>
        </w:trPr>
        <w:tc>
          <w:tcPr>
            <w:tcW w:w="540" w:type="dxa"/>
            <w:vAlign w:val="bottom"/>
          </w:tcPr>
          <w:p>
            <w:pPr>
              <w:spacing w:after="0"/>
              <w:rPr>
                <w:sz w:val="12"/>
                <w:szCs w:val="12"/>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w w:val="94"/>
              </w:rPr>
              <w:t>Advisers, LLC, as collateral manager, the lenders from time to time parties thereto, SunTrust Bank, as administrative agent, and U.S. Bank National Association, as collateral agent, as backup</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collateral manager, and as custodian (Incorporated by reference to the Registrant’s Annual Report on Form 10-K (File No. 814-00891), filed on November 14, 2013).</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10.2</w:t>
            </w:r>
          </w:p>
        </w:tc>
        <w:tc>
          <w:tcPr>
            <w:tcW w:w="10640" w:type="dxa"/>
            <w:vAlign w:val="bottom"/>
          </w:tcPr>
          <w:p>
            <w:pPr>
              <w:ind w:left="220"/>
              <w:spacing w:after="0"/>
              <w:rPr>
                <w:sz w:val="20"/>
                <w:szCs w:val="20"/>
                <w:color w:val="auto"/>
              </w:rPr>
            </w:pPr>
            <w:r>
              <w:rPr>
                <w:rFonts w:ascii="Arial" w:cs="Arial" w:eastAsia="Arial" w:hAnsi="Arial"/>
                <w:sz w:val="13"/>
                <w:szCs w:val="13"/>
                <w:color w:val="auto"/>
                <w:w w:val="95"/>
              </w:rPr>
              <w:t>Purchase and Contribution Agreement, dated as of June 23, 2011, among PennantPark Floating Rate Capital Ltd., as the seller, and PennantPark Floating Rate Funding I, LLC, as the buyer</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(Incorporated by reference to Exhibit 10.2 to the Registrant’s Periodic Report on Form 8-K, filed on June 29, 2011).</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10.3</w:t>
            </w:r>
          </w:p>
        </w:tc>
        <w:tc>
          <w:tcPr>
            <w:tcW w:w="10640" w:type="dxa"/>
            <w:vAlign w:val="bottom"/>
          </w:tcPr>
          <w:p>
            <w:pPr>
              <w:ind w:left="220"/>
              <w:spacing w:after="0"/>
              <w:rPr>
                <w:sz w:val="20"/>
                <w:szCs w:val="20"/>
                <w:color w:val="auto"/>
              </w:rPr>
            </w:pPr>
            <w:r>
              <w:rPr>
                <w:rFonts w:ascii="Arial" w:cs="Arial" w:eastAsia="Arial" w:hAnsi="Arial"/>
                <w:sz w:val="13"/>
                <w:szCs w:val="13"/>
                <w:color w:val="auto"/>
                <w:w w:val="96"/>
              </w:rPr>
              <w:t>Form of Administration Agreement between the Registrant and PennantPark Investment Administration, LLC (Incorporated by reference to Exhibit 99(k)(2) to the Registrant’s Pre-Effective</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Amendment No. 3 to the Registration Statement on Form N-2 (File No. 333-170243), filed on March 29, 2011).</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10.4</w:t>
            </w:r>
          </w:p>
        </w:tc>
        <w:tc>
          <w:tcPr>
            <w:tcW w:w="10640" w:type="dxa"/>
            <w:vAlign w:val="bottom"/>
          </w:tcPr>
          <w:p>
            <w:pPr>
              <w:ind w:left="220"/>
              <w:spacing w:after="0"/>
              <w:rPr>
                <w:sz w:val="20"/>
                <w:szCs w:val="20"/>
                <w:color w:val="auto"/>
              </w:rPr>
            </w:pPr>
            <w:r>
              <w:rPr>
                <w:rFonts w:ascii="Arial" w:cs="Arial" w:eastAsia="Arial" w:hAnsi="Arial"/>
                <w:sz w:val="13"/>
                <w:szCs w:val="13"/>
                <w:color w:val="auto"/>
                <w:w w:val="95"/>
              </w:rPr>
              <w:t>Dividend Reinvestment Plan (Incorporated by reference to Exhibit 99(e) to the Registrant’s Pre-Effective Amendment No. 3 to the Registration Statement on Form N-2 (File No. 333-170243),</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filed on March 29, 2011).</w:t>
            </w:r>
          </w:p>
        </w:tc>
      </w:tr>
      <w:tr>
        <w:trPr>
          <w:trHeight w:val="233"/>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10.5</w:t>
            </w:r>
          </w:p>
        </w:tc>
        <w:tc>
          <w:tcPr>
            <w:tcW w:w="10640" w:type="dxa"/>
            <w:vAlign w:val="bottom"/>
          </w:tcPr>
          <w:p>
            <w:pPr>
              <w:ind w:left="220"/>
              <w:spacing w:after="0"/>
              <w:rPr>
                <w:sz w:val="20"/>
                <w:szCs w:val="20"/>
                <w:color w:val="auto"/>
              </w:rPr>
            </w:pPr>
            <w:r>
              <w:rPr>
                <w:rFonts w:ascii="Arial" w:cs="Arial" w:eastAsia="Arial" w:hAnsi="Arial"/>
                <w:sz w:val="13"/>
                <w:szCs w:val="13"/>
                <w:color w:val="auto"/>
                <w:w w:val="93"/>
              </w:rPr>
              <w:t>Amended and Restated Investment Advisory Agreement, dated as of August 7, 2012, between PennantPark Floating Rate Capital Ltd. and PennantPark Investment Advisers, LLC (Incorporated</w:t>
            </w:r>
          </w:p>
        </w:tc>
      </w:tr>
      <w:tr>
        <w:trPr>
          <w:trHeight w:val="172"/>
        </w:trPr>
        <w:tc>
          <w:tcPr>
            <w:tcW w:w="540" w:type="dxa"/>
            <w:vAlign w:val="bottom"/>
          </w:tcPr>
          <w:p>
            <w:pPr>
              <w:spacing w:after="0"/>
              <w:rPr>
                <w:sz w:val="14"/>
                <w:szCs w:val="14"/>
                <w:color w:val="auto"/>
              </w:rPr>
            </w:pPr>
          </w:p>
        </w:tc>
        <w:tc>
          <w:tcPr>
            <w:tcW w:w="10640" w:type="dxa"/>
            <w:vAlign w:val="bottom"/>
          </w:tcPr>
          <w:p>
            <w:pPr>
              <w:ind w:left="220"/>
              <w:spacing w:after="0"/>
              <w:rPr>
                <w:sz w:val="20"/>
                <w:szCs w:val="20"/>
                <w:color w:val="auto"/>
              </w:rPr>
            </w:pPr>
            <w:r>
              <w:rPr>
                <w:rFonts w:ascii="Arial" w:cs="Arial" w:eastAsia="Arial" w:hAnsi="Arial"/>
                <w:sz w:val="13"/>
                <w:szCs w:val="13"/>
                <w:color w:val="auto"/>
              </w:rPr>
              <w:t>by reference to the Registrant’s Quarterly Report on Form 10-Q (File No. 814-00891), filed on August 9, 2012).</w:t>
            </w:r>
          </w:p>
        </w:tc>
      </w:tr>
      <w:tr>
        <w:trPr>
          <w:trHeight w:val="257"/>
        </w:trPr>
        <w:tc>
          <w:tcPr>
            <w:tcW w:w="540" w:type="dxa"/>
            <w:vAlign w:val="bottom"/>
          </w:tcPr>
          <w:p>
            <w:pPr>
              <w:jc w:val="right"/>
              <w:ind w:right="333"/>
              <w:spacing w:after="0"/>
              <w:rPr>
                <w:sz w:val="20"/>
                <w:szCs w:val="20"/>
                <w:color w:val="auto"/>
              </w:rPr>
            </w:pPr>
            <w:r>
              <w:rPr>
                <w:rFonts w:ascii="Arial" w:cs="Arial" w:eastAsia="Arial" w:hAnsi="Arial"/>
                <w:sz w:val="13"/>
                <w:szCs w:val="13"/>
                <w:color w:val="auto"/>
                <w:w w:val="82"/>
              </w:rPr>
              <w:t>11</w:t>
            </w:r>
          </w:p>
        </w:tc>
        <w:tc>
          <w:tcPr>
            <w:tcW w:w="10640" w:type="dxa"/>
            <w:vAlign w:val="bottom"/>
          </w:tcPr>
          <w:p>
            <w:pPr>
              <w:ind w:left="220"/>
              <w:spacing w:after="0"/>
              <w:rPr>
                <w:sz w:val="20"/>
                <w:szCs w:val="20"/>
                <w:color w:val="auto"/>
              </w:rPr>
            </w:pPr>
            <w:r>
              <w:rPr>
                <w:rFonts w:ascii="Arial" w:cs="Arial" w:eastAsia="Arial" w:hAnsi="Arial"/>
                <w:sz w:val="13"/>
                <w:szCs w:val="13"/>
                <w:color w:val="auto"/>
              </w:rPr>
              <w:t>Computation of Per Share Earnings (included in the notes to the audited financial statements contained in this Report).</w:t>
            </w:r>
          </w:p>
        </w:tc>
      </w:tr>
      <w:tr>
        <w:trPr>
          <w:trHeight w:val="257"/>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14.1*</w:t>
            </w:r>
          </w:p>
        </w:tc>
        <w:tc>
          <w:tcPr>
            <w:tcW w:w="10640" w:type="dxa"/>
            <w:vAlign w:val="bottom"/>
          </w:tcPr>
          <w:p>
            <w:pPr>
              <w:ind w:left="220"/>
              <w:spacing w:after="0"/>
              <w:rPr>
                <w:sz w:val="20"/>
                <w:szCs w:val="20"/>
                <w:color w:val="auto"/>
              </w:rPr>
            </w:pPr>
            <w:r>
              <w:rPr>
                <w:rFonts w:ascii="Arial" w:cs="Arial" w:eastAsia="Arial" w:hAnsi="Arial"/>
                <w:sz w:val="13"/>
                <w:szCs w:val="13"/>
                <w:color w:val="auto"/>
              </w:rPr>
              <w:t>Joint Code of Ethics of the Registrant.</w:t>
            </w:r>
          </w:p>
        </w:tc>
      </w:tr>
      <w:tr>
        <w:trPr>
          <w:trHeight w:val="256"/>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21.1*</w:t>
            </w:r>
          </w:p>
        </w:tc>
        <w:tc>
          <w:tcPr>
            <w:tcW w:w="10640" w:type="dxa"/>
            <w:vAlign w:val="bottom"/>
          </w:tcPr>
          <w:p>
            <w:pPr>
              <w:ind w:left="220"/>
              <w:spacing w:after="0"/>
              <w:rPr>
                <w:sz w:val="20"/>
                <w:szCs w:val="20"/>
                <w:color w:val="auto"/>
              </w:rPr>
            </w:pPr>
            <w:r>
              <w:rPr>
                <w:rFonts w:ascii="Arial" w:cs="Arial" w:eastAsia="Arial" w:hAnsi="Arial"/>
                <w:sz w:val="13"/>
                <w:szCs w:val="13"/>
                <w:color w:val="auto"/>
              </w:rPr>
              <w:t>Subsidiary of the Registrant.</w:t>
            </w:r>
          </w:p>
        </w:tc>
      </w:tr>
      <w:tr>
        <w:trPr>
          <w:trHeight w:val="257"/>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31.1*</w:t>
            </w:r>
          </w:p>
        </w:tc>
        <w:tc>
          <w:tcPr>
            <w:tcW w:w="1064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 of the Securities Exchange Act of 1934, as amended.</w:t>
            </w:r>
          </w:p>
        </w:tc>
      </w:tr>
      <w:tr>
        <w:trPr>
          <w:trHeight w:val="257"/>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31.2*</w:t>
            </w:r>
          </w:p>
        </w:tc>
        <w:tc>
          <w:tcPr>
            <w:tcW w:w="1064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 of the Securities Exchange Act of 1934, as amended.</w:t>
            </w:r>
          </w:p>
        </w:tc>
      </w:tr>
      <w:tr>
        <w:trPr>
          <w:trHeight w:val="256"/>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32.1*</w:t>
            </w:r>
          </w:p>
        </w:tc>
        <w:tc>
          <w:tcPr>
            <w:tcW w:w="1064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section 906 of the Sarbanes-Oxley Act of 2002.</w:t>
            </w:r>
          </w:p>
        </w:tc>
      </w:tr>
      <w:tr>
        <w:trPr>
          <w:trHeight w:val="257"/>
        </w:trPr>
        <w:tc>
          <w:tcPr>
            <w:tcW w:w="540" w:type="dxa"/>
            <w:vAlign w:val="bottom"/>
          </w:tcPr>
          <w:p>
            <w:pPr>
              <w:jc w:val="right"/>
              <w:ind w:right="153"/>
              <w:spacing w:after="0"/>
              <w:rPr>
                <w:sz w:val="20"/>
                <w:szCs w:val="20"/>
                <w:color w:val="auto"/>
              </w:rPr>
            </w:pPr>
            <w:r>
              <w:rPr>
                <w:rFonts w:ascii="Arial" w:cs="Arial" w:eastAsia="Arial" w:hAnsi="Arial"/>
                <w:sz w:val="13"/>
                <w:szCs w:val="13"/>
                <w:color w:val="auto"/>
                <w:w w:val="98"/>
              </w:rPr>
              <w:t>32.2*</w:t>
            </w:r>
          </w:p>
        </w:tc>
        <w:tc>
          <w:tcPr>
            <w:tcW w:w="1064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section 906 of the Sarbanes-Oxley Act of 2002.</w:t>
            </w:r>
          </w:p>
        </w:tc>
      </w:tr>
      <w:tr>
        <w:trPr>
          <w:trHeight w:val="257"/>
        </w:trPr>
        <w:tc>
          <w:tcPr>
            <w:tcW w:w="540" w:type="dxa"/>
            <w:vAlign w:val="bottom"/>
          </w:tcPr>
          <w:p>
            <w:pPr>
              <w:jc w:val="right"/>
              <w:ind w:right="233"/>
              <w:spacing w:after="0"/>
              <w:rPr>
                <w:sz w:val="20"/>
                <w:szCs w:val="20"/>
                <w:color w:val="auto"/>
              </w:rPr>
            </w:pPr>
            <w:r>
              <w:rPr>
                <w:rFonts w:ascii="Arial" w:cs="Arial" w:eastAsia="Arial" w:hAnsi="Arial"/>
                <w:sz w:val="13"/>
                <w:szCs w:val="13"/>
                <w:color w:val="auto"/>
                <w:w w:val="86"/>
              </w:rPr>
              <w:t>99.1</w:t>
            </w:r>
          </w:p>
        </w:tc>
        <w:tc>
          <w:tcPr>
            <w:tcW w:w="10640" w:type="dxa"/>
            <w:vAlign w:val="bottom"/>
          </w:tcPr>
          <w:p>
            <w:pPr>
              <w:ind w:left="220"/>
              <w:spacing w:after="0"/>
              <w:rPr>
                <w:sz w:val="20"/>
                <w:szCs w:val="20"/>
                <w:color w:val="auto"/>
              </w:rPr>
            </w:pPr>
            <w:r>
              <w:rPr>
                <w:rFonts w:ascii="Arial" w:cs="Arial" w:eastAsia="Arial" w:hAnsi="Arial"/>
                <w:sz w:val="13"/>
                <w:szCs w:val="13"/>
                <w:color w:val="auto"/>
              </w:rPr>
              <w:t>Privacy Policy of the Registrant. (Incorporated by reference to the Registrant’s Annual Report on Form 10-K (File No. 814-00891), filed November 17,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99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67"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180"/>
          </w:cols>
          <w:pgMar w:left="32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36"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20"/>
                <w:szCs w:val="20"/>
                <w:color w:val="auto"/>
              </w:rPr>
            </w:pPr>
            <w:r>
              <w:rPr>
                <w:rFonts w:ascii="Arial" w:cs="Arial" w:eastAsia="Arial" w:hAnsi="Arial"/>
                <w:sz w:val="13"/>
                <w:szCs w:val="13"/>
                <w:color w:val="auto"/>
              </w:rPr>
              <w:t>By:</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jc w:val="center"/>
              <w:ind w:right="733"/>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gridSpan w:val="3"/>
          </w:tcPr>
          <w:p>
            <w:pPr>
              <w:spacing w:after="0" w:line="143" w:lineRule="exact"/>
              <w:rPr>
                <w:sz w:val="20"/>
                <w:szCs w:val="20"/>
                <w:color w:val="auto"/>
              </w:rPr>
            </w:pPr>
            <w:r>
              <w:rPr>
                <w:rFonts w:ascii="Arial" w:cs="Arial" w:eastAsia="Arial" w:hAnsi="Arial"/>
                <w:sz w:val="13"/>
                <w:szCs w:val="13"/>
                <w:color w:val="auto"/>
              </w:rPr>
              <w:t>Name:</w:t>
            </w:r>
          </w:p>
        </w:tc>
        <w:tc>
          <w:tcPr>
            <w:tcW w:w="1080" w:type="dxa"/>
            <w:vAlign w:val="bottom"/>
          </w:tcPr>
          <w:p>
            <w:pPr>
              <w:spacing w:after="0"/>
              <w:rPr>
                <w:sz w:val="12"/>
                <w:szCs w:val="12"/>
                <w:color w:val="auto"/>
              </w:rPr>
            </w:pPr>
          </w:p>
        </w:tc>
        <w:tc>
          <w:tcPr>
            <w:tcW w:w="2520" w:type="dxa"/>
            <w:vAlign w:val="bottom"/>
          </w:tcPr>
          <w:p>
            <w:pPr>
              <w:jc w:val="center"/>
              <w:ind w:right="733"/>
              <w:spacing w:after="0" w:line="143" w:lineRule="exact"/>
              <w:rPr>
                <w:sz w:val="20"/>
                <w:szCs w:val="20"/>
                <w:color w:val="auto"/>
              </w:rPr>
            </w:pPr>
            <w:r>
              <w:rPr>
                <w:rFonts w:ascii="Arial" w:cs="Arial" w:eastAsia="Arial" w:hAnsi="Arial"/>
                <w:sz w:val="13"/>
                <w:szCs w:val="13"/>
                <w:b w:val="1"/>
                <w:bCs w:val="1"/>
                <w:color w:val="auto"/>
              </w:rPr>
              <w:t>Arthur H. Penn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0" w:type="dxa"/>
            <w:vAlign w:val="bottom"/>
            <w:gridSpan w:val="3"/>
          </w:tcPr>
          <w:p>
            <w:pPr>
              <w:spacing w:after="0"/>
              <w:rPr>
                <w:sz w:val="20"/>
                <w:szCs w:val="20"/>
                <w:color w:val="auto"/>
              </w:rPr>
            </w:pPr>
            <w:r>
              <w:rPr>
                <w:rFonts w:ascii="Arial" w:cs="Arial" w:eastAsia="Arial" w:hAnsi="Arial"/>
                <w:sz w:val="13"/>
                <w:szCs w:val="13"/>
                <w:color w:val="auto"/>
              </w:rPr>
              <w:t>Title:</w:t>
            </w:r>
          </w:p>
        </w:tc>
        <w:tc>
          <w:tcPr>
            <w:tcW w:w="9000" w:type="dxa"/>
            <w:vAlign w:val="bottom"/>
            <w:gridSpan w:val="6"/>
          </w:tcPr>
          <w:p>
            <w:pPr>
              <w:jc w:val="center"/>
              <w:ind w:right="5120"/>
              <w:spacing w:after="0"/>
              <w:rPr>
                <w:sz w:val="20"/>
                <w:szCs w:val="20"/>
                <w:color w:val="auto"/>
              </w:rPr>
            </w:pPr>
            <w:r>
              <w:rPr>
                <w:rFonts w:ascii="Arial" w:cs="Arial" w:eastAsia="Arial" w:hAnsi="Arial"/>
                <w:sz w:val="13"/>
                <w:szCs w:val="13"/>
                <w:b w:val="1"/>
                <w:bCs w:val="1"/>
                <w:color w:val="auto"/>
                <w:w w:val="95"/>
              </w:rPr>
              <w:t>Chief Executive Officer and Chairman of the Board of Directors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560" w:type="dxa"/>
            <w:vAlign w:val="bottom"/>
            <w:gridSpan w:val="3"/>
            <w:vMerge w:val="restart"/>
          </w:tcPr>
          <w:p>
            <w:pPr>
              <w:spacing w:after="0"/>
              <w:rPr>
                <w:sz w:val="20"/>
                <w:szCs w:val="20"/>
                <w:color w:val="auto"/>
              </w:rPr>
            </w:pPr>
            <w:r>
              <w:rPr>
                <w:rFonts w:ascii="Arial" w:cs="Arial" w:eastAsia="Arial" w:hAnsi="Arial"/>
                <w:sz w:val="13"/>
                <w:szCs w:val="13"/>
                <w:color w:val="auto"/>
                <w:w w:val="96"/>
              </w:rPr>
              <w:t>indicated.</w:t>
            </w:r>
          </w:p>
        </w:tc>
        <w:tc>
          <w:tcPr>
            <w:tcW w:w="10680" w:type="dxa"/>
            <w:vAlign w:val="bottom"/>
            <w:gridSpan w:val="7"/>
          </w:tcPr>
          <w:p>
            <w:pPr>
              <w:spacing w:after="0"/>
              <w:rPr>
                <w:sz w:val="20"/>
                <w:szCs w:val="20"/>
                <w:color w:val="auto"/>
              </w:rPr>
            </w:pPr>
            <w:r>
              <w:rPr>
                <w:rFonts w:ascii="Arial" w:cs="Arial" w:eastAsia="Arial" w:hAnsi="Arial"/>
                <w:sz w:val="13"/>
                <w:szCs w:val="13"/>
                <w:color w:val="auto"/>
                <w:w w:val="95"/>
              </w:rPr>
              <w:t>Pursuant to the requirements of the Securities Exchange Act of 1934, this report has been signed below by the following persons on behalf of the registrant and in the capacities and on the dates</w:t>
            </w:r>
          </w:p>
        </w:tc>
        <w:tc>
          <w:tcPr>
            <w:tcW w:w="0" w:type="dxa"/>
            <w:vAlign w:val="bottom"/>
          </w:tcPr>
          <w:p>
            <w:pPr>
              <w:spacing w:after="0"/>
              <w:rPr>
                <w:sz w:val="1"/>
                <w:szCs w:val="1"/>
                <w:color w:val="auto"/>
              </w:rPr>
            </w:pPr>
          </w:p>
        </w:tc>
      </w:tr>
      <w:tr>
        <w:trPr>
          <w:trHeight w:val="149"/>
        </w:trPr>
        <w:tc>
          <w:tcPr>
            <w:tcW w:w="56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Signature</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37"/>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c>
          <w:tcPr>
            <w:tcW w:w="2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3"/>
          </w:tcPr>
          <w:p>
            <w:pPr>
              <w:jc w:val="center"/>
              <w:ind w:right="100"/>
              <w:spacing w:after="0"/>
              <w:rPr>
                <w:sz w:val="20"/>
                <w:szCs w:val="20"/>
                <w:color w:val="auto"/>
              </w:rPr>
            </w:pPr>
            <w:r>
              <w:rPr>
                <w:rFonts w:ascii="Arial" w:cs="Arial" w:eastAsia="Arial" w:hAnsi="Arial"/>
                <w:sz w:val="13"/>
                <w:szCs w:val="13"/>
                <w:color w:val="auto"/>
                <w:w w:val="96"/>
              </w:rPr>
              <w:t>Chief Executive Officer and Chairman of the Board of Directors (Principal Executive Officer)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Arthur H. Penn</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c>
          <w:tcPr>
            <w:tcW w:w="2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3"/>
                <w:szCs w:val="13"/>
                <w:color w:val="auto"/>
                <w:w w:val="95"/>
              </w:rPr>
              <w:t>Chief Financial Officer and Treasurer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Aviv Efrat</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80" w:type="dxa"/>
            <w:vAlign w:val="bottom"/>
            <w:gridSpan w:val="2"/>
          </w:tcPr>
          <w:p>
            <w:pPr>
              <w:ind w:left="1300"/>
              <w:spacing w:after="0"/>
              <w:rPr>
                <w:sz w:val="20"/>
                <w:szCs w:val="20"/>
                <w:color w:val="auto"/>
              </w:rPr>
            </w:pPr>
            <w:r>
              <w:rPr>
                <w:rFonts w:ascii="Arial" w:cs="Arial" w:eastAsia="Arial" w:hAnsi="Arial"/>
                <w:sz w:val="13"/>
                <w:szCs w:val="13"/>
                <w:color w:val="auto"/>
              </w:rPr>
              <w:t>(Principal Financial and Accounting Officer)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DAM</w:t>
            </w:r>
            <w:r>
              <w:rPr>
                <w:rFonts w:ascii="Arial" w:cs="Arial" w:eastAsia="Arial" w:hAnsi="Arial"/>
                <w:sz w:val="13"/>
                <w:szCs w:val="13"/>
                <w:color w:val="auto"/>
              </w:rPr>
              <w:t xml:space="preserve"> K. B</w:t>
            </w:r>
            <w:r>
              <w:rPr>
                <w:rFonts w:ascii="Arial" w:cs="Arial" w:eastAsia="Arial" w:hAnsi="Arial"/>
                <w:sz w:val="11"/>
                <w:szCs w:val="11"/>
                <w:color w:val="auto"/>
              </w:rPr>
              <w:t>ERNSTEIN</w:t>
            </w:r>
          </w:p>
        </w:tc>
        <w:tc>
          <w:tcPr>
            <w:tcW w:w="2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Director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Adam K. Bernstein</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11"/>
                <w:szCs w:val="11"/>
                <w:color w:val="auto"/>
              </w:rPr>
              <w:t>EFFREY</w:t>
            </w:r>
            <w:r>
              <w:rPr>
                <w:rFonts w:ascii="Arial" w:cs="Arial" w:eastAsia="Arial" w:hAnsi="Arial"/>
                <w:sz w:val="13"/>
                <w:szCs w:val="13"/>
                <w:color w:val="auto"/>
              </w:rPr>
              <w:t xml:space="preserve"> F</w:t>
            </w:r>
            <w:r>
              <w:rPr>
                <w:rFonts w:ascii="Arial" w:cs="Arial" w:eastAsia="Arial" w:hAnsi="Arial"/>
                <w:sz w:val="11"/>
                <w:szCs w:val="11"/>
                <w:color w:val="auto"/>
              </w:rPr>
              <w:t>LUG</w:t>
            </w:r>
          </w:p>
        </w:tc>
        <w:tc>
          <w:tcPr>
            <w:tcW w:w="2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Director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Jeffrey Flug</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11"/>
                <w:szCs w:val="11"/>
                <w:color w:val="auto"/>
              </w:rPr>
              <w:t>ARSHALL</w:t>
            </w:r>
            <w:r>
              <w:rPr>
                <w:rFonts w:ascii="Arial" w:cs="Arial" w:eastAsia="Arial" w:hAnsi="Arial"/>
                <w:sz w:val="13"/>
                <w:szCs w:val="13"/>
                <w:color w:val="auto"/>
              </w:rPr>
              <w:t xml:space="preserve"> B</w:t>
            </w:r>
            <w:r>
              <w:rPr>
                <w:rFonts w:ascii="Arial" w:cs="Arial" w:eastAsia="Arial" w:hAnsi="Arial"/>
                <w:sz w:val="11"/>
                <w:szCs w:val="11"/>
                <w:color w:val="auto"/>
              </w:rPr>
              <w:t>ROZOST</w:t>
            </w:r>
          </w:p>
        </w:tc>
        <w:tc>
          <w:tcPr>
            <w:tcW w:w="2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Director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Marshall Brozost</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S</w:t>
            </w:r>
            <w:r>
              <w:rPr>
                <w:rFonts w:ascii="Arial" w:cs="Arial" w:eastAsia="Arial" w:hAnsi="Arial"/>
                <w:sz w:val="13"/>
                <w:szCs w:val="13"/>
                <w:color w:val="auto"/>
              </w:rPr>
              <w:t>/</w:t>
            </w: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AMUEL</w:t>
            </w:r>
            <w:r>
              <w:rPr>
                <w:rFonts w:ascii="Arial" w:cs="Arial" w:eastAsia="Arial" w:hAnsi="Arial"/>
                <w:sz w:val="13"/>
                <w:szCs w:val="13"/>
                <w:color w:val="auto"/>
              </w:rPr>
              <w:t xml:space="preserve"> L. K</w:t>
            </w:r>
            <w:r>
              <w:rPr>
                <w:rFonts w:ascii="Arial" w:cs="Arial" w:eastAsia="Arial" w:hAnsi="Arial"/>
                <w:sz w:val="11"/>
                <w:szCs w:val="11"/>
                <w:color w:val="auto"/>
              </w:rPr>
              <w:t>ATZ</w:t>
            </w:r>
          </w:p>
        </w:tc>
        <w:tc>
          <w:tcPr>
            <w:tcW w:w="2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Director</w:t>
            </w:r>
          </w:p>
        </w:tc>
        <w:tc>
          <w:tcPr>
            <w:tcW w:w="1680" w:type="dxa"/>
            <w:vAlign w:val="bottom"/>
          </w:tcPr>
          <w:p>
            <w:pPr>
              <w:jc w:val="center"/>
              <w:spacing w:after="0"/>
              <w:rPr>
                <w:sz w:val="20"/>
                <w:szCs w:val="20"/>
                <w:color w:val="auto"/>
              </w:rPr>
            </w:pPr>
            <w:r>
              <w:rPr>
                <w:rFonts w:ascii="Arial" w:cs="Arial" w:eastAsia="Arial" w:hAnsi="Arial"/>
                <w:sz w:val="13"/>
                <w:szCs w:val="13"/>
                <w:color w:val="auto"/>
                <w:w w:val="94"/>
              </w:rPr>
              <w:t>November 13, 2014</w:t>
            </w:r>
          </w:p>
        </w:tc>
        <w:tc>
          <w:tcPr>
            <w:tcW w:w="0" w:type="dxa"/>
            <w:vAlign w:val="bottom"/>
          </w:tcPr>
          <w:p>
            <w:pPr>
              <w:spacing w:after="0"/>
              <w:rPr>
                <w:sz w:val="1"/>
                <w:szCs w:val="1"/>
                <w:color w:val="auto"/>
              </w:rPr>
            </w:pPr>
          </w:p>
        </w:tc>
      </w:tr>
      <w:tr>
        <w:trPr>
          <w:trHeight w:val="168"/>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Samuel L. Katz</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00" w:type="dxa"/>
            <w:vAlign w:val="bottom"/>
            <w:gridSpan w:val="3"/>
          </w:tcPr>
          <w:p>
            <w:pPr>
              <w:jc w:val="right"/>
              <w:ind w:right="3693"/>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14.1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rPr>
          <w:sz w:val="20"/>
          <w:szCs w:val="20"/>
          <w:color w:val="auto"/>
        </w:rPr>
      </w:pPr>
      <w:r>
        <w:rPr>
          <w:rFonts w:ascii="Arial" w:cs="Arial" w:eastAsia="Arial" w:hAnsi="Arial"/>
          <w:sz w:val="14"/>
          <w:szCs w:val="14"/>
          <w:b w:val="1"/>
          <w:bCs w:val="1"/>
          <w:color w:val="auto"/>
        </w:rPr>
        <w:t>PENNANTPARK INVESTMENT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00" w:lineRule="exact"/>
        <w:rPr>
          <w:sz w:val="20"/>
          <w:szCs w:val="20"/>
          <w:color w:val="auto"/>
        </w:rPr>
      </w:pPr>
    </w:p>
    <w:p>
      <w:pPr>
        <w:jc w:val="both"/>
        <w:ind w:firstLine="1011"/>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58" w:lineRule="exact"/>
        <w:rPr>
          <w:sz w:val="20"/>
          <w:szCs w:val="20"/>
          <w:color w:val="auto"/>
        </w:rPr>
      </w:pPr>
    </w:p>
    <w:p>
      <w:pPr>
        <w:jc w:val="both"/>
        <w:ind w:firstLine="1011"/>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36" w:lineRule="exact"/>
        <w:rPr>
          <w:sz w:val="20"/>
          <w:szCs w:val="20"/>
          <w:color w:val="auto"/>
        </w:rPr>
      </w:pPr>
    </w:p>
    <w:p>
      <w:pPr>
        <w:jc w:val="both"/>
        <w:ind w:firstLine="1011"/>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All Covered Personnel must read and retain this Code.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208" w:lineRule="exact"/>
        <w:rPr>
          <w:sz w:val="20"/>
          <w:szCs w:val="20"/>
          <w:color w:val="auto"/>
        </w:rPr>
      </w:pPr>
    </w:p>
    <w:p>
      <w:pPr>
        <w:ind w:left="900" w:hanging="447"/>
        <w:spacing w:after="0"/>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 or the Adviser.</w:t>
      </w:r>
    </w:p>
    <w:p>
      <w:pPr>
        <w:spacing w:after="0" w:line="203" w:lineRule="exact"/>
        <w:rPr>
          <w:rFonts w:ascii="Arial" w:cs="Arial" w:eastAsia="Arial" w:hAnsi="Arial"/>
          <w:sz w:val="14"/>
          <w:szCs w:val="14"/>
          <w:color w:val="auto"/>
        </w:rPr>
      </w:pPr>
    </w:p>
    <w:p>
      <w:pPr>
        <w:jc w:val="both"/>
        <w:ind w:left="900" w:hanging="447"/>
        <w:spacing w:after="0" w:line="231"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83" w:lineRule="exact"/>
        <w:rPr>
          <w:rFonts w:ascii="Arial" w:cs="Arial" w:eastAsia="Arial" w:hAnsi="Arial"/>
          <w:sz w:val="14"/>
          <w:szCs w:val="14"/>
          <w:color w:val="auto"/>
        </w:rPr>
      </w:pPr>
    </w:p>
    <w:p>
      <w:pPr>
        <w:ind w:left="900" w:right="20" w:hanging="447"/>
        <w:spacing w:after="0" w:line="253"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73" w:lineRule="exact"/>
        <w:rPr>
          <w:rFonts w:ascii="Arial" w:cs="Arial" w:eastAsia="Arial" w:hAnsi="Arial"/>
          <w:sz w:val="14"/>
          <w:szCs w:val="14"/>
          <w:color w:val="auto"/>
        </w:rPr>
      </w:pPr>
    </w:p>
    <w:p>
      <w:pPr>
        <w:ind w:left="900" w:hanging="447"/>
        <w:spacing w:after="0" w:line="253"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73" w:lineRule="exact"/>
        <w:rPr>
          <w:rFonts w:ascii="Arial" w:cs="Arial" w:eastAsia="Arial" w:hAnsi="Arial"/>
          <w:sz w:val="14"/>
          <w:szCs w:val="14"/>
          <w:color w:val="auto"/>
        </w:rPr>
      </w:pPr>
    </w:p>
    <w:p>
      <w:pPr>
        <w:ind w:left="900" w:hanging="447"/>
        <w:spacing w:after="0"/>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203" w:lineRule="exact"/>
        <w:rPr>
          <w:rFonts w:ascii="Arial" w:cs="Arial" w:eastAsia="Arial" w:hAnsi="Arial"/>
          <w:sz w:val="14"/>
          <w:szCs w:val="14"/>
          <w:color w:val="auto"/>
        </w:rPr>
      </w:pPr>
    </w:p>
    <w:p>
      <w:pPr>
        <w:jc w:val="both"/>
        <w:ind w:left="900" w:hanging="447"/>
        <w:spacing w:after="0" w:line="248"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85" w:lineRule="exact"/>
        <w:rPr>
          <w:rFonts w:ascii="Arial" w:cs="Arial" w:eastAsia="Arial" w:hAnsi="Arial"/>
          <w:sz w:val="13"/>
          <w:szCs w:val="13"/>
          <w:color w:val="auto"/>
        </w:rPr>
      </w:pPr>
    </w:p>
    <w:p>
      <w:pPr>
        <w:jc w:val="both"/>
        <w:ind w:left="90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85" w:lineRule="exact"/>
        <w:rPr>
          <w:rFonts w:ascii="Arial" w:cs="Arial" w:eastAsia="Arial" w:hAnsi="Arial"/>
          <w:sz w:val="13"/>
          <w:szCs w:val="13"/>
          <w:color w:val="auto"/>
        </w:rPr>
      </w:pPr>
    </w:p>
    <w:p>
      <w:pPr>
        <w:ind w:left="900" w:hanging="447"/>
        <w:spacing w:after="0"/>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203" w:lineRule="exact"/>
        <w:rPr>
          <w:rFonts w:ascii="Arial" w:cs="Arial" w:eastAsia="Arial" w:hAnsi="Arial"/>
          <w:sz w:val="14"/>
          <w:szCs w:val="14"/>
          <w:color w:val="auto"/>
        </w:rPr>
      </w:pPr>
    </w:p>
    <w:p>
      <w:pPr>
        <w:ind w:left="900" w:hanging="447"/>
        <w:spacing w:after="0" w:line="253"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73" w:lineRule="exact"/>
        <w:rPr>
          <w:rFonts w:ascii="Arial" w:cs="Arial" w:eastAsia="Arial" w:hAnsi="Arial"/>
          <w:sz w:val="14"/>
          <w:szCs w:val="14"/>
          <w:color w:val="auto"/>
        </w:rPr>
      </w:pPr>
    </w:p>
    <w:p>
      <w:pPr>
        <w:ind w:left="900" w:hanging="447"/>
        <w:spacing w:after="0" w:line="253"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173" w:lineRule="exact"/>
        <w:rPr>
          <w:rFonts w:ascii="Arial" w:cs="Arial" w:eastAsia="Arial" w:hAnsi="Arial"/>
          <w:sz w:val="14"/>
          <w:szCs w:val="14"/>
          <w:color w:val="auto"/>
        </w:rPr>
      </w:pPr>
    </w:p>
    <w:p>
      <w:pPr>
        <w:ind w:left="900" w:hanging="447"/>
        <w:spacing w:after="0" w:line="253"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w:t>
      </w:r>
    </w:p>
    <w:p>
      <w:pPr>
        <w:sectPr>
          <w:pgSz w:w="11900" w:h="16838" w:orient="portrait"/>
          <w:cols w:equalWidth="0" w:num="1">
            <w:col w:w="11240"/>
          </w:cols>
          <w:pgMar w:left="320" w:top="118" w:right="339" w:bottom="1440" w:gutter="0" w:footer="0" w:header="0"/>
        </w:sectPr>
      </w:pPr>
    </w:p>
    <w:bookmarkStart w:id="84" w:name="page85"/>
    <w:bookmarkEnd w:id="84"/>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any security convertible into or exchangeable for, a Covered Security described in Section II (K)(i).</w:t>
      </w:r>
    </w:p>
    <w:p>
      <w:pPr>
        <w:spacing w:after="0" w:line="109" w:lineRule="exact"/>
        <w:rPr>
          <w:sz w:val="20"/>
          <w:szCs w:val="20"/>
          <w:color w:val="auto"/>
        </w:rPr>
      </w:pPr>
    </w:p>
    <w:p>
      <w:pPr>
        <w:ind w:left="900" w:hanging="447"/>
        <w:spacing w:after="0"/>
        <w:tabs>
          <w:tab w:leader="none" w:pos="9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00" w:lineRule="exact"/>
        <w:rPr>
          <w:sz w:val="20"/>
          <w:szCs w:val="20"/>
          <w:color w:val="auto"/>
        </w:rPr>
      </w:pPr>
    </w:p>
    <w:p>
      <w:pPr>
        <w:jc w:val="both"/>
        <w:ind w:right="20" w:firstLine="1123"/>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56" w:lineRule="exact"/>
        <w:rPr>
          <w:sz w:val="20"/>
          <w:szCs w:val="20"/>
          <w:color w:val="auto"/>
        </w:rPr>
      </w:pPr>
    </w:p>
    <w:p>
      <w:pPr>
        <w:jc w:val="both"/>
        <w:ind w:firstLine="1123"/>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68" w:lineRule="exact"/>
        <w:rPr>
          <w:sz w:val="20"/>
          <w:szCs w:val="20"/>
          <w:color w:val="auto"/>
        </w:rPr>
      </w:pPr>
    </w:p>
    <w:p>
      <w:pPr>
        <w:ind w:left="1460" w:hanging="561"/>
        <w:spacing w:after="0"/>
        <w:tabs>
          <w:tab w:leader="none" w:pos="1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203" w:lineRule="exact"/>
        <w:rPr>
          <w:rFonts w:ascii="Arial" w:cs="Arial" w:eastAsia="Arial" w:hAnsi="Arial"/>
          <w:sz w:val="14"/>
          <w:szCs w:val="14"/>
          <w:color w:val="auto"/>
        </w:rPr>
      </w:pPr>
    </w:p>
    <w:p>
      <w:pPr>
        <w:ind w:left="1460" w:hanging="561"/>
        <w:spacing w:after="0" w:line="253" w:lineRule="auto"/>
        <w:tabs>
          <w:tab w:leader="none" w:pos="1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73" w:lineRule="exact"/>
        <w:rPr>
          <w:rFonts w:ascii="Arial" w:cs="Arial" w:eastAsia="Arial" w:hAnsi="Arial"/>
          <w:sz w:val="14"/>
          <w:szCs w:val="14"/>
          <w:color w:val="auto"/>
        </w:rPr>
      </w:pPr>
    </w:p>
    <w:p>
      <w:pPr>
        <w:ind w:left="1460" w:hanging="561"/>
        <w:spacing w:after="0"/>
        <w:tabs>
          <w:tab w:leader="none" w:pos="1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203" w:lineRule="exact"/>
        <w:rPr>
          <w:rFonts w:ascii="Arial" w:cs="Arial" w:eastAsia="Arial" w:hAnsi="Arial"/>
          <w:sz w:val="14"/>
          <w:szCs w:val="14"/>
          <w:color w:val="auto"/>
        </w:rPr>
      </w:pPr>
    </w:p>
    <w:p>
      <w:pPr>
        <w:ind w:left="1460" w:hanging="561"/>
        <w:spacing w:after="0"/>
        <w:tabs>
          <w:tab w:leader="none" w:pos="1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23" w:lineRule="exact"/>
        <w:rPr>
          <w:sz w:val="20"/>
          <w:szCs w:val="20"/>
          <w:color w:val="auto"/>
        </w:rPr>
      </w:pPr>
    </w:p>
    <w:p>
      <w:pPr>
        <w:ind w:right="20" w:firstLine="1123"/>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X below; or (2) administrative, civil and, in certain cases, criminal fines, sanctions or penalties.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Transactions in Personal Account</w:t>
      </w:r>
    </w:p>
    <w:p>
      <w:pPr>
        <w:spacing w:after="0" w:line="316" w:lineRule="exact"/>
        <w:rPr>
          <w:sz w:val="20"/>
          <w:szCs w:val="20"/>
          <w:color w:val="auto"/>
        </w:rPr>
      </w:pPr>
    </w:p>
    <w:p>
      <w:pPr>
        <w:jc w:val="both"/>
        <w:ind w:firstLine="1123"/>
        <w:spacing w:after="0" w:line="255" w:lineRule="auto"/>
        <w:rPr>
          <w:sz w:val="20"/>
          <w:szCs w:val="20"/>
          <w:color w:val="auto"/>
        </w:rPr>
      </w:pPr>
      <w:r>
        <w:rPr>
          <w:rFonts w:ascii="Arial" w:cs="Arial" w:eastAsia="Arial" w:hAnsi="Arial"/>
          <w:sz w:val="13"/>
          <w:szCs w:val="13"/>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208" w:lineRule="exact"/>
        <w:rPr>
          <w:sz w:val="20"/>
          <w:szCs w:val="20"/>
          <w:color w:val="auto"/>
        </w:rPr>
      </w:pPr>
    </w:p>
    <w:p>
      <w:pPr>
        <w:jc w:val="both"/>
        <w:ind w:left="900" w:hanging="447"/>
        <w:spacing w:after="0" w:line="231"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83" w:lineRule="exact"/>
        <w:rPr>
          <w:rFonts w:ascii="Arial" w:cs="Arial" w:eastAsia="Arial" w:hAnsi="Arial"/>
          <w:sz w:val="14"/>
          <w:szCs w:val="14"/>
          <w:color w:val="auto"/>
        </w:rPr>
      </w:pPr>
    </w:p>
    <w:p>
      <w:pPr>
        <w:jc w:val="both"/>
        <w:ind w:left="900" w:hanging="447"/>
        <w:spacing w:after="0" w:line="238"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82" w:lineRule="exact"/>
        <w:rPr>
          <w:rFonts w:ascii="Arial" w:cs="Arial" w:eastAsia="Arial" w:hAnsi="Arial"/>
          <w:sz w:val="14"/>
          <w:szCs w:val="14"/>
          <w:color w:val="auto"/>
        </w:rPr>
      </w:pPr>
    </w:p>
    <w:p>
      <w:pPr>
        <w:jc w:val="both"/>
        <w:ind w:left="900" w:hanging="447"/>
        <w:spacing w:after="0" w:line="233"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208" w:lineRule="exact"/>
        <w:rPr>
          <w:sz w:val="20"/>
          <w:szCs w:val="20"/>
          <w:color w:val="auto"/>
        </w:rPr>
      </w:pPr>
    </w:p>
    <w:p>
      <w:pPr>
        <w:ind w:left="900" w:hanging="447"/>
        <w:spacing w:after="0"/>
        <w:tabs>
          <w:tab w:leader="none" w:pos="9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96" w:lineRule="exact"/>
        <w:rPr>
          <w:sz w:val="20"/>
          <w:szCs w:val="20"/>
          <w:color w:val="auto"/>
        </w:rPr>
      </w:pPr>
    </w:p>
    <w:p>
      <w:pPr>
        <w:jc w:val="both"/>
        <w:ind w:firstLine="1123"/>
        <w:spacing w:after="0" w:line="229"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85" w:lineRule="exact"/>
        <w:rPr>
          <w:sz w:val="20"/>
          <w:szCs w:val="20"/>
          <w:color w:val="auto"/>
        </w:rPr>
      </w:pPr>
    </w:p>
    <w:p>
      <w:pPr>
        <w:ind w:left="900" w:hanging="447"/>
        <w:spacing w:after="0"/>
        <w:tabs>
          <w:tab w:leader="none" w:pos="9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96" w:lineRule="exact"/>
        <w:rPr>
          <w:sz w:val="20"/>
          <w:szCs w:val="20"/>
          <w:color w:val="auto"/>
        </w:rPr>
      </w:pPr>
    </w:p>
    <w:p>
      <w:pPr>
        <w:jc w:val="both"/>
        <w:ind w:firstLine="1123"/>
        <w:spacing w:after="0" w:line="238" w:lineRule="auto"/>
        <w:rPr>
          <w:sz w:val="20"/>
          <w:szCs w:val="20"/>
          <w:color w:val="auto"/>
        </w:rPr>
      </w:pPr>
      <w:r>
        <w:rPr>
          <w:rFonts w:ascii="Arial" w:cs="Arial" w:eastAsia="Arial" w:hAnsi="Arial"/>
          <w:sz w:val="14"/>
          <w:szCs w:val="14"/>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75" w:lineRule="exact"/>
        <w:rPr>
          <w:sz w:val="20"/>
          <w:szCs w:val="20"/>
          <w:color w:val="auto"/>
        </w:rPr>
      </w:pPr>
    </w:p>
    <w:p>
      <w:pPr>
        <w:jc w:val="both"/>
        <w:ind w:firstLine="1123"/>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6" w:lineRule="exact"/>
        <w:rPr>
          <w:sz w:val="20"/>
          <w:szCs w:val="20"/>
          <w:color w:val="auto"/>
        </w:rPr>
      </w:pPr>
    </w:p>
    <w:p>
      <w:pPr>
        <w:ind w:left="1340" w:hanging="209"/>
        <w:spacing w:after="0"/>
        <w:tabs>
          <w:tab w:leader="none" w:pos="1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95" w:lineRule="exact"/>
        <w:rPr>
          <w:rFonts w:ascii="Arial" w:cs="Arial" w:eastAsia="Arial" w:hAnsi="Arial"/>
          <w:sz w:val="14"/>
          <w:szCs w:val="14"/>
          <w:color w:val="auto"/>
        </w:rPr>
      </w:pPr>
    </w:p>
    <w:p>
      <w:pPr>
        <w:ind w:right="20" w:firstLine="1131"/>
        <w:spacing w:after="0" w:line="253" w:lineRule="auto"/>
        <w:tabs>
          <w:tab w:leader="none" w:pos="1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65" w:lineRule="exact"/>
        <w:rPr>
          <w:rFonts w:ascii="Arial" w:cs="Arial" w:eastAsia="Arial" w:hAnsi="Arial"/>
          <w:sz w:val="14"/>
          <w:szCs w:val="14"/>
          <w:color w:val="auto"/>
        </w:rPr>
      </w:pPr>
    </w:p>
    <w:p>
      <w:pPr>
        <w:ind w:left="1340" w:hanging="209"/>
        <w:spacing w:after="0"/>
        <w:tabs>
          <w:tab w:leader="none" w:pos="1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ectPr>
          <w:pgSz w:w="11900" w:h="16838" w:orient="portrait"/>
          <w:cols w:equalWidth="0" w:num="1">
            <w:col w:w="11240"/>
          </w:cols>
          <w:pgMar w:left="320" w:top="269" w:right="339" w:bottom="1440" w:gutter="0" w:footer="0" w:header="0"/>
        </w:sectPr>
      </w:pPr>
    </w:p>
    <w:bookmarkStart w:id="85" w:name="page86"/>
    <w:bookmarkEnd w:id="85"/>
    <w:p>
      <w:pPr>
        <w:ind w:left="1340" w:hanging="209"/>
        <w:spacing w:after="0"/>
        <w:tabs>
          <w:tab w:leader="none" w:pos="1340" w:val="left"/>
        </w:tabs>
        <w:numPr>
          <w:ilvl w:val="1"/>
          <w:numId w:val="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the report is submitted by the Access Person.</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96" w:lineRule="exact"/>
        <w:rPr>
          <w:sz w:val="20"/>
          <w:szCs w:val="20"/>
          <w:color w:val="auto"/>
        </w:rPr>
      </w:pPr>
    </w:p>
    <w:p>
      <w:pPr>
        <w:jc w:val="both"/>
        <w:ind w:firstLine="1123"/>
        <w:spacing w:after="0" w:line="251" w:lineRule="auto"/>
        <w:rPr>
          <w:sz w:val="20"/>
          <w:szCs w:val="20"/>
          <w:color w:val="auto"/>
        </w:rPr>
      </w:pPr>
      <w:r>
        <w:rPr>
          <w:rFonts w:ascii="Arial" w:cs="Arial" w:eastAsia="Arial" w:hAnsi="Arial"/>
          <w:sz w:val="13"/>
          <w:szCs w:val="13"/>
          <w:color w:val="auto"/>
        </w:rPr>
        <w:t>Notwithstanding the reporting requirements set forth in this Section VI, an Independent Director who would be required to make a report under this Section VI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77" w:lineRule="exact"/>
        <w:rPr>
          <w:sz w:val="20"/>
          <w:szCs w:val="20"/>
          <w:color w:val="auto"/>
        </w:rPr>
      </w:pPr>
    </w:p>
    <w:p>
      <w:pPr>
        <w:ind w:left="900" w:hanging="447"/>
        <w:spacing w:after="0"/>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96" w:lineRule="exact"/>
        <w:rPr>
          <w:sz w:val="20"/>
          <w:szCs w:val="20"/>
          <w:color w:val="auto"/>
        </w:rPr>
      </w:pPr>
    </w:p>
    <w:p>
      <w:pPr>
        <w:ind w:firstLine="1123"/>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74" w:lineRule="exact"/>
        <w:rPr>
          <w:sz w:val="20"/>
          <w:szCs w:val="20"/>
          <w:color w:val="auto"/>
        </w:rPr>
      </w:pPr>
    </w:p>
    <w:p>
      <w:pPr>
        <w:ind w:left="900" w:hanging="447"/>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Access Persons, except Independent Directors, shall:</w:t>
      </w:r>
    </w:p>
    <w:p>
      <w:pPr>
        <w:spacing w:after="0" w:line="163" w:lineRule="exact"/>
        <w:rPr>
          <w:sz w:val="20"/>
          <w:szCs w:val="20"/>
          <w:color w:val="auto"/>
        </w:rPr>
      </w:pPr>
    </w:p>
    <w:p>
      <w:pPr>
        <w:jc w:val="both"/>
        <w:ind w:firstLine="1131"/>
        <w:spacing w:after="0" w:line="238" w:lineRule="auto"/>
        <w:tabs>
          <w:tab w:leader="none" w:pos="1335" w:val="left"/>
        </w:tabs>
        <w:numPr>
          <w:ilvl w:val="1"/>
          <w:numId w:val="61"/>
        </w:numPr>
        <w:rPr>
          <w:rFonts w:ascii="Arial" w:cs="Arial" w:eastAsia="Arial" w:hAnsi="Arial"/>
          <w:sz w:val="14"/>
          <w:szCs w:val="14"/>
          <w:color w:val="auto"/>
        </w:rPr>
      </w:pPr>
      <w:r>
        <w:rPr>
          <w:rFonts w:ascii="Arial" w:cs="Arial" w:eastAsia="Arial" w:hAnsi="Arial"/>
          <w:sz w:val="14"/>
          <w:szCs w:val="14"/>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55" w:lineRule="exact"/>
        <w:rPr>
          <w:rFonts w:ascii="Arial" w:cs="Arial" w:eastAsia="Arial" w:hAnsi="Arial"/>
          <w:sz w:val="14"/>
          <w:szCs w:val="14"/>
          <w:color w:val="auto"/>
        </w:rPr>
      </w:pPr>
    </w:p>
    <w:p>
      <w:pPr>
        <w:ind w:left="1340" w:hanging="209"/>
        <w:spacing w:after="0"/>
        <w:tabs>
          <w:tab w:leader="none" w:pos="1340" w:val="left"/>
        </w:tabs>
        <w:numPr>
          <w:ilvl w:val="1"/>
          <w:numId w:val="61"/>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63" w:lineRule="exact"/>
        <w:rPr>
          <w:rFonts w:ascii="Arial" w:cs="Arial" w:eastAsia="Arial" w:hAnsi="Arial"/>
          <w:sz w:val="14"/>
          <w:szCs w:val="14"/>
          <w:color w:val="auto"/>
        </w:rPr>
      </w:pPr>
    </w:p>
    <w:p>
      <w:pPr>
        <w:ind w:left="1340" w:hanging="209"/>
        <w:spacing w:after="0"/>
        <w:tabs>
          <w:tab w:leader="none" w:pos="1340" w:val="left"/>
        </w:tabs>
        <w:numPr>
          <w:ilvl w:val="1"/>
          <w:numId w:val="61"/>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96" w:lineRule="exact"/>
        <w:rPr>
          <w:sz w:val="20"/>
          <w:szCs w:val="20"/>
          <w:color w:val="auto"/>
        </w:rPr>
      </w:pPr>
    </w:p>
    <w:p>
      <w:pPr>
        <w:ind w:firstLine="1123"/>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74" w:lineRule="exact"/>
        <w:rPr>
          <w:sz w:val="20"/>
          <w:szCs w:val="20"/>
          <w:color w:val="auto"/>
        </w:rPr>
      </w:pPr>
    </w:p>
    <w:p>
      <w:pPr>
        <w:ind w:left="900" w:hanging="447"/>
        <w:spacing w:after="0"/>
        <w:tabs>
          <w:tab w:leader="none" w:pos="9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96" w:lineRule="exact"/>
        <w:rPr>
          <w:sz w:val="20"/>
          <w:szCs w:val="20"/>
          <w:color w:val="auto"/>
        </w:rPr>
      </w:pPr>
    </w:p>
    <w:p>
      <w:pPr>
        <w:jc w:val="both"/>
        <w:ind w:firstLine="1123"/>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83" w:lineRule="exact"/>
        <w:rPr>
          <w:sz w:val="20"/>
          <w:szCs w:val="20"/>
          <w:color w:val="auto"/>
        </w:rPr>
      </w:pPr>
    </w:p>
    <w:p>
      <w:pPr>
        <w:ind w:left="900" w:hanging="447"/>
        <w:spacing w:after="0"/>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204" w:lineRule="exact"/>
        <w:rPr>
          <w:sz w:val="20"/>
          <w:szCs w:val="20"/>
          <w:color w:val="auto"/>
        </w:rPr>
      </w:pPr>
    </w:p>
    <w:p>
      <w:pPr>
        <w:ind w:left="900" w:hanging="447"/>
        <w:spacing w:after="0"/>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96" w:lineRule="exact"/>
        <w:rPr>
          <w:sz w:val="20"/>
          <w:szCs w:val="20"/>
          <w:color w:val="auto"/>
        </w:rPr>
      </w:pPr>
    </w:p>
    <w:p>
      <w:pPr>
        <w:ind w:firstLine="1123"/>
        <w:spacing w:after="0" w:line="253" w:lineRule="auto"/>
        <w:rPr>
          <w:sz w:val="20"/>
          <w:szCs w:val="20"/>
          <w:color w:val="auto"/>
        </w:rPr>
      </w:pPr>
      <w:r>
        <w:rPr>
          <w:rFonts w:ascii="Arial" w:cs="Arial" w:eastAsia="Arial" w:hAnsi="Arial"/>
          <w:sz w:val="14"/>
          <w:szCs w:val="14"/>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208" w:lineRule="exact"/>
        <w:rPr>
          <w:sz w:val="20"/>
          <w:szCs w:val="20"/>
          <w:color w:val="auto"/>
        </w:rPr>
      </w:pPr>
    </w:p>
    <w:p>
      <w:pPr>
        <w:ind w:left="900" w:hanging="447"/>
        <w:spacing w:after="0"/>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96" w:lineRule="exact"/>
        <w:rPr>
          <w:sz w:val="20"/>
          <w:szCs w:val="20"/>
          <w:color w:val="auto"/>
        </w:rPr>
      </w:pPr>
    </w:p>
    <w:p>
      <w:pPr>
        <w:jc w:val="both"/>
        <w:ind w:firstLine="1123"/>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3" w:lineRule="exact"/>
        <w:rPr>
          <w:sz w:val="20"/>
          <w:szCs w:val="20"/>
          <w:color w:val="auto"/>
        </w:rPr>
      </w:pPr>
    </w:p>
    <w:p>
      <w:pPr>
        <w:ind w:left="900" w:hanging="447"/>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96" w:lineRule="exact"/>
        <w:rPr>
          <w:sz w:val="20"/>
          <w:szCs w:val="20"/>
          <w:color w:val="auto"/>
        </w:rPr>
      </w:pPr>
    </w:p>
    <w:p>
      <w:pPr>
        <w:jc w:val="both"/>
        <w:ind w:firstLine="1123"/>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3"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Gratuities.</w:t>
      </w:r>
    </w:p>
    <w:p>
      <w:pPr>
        <w:spacing w:after="0" w:line="96" w:lineRule="exact"/>
        <w:rPr>
          <w:sz w:val="20"/>
          <w:szCs w:val="20"/>
          <w:color w:val="auto"/>
        </w:rPr>
      </w:pPr>
    </w:p>
    <w:p>
      <w:pPr>
        <w:jc w:val="both"/>
        <w:ind w:right="20" w:firstLine="1123"/>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00" w:lineRule="exact"/>
        <w:rPr>
          <w:sz w:val="20"/>
          <w:szCs w:val="20"/>
          <w:color w:val="auto"/>
        </w:rPr>
      </w:pPr>
    </w:p>
    <w:p>
      <w:pPr>
        <w:jc w:val="both"/>
        <w:ind w:firstLine="1123"/>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77" w:lineRule="exact"/>
        <w:rPr>
          <w:sz w:val="20"/>
          <w:szCs w:val="20"/>
          <w:color w:val="auto"/>
        </w:rPr>
      </w:pPr>
    </w:p>
    <w:p>
      <w:pPr>
        <w:ind w:left="900" w:hanging="447"/>
        <w:spacing w:after="0" w:line="253" w:lineRule="auto"/>
        <w:tabs>
          <w:tab w:leader="none" w:pos="9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173" w:lineRule="exact"/>
        <w:rPr>
          <w:rFonts w:ascii="Arial" w:cs="Arial" w:eastAsia="Arial" w:hAnsi="Arial"/>
          <w:sz w:val="14"/>
          <w:szCs w:val="14"/>
          <w:color w:val="auto"/>
        </w:rPr>
      </w:pPr>
    </w:p>
    <w:p>
      <w:pPr>
        <w:jc w:val="both"/>
        <w:ind w:left="900" w:hanging="447"/>
        <w:spacing w:after="0" w:line="229" w:lineRule="auto"/>
        <w:tabs>
          <w:tab w:leader="none" w:pos="9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w:t>
      </w:r>
    </w:p>
    <w:p>
      <w:pPr>
        <w:sectPr>
          <w:pgSz w:w="11900" w:h="16838" w:orient="portrait"/>
          <w:cols w:equalWidth="0" w:num="1">
            <w:col w:w="11240"/>
          </w:cols>
          <w:pgMar w:left="320" w:top="269" w:right="339" w:bottom="1440" w:gutter="0" w:footer="0" w:header="0"/>
        </w:sectPr>
      </w:pPr>
    </w:p>
    <w:bookmarkStart w:id="86" w:name="page87"/>
    <w:bookmarkEnd w:id="86"/>
    <w:p>
      <w:pPr>
        <w:ind w:left="90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for a company’s securities. Information about a significant order to purchase or sell Securities may, in some contexts, be material. Pre-publication information regarding reports in the financial press may also be material.</w:t>
      </w:r>
    </w:p>
    <w:p>
      <w:pPr>
        <w:spacing w:after="0" w:line="174" w:lineRule="exact"/>
        <w:rPr>
          <w:sz w:val="20"/>
          <w:szCs w:val="20"/>
          <w:color w:val="auto"/>
        </w:rPr>
      </w:pPr>
    </w:p>
    <w:p>
      <w:pPr>
        <w:jc w:val="both"/>
        <w:ind w:left="900" w:hanging="447"/>
        <w:spacing w:after="0" w:line="238" w:lineRule="auto"/>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82" w:lineRule="exact"/>
        <w:rPr>
          <w:rFonts w:ascii="Arial" w:cs="Arial" w:eastAsia="Arial" w:hAnsi="Arial"/>
          <w:sz w:val="14"/>
          <w:szCs w:val="14"/>
          <w:color w:val="auto"/>
        </w:rPr>
      </w:pPr>
    </w:p>
    <w:p>
      <w:pPr>
        <w:jc w:val="both"/>
        <w:ind w:left="900" w:hanging="447"/>
        <w:spacing w:after="0" w:line="238" w:lineRule="auto"/>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209" w:lineRule="exact"/>
        <w:rPr>
          <w:rFonts w:ascii="Arial" w:cs="Arial" w:eastAsia="Arial" w:hAnsi="Arial"/>
          <w:sz w:val="14"/>
          <w:szCs w:val="14"/>
          <w:color w:val="auto"/>
        </w:rPr>
      </w:pPr>
    </w:p>
    <w:p>
      <w:pPr>
        <w:ind w:left="1460" w:hanging="561"/>
        <w:spacing w:after="0"/>
        <w:tabs>
          <w:tab w:leader="none" w:pos="14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203" w:lineRule="exact"/>
        <w:rPr>
          <w:rFonts w:ascii="Arial" w:cs="Arial" w:eastAsia="Arial" w:hAnsi="Arial"/>
          <w:sz w:val="14"/>
          <w:szCs w:val="14"/>
          <w:color w:val="auto"/>
        </w:rPr>
      </w:pPr>
    </w:p>
    <w:p>
      <w:pPr>
        <w:ind w:left="1460" w:hanging="561"/>
        <w:spacing w:after="0"/>
        <w:tabs>
          <w:tab w:leader="none" w:pos="14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203" w:lineRule="exact"/>
        <w:rPr>
          <w:rFonts w:ascii="Arial" w:cs="Arial" w:eastAsia="Arial" w:hAnsi="Arial"/>
          <w:sz w:val="14"/>
          <w:szCs w:val="14"/>
          <w:color w:val="auto"/>
        </w:rPr>
      </w:pPr>
    </w:p>
    <w:p>
      <w:pPr>
        <w:ind w:left="1460" w:hanging="561"/>
        <w:spacing w:after="0"/>
        <w:tabs>
          <w:tab w:leader="none" w:pos="14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3" w:lineRule="exact"/>
        <w:rPr>
          <w:sz w:val="20"/>
          <w:szCs w:val="20"/>
          <w:color w:val="auto"/>
        </w:rPr>
      </w:pPr>
    </w:p>
    <w:p>
      <w:pPr>
        <w:jc w:val="both"/>
        <w:ind w:left="900" w:hanging="447"/>
        <w:spacing w:after="0" w:line="228" w:lineRule="auto"/>
        <w:tabs>
          <w:tab w:leader="none" w:pos="9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84" w:lineRule="exact"/>
        <w:rPr>
          <w:rFonts w:ascii="Arial" w:cs="Arial" w:eastAsia="Arial" w:hAnsi="Arial"/>
          <w:sz w:val="14"/>
          <w:szCs w:val="14"/>
          <w:color w:val="auto"/>
        </w:rPr>
      </w:pPr>
    </w:p>
    <w:p>
      <w:pPr>
        <w:jc w:val="both"/>
        <w:ind w:left="900" w:hanging="447"/>
        <w:spacing w:after="0" w:line="229" w:lineRule="auto"/>
        <w:tabs>
          <w:tab w:leader="none" w:pos="9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208" w:lineRule="exact"/>
        <w:rPr>
          <w:sz w:val="20"/>
          <w:szCs w:val="20"/>
          <w:color w:val="auto"/>
        </w:rPr>
      </w:pPr>
    </w:p>
    <w:p>
      <w:pPr>
        <w:ind w:left="900" w:hanging="447"/>
        <w:spacing w:after="0"/>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96" w:lineRule="exact"/>
        <w:rPr>
          <w:sz w:val="20"/>
          <w:szCs w:val="20"/>
          <w:color w:val="auto"/>
        </w:rPr>
      </w:pPr>
    </w:p>
    <w:p>
      <w:pPr>
        <w:ind w:firstLine="1123"/>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52" w:lineRule="exact"/>
        <w:rPr>
          <w:sz w:val="20"/>
          <w:szCs w:val="20"/>
          <w:color w:val="auto"/>
        </w:rPr>
      </w:pPr>
    </w:p>
    <w:p>
      <w:pPr>
        <w:ind w:left="900" w:hanging="447"/>
        <w:spacing w:after="0"/>
        <w:tabs>
          <w:tab w:leader="none" w:pos="9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No less frequently than annually, the Corporation and the Adviser must furnish to the Corporation’s board of directors, and the board must consider, a written report that:</w:t>
      </w:r>
    </w:p>
    <w:p>
      <w:pPr>
        <w:spacing w:after="0" w:line="11" w:lineRule="exact"/>
        <w:rPr>
          <w:sz w:val="20"/>
          <w:szCs w:val="20"/>
          <w:color w:val="auto"/>
        </w:rPr>
      </w:pPr>
    </w:p>
    <w:p>
      <w:pPr>
        <w:jc w:val="both"/>
        <w:ind w:firstLine="8"/>
        <w:spacing w:after="0" w:line="232" w:lineRule="auto"/>
        <w:tabs>
          <w:tab w:leader="none" w:pos="2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00" w:lineRule="exact"/>
        <w:rPr>
          <w:sz w:val="20"/>
          <w:szCs w:val="20"/>
          <w:color w:val="auto"/>
        </w:rPr>
      </w:pPr>
    </w:p>
    <w:p>
      <w:pPr>
        <w:jc w:val="both"/>
        <w:ind w:firstLine="1123"/>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208" w:lineRule="exact"/>
        <w:rPr>
          <w:sz w:val="20"/>
          <w:szCs w:val="20"/>
          <w:color w:val="auto"/>
        </w:rPr>
      </w:pPr>
    </w:p>
    <w:p>
      <w:pPr>
        <w:ind w:left="900" w:hanging="447"/>
        <w:spacing w:after="0"/>
        <w:tabs>
          <w:tab w:leader="none" w:pos="9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95" w:lineRule="exact"/>
        <w:rPr>
          <w:rFonts w:ascii="Arial" w:cs="Arial" w:eastAsia="Arial" w:hAnsi="Arial"/>
          <w:sz w:val="14"/>
          <w:szCs w:val="14"/>
          <w:color w:val="auto"/>
        </w:rPr>
      </w:pPr>
    </w:p>
    <w:p>
      <w:pPr>
        <w:jc w:val="both"/>
        <w:ind w:firstLine="1131"/>
        <w:spacing w:after="0" w:line="238" w:lineRule="auto"/>
        <w:tabs>
          <w:tab w:leader="none" w:pos="1343" w:val="left"/>
        </w:tabs>
        <w:numPr>
          <w:ilvl w:val="1"/>
          <w:numId w:val="75"/>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firstLine="1131"/>
        <w:spacing w:after="0" w:line="253" w:lineRule="auto"/>
        <w:tabs>
          <w:tab w:leader="none" w:pos="1330" w:val="left"/>
        </w:tabs>
        <w:numPr>
          <w:ilvl w:val="1"/>
          <w:numId w:val="75"/>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340" w:hanging="209"/>
        <w:spacing w:after="0"/>
        <w:tabs>
          <w:tab w:leader="none" w:pos="1340" w:val="left"/>
        </w:tabs>
        <w:numPr>
          <w:ilvl w:val="1"/>
          <w:numId w:val="75"/>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5" w:lineRule="exact"/>
        <w:rPr>
          <w:rFonts w:ascii="Arial" w:cs="Arial" w:eastAsia="Arial" w:hAnsi="Arial"/>
          <w:sz w:val="14"/>
          <w:szCs w:val="14"/>
          <w:color w:val="auto"/>
        </w:rPr>
      </w:pPr>
    </w:p>
    <w:p>
      <w:pPr>
        <w:ind w:firstLine="1131"/>
        <w:spacing w:after="0" w:line="253" w:lineRule="auto"/>
        <w:tabs>
          <w:tab w:leader="none" w:pos="1339" w:val="left"/>
        </w:tabs>
        <w:numPr>
          <w:ilvl w:val="1"/>
          <w:numId w:val="75"/>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340" w:hanging="209"/>
        <w:spacing w:after="0"/>
        <w:tabs>
          <w:tab w:leader="none" w:pos="1340" w:val="left"/>
        </w:tabs>
        <w:numPr>
          <w:ilvl w:val="1"/>
          <w:numId w:val="75"/>
        </w:numPr>
        <w:rPr>
          <w:rFonts w:ascii="Arial" w:cs="Arial" w:eastAsia="Arial" w:hAnsi="Arial"/>
          <w:sz w:val="13"/>
          <w:szCs w:val="13"/>
          <w:color w:val="auto"/>
        </w:rPr>
      </w:pPr>
      <w:r>
        <w:rPr>
          <w:rFonts w:ascii="Arial" w:cs="Arial" w:eastAsia="Arial" w:hAnsi="Arial"/>
          <w:sz w:val="13"/>
          <w:szCs w:val="13"/>
          <w:color w:val="auto"/>
        </w:rPr>
        <w:t>Issuance either personally or with the assistance of counsel as may be appropriate, of any interpretation of this Code that may appear consistent with the objectives of Rule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17j-1 and this Code;</w:t>
      </w:r>
    </w:p>
    <w:p>
      <w:pPr>
        <w:sectPr>
          <w:pgSz w:w="11900" w:h="16838" w:orient="portrait"/>
          <w:cols w:equalWidth="0" w:num="1">
            <w:col w:w="11240"/>
          </w:cols>
          <w:pgMar w:left="320" w:top="269" w:right="339" w:bottom="1440" w:gutter="0" w:footer="0" w:header="0"/>
        </w:sectPr>
      </w:pPr>
    </w:p>
    <w:bookmarkStart w:id="87" w:name="page88"/>
    <w:bookmarkEnd w:id="87"/>
    <w:p>
      <w:pPr>
        <w:ind w:right="20" w:firstLine="1131"/>
        <w:spacing w:after="0" w:line="253" w:lineRule="auto"/>
        <w:tabs>
          <w:tab w:leader="none" w:pos="1329" w:val="left"/>
        </w:tabs>
        <w:numPr>
          <w:ilvl w:val="1"/>
          <w:numId w:val="7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Conduct such inspections or investigations as shall reasonably be required to detect and report, with recommendations, any apparent violations of this Code to the board of directors of the Corporation;</w:t>
      </w:r>
    </w:p>
    <w:p>
      <w:pPr>
        <w:spacing w:after="0" w:line="65" w:lineRule="exact"/>
        <w:rPr>
          <w:rFonts w:ascii="Arial" w:cs="Arial" w:eastAsia="Arial" w:hAnsi="Arial"/>
          <w:sz w:val="14"/>
          <w:szCs w:val="14"/>
          <w:color w:val="auto"/>
        </w:rPr>
      </w:pPr>
    </w:p>
    <w:p>
      <w:pPr>
        <w:ind w:firstLine="1131"/>
        <w:spacing w:after="0" w:line="253" w:lineRule="auto"/>
        <w:tabs>
          <w:tab w:leader="none" w:pos="1330" w:val="left"/>
        </w:tabs>
        <w:numPr>
          <w:ilvl w:val="1"/>
          <w:numId w:val="76"/>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rFonts w:ascii="Arial" w:cs="Arial" w:eastAsia="Arial" w:hAnsi="Arial"/>
          <w:sz w:val="14"/>
          <w:szCs w:val="14"/>
          <w:color w:val="auto"/>
        </w:rPr>
      </w:pPr>
    </w:p>
    <w:p>
      <w:pPr>
        <w:ind w:left="900" w:hanging="447"/>
        <w:spacing w:after="0" w:line="253" w:lineRule="auto"/>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65" w:lineRule="exact"/>
        <w:rPr>
          <w:rFonts w:ascii="Arial" w:cs="Arial" w:eastAsia="Arial" w:hAnsi="Arial"/>
          <w:sz w:val="14"/>
          <w:szCs w:val="14"/>
          <w:color w:val="auto"/>
        </w:rPr>
      </w:pPr>
    </w:p>
    <w:p>
      <w:pPr>
        <w:ind w:firstLine="1131"/>
        <w:spacing w:after="0" w:line="253" w:lineRule="auto"/>
        <w:tabs>
          <w:tab w:leader="none" w:pos="1335"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65" w:lineRule="exact"/>
        <w:rPr>
          <w:rFonts w:ascii="Arial" w:cs="Arial" w:eastAsia="Arial" w:hAnsi="Arial"/>
          <w:sz w:val="14"/>
          <w:szCs w:val="14"/>
          <w:color w:val="auto"/>
        </w:rPr>
      </w:pPr>
    </w:p>
    <w:p>
      <w:pPr>
        <w:ind w:left="1340" w:hanging="209"/>
        <w:spacing w:after="0"/>
        <w:tabs>
          <w:tab w:leader="none" w:pos="13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violation occurs;</w:t>
      </w:r>
    </w:p>
    <w:p>
      <w:pPr>
        <w:spacing w:after="0" w:line="83" w:lineRule="exact"/>
        <w:rPr>
          <w:rFonts w:ascii="Arial" w:cs="Arial" w:eastAsia="Arial" w:hAnsi="Arial"/>
          <w:sz w:val="13"/>
          <w:szCs w:val="13"/>
          <w:color w:val="auto"/>
        </w:rPr>
      </w:pPr>
    </w:p>
    <w:p>
      <w:pPr>
        <w:ind w:firstLine="1131"/>
        <w:spacing w:after="0" w:line="253" w:lineRule="auto"/>
        <w:tabs>
          <w:tab w:leader="none" w:pos="1327"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65" w:lineRule="exact"/>
        <w:rPr>
          <w:rFonts w:ascii="Arial" w:cs="Arial" w:eastAsia="Arial" w:hAnsi="Arial"/>
          <w:sz w:val="14"/>
          <w:szCs w:val="14"/>
          <w:color w:val="auto"/>
        </w:rPr>
      </w:pPr>
    </w:p>
    <w:p>
      <w:pPr>
        <w:ind w:firstLine="1131"/>
        <w:spacing w:after="0" w:line="253" w:lineRule="auto"/>
        <w:tabs>
          <w:tab w:leader="none" w:pos="1335"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65" w:lineRule="exact"/>
        <w:rPr>
          <w:rFonts w:ascii="Arial" w:cs="Arial" w:eastAsia="Arial" w:hAnsi="Arial"/>
          <w:sz w:val="14"/>
          <w:szCs w:val="14"/>
          <w:color w:val="auto"/>
        </w:rPr>
      </w:pPr>
    </w:p>
    <w:p>
      <w:pPr>
        <w:ind w:firstLine="1131"/>
        <w:spacing w:after="0" w:line="253" w:lineRule="auto"/>
        <w:tabs>
          <w:tab w:leader="none" w:pos="1343"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65" w:lineRule="exact"/>
        <w:rPr>
          <w:rFonts w:ascii="Arial" w:cs="Arial" w:eastAsia="Arial" w:hAnsi="Arial"/>
          <w:sz w:val="14"/>
          <w:szCs w:val="14"/>
          <w:color w:val="auto"/>
        </w:rPr>
      </w:pPr>
    </w:p>
    <w:p>
      <w:pPr>
        <w:ind w:right="20" w:firstLine="1131"/>
        <w:spacing w:after="0" w:line="253" w:lineRule="auto"/>
        <w:tabs>
          <w:tab w:leader="none" w:pos="1335"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65" w:lineRule="exact"/>
        <w:rPr>
          <w:rFonts w:ascii="Arial" w:cs="Arial" w:eastAsia="Arial" w:hAnsi="Arial"/>
          <w:sz w:val="14"/>
          <w:szCs w:val="14"/>
          <w:color w:val="auto"/>
        </w:rPr>
      </w:pPr>
    </w:p>
    <w:p>
      <w:pPr>
        <w:ind w:firstLine="1131"/>
        <w:spacing w:after="0" w:line="253" w:lineRule="auto"/>
        <w:tabs>
          <w:tab w:leader="none" w:pos="1334" w:val="left"/>
        </w:tabs>
        <w:numPr>
          <w:ilvl w:val="1"/>
          <w:numId w:val="77"/>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96" w:lineRule="exact"/>
        <w:rPr>
          <w:sz w:val="20"/>
          <w:szCs w:val="20"/>
          <w:color w:val="auto"/>
        </w:rPr>
      </w:pPr>
    </w:p>
    <w:p>
      <w:pPr>
        <w:ind w:firstLine="1123"/>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ectPr>
          <w:pgSz w:w="11900" w:h="16838" w:orient="portrait"/>
          <w:cols w:equalWidth="0" w:num="1">
            <w:col w:w="11240"/>
          </w:cols>
          <w:pgMar w:left="320" w:top="26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324"/>
        </w:trPr>
        <w:tc>
          <w:tcPr>
            <w:tcW w:w="3960" w:type="dxa"/>
            <w:vAlign w:val="bottom"/>
          </w:tcPr>
          <w:p>
            <w:pPr>
              <w:spacing w:after="0"/>
              <w:rPr>
                <w:sz w:val="24"/>
                <w:szCs w:val="24"/>
                <w:color w:val="auto"/>
              </w:rPr>
            </w:pPr>
          </w:p>
        </w:tc>
        <w:tc>
          <w:tcPr>
            <w:tcW w:w="7280" w:type="dxa"/>
            <w:vAlign w:val="bottom"/>
            <w:gridSpan w:val="3"/>
          </w:tcPr>
          <w:p>
            <w:pPr>
              <w:jc w:val="right"/>
              <w:ind w:right="4688"/>
              <w:spacing w:after="0"/>
              <w:rPr>
                <w:sz w:val="20"/>
                <w:szCs w:val="20"/>
                <w:color w:val="auto"/>
              </w:rPr>
            </w:pPr>
            <w:r>
              <w:rPr>
                <w:rFonts w:ascii="Arial" w:cs="Arial" w:eastAsia="Arial" w:hAnsi="Arial"/>
                <w:sz w:val="14"/>
                <w:szCs w:val="14"/>
                <w:b w:val="1"/>
                <w:bCs w:val="1"/>
                <w:color w:val="auto"/>
              </w:rPr>
              <w:t>Subsidiary of the Registrant</w:t>
            </w:r>
          </w:p>
        </w:tc>
        <w:tc>
          <w:tcPr>
            <w:tcW w:w="0" w:type="dxa"/>
            <w:vAlign w:val="bottom"/>
          </w:tcPr>
          <w:p>
            <w:pPr>
              <w:spacing w:after="0"/>
              <w:rPr>
                <w:sz w:val="1"/>
                <w:szCs w:val="1"/>
                <w:color w:val="auto"/>
              </w:rPr>
            </w:pPr>
          </w:p>
        </w:tc>
      </w:tr>
      <w:tr>
        <w:trPr>
          <w:trHeight w:val="354"/>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Voting Securities Owned</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auto"/>
            </w:tcBorders>
            <w:vMerge w:val="continue"/>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5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89" w:name="page90"/>
    <w:bookmarkEnd w:id="89"/>
    <w:p>
      <w:pPr>
        <w:ind w:left="9720"/>
        <w:spacing w:after="0"/>
        <w:rPr>
          <w:sz w:val="20"/>
          <w:szCs w:val="20"/>
          <w:color w:val="auto"/>
        </w:rPr>
      </w:pPr>
      <w:r>
        <w:rPr>
          <w:rFonts w:ascii="Arial" w:cs="Arial" w:eastAsia="Arial" w:hAnsi="Arial"/>
          <w:sz w:val="13"/>
          <w:szCs w:val="13"/>
          <w:b w:val="1"/>
          <w:bCs w:val="1"/>
          <w:color w:val="auto"/>
        </w:rPr>
        <w:t>EXHIBIT 31.1</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and Chairman of the Board of Directors of PennantPark Floating Rate Capital Ltd., certify that:</w:t>
      </w:r>
    </w:p>
    <w:p>
      <w:pPr>
        <w:spacing w:after="0" w:line="53" w:lineRule="exact"/>
        <w:rPr>
          <w:sz w:val="20"/>
          <w:szCs w:val="20"/>
          <w:color w:val="auto"/>
        </w:rPr>
      </w:pPr>
    </w:p>
    <w:p>
      <w:pPr>
        <w:ind w:left="260" w:hanging="140"/>
        <w:spacing w:after="0"/>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120" w:right="260"/>
        <w:spacing w:after="0" w:line="274" w:lineRule="auto"/>
        <w:tabs>
          <w:tab w:leader="none" w:pos="255"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120" w:right="60"/>
        <w:spacing w:after="0" w:line="274" w:lineRule="auto"/>
        <w:tabs>
          <w:tab w:leader="none" w:pos="255"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120" w:right="60"/>
        <w:spacing w:after="0" w:line="274" w:lineRule="auto"/>
        <w:tabs>
          <w:tab w:leader="none" w:pos="255"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240" w:right="80" w:hanging="8"/>
        <w:spacing w:after="0" w:line="274" w:lineRule="auto"/>
        <w:tabs>
          <w:tab w:leader="none" w:pos="379"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9" w:lineRule="exact"/>
        <w:rPr>
          <w:rFonts w:ascii="Arial" w:cs="Arial" w:eastAsia="Arial" w:hAnsi="Arial"/>
          <w:sz w:val="13"/>
          <w:szCs w:val="13"/>
          <w:color w:val="auto"/>
        </w:rPr>
      </w:pPr>
    </w:p>
    <w:p>
      <w:pPr>
        <w:ind w:left="240" w:right="300" w:hanging="8"/>
        <w:spacing w:after="0" w:line="274" w:lineRule="auto"/>
        <w:tabs>
          <w:tab w:leader="none" w:pos="386"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 w:lineRule="exact"/>
        <w:rPr>
          <w:rFonts w:ascii="Arial" w:cs="Arial" w:eastAsia="Arial" w:hAnsi="Arial"/>
          <w:sz w:val="13"/>
          <w:szCs w:val="13"/>
          <w:color w:val="auto"/>
        </w:rPr>
      </w:pPr>
    </w:p>
    <w:p>
      <w:pPr>
        <w:ind w:left="240" w:right="80" w:hanging="8"/>
        <w:spacing w:after="0" w:line="274" w:lineRule="auto"/>
        <w:tabs>
          <w:tab w:leader="none" w:pos="379"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240" w:right="140" w:hanging="8"/>
        <w:spacing w:after="0" w:line="274" w:lineRule="auto"/>
        <w:tabs>
          <w:tab w:leader="none" w:pos="386" w:val="left"/>
        </w:tabs>
        <w:numPr>
          <w:ilvl w:val="1"/>
          <w:numId w:val="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3"/>
          <w:szCs w:val="13"/>
          <w:color w:val="auto"/>
        </w:rPr>
      </w:pPr>
    </w:p>
    <w:p>
      <w:pPr>
        <w:ind w:left="120" w:right="260"/>
        <w:spacing w:after="0" w:line="274" w:lineRule="auto"/>
        <w:tabs>
          <w:tab w:leader="none" w:pos="255"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240" w:hanging="8"/>
        <w:spacing w:after="0" w:line="274" w:lineRule="auto"/>
        <w:tabs>
          <w:tab w:leader="none" w:pos="379" w:val="left"/>
        </w:tabs>
        <w:numPr>
          <w:ilvl w:val="1"/>
          <w:numId w:val="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380" w:hanging="148"/>
        <w:spacing w:after="0"/>
        <w:tabs>
          <w:tab w:leader="none" w:pos="3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13, 2014</w:t>
      </w:r>
    </w:p>
    <w:p>
      <w:pPr>
        <w:spacing w:after="0" w:line="202" w:lineRule="exact"/>
        <w:rPr>
          <w:sz w:val="20"/>
          <w:szCs w:val="20"/>
          <w:color w:val="auto"/>
        </w:rPr>
      </w:pPr>
    </w:p>
    <w:p>
      <w:pPr>
        <w:spacing w:after="0"/>
        <w:tabs>
          <w:tab w:leader="none" w:pos="1660" w:val="left"/>
          <w:tab w:leader="none" w:pos="19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w:t>
      </w:r>
      <w:r>
        <w:rPr>
          <w:rFonts w:ascii="Arial" w:cs="Arial" w:eastAsia="Arial" w:hAnsi="Arial"/>
          <w:sz w:val="10"/>
          <w:szCs w:val="10"/>
          <w:color w:val="auto"/>
        </w:rPr>
        <w:t>RTHUR</w:t>
      </w:r>
      <w:r>
        <w:rPr>
          <w:rFonts w:ascii="Arial" w:cs="Arial" w:eastAsia="Arial" w:hAnsi="Arial"/>
          <w:sz w:val="12"/>
          <w:szCs w:val="12"/>
          <w:color w:val="auto"/>
        </w:rPr>
        <w:t xml:space="preserve"> H. P</w:t>
      </w:r>
      <w:r>
        <w:rPr>
          <w:rFonts w:ascii="Arial" w:cs="Arial" w:eastAsia="Arial" w:hAnsi="Arial"/>
          <w:sz w:val="10"/>
          <w:szCs w:val="10"/>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 w:lineRule="exact"/>
        <w:rPr>
          <w:sz w:val="20"/>
          <w:szCs w:val="20"/>
          <w:color w:val="auto"/>
        </w:rPr>
      </w:pPr>
    </w:p>
    <w:p>
      <w:pPr>
        <w:jc w:val="center"/>
        <w:ind w:right="642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420"/>
        <w:spacing w:after="0"/>
        <w:rPr>
          <w:sz w:val="20"/>
          <w:szCs w:val="20"/>
          <w:color w:val="auto"/>
        </w:rPr>
      </w:pPr>
      <w:r>
        <w:rPr>
          <w:rFonts w:ascii="Arial" w:cs="Arial" w:eastAsia="Arial" w:hAnsi="Arial"/>
          <w:sz w:val="13"/>
          <w:szCs w:val="13"/>
          <w:b w:val="1"/>
          <w:bCs w:val="1"/>
          <w:color w:val="auto"/>
        </w:rPr>
        <w:t>Chief Executive Officer and</w:t>
      </w:r>
    </w:p>
    <w:p>
      <w:pPr>
        <w:jc w:val="center"/>
        <w:ind w:right="6420"/>
        <w:spacing w:after="0"/>
        <w:rPr>
          <w:sz w:val="20"/>
          <w:szCs w:val="20"/>
          <w:color w:val="auto"/>
        </w:rPr>
      </w:pPr>
      <w:r>
        <w:rPr>
          <w:rFonts w:ascii="Arial" w:cs="Arial" w:eastAsia="Arial" w:hAnsi="Arial"/>
          <w:sz w:val="13"/>
          <w:szCs w:val="13"/>
          <w:b w:val="1"/>
          <w:bCs w:val="1"/>
          <w:color w:val="auto"/>
        </w:rPr>
        <w:t>Chairman of the Board of Directors</w:t>
      </w:r>
    </w:p>
    <w:p>
      <w:pPr>
        <w:sectPr>
          <w:pgSz w:w="11900" w:h="16838" w:orient="portrait"/>
          <w:cols w:equalWidth="0" w:num="1">
            <w:col w:w="11240"/>
          </w:cols>
          <w:pgMar w:left="320" w:top="127" w:right="339" w:bottom="1440" w:gutter="0" w:footer="0" w:header="0"/>
        </w:sectPr>
      </w:pPr>
    </w:p>
    <w:bookmarkStart w:id="90" w:name="page91"/>
    <w:bookmarkEnd w:id="90"/>
    <w:p>
      <w:pPr>
        <w:ind w:left="9720"/>
        <w:spacing w:after="0"/>
        <w:rPr>
          <w:sz w:val="20"/>
          <w:szCs w:val="20"/>
          <w:color w:val="auto"/>
        </w:rPr>
      </w:pPr>
      <w:r>
        <w:rPr>
          <w:rFonts w:ascii="Arial" w:cs="Arial" w:eastAsia="Arial" w:hAnsi="Arial"/>
          <w:sz w:val="13"/>
          <w:szCs w:val="13"/>
          <w:b w:val="1"/>
          <w:bCs w:val="1"/>
          <w:color w:val="auto"/>
        </w:rPr>
        <w:t>EXHIBIT 31.2</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53" w:lineRule="exact"/>
        <w:rPr>
          <w:sz w:val="20"/>
          <w:szCs w:val="20"/>
          <w:color w:val="auto"/>
        </w:rPr>
      </w:pPr>
    </w:p>
    <w:p>
      <w:pPr>
        <w:ind w:left="260" w:hanging="140"/>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120" w:right="260"/>
        <w:spacing w:after="0" w:line="274" w:lineRule="auto"/>
        <w:tabs>
          <w:tab w:leader="none" w:pos="2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120" w:right="60"/>
        <w:spacing w:after="0" w:line="274" w:lineRule="auto"/>
        <w:tabs>
          <w:tab w:leader="none" w:pos="2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120" w:right="60"/>
        <w:spacing w:after="0" w:line="274" w:lineRule="auto"/>
        <w:tabs>
          <w:tab w:leader="none" w:pos="2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240" w:right="80" w:hanging="8"/>
        <w:spacing w:after="0" w:line="274" w:lineRule="auto"/>
        <w:tabs>
          <w:tab w:leader="none" w:pos="379"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9" w:lineRule="exact"/>
        <w:rPr>
          <w:rFonts w:ascii="Arial" w:cs="Arial" w:eastAsia="Arial" w:hAnsi="Arial"/>
          <w:sz w:val="13"/>
          <w:szCs w:val="13"/>
          <w:color w:val="auto"/>
        </w:rPr>
      </w:pPr>
    </w:p>
    <w:p>
      <w:pPr>
        <w:ind w:left="240" w:right="300" w:hanging="8"/>
        <w:spacing w:after="0" w:line="274" w:lineRule="auto"/>
        <w:tabs>
          <w:tab w:leader="none" w:pos="386"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 w:lineRule="exact"/>
        <w:rPr>
          <w:rFonts w:ascii="Arial" w:cs="Arial" w:eastAsia="Arial" w:hAnsi="Arial"/>
          <w:sz w:val="13"/>
          <w:szCs w:val="13"/>
          <w:color w:val="auto"/>
        </w:rPr>
      </w:pPr>
    </w:p>
    <w:p>
      <w:pPr>
        <w:ind w:left="240" w:right="80" w:hanging="8"/>
        <w:spacing w:after="0" w:line="274" w:lineRule="auto"/>
        <w:tabs>
          <w:tab w:leader="none" w:pos="379" w:val="left"/>
        </w:tabs>
        <w:numPr>
          <w:ilvl w:val="1"/>
          <w:numId w:val="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240" w:right="140" w:hanging="8"/>
        <w:spacing w:after="0" w:line="274" w:lineRule="auto"/>
        <w:tabs>
          <w:tab w:leader="none" w:pos="386" w:val="left"/>
        </w:tabs>
        <w:numPr>
          <w:ilvl w:val="1"/>
          <w:numId w:val="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3"/>
          <w:szCs w:val="13"/>
          <w:color w:val="auto"/>
        </w:rPr>
      </w:pPr>
    </w:p>
    <w:p>
      <w:pPr>
        <w:ind w:left="120" w:right="260"/>
        <w:spacing w:after="0" w:line="274" w:lineRule="auto"/>
        <w:tabs>
          <w:tab w:leader="none" w:pos="2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240" w:hanging="8"/>
        <w:spacing w:after="0" w:line="274" w:lineRule="auto"/>
        <w:tabs>
          <w:tab w:leader="none" w:pos="379"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380" w:hanging="148"/>
        <w:spacing w:after="0"/>
        <w:tabs>
          <w:tab w:leader="none" w:pos="38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13, 2014</w:t>
      </w:r>
    </w:p>
    <w:p>
      <w:pPr>
        <w:spacing w:after="0" w:line="202" w:lineRule="exact"/>
        <w:rPr>
          <w:sz w:val="20"/>
          <w:szCs w:val="20"/>
          <w:color w:val="auto"/>
        </w:rPr>
      </w:pPr>
    </w:p>
    <w:p>
      <w:pPr>
        <w:spacing w:after="0"/>
        <w:tabs>
          <w:tab w:leader="none" w:pos="1800" w:val="left"/>
          <w:tab w:leader="none" w:pos="2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 w:lineRule="exact"/>
        <w:rPr>
          <w:sz w:val="20"/>
          <w:szCs w:val="20"/>
          <w:color w:val="auto"/>
        </w:rPr>
      </w:pPr>
    </w:p>
    <w:p>
      <w:pPr>
        <w:jc w:val="center"/>
        <w:ind w:right="642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42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40"/>
          </w:cols>
          <w:pgMar w:left="320" w:top="127" w:right="339" w:bottom="1440" w:gutter="0" w:footer="0" w:header="0"/>
        </w:sectPr>
      </w:pPr>
    </w:p>
    <w:bookmarkStart w:id="91" w:name="page92"/>
    <w:bookmarkEnd w:id="91"/>
    <w:p>
      <w:pPr>
        <w:ind w:left="9720"/>
        <w:spacing w:after="0"/>
        <w:rPr>
          <w:sz w:val="20"/>
          <w:szCs w:val="20"/>
          <w:color w:val="auto"/>
        </w:rPr>
      </w:pPr>
      <w:r>
        <w:rPr>
          <w:rFonts w:ascii="Arial" w:cs="Arial" w:eastAsia="Arial" w:hAnsi="Arial"/>
          <w:sz w:val="13"/>
          <w:szCs w:val="13"/>
          <w:b w:val="1"/>
          <w:bCs w:val="1"/>
          <w:color w:val="auto"/>
        </w:rPr>
        <w:t>EXHIBIT 32.1</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2014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Arthur H. Penn, as Chief Executive Officer of the Registrant hereby certify, to the best of my knowledge that:</w:t>
      </w:r>
    </w:p>
    <w:p>
      <w:pPr>
        <w:spacing w:after="0" w:line="41" w:lineRule="exact"/>
        <w:rPr>
          <w:sz w:val="20"/>
          <w:szCs w:val="20"/>
          <w:color w:val="auto"/>
        </w:rPr>
      </w:pPr>
    </w:p>
    <w:p>
      <w:pPr>
        <w:ind w:left="320" w:hanging="200"/>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320" w:hanging="200"/>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r>
      <w:tr>
        <w:trPr>
          <w:trHeight w:val="143"/>
        </w:trPr>
        <w:tc>
          <w:tcPr>
            <w:tcW w:w="164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40" w:type="dxa"/>
            <w:vAlign w:val="bottom"/>
          </w:tcPr>
          <w:p>
            <w:pPr>
              <w:jc w:val="center"/>
              <w:ind w:right="873"/>
              <w:spacing w:after="0" w:line="143" w:lineRule="exact"/>
              <w:rPr>
                <w:sz w:val="20"/>
                <w:szCs w:val="20"/>
                <w:color w:val="auto"/>
              </w:rPr>
            </w:pPr>
            <w:r>
              <w:rPr>
                <w:rFonts w:ascii="Arial" w:cs="Arial" w:eastAsia="Arial" w:hAnsi="Arial"/>
                <w:sz w:val="13"/>
                <w:szCs w:val="13"/>
                <w:b w:val="1"/>
                <w:bCs w:val="1"/>
                <w:color w:val="auto"/>
                <w:w w:val="98"/>
              </w:rPr>
              <w:t>Arthur H. Penn</w:t>
            </w:r>
          </w:p>
        </w:tc>
      </w:tr>
      <w:tr>
        <w:trPr>
          <w:trHeight w:val="174"/>
        </w:trPr>
        <w:tc>
          <w:tcPr>
            <w:tcW w:w="1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40" w:type="dxa"/>
            <w:vAlign w:val="bottom"/>
          </w:tcPr>
          <w:p>
            <w:pPr>
              <w:jc w:val="center"/>
              <w:ind w:right="893"/>
              <w:spacing w:after="0"/>
              <w:rPr>
                <w:sz w:val="20"/>
                <w:szCs w:val="20"/>
                <w:color w:val="auto"/>
              </w:rPr>
            </w:pPr>
            <w:r>
              <w:rPr>
                <w:rFonts w:ascii="Arial" w:cs="Arial" w:eastAsia="Arial" w:hAnsi="Arial"/>
                <w:sz w:val="13"/>
                <w:szCs w:val="13"/>
                <w:b w:val="1"/>
                <w:bCs w:val="1"/>
                <w:color w:val="auto"/>
                <w:w w:val="95"/>
              </w:rPr>
              <w:t>Chief Executive Officer</w:t>
            </w:r>
          </w:p>
        </w:tc>
      </w:tr>
      <w:tr>
        <w:trPr>
          <w:trHeight w:val="203"/>
        </w:trPr>
        <w:tc>
          <w:tcPr>
            <w:tcW w:w="1640" w:type="dxa"/>
            <w:vAlign w:val="bottom"/>
            <w:gridSpan w:val="2"/>
          </w:tcPr>
          <w:p>
            <w:pPr>
              <w:spacing w:after="0"/>
              <w:rPr>
                <w:sz w:val="20"/>
                <w:szCs w:val="20"/>
                <w:color w:val="auto"/>
              </w:rPr>
            </w:pPr>
            <w:r>
              <w:rPr>
                <w:rFonts w:ascii="Arial" w:cs="Arial" w:eastAsia="Arial" w:hAnsi="Arial"/>
                <w:sz w:val="13"/>
                <w:szCs w:val="13"/>
                <w:color w:val="auto"/>
              </w:rPr>
              <w:t>Date: November 13, 2014</w:t>
            </w:r>
          </w:p>
        </w:tc>
        <w:tc>
          <w:tcPr>
            <w:tcW w:w="2840" w:type="dxa"/>
            <w:vAlign w:val="bottom"/>
          </w:tcPr>
          <w:p>
            <w:pPr>
              <w:spacing w:after="0"/>
              <w:rPr>
                <w:sz w:val="17"/>
                <w:szCs w:val="17"/>
                <w:color w:val="auto"/>
              </w:rPr>
            </w:pPr>
          </w:p>
        </w:tc>
      </w:tr>
    </w:tbl>
    <w:p>
      <w:pPr>
        <w:sectPr>
          <w:pgSz w:w="11900" w:h="16838" w:orient="portrait"/>
          <w:cols w:equalWidth="0" w:num="1">
            <w:col w:w="11020"/>
          </w:cols>
          <w:pgMar w:left="320" w:top="127" w:right="559" w:bottom="1440" w:gutter="0" w:footer="0" w:header="0"/>
        </w:sectPr>
      </w:pPr>
    </w:p>
    <w:bookmarkStart w:id="92" w:name="page93"/>
    <w:bookmarkEnd w:id="92"/>
    <w:p>
      <w:pPr>
        <w:ind w:left="9720"/>
        <w:spacing w:after="0"/>
        <w:rPr>
          <w:sz w:val="20"/>
          <w:szCs w:val="20"/>
          <w:color w:val="auto"/>
        </w:rPr>
      </w:pPr>
      <w:r>
        <w:rPr>
          <w:rFonts w:ascii="Arial" w:cs="Arial" w:eastAsia="Arial" w:hAnsi="Arial"/>
          <w:sz w:val="13"/>
          <w:szCs w:val="13"/>
          <w:b w:val="1"/>
          <w:bCs w:val="1"/>
          <w:color w:val="auto"/>
        </w:rPr>
        <w:t>EXHIBIT 32.2</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2014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Aviv Efrat, as Chief Financial Officer of the Registrant hereby certify, to the best of my knowledge that:</w:t>
      </w:r>
    </w:p>
    <w:p>
      <w:pPr>
        <w:spacing w:after="0" w:line="41" w:lineRule="exact"/>
        <w:rPr>
          <w:sz w:val="20"/>
          <w:szCs w:val="20"/>
          <w:color w:val="auto"/>
        </w:rPr>
      </w:pPr>
    </w:p>
    <w:p>
      <w:pPr>
        <w:ind w:left="320" w:hanging="200"/>
        <w:spacing w:after="0"/>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320" w:hanging="200"/>
        <w:spacing w:after="0"/>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r>
      <w:tr>
        <w:trPr>
          <w:trHeight w:val="143"/>
        </w:trPr>
        <w:tc>
          <w:tcPr>
            <w:tcW w:w="164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40" w:type="dxa"/>
            <w:vAlign w:val="bottom"/>
          </w:tcPr>
          <w:p>
            <w:pPr>
              <w:jc w:val="center"/>
              <w:ind w:right="1013"/>
              <w:spacing w:after="0" w:line="143" w:lineRule="exact"/>
              <w:rPr>
                <w:sz w:val="20"/>
                <w:szCs w:val="20"/>
                <w:color w:val="auto"/>
              </w:rPr>
            </w:pPr>
            <w:r>
              <w:rPr>
                <w:rFonts w:ascii="Arial" w:cs="Arial" w:eastAsia="Arial" w:hAnsi="Arial"/>
                <w:sz w:val="13"/>
                <w:szCs w:val="13"/>
                <w:b w:val="1"/>
                <w:bCs w:val="1"/>
                <w:color w:val="auto"/>
                <w:w w:val="98"/>
              </w:rPr>
              <w:t>Aviv Efrat</w:t>
            </w:r>
          </w:p>
        </w:tc>
      </w:tr>
      <w:tr>
        <w:trPr>
          <w:trHeight w:val="174"/>
        </w:trPr>
        <w:tc>
          <w:tcPr>
            <w:tcW w:w="1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40" w:type="dxa"/>
            <w:vAlign w:val="bottom"/>
          </w:tcPr>
          <w:p>
            <w:pPr>
              <w:jc w:val="center"/>
              <w:ind w:right="1013"/>
              <w:spacing w:after="0"/>
              <w:rPr>
                <w:sz w:val="20"/>
                <w:szCs w:val="20"/>
                <w:color w:val="auto"/>
              </w:rPr>
            </w:pPr>
            <w:r>
              <w:rPr>
                <w:rFonts w:ascii="Arial" w:cs="Arial" w:eastAsia="Arial" w:hAnsi="Arial"/>
                <w:sz w:val="13"/>
                <w:szCs w:val="13"/>
                <w:b w:val="1"/>
                <w:bCs w:val="1"/>
                <w:color w:val="auto"/>
                <w:w w:val="95"/>
              </w:rPr>
              <w:t>Chief Financial Officer</w:t>
            </w:r>
          </w:p>
        </w:tc>
      </w:tr>
      <w:tr>
        <w:trPr>
          <w:trHeight w:val="203"/>
        </w:trPr>
        <w:tc>
          <w:tcPr>
            <w:tcW w:w="1640" w:type="dxa"/>
            <w:vAlign w:val="bottom"/>
            <w:gridSpan w:val="2"/>
          </w:tcPr>
          <w:p>
            <w:pPr>
              <w:spacing w:after="0"/>
              <w:rPr>
                <w:sz w:val="20"/>
                <w:szCs w:val="20"/>
                <w:color w:val="auto"/>
              </w:rPr>
            </w:pPr>
            <w:r>
              <w:rPr>
                <w:rFonts w:ascii="Arial" w:cs="Arial" w:eastAsia="Arial" w:hAnsi="Arial"/>
                <w:sz w:val="13"/>
                <w:szCs w:val="13"/>
                <w:color w:val="auto"/>
              </w:rPr>
              <w:t>Date: November 13, 2014</w:t>
            </w:r>
          </w:p>
        </w:tc>
        <w:tc>
          <w:tcPr>
            <w:tcW w:w="284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020"/>
      </w:cols>
      <w:pgMar w:left="32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lvl w:ilvl="1">
      <w:lvlJc w:val="left"/>
      <w:lvlText w:val="%2)"/>
      <w:numFmt w:val="lowerLetter"/>
      <w:start w:val="3"/>
    </w:lvl>
  </w:abstractNum>
  <w:abstractNum w:abstractNumId="4">
    <w:nsid w:val="2A487CB0"/>
    <w:multiLevelType w:val="hybridMultilevel"/>
    <w:lvl w:ilvl="0">
      <w:lvlJc w:val="left"/>
      <w:lvlText w:val="%1)"/>
      <w:numFmt w:val="lowerLetter"/>
      <w:start w:val="1"/>
    </w:lvl>
  </w:abstractNum>
  <w:abstractNum w:abstractNumId="5">
    <w:nsid w:val="1D4ED43B"/>
    <w:multiLevelType w:val="hybridMultilevel"/>
    <w:lvl w:ilvl="0">
      <w:lvlJc w:val="left"/>
      <w:lvlText w:val="%1)"/>
      <w:numFmt w:val="lowerLetter"/>
      <w:start w:val="2"/>
    </w:lvl>
  </w:abstractNum>
  <w:abstractNum w:abstractNumId="6">
    <w:nsid w:val="725A06FB"/>
    <w:multiLevelType w:val="hybridMultilevel"/>
    <w:lvl w:ilvl="0">
      <w:lvlJc w:val="left"/>
      <w:lvlText w:val="%1)"/>
      <w:numFmt w:val="lowerLetter"/>
      <w:start w:val="3"/>
    </w:lvl>
  </w:abstractNum>
  <w:abstractNum w:abstractNumId="7">
    <w:nsid w:val="2CD89A32"/>
    <w:multiLevelType w:val="hybridMultilevel"/>
    <w:lvl w:ilvl="0">
      <w:lvlJc w:val="left"/>
      <w:lvlText w:val="%1)"/>
      <w:numFmt w:val="lowerLetter"/>
      <w:start w:val="4"/>
    </w:lvl>
  </w:abstractNum>
  <w:abstractNum w:abstractNumId="8">
    <w:nsid w:val="57E4CCAF"/>
    <w:multiLevelType w:val="hybridMultilevel"/>
    <w:lvl w:ilvl="0">
      <w:lvlJc w:val="left"/>
      <w:lvlText w:val="%1)"/>
      <w:numFmt w:val="lowerLetter"/>
      <w:start w:val="5"/>
    </w:lvl>
  </w:abstractNum>
  <w:abstractNum w:abstractNumId="9">
    <w:nsid w:val="7A6D8D3C"/>
    <w:multiLevelType w:val="hybridMultilevel"/>
    <w:lvl w:ilvl="0">
      <w:lvlJc w:val="left"/>
      <w:lvlText w:val="%1)"/>
      <w:numFmt w:val="lowerLetter"/>
      <w:start w:val="6"/>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2)"/>
      <w:numFmt w:val="decimal"/>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2"/>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lowerRoman"/>
      <w:start w:val="3"/>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lowerLetter"/>
      <w:start w:val="2"/>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4"/>
    </w:lvl>
  </w:abstractNum>
  <w:abstractNum w:abstractNumId="43">
    <w:nsid w:val="7E0C57B1"/>
    <w:multiLevelType w:val="hybridMultilevel"/>
    <w:lvl w:ilvl="0">
      <w:lvlJc w:val="left"/>
      <w:lvlText w:val="(%1)"/>
      <w:numFmt w:val="lowerLetter"/>
      <w:start w:val="2"/>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2"/>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upperLetter"/>
      <w:start w:val="1"/>
    </w:lvl>
  </w:abstractNum>
  <w:abstractNum w:abstractNumId="50">
    <w:nsid w:val="1DBABF00"/>
    <w:multiLevelType w:val="hybridMultilevel"/>
    <w:lvl w:ilvl="0">
      <w:lvlJc w:val="left"/>
      <w:lvlText w:val="(%1)"/>
      <w:numFmt w:val="upperLetter"/>
      <w:start w:val="11"/>
    </w:lvl>
  </w:abstractNum>
  <w:abstractNum w:abstractNumId="51">
    <w:nsid w:val="4AD084E9"/>
    <w:multiLevelType w:val="hybridMultilevel"/>
    <w:lvl w:ilvl="0">
      <w:lvlJc w:val="left"/>
      <w:lvlText w:val="(%1)"/>
      <w:numFmt w:val="lowerRoman"/>
      <w:start w:val="1"/>
    </w:lvl>
  </w:abstractNum>
  <w:abstractNum w:abstractNumId="52">
    <w:nsid w:val="1F48EAA1"/>
    <w:multiLevelType w:val="hybridMultilevel"/>
    <w:lvl w:ilvl="0">
      <w:lvlJc w:val="left"/>
      <w:lvlText w:val="(%1)"/>
      <w:numFmt w:val="upperLetter"/>
      <w:start w:val="1"/>
    </w:lvl>
  </w:abstractNum>
  <w:abstractNum w:abstractNumId="53">
    <w:nsid w:val="1381823A"/>
    <w:multiLevelType w:val="hybridMultilevel"/>
    <w:lvl w:ilvl="0">
      <w:lvlJc w:val="left"/>
      <w:lvlText w:val="(%1)"/>
      <w:numFmt w:val="upperLetter"/>
      <w:start w:val="1"/>
    </w:lvl>
  </w:abstractNum>
  <w:abstractNum w:abstractNumId="54">
    <w:nsid w:val="5DB70AE5"/>
    <w:multiLevelType w:val="hybridMultilevel"/>
    <w:lvl w:ilvl="0">
      <w:lvlJc w:val="left"/>
      <w:lvlText w:val="(%1)"/>
      <w:numFmt w:val="upperLetter"/>
      <w:start w:val="2"/>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upperLetter"/>
      <w:start w:val="1"/>
    </w:lvl>
    <w:lvl w:ilvl="1">
      <w:lvlJc w:val="left"/>
      <w:lvlText w:val="(%2)"/>
      <w:numFmt w:val="decimal"/>
      <w:start w:val="4"/>
    </w:lvl>
  </w:abstractNum>
  <w:abstractNum w:abstractNumId="57">
    <w:nsid w:val="15014ACB"/>
    <w:multiLevelType w:val="hybridMultilevel"/>
    <w:lvl w:ilvl="0">
      <w:lvlJc w:val="left"/>
      <w:lvlText w:val="(%1)"/>
      <w:numFmt w:val="upperLetter"/>
      <w:start w:val="3"/>
    </w:lvl>
    <w:lvl w:ilvl="1">
      <w:lvlJc w:val="left"/>
      <w:lvlText w:val="%2"/>
      <w:numFmt w:val="decimal"/>
      <w:start w:val="1"/>
    </w:lvl>
  </w:abstractNum>
  <w:abstractNum w:abstractNumId="58">
    <w:nsid w:val="5F5E7FD0"/>
    <w:multiLevelType w:val="hybridMultilevel"/>
    <w:lvl w:ilvl="0">
      <w:lvlJc w:val="left"/>
      <w:lvlText w:val="(%1)"/>
      <w:numFmt w:val="upperLetter"/>
      <w:start w:val="4"/>
    </w:lvl>
  </w:abstractNum>
  <w:abstractNum w:abstractNumId="59">
    <w:nsid w:val="98A3148"/>
    <w:multiLevelType w:val="hybridMultilevel"/>
    <w:lvl w:ilvl="0">
      <w:lvlJc w:val="left"/>
      <w:lvlText w:val="(%1)"/>
      <w:numFmt w:val="upperLetter"/>
      <w:start w:val="5"/>
    </w:lvl>
  </w:abstractNum>
  <w:abstractNum w:abstractNumId="60">
    <w:nsid w:val="799D0247"/>
    <w:multiLevelType w:val="hybridMultilevel"/>
    <w:lvl w:ilvl="0">
      <w:lvlJc w:val="left"/>
      <w:lvlText w:val="%1"/>
      <w:numFmt w:val="upperLetter"/>
      <w:start w:val="1"/>
    </w:lvl>
    <w:lvl w:ilvl="1">
      <w:lvlJc w:val="left"/>
      <w:lvlText w:val="(%2)"/>
      <w:numFmt w:val="decimal"/>
      <w:start w:val="1"/>
    </w:lvl>
  </w:abstractNum>
  <w:abstractNum w:abstractNumId="61">
    <w:nsid w:val="6B94764"/>
    <w:multiLevelType w:val="hybridMultilevel"/>
    <w:lvl w:ilvl="0">
      <w:lvlJc w:val="left"/>
      <w:lvlText w:val="(%1)"/>
      <w:numFmt w:val="upperLetter"/>
      <w:start w:val="6"/>
    </w:lvl>
    <w:lvl w:ilvl="1">
      <w:lvlJc w:val="left"/>
      <w:lvlText w:val="%2"/>
      <w:numFmt w:val="decimal"/>
      <w:start w:val="1"/>
    </w:lvl>
  </w:abstractNum>
  <w:abstractNum w:abstractNumId="62">
    <w:nsid w:val="42C296BD"/>
    <w:multiLevelType w:val="hybridMultilevel"/>
    <w:lvl w:ilvl="0">
      <w:lvlJc w:val="left"/>
      <w:lvlText w:val="(%1)"/>
      <w:numFmt w:val="upperLetter"/>
      <w:start w:val="7"/>
    </w:lvl>
  </w:abstractNum>
  <w:abstractNum w:abstractNumId="63">
    <w:nsid w:val="168E121F"/>
    <w:multiLevelType w:val="hybridMultilevel"/>
    <w:lvl w:ilvl="0">
      <w:lvlJc w:val="left"/>
      <w:lvlText w:val="(%1)"/>
      <w:numFmt w:val="upperLetter"/>
      <w:start w:val="8"/>
    </w:lvl>
  </w:abstractNum>
  <w:abstractNum w:abstractNumId="64">
    <w:nsid w:val="1EBA5D23"/>
    <w:multiLevelType w:val="hybridMultilevel"/>
    <w:lvl w:ilvl="0">
      <w:lvlJc w:val="left"/>
      <w:lvlText w:val="(%1)"/>
      <w:numFmt w:val="upperLetter"/>
      <w:start w:val="9"/>
    </w:lvl>
  </w:abstractNum>
  <w:abstractNum w:abstractNumId="65">
    <w:nsid w:val="661E3F1E"/>
    <w:multiLevelType w:val="hybridMultilevel"/>
    <w:lvl w:ilvl="0">
      <w:lvlJc w:val="left"/>
      <w:lvlText w:val="(%1)"/>
      <w:numFmt w:val="upperLetter"/>
      <w:start w:val="1"/>
    </w:lvl>
  </w:abstractNum>
  <w:abstractNum w:abstractNumId="66">
    <w:nsid w:val="5DC79EA8"/>
    <w:multiLevelType w:val="hybridMultilevel"/>
    <w:lvl w:ilvl="0">
      <w:lvlJc w:val="left"/>
      <w:lvlText w:val="(%1)"/>
      <w:numFmt w:val="upperLetter"/>
      <w:start w:val="2"/>
    </w:lvl>
  </w:abstractNum>
  <w:abstractNum w:abstractNumId="67">
    <w:nsid w:val="540A471C"/>
    <w:multiLevelType w:val="hybridMultilevel"/>
    <w:lvl w:ilvl="0">
      <w:lvlJc w:val="left"/>
      <w:lvlText w:val="(%1)"/>
      <w:numFmt w:val="upperLetter"/>
      <w:start w:val="3"/>
    </w:lvl>
  </w:abstractNum>
  <w:abstractNum w:abstractNumId="68">
    <w:nsid w:val="7BD3EE7B"/>
    <w:multiLevelType w:val="hybridMultilevel"/>
    <w:lvl w:ilvl="0">
      <w:lvlJc w:val="left"/>
      <w:lvlText w:val="(%1)"/>
      <w:numFmt w:val="upperLetter"/>
      <w:start w:val="1"/>
    </w:lvl>
  </w:abstractNum>
  <w:abstractNum w:abstractNumId="69">
    <w:nsid w:val="51D9C564"/>
    <w:multiLevelType w:val="hybridMultilevel"/>
    <w:lvl w:ilvl="0">
      <w:lvlJc w:val="left"/>
      <w:lvlText w:val="(%1)"/>
      <w:numFmt w:val="upperLetter"/>
      <w:start w:val="3"/>
    </w:lvl>
    <w:lvl w:ilvl="1">
      <w:lvlJc w:val="left"/>
      <w:lvlText w:val="(%2)"/>
      <w:numFmt w:val="decimal"/>
      <w:start w:val="1"/>
    </w:lvl>
  </w:abstractNum>
  <w:abstractNum w:abstractNumId="70">
    <w:nsid w:val="613EFDC5"/>
    <w:multiLevelType w:val="hybridMultilevel"/>
    <w:lvl w:ilvl="0">
      <w:lvlJc w:val="left"/>
      <w:lvlText w:val="(%1)"/>
      <w:numFmt w:val="upperLetter"/>
      <w:start w:val="5"/>
    </w:lvl>
  </w:abstractNum>
  <w:abstractNum w:abstractNumId="71">
    <w:nsid w:val="BF72B14"/>
    <w:multiLevelType w:val="hybridMultilevel"/>
    <w:lvl w:ilvl="0">
      <w:lvlJc w:val="left"/>
      <w:lvlText w:val="(%1)"/>
      <w:numFmt w:val="upperLetter"/>
      <w:start w:val="1"/>
    </w:lvl>
  </w:abstractNum>
  <w:abstractNum w:abstractNumId="72">
    <w:nsid w:val="11447B73"/>
    <w:multiLevelType w:val="hybridMultilevel"/>
    <w:lvl w:ilvl="0">
      <w:lvlJc w:val="left"/>
      <w:lvlText w:val="(%1)"/>
      <w:numFmt w:val="upperLetter"/>
      <w:start w:val="2"/>
    </w:lvl>
  </w:abstractNum>
  <w:abstractNum w:abstractNumId="73">
    <w:nsid w:val="42963E5A"/>
    <w:multiLevelType w:val="hybridMultilevel"/>
    <w:lvl w:ilvl="0">
      <w:lvlJc w:val="left"/>
      <w:lvlText w:val="(%1)"/>
      <w:numFmt w:val="upperLetter"/>
      <w:start w:val="1"/>
    </w:lvl>
  </w:abstractNum>
  <w:abstractNum w:abstractNumId="74">
    <w:nsid w:val="A0382C5"/>
    <w:multiLevelType w:val="hybridMultilevel"/>
    <w:lvl w:ilvl="0">
      <w:lvlJc w:val="left"/>
      <w:lvlText w:val="(%1)"/>
      <w:numFmt w:val="upperLetter"/>
      <w:start w:val="1"/>
    </w:lvl>
    <w:lvl w:ilvl="1">
      <w:lvlJc w:val="left"/>
      <w:lvlText w:val="(%2)"/>
      <w:numFmt w:val="decimal"/>
      <w:start w:val="1"/>
    </w:lvl>
  </w:abstractNum>
  <w:abstractNum w:abstractNumId="75">
    <w:nsid w:val="8F2B15E"/>
    <w:multiLevelType w:val="hybridMultilevel"/>
    <w:lvl w:ilvl="0">
      <w:lvlJc w:val="left"/>
      <w:lvlText w:val="%1"/>
      <w:numFmt w:val="upperLetter"/>
      <w:start w:val="1"/>
    </w:lvl>
    <w:lvl w:ilvl="1">
      <w:lvlJc w:val="left"/>
      <w:lvlText w:val="(%2)"/>
      <w:numFmt w:val="decimal"/>
      <w:start w:val="6"/>
    </w:lvl>
  </w:abstractNum>
  <w:abstractNum w:abstractNumId="76">
    <w:nsid w:val="1A32234B"/>
    <w:multiLevelType w:val="hybridMultilevel"/>
    <w:lvl w:ilvl="0">
      <w:lvlJc w:val="left"/>
      <w:lvlText w:val="(%1)"/>
      <w:numFmt w:val="upperLetter"/>
      <w:start w:val="3"/>
    </w:lvl>
    <w:lvl w:ilvl="1">
      <w:lvlJc w:val="left"/>
      <w:lvlText w:val="(%2)"/>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2020-05-05T12:05:30Z</dcterms:created>
  <dcterms:modified xsi:type="dcterms:W3CDTF">2020-05-05T12:05:30Z</dcterms:modified>
</cp:coreProperties>
</file>